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ABC" w:rsidRPr="003409C9" w:rsidRDefault="00883BC7" w:rsidP="00883BC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97F17F49-C6F2-4CCA-B903-5907E61E9452" style="width:455.25pt;height:410.25pt">
            <v:imagedata r:id="rId11" o:title=""/>
          </v:shape>
        </w:pict>
      </w:r>
    </w:p>
    <w:p w:rsidR="00E70ABC" w:rsidRPr="003409C9" w:rsidRDefault="00E70ABC" w:rsidP="00E70ABC">
      <w:pPr>
        <w:rPr>
          <w:noProof/>
        </w:rPr>
        <w:sectPr w:rsidR="00E70ABC" w:rsidRPr="003409C9" w:rsidSect="00883BC7">
          <w:footerReference w:type="default" r:id="rId12"/>
          <w:pgSz w:w="11907" w:h="16839"/>
          <w:pgMar w:top="1134" w:right="1417" w:bottom="1134" w:left="1417" w:header="709" w:footer="709" w:gutter="0"/>
          <w:pgNumType w:start="0"/>
          <w:cols w:space="720"/>
          <w:docGrid w:linePitch="360"/>
        </w:sectPr>
      </w:pPr>
    </w:p>
    <w:p w:rsidR="00832116" w:rsidRPr="00BB07AF" w:rsidRDefault="00832116" w:rsidP="00832116">
      <w:pPr>
        <w:pStyle w:val="Exposdesmotifstitre"/>
        <w:rPr>
          <w:noProof/>
        </w:rPr>
      </w:pPr>
      <w:bookmarkStart w:id="0" w:name="_GoBack"/>
      <w:bookmarkEnd w:id="0"/>
      <w:r w:rsidRPr="00BB07AF">
        <w:rPr>
          <w:noProof/>
        </w:rPr>
        <w:lastRenderedPageBreak/>
        <w:t>UZASADNIENIE</w:t>
      </w:r>
    </w:p>
    <w:p w:rsidR="00832116" w:rsidRPr="00BB07AF" w:rsidRDefault="00832116" w:rsidP="00832116">
      <w:pPr>
        <w:pStyle w:val="ManualHeading1"/>
        <w:rPr>
          <w:noProof/>
        </w:rPr>
      </w:pPr>
      <w:r w:rsidRPr="00BB07AF">
        <w:rPr>
          <w:noProof/>
        </w:rPr>
        <w:t>1.</w:t>
      </w:r>
      <w:r w:rsidRPr="00BB07AF">
        <w:rPr>
          <w:noProof/>
        </w:rPr>
        <w:tab/>
        <w:t>KONTEKST WNIOSKU</w:t>
      </w:r>
    </w:p>
    <w:p w:rsidR="00832116" w:rsidRPr="00BB07AF" w:rsidRDefault="00832116" w:rsidP="00832116">
      <w:pPr>
        <w:pStyle w:val="ManualHeading2"/>
        <w:rPr>
          <w:rFonts w:eastAsia="Arial Unicode MS"/>
          <w:noProof/>
        </w:rPr>
      </w:pPr>
      <w:r w:rsidRPr="00BB07AF">
        <w:rPr>
          <w:noProof/>
          <w:color w:val="000000"/>
          <w:u w:color="000000"/>
          <w:bdr w:val="nil"/>
        </w:rPr>
        <w:t>•</w:t>
      </w:r>
      <w:r w:rsidRPr="00BB07AF">
        <w:rPr>
          <w:noProof/>
        </w:rPr>
        <w:tab/>
        <w:t>Przyczyny</w:t>
      </w:r>
      <w:r w:rsidR="003409C9" w:rsidRPr="00BB07AF">
        <w:rPr>
          <w:noProof/>
        </w:rPr>
        <w:t xml:space="preserve"> i cel</w:t>
      </w:r>
      <w:r w:rsidRPr="00BB07AF">
        <w:rPr>
          <w:noProof/>
        </w:rPr>
        <w:t>e wniosku</w:t>
      </w:r>
    </w:p>
    <w:p w:rsidR="00832116" w:rsidRPr="003409C9" w:rsidRDefault="00832116" w:rsidP="009B05A0">
      <w:pPr>
        <w:pStyle w:val="Text11"/>
        <w:spacing w:after="100" w:afterAutospacing="1"/>
        <w:ind w:left="0"/>
        <w:rPr>
          <w:noProof/>
        </w:rPr>
      </w:pPr>
      <w:bookmarkStart w:id="1" w:name="_Hlk115971383"/>
      <w:bookmarkStart w:id="2" w:name="_Hlk115968910"/>
      <w:r w:rsidRPr="003409C9">
        <w:rPr>
          <w:noProof/>
        </w:rPr>
        <w:t>W ostatnich dziesięcioleciach wzrosła liczba osób podróżujących drogą powietrzną oraz innowacji opracowywanych</w:t>
      </w:r>
      <w:r w:rsidR="003409C9" w:rsidRPr="003409C9">
        <w:rPr>
          <w:noProof/>
        </w:rPr>
        <w:t xml:space="preserve"> z myś</w:t>
      </w:r>
      <w:r w:rsidRPr="003409C9">
        <w:rPr>
          <w:noProof/>
        </w:rPr>
        <w:t>lą</w:t>
      </w:r>
      <w:r w:rsidR="003409C9" w:rsidRPr="003409C9">
        <w:rPr>
          <w:noProof/>
        </w:rPr>
        <w:t xml:space="preserve"> o zwi</w:t>
      </w:r>
      <w:r w:rsidRPr="003409C9">
        <w:rPr>
          <w:noProof/>
        </w:rPr>
        <w:t>ększeniu efektywności –</w:t>
      </w:r>
      <w:r w:rsidR="003409C9" w:rsidRPr="003409C9">
        <w:rPr>
          <w:noProof/>
        </w:rPr>
        <w:t xml:space="preserve"> w rez</w:t>
      </w:r>
      <w:r w:rsidRPr="003409C9">
        <w:rPr>
          <w:noProof/>
        </w:rPr>
        <w:t>ultacie samoloty są większe</w:t>
      </w:r>
      <w:r w:rsidR="003409C9" w:rsidRPr="003409C9">
        <w:rPr>
          <w:noProof/>
        </w:rPr>
        <w:t xml:space="preserve"> i poj</w:t>
      </w:r>
      <w:r w:rsidRPr="003409C9">
        <w:rPr>
          <w:noProof/>
        </w:rPr>
        <w:t>awiła się potrzeba usprawnienia przepływu pasażerów</w:t>
      </w:r>
      <w:r w:rsidR="003409C9" w:rsidRPr="003409C9">
        <w:rPr>
          <w:noProof/>
        </w:rPr>
        <w:t xml:space="preserve"> w por</w:t>
      </w:r>
      <w:r w:rsidRPr="003409C9">
        <w:rPr>
          <w:noProof/>
        </w:rPr>
        <w:t>tach lotniczych. W 2019</w:t>
      </w:r>
      <w:r w:rsidR="003409C9" w:rsidRPr="003409C9">
        <w:rPr>
          <w:noProof/>
        </w:rPr>
        <w:t> </w:t>
      </w:r>
      <w:r w:rsidRPr="003409C9">
        <w:rPr>
          <w:noProof/>
        </w:rPr>
        <w:t>r. Organizacja Międzynarodowego Lotnictwa Cywilnego (ICAO) poinformowała, że</w:t>
      </w:r>
      <w:r w:rsidR="003409C9" w:rsidRPr="003409C9">
        <w:rPr>
          <w:noProof/>
        </w:rPr>
        <w:t xml:space="preserve"> z usł</w:t>
      </w:r>
      <w:r w:rsidRPr="003409C9">
        <w:rPr>
          <w:noProof/>
        </w:rPr>
        <w:t>ug regularnego przewozu lotniczego na świecie korzysta 4,5 mld pasażerów</w:t>
      </w:r>
      <w:r w:rsidRPr="00BB07AF">
        <w:rPr>
          <w:rStyle w:val="FootnoteReference0"/>
          <w:b/>
          <w:noProof/>
        </w:rPr>
        <w:footnoteReference w:id="2"/>
      </w:r>
      <w:r w:rsidRPr="003409C9">
        <w:rPr>
          <w:noProof/>
        </w:rPr>
        <w:t>, przy czym każdego roku do UE wjeżdża – lub ją opuszcza – ponad pół miliarda pasażerów</w:t>
      </w:r>
      <w:r w:rsidRPr="00BB07AF">
        <w:rPr>
          <w:rStyle w:val="FootnoteReference0"/>
          <w:b/>
          <w:noProof/>
        </w:rPr>
        <w:footnoteReference w:id="3"/>
      </w:r>
      <w:r w:rsidRPr="003409C9">
        <w:rPr>
          <w:noProof/>
        </w:rPr>
        <w:t>, co stanowi obciążenie dla zewnętrznych granic powietrznych.</w:t>
      </w:r>
      <w:r w:rsidR="003B5A1D" w:rsidRPr="003409C9">
        <w:rPr>
          <w:noProof/>
        </w:rPr>
        <w:t xml:space="preserve"> </w:t>
      </w:r>
    </w:p>
    <w:p w:rsidR="00832116" w:rsidRPr="003409C9" w:rsidRDefault="00832116" w:rsidP="009B05A0">
      <w:pPr>
        <w:pStyle w:val="Text11"/>
        <w:spacing w:after="100" w:afterAutospacing="1"/>
        <w:ind w:left="0"/>
        <w:rPr>
          <w:noProof/>
        </w:rPr>
      </w:pPr>
      <w:r w:rsidRPr="003409C9">
        <w:rPr>
          <w:noProof/>
        </w:rPr>
        <w:t>Przetwarzanie danych pasażera przekazywanych przed podróżą (API) – zgodnie</w:t>
      </w:r>
      <w:r w:rsidR="003409C9" w:rsidRPr="003409C9">
        <w:rPr>
          <w:noProof/>
        </w:rPr>
        <w:t xml:space="preserve"> z obo</w:t>
      </w:r>
      <w:r w:rsidRPr="003409C9">
        <w:rPr>
          <w:noProof/>
        </w:rPr>
        <w:t>wiązującą dyrektywą</w:t>
      </w:r>
      <w:r w:rsidR="003409C9" w:rsidRPr="003409C9">
        <w:rPr>
          <w:noProof/>
        </w:rPr>
        <w:t xml:space="preserve"> w spr</w:t>
      </w:r>
      <w:r w:rsidRPr="003409C9">
        <w:rPr>
          <w:noProof/>
        </w:rPr>
        <w:t>awie API</w:t>
      </w:r>
      <w:r w:rsidRPr="003409C9">
        <w:rPr>
          <w:rStyle w:val="FootnoteReference0"/>
          <w:noProof/>
        </w:rPr>
        <w:footnoteReference w:id="4"/>
      </w:r>
      <w:r w:rsidR="003409C9" w:rsidRPr="003409C9">
        <w:rPr>
          <w:noProof/>
        </w:rPr>
        <w:t xml:space="preserve"> i nin</w:t>
      </w:r>
      <w:r w:rsidRPr="003409C9">
        <w:rPr>
          <w:noProof/>
        </w:rPr>
        <w:t>iejszym wnioskiem – stanowi narzędzie zarządzania granicami, które zwiększa skuteczność</w:t>
      </w:r>
      <w:r w:rsidR="003409C9" w:rsidRPr="003409C9">
        <w:rPr>
          <w:noProof/>
        </w:rPr>
        <w:t xml:space="preserve"> i wyd</w:t>
      </w:r>
      <w:r w:rsidRPr="003409C9">
        <w:rPr>
          <w:noProof/>
        </w:rPr>
        <w:t>ajność odprawy granicznej poprzez ułatwianie</w:t>
      </w:r>
      <w:r w:rsidR="003409C9" w:rsidRPr="003409C9">
        <w:rPr>
          <w:noProof/>
        </w:rPr>
        <w:t xml:space="preserve"> i prz</w:t>
      </w:r>
      <w:r w:rsidRPr="003409C9">
        <w:rPr>
          <w:noProof/>
        </w:rPr>
        <w:t>yspieszanie odprawy celnej podróżnych,</w:t>
      </w:r>
      <w:r w:rsidR="003409C9" w:rsidRPr="003409C9">
        <w:rPr>
          <w:noProof/>
        </w:rPr>
        <w:t xml:space="preserve"> a tak</w:t>
      </w:r>
      <w:r w:rsidRPr="003409C9">
        <w:rPr>
          <w:noProof/>
        </w:rPr>
        <w:t>że instrument przeciwdziałania nielegalnej imigracji. Dane API to zestaw informacji dotyczących tożsamości pasażerów zawartych</w:t>
      </w:r>
      <w:r w:rsidR="003409C9" w:rsidRPr="003409C9">
        <w:rPr>
          <w:noProof/>
        </w:rPr>
        <w:t xml:space="preserve"> w ich</w:t>
      </w:r>
      <w:r w:rsidRPr="003409C9">
        <w:rPr>
          <w:noProof/>
        </w:rPr>
        <w:t xml:space="preserve"> dokumentach podróży</w:t>
      </w:r>
      <w:r w:rsidR="003409C9" w:rsidRPr="003409C9">
        <w:rPr>
          <w:noProof/>
        </w:rPr>
        <w:t xml:space="preserve"> w poł</w:t>
      </w:r>
      <w:r w:rsidRPr="003409C9">
        <w:rPr>
          <w:noProof/>
        </w:rPr>
        <w:t>ączeniu</w:t>
      </w:r>
      <w:r w:rsidR="003409C9" w:rsidRPr="003409C9">
        <w:rPr>
          <w:noProof/>
        </w:rPr>
        <w:t xml:space="preserve"> z inf</w:t>
      </w:r>
      <w:r w:rsidRPr="003409C9">
        <w:rPr>
          <w:noProof/>
        </w:rPr>
        <w:t>ormacjami</w:t>
      </w:r>
      <w:r w:rsidR="003409C9" w:rsidRPr="003409C9">
        <w:rPr>
          <w:noProof/>
        </w:rPr>
        <w:t xml:space="preserve"> o loc</w:t>
      </w:r>
      <w:r w:rsidRPr="003409C9">
        <w:rPr>
          <w:noProof/>
        </w:rPr>
        <w:t>ie zebranymi podczas odprawy</w:t>
      </w:r>
      <w:r w:rsidR="003409C9" w:rsidRPr="003409C9">
        <w:rPr>
          <w:noProof/>
        </w:rPr>
        <w:t xml:space="preserve"> i prz</w:t>
      </w:r>
      <w:r w:rsidRPr="003409C9">
        <w:rPr>
          <w:noProof/>
        </w:rPr>
        <w:t>ekazanymi służbom granicznym kraju docelowego. Dzięki temu, że wspomniane organy otrzymują dane API przed przylotem, mogą one – zgodnie</w:t>
      </w:r>
      <w:r w:rsidR="003409C9" w:rsidRPr="003409C9">
        <w:rPr>
          <w:noProof/>
        </w:rPr>
        <w:t xml:space="preserve"> z obo</w:t>
      </w:r>
      <w:r w:rsidRPr="003409C9">
        <w:rPr>
          <w:noProof/>
        </w:rPr>
        <w:t>wiązującymi przepisami – skontrolować wcześniej podróżnych pod kątem profili ryzyka, list ostrzegawczych</w:t>
      </w:r>
      <w:r w:rsidR="003409C9" w:rsidRPr="003409C9">
        <w:rPr>
          <w:noProof/>
        </w:rPr>
        <w:t xml:space="preserve"> i baz</w:t>
      </w:r>
      <w:r w:rsidRPr="003409C9">
        <w:rPr>
          <w:noProof/>
        </w:rPr>
        <w:t xml:space="preserve"> danych, przyspieszając</w:t>
      </w:r>
      <w:r w:rsidR="003409C9" w:rsidRPr="003409C9">
        <w:rPr>
          <w:noProof/>
        </w:rPr>
        <w:t xml:space="preserve"> w ten</w:t>
      </w:r>
      <w:r w:rsidRPr="003409C9">
        <w:rPr>
          <w:noProof/>
        </w:rPr>
        <w:t xml:space="preserve"> sposób odprawę graniczną osób podróżujących</w:t>
      </w:r>
      <w:r w:rsidR="003409C9" w:rsidRPr="003409C9">
        <w:rPr>
          <w:noProof/>
        </w:rPr>
        <w:t xml:space="preserve"> w dob</w:t>
      </w:r>
      <w:r w:rsidRPr="003409C9">
        <w:rPr>
          <w:noProof/>
        </w:rPr>
        <w:t>rej wierze</w:t>
      </w:r>
      <w:r w:rsidR="003409C9" w:rsidRPr="003409C9">
        <w:rPr>
          <w:noProof/>
        </w:rPr>
        <w:t xml:space="preserve"> i prz</w:t>
      </w:r>
      <w:r w:rsidRPr="003409C9">
        <w:rPr>
          <w:noProof/>
        </w:rPr>
        <w:t>eznaczając więcej zasobów</w:t>
      </w:r>
      <w:r w:rsidR="003409C9" w:rsidRPr="003409C9">
        <w:rPr>
          <w:noProof/>
        </w:rPr>
        <w:t xml:space="preserve"> i cza</w:t>
      </w:r>
      <w:r w:rsidRPr="003409C9">
        <w:rPr>
          <w:noProof/>
        </w:rPr>
        <w:t>su na identyfikację podróżnych,</w:t>
      </w:r>
      <w:r w:rsidR="003409C9" w:rsidRPr="003409C9">
        <w:rPr>
          <w:noProof/>
        </w:rPr>
        <w:t xml:space="preserve"> w prz</w:t>
      </w:r>
      <w:r w:rsidRPr="003409C9">
        <w:rPr>
          <w:noProof/>
        </w:rPr>
        <w:t>ypadku których konieczne jest dalsze dochodzenie po przylocie.</w:t>
      </w:r>
    </w:p>
    <w:p w:rsidR="00832116" w:rsidRPr="003409C9" w:rsidRDefault="00832116" w:rsidP="009B05A0">
      <w:pPr>
        <w:pStyle w:val="Text11"/>
        <w:spacing w:after="100" w:afterAutospacing="1"/>
        <w:ind w:left="0"/>
        <w:rPr>
          <w:bCs/>
          <w:noProof/>
          <w:spacing w:val="-4"/>
        </w:rPr>
      </w:pPr>
      <w:r w:rsidRPr="003409C9">
        <w:rPr>
          <w:noProof/>
        </w:rPr>
        <w:t>Od 2017</w:t>
      </w:r>
      <w:r w:rsidR="003409C9" w:rsidRPr="003409C9">
        <w:rPr>
          <w:noProof/>
        </w:rPr>
        <w:t> </w:t>
      </w:r>
      <w:r w:rsidRPr="003409C9">
        <w:rPr>
          <w:noProof/>
        </w:rPr>
        <w:t>r. ustanowienie systemów gromadzenia</w:t>
      </w:r>
      <w:r w:rsidR="003409C9" w:rsidRPr="003409C9">
        <w:rPr>
          <w:noProof/>
        </w:rPr>
        <w:t xml:space="preserve"> i prz</w:t>
      </w:r>
      <w:r w:rsidRPr="003409C9">
        <w:rPr>
          <w:noProof/>
        </w:rPr>
        <w:t>ekazywania danych API jest normą międzynarodową określoną</w:t>
      </w:r>
      <w:r w:rsidR="003409C9" w:rsidRPr="003409C9">
        <w:rPr>
          <w:noProof/>
        </w:rPr>
        <w:t xml:space="preserve"> w Kon</w:t>
      </w:r>
      <w:r w:rsidRPr="003409C9">
        <w:rPr>
          <w:noProof/>
        </w:rPr>
        <w:t>wencji</w:t>
      </w:r>
      <w:r w:rsidR="003409C9" w:rsidRPr="003409C9">
        <w:rPr>
          <w:noProof/>
        </w:rPr>
        <w:t xml:space="preserve"> o mię</w:t>
      </w:r>
      <w:r w:rsidRPr="003409C9">
        <w:rPr>
          <w:noProof/>
        </w:rPr>
        <w:t>dzynarodowym lotnictwie cywilnym (konwencja chicagowska</w:t>
      </w:r>
      <w:r w:rsidRPr="003409C9">
        <w:rPr>
          <w:rStyle w:val="FootnoteReference0"/>
          <w:noProof/>
        </w:rPr>
        <w:footnoteReference w:id="5"/>
      </w:r>
      <w:r w:rsidRPr="003409C9">
        <w:rPr>
          <w:noProof/>
        </w:rPr>
        <w:t>). W UE kwestię tę uregulowano dyrektywą</w:t>
      </w:r>
      <w:r w:rsidR="003409C9" w:rsidRPr="003409C9">
        <w:rPr>
          <w:noProof/>
        </w:rPr>
        <w:t xml:space="preserve"> w spr</w:t>
      </w:r>
      <w:r w:rsidRPr="003409C9">
        <w:rPr>
          <w:noProof/>
        </w:rPr>
        <w:t>awie API</w:t>
      </w:r>
      <w:r w:rsidR="003409C9" w:rsidRPr="003409C9">
        <w:rPr>
          <w:noProof/>
        </w:rPr>
        <w:t>. W dyr</w:t>
      </w:r>
      <w:r w:rsidRPr="003409C9">
        <w:rPr>
          <w:noProof/>
        </w:rPr>
        <w:t>ektywie tej nałożono na przewoźników lotniczych obowiązek przekazywania służbom granicznym kraju docelowego, na ich wniosek, danych API przed odlotem. Nie nałożono</w:t>
      </w:r>
      <w:r w:rsidR="003409C9" w:rsidRPr="003409C9">
        <w:rPr>
          <w:noProof/>
        </w:rPr>
        <w:t xml:space="preserve"> w nie</w:t>
      </w:r>
      <w:r w:rsidRPr="003409C9">
        <w:rPr>
          <w:noProof/>
        </w:rPr>
        <w:t>j jednak na państwa członkowskie obowiązku występowania</w:t>
      </w:r>
      <w:r w:rsidR="003409C9" w:rsidRPr="003409C9">
        <w:rPr>
          <w:noProof/>
        </w:rPr>
        <w:t xml:space="preserve"> z wni</w:t>
      </w:r>
      <w:r w:rsidRPr="003409C9">
        <w:rPr>
          <w:noProof/>
        </w:rPr>
        <w:t>oskiem do przewoźników lotniczych</w:t>
      </w:r>
      <w:r w:rsidR="003409C9" w:rsidRPr="003409C9">
        <w:rPr>
          <w:noProof/>
        </w:rPr>
        <w:t xml:space="preserve"> o prz</w:t>
      </w:r>
      <w:r w:rsidRPr="003409C9">
        <w:rPr>
          <w:noProof/>
        </w:rPr>
        <w:t>ekazanie danych API, co powoduje luki</w:t>
      </w:r>
      <w:r w:rsidR="003409C9" w:rsidRPr="003409C9">
        <w:rPr>
          <w:noProof/>
        </w:rPr>
        <w:t xml:space="preserve"> i nie</w:t>
      </w:r>
      <w:r w:rsidRPr="003409C9">
        <w:rPr>
          <w:noProof/>
        </w:rPr>
        <w:t>spójności</w:t>
      </w:r>
      <w:r w:rsidR="003409C9" w:rsidRPr="003409C9">
        <w:rPr>
          <w:noProof/>
        </w:rPr>
        <w:t xml:space="preserve"> w spo</w:t>
      </w:r>
      <w:r w:rsidRPr="003409C9">
        <w:rPr>
          <w:noProof/>
        </w:rPr>
        <w:t>sobie gromadzenia</w:t>
      </w:r>
      <w:r w:rsidR="003409C9" w:rsidRPr="003409C9">
        <w:rPr>
          <w:noProof/>
        </w:rPr>
        <w:t xml:space="preserve"> i wyk</w:t>
      </w:r>
      <w:r w:rsidRPr="003409C9">
        <w:rPr>
          <w:noProof/>
        </w:rPr>
        <w:t>orzystywania danych, ponieważ niektóre państwa członkowskie systematycznie gromadzą dane API, podczas gdy inne tego nie robią</w:t>
      </w:r>
      <w:r w:rsidRPr="003409C9">
        <w:rPr>
          <w:rStyle w:val="FootnoteReference0"/>
          <w:noProof/>
        </w:rPr>
        <w:footnoteReference w:id="6"/>
      </w:r>
      <w:r w:rsidRPr="003409C9">
        <w:rPr>
          <w:noProof/>
        </w:rPr>
        <w:t>. Szacuje się, że średnio – uwzględniając wszystkie państwa członkowskie łącznie – dane API gromadzone są</w:t>
      </w:r>
      <w:r w:rsidR="003409C9" w:rsidRPr="003409C9">
        <w:rPr>
          <w:noProof/>
        </w:rPr>
        <w:t xml:space="preserve"> w prz</w:t>
      </w:r>
      <w:r w:rsidRPr="003409C9">
        <w:rPr>
          <w:noProof/>
        </w:rPr>
        <w:t>ypadku 65</w:t>
      </w:r>
      <w:r w:rsidR="003409C9" w:rsidRPr="003409C9">
        <w:rPr>
          <w:noProof/>
        </w:rPr>
        <w:t> </w:t>
      </w:r>
      <w:r w:rsidRPr="003409C9">
        <w:rPr>
          <w:noProof/>
        </w:rPr>
        <w:t>% lotów przychodzących</w:t>
      </w:r>
      <w:r w:rsidRPr="00BB07AF">
        <w:rPr>
          <w:rStyle w:val="FootnoteReference0"/>
          <w:b/>
          <w:bCs/>
          <w:noProof/>
        </w:rPr>
        <w:footnoteReference w:id="7"/>
      </w:r>
      <w:r w:rsidRPr="003409C9">
        <w:rPr>
          <w:noProof/>
        </w:rPr>
        <w:t>. Powoduje to sytuację,</w:t>
      </w:r>
      <w:r w:rsidR="003409C9" w:rsidRPr="003409C9">
        <w:rPr>
          <w:noProof/>
        </w:rPr>
        <w:t xml:space="preserve"> w któ</w:t>
      </w:r>
      <w:r w:rsidRPr="003409C9">
        <w:rPr>
          <w:noProof/>
        </w:rPr>
        <w:t>rej osobom chcącym uniknąć odprawy łatwo jest ominąć trasy, na których dane API są konsekwentnie gromadzone,</w:t>
      </w:r>
      <w:r w:rsidR="003409C9" w:rsidRPr="003409C9">
        <w:rPr>
          <w:noProof/>
        </w:rPr>
        <w:t xml:space="preserve"> i zam</w:t>
      </w:r>
      <w:r w:rsidRPr="003409C9">
        <w:rPr>
          <w:noProof/>
        </w:rPr>
        <w:t xml:space="preserve">iast tego podróżować do celu trasami, na których dane API są wykorzystywane rzadziej lub nie są wykorzystywane wcale. </w:t>
      </w:r>
    </w:p>
    <w:p w:rsidR="00832116" w:rsidRPr="00BB07AF" w:rsidRDefault="00832116" w:rsidP="00832116">
      <w:pPr>
        <w:pBdr>
          <w:top w:val="nil"/>
          <w:left w:val="nil"/>
          <w:bottom w:val="nil"/>
          <w:right w:val="nil"/>
          <w:between w:val="nil"/>
          <w:bar w:val="nil"/>
        </w:pBdr>
        <w:spacing w:before="0" w:after="240"/>
        <w:rPr>
          <w:i/>
          <w:noProof/>
        </w:rPr>
      </w:pPr>
      <w:r w:rsidRPr="003409C9">
        <w:rPr>
          <w:noProof/>
        </w:rPr>
        <w:t>Przeprowadzona niedawno ocena dyrektywy</w:t>
      </w:r>
      <w:r w:rsidR="003409C9" w:rsidRPr="003409C9">
        <w:rPr>
          <w:noProof/>
        </w:rPr>
        <w:t xml:space="preserve"> w spr</w:t>
      </w:r>
      <w:r w:rsidRPr="003409C9">
        <w:rPr>
          <w:noProof/>
        </w:rPr>
        <w:t>awie API wykazała, że nawet gdy państwa członkowskie występują</w:t>
      </w:r>
      <w:r w:rsidR="003409C9" w:rsidRPr="003409C9">
        <w:rPr>
          <w:noProof/>
        </w:rPr>
        <w:t xml:space="preserve"> z wni</w:t>
      </w:r>
      <w:r w:rsidRPr="003409C9">
        <w:rPr>
          <w:noProof/>
        </w:rPr>
        <w:t>oskiem</w:t>
      </w:r>
      <w:r w:rsidR="003409C9" w:rsidRPr="003409C9">
        <w:rPr>
          <w:noProof/>
        </w:rPr>
        <w:t xml:space="preserve"> o prz</w:t>
      </w:r>
      <w:r w:rsidRPr="003409C9">
        <w:rPr>
          <w:noProof/>
        </w:rPr>
        <w:t>ekazanie danych API, ich organy krajowe nie zawsze wykorzystują dane API</w:t>
      </w:r>
      <w:r w:rsidR="003409C9" w:rsidRPr="003409C9">
        <w:rPr>
          <w:noProof/>
        </w:rPr>
        <w:t xml:space="preserve"> w spo</w:t>
      </w:r>
      <w:r w:rsidRPr="003409C9">
        <w:rPr>
          <w:noProof/>
        </w:rPr>
        <w:t>sób spójny. Dane API umożliwiają bowiem straży granicznej przeprowadzanie wstępnej kontroli tożsamości pasażerów</w:t>
      </w:r>
      <w:r w:rsidR="003409C9" w:rsidRPr="003409C9">
        <w:rPr>
          <w:noProof/>
        </w:rPr>
        <w:t xml:space="preserve"> i waż</w:t>
      </w:r>
      <w:r w:rsidRPr="003409C9">
        <w:rPr>
          <w:noProof/>
        </w:rPr>
        <w:t>ności używanego dokumentu podróży</w:t>
      </w:r>
      <w:r w:rsidR="003409C9" w:rsidRPr="003409C9">
        <w:rPr>
          <w:noProof/>
        </w:rPr>
        <w:t xml:space="preserve"> w baz</w:t>
      </w:r>
      <w:r w:rsidRPr="003409C9">
        <w:rPr>
          <w:noProof/>
        </w:rPr>
        <w:t>ach danych przewidzianych</w:t>
      </w:r>
      <w:r w:rsidR="003409C9" w:rsidRPr="003409C9">
        <w:rPr>
          <w:noProof/>
        </w:rPr>
        <w:t xml:space="preserve"> w kod</w:t>
      </w:r>
      <w:r w:rsidRPr="003409C9">
        <w:rPr>
          <w:noProof/>
        </w:rPr>
        <w:t>eksie granicznym Schengen</w:t>
      </w:r>
      <w:r w:rsidRPr="003409C9">
        <w:rPr>
          <w:rStyle w:val="FootnoteReference0"/>
          <w:bCs/>
          <w:noProof/>
        </w:rPr>
        <w:footnoteReference w:id="8"/>
      </w:r>
      <w:r w:rsidRPr="003409C9">
        <w:rPr>
          <w:noProof/>
        </w:rPr>
        <w:t>. Mimo to nie wszystkie państwa członkowskie wykorzystują dane API do przeprowadzania wstępnej kontroli</w:t>
      </w:r>
      <w:r w:rsidR="003409C9" w:rsidRPr="003409C9">
        <w:rPr>
          <w:noProof/>
        </w:rPr>
        <w:t xml:space="preserve"> w baz</w:t>
      </w:r>
      <w:r w:rsidRPr="003409C9">
        <w:rPr>
          <w:noProof/>
        </w:rPr>
        <w:t>ach danych określonych</w:t>
      </w:r>
      <w:r w:rsidR="003409C9" w:rsidRPr="003409C9">
        <w:rPr>
          <w:noProof/>
        </w:rPr>
        <w:t xml:space="preserve"> w kod</w:t>
      </w:r>
      <w:r w:rsidRPr="003409C9">
        <w:rPr>
          <w:noProof/>
        </w:rPr>
        <w:t>eksie granicznym Schengen</w:t>
      </w:r>
      <w:r w:rsidRPr="003409C9">
        <w:rPr>
          <w:rStyle w:val="FootnoteReference0"/>
          <w:noProof/>
        </w:rPr>
        <w:footnoteReference w:id="9"/>
      </w:r>
      <w:r w:rsidRPr="003409C9">
        <w:rPr>
          <w:noProof/>
        </w:rPr>
        <w:t>. Irlandia, która nie uczestniczy</w:t>
      </w:r>
      <w:r w:rsidR="003409C9" w:rsidRPr="003409C9">
        <w:rPr>
          <w:noProof/>
        </w:rPr>
        <w:t xml:space="preserve"> w kod</w:t>
      </w:r>
      <w:r w:rsidRPr="003409C9">
        <w:rPr>
          <w:noProof/>
        </w:rPr>
        <w:t>eksie granicznym Schengen, stosuje podobne przepisy krajowe. Nie zmieni się to</w:t>
      </w:r>
      <w:r w:rsidR="003409C9" w:rsidRPr="003409C9">
        <w:rPr>
          <w:noProof/>
        </w:rPr>
        <w:t xml:space="preserve"> w wyn</w:t>
      </w:r>
      <w:r w:rsidRPr="003409C9">
        <w:rPr>
          <w:noProof/>
        </w:rPr>
        <w:t>iku przyjęcia proponowanego rozporządzenia.</w:t>
      </w:r>
    </w:p>
    <w:bookmarkEnd w:id="1"/>
    <w:p w:rsidR="00832116" w:rsidRPr="003409C9" w:rsidRDefault="0099564D" w:rsidP="00832116">
      <w:pPr>
        <w:pBdr>
          <w:top w:val="nil"/>
          <w:left w:val="nil"/>
          <w:bottom w:val="nil"/>
          <w:right w:val="nil"/>
          <w:between w:val="nil"/>
          <w:bar w:val="nil"/>
        </w:pBdr>
        <w:spacing w:before="0" w:after="240"/>
        <w:rPr>
          <w:noProof/>
        </w:rPr>
      </w:pPr>
      <w:r w:rsidRPr="003409C9">
        <w:rPr>
          <w:noProof/>
        </w:rPr>
        <w:t>W dyrektywie</w:t>
      </w:r>
      <w:r w:rsidR="003409C9" w:rsidRPr="003409C9">
        <w:rPr>
          <w:noProof/>
        </w:rPr>
        <w:t xml:space="preserve"> w spr</w:t>
      </w:r>
      <w:r w:rsidRPr="003409C9">
        <w:rPr>
          <w:noProof/>
        </w:rPr>
        <w:t>awie API ustanowiono jedynie ograniczone kryteria gromadzenia, przekazywania</w:t>
      </w:r>
      <w:r w:rsidR="003409C9" w:rsidRPr="003409C9">
        <w:rPr>
          <w:noProof/>
        </w:rPr>
        <w:t xml:space="preserve"> i prz</w:t>
      </w:r>
      <w:r w:rsidRPr="003409C9">
        <w:rPr>
          <w:noProof/>
        </w:rPr>
        <w:t>etwarzania danych API</w:t>
      </w:r>
      <w:r w:rsidR="003409C9" w:rsidRPr="003409C9">
        <w:rPr>
          <w:noProof/>
        </w:rPr>
        <w:t xml:space="preserve"> w odn</w:t>
      </w:r>
      <w:r w:rsidRPr="003409C9">
        <w:rPr>
          <w:noProof/>
        </w:rPr>
        <w:t>iesieniu do zakresu lotów,</w:t>
      </w:r>
      <w:r w:rsidR="003409C9" w:rsidRPr="003409C9">
        <w:rPr>
          <w:noProof/>
        </w:rPr>
        <w:t xml:space="preserve"> w prz</w:t>
      </w:r>
      <w:r w:rsidRPr="003409C9">
        <w:rPr>
          <w:noProof/>
        </w:rPr>
        <w:t>ypadku których gromadzone są dane, elementów danych, które mają być zebrane, lub środków pozyskiwania danych – kryteria te nie uwzględniają zmian</w:t>
      </w:r>
      <w:r w:rsidR="003409C9" w:rsidRPr="003409C9">
        <w:rPr>
          <w:noProof/>
        </w:rPr>
        <w:t xml:space="preserve"> w mię</w:t>
      </w:r>
      <w:r w:rsidRPr="003409C9">
        <w:rPr>
          <w:noProof/>
        </w:rPr>
        <w:t>dzynarodowych normach</w:t>
      </w:r>
      <w:r w:rsidR="003409C9" w:rsidRPr="003409C9">
        <w:rPr>
          <w:noProof/>
        </w:rPr>
        <w:t xml:space="preserve"> i wyt</w:t>
      </w:r>
      <w:r w:rsidRPr="003409C9">
        <w:rPr>
          <w:noProof/>
        </w:rPr>
        <w:t>ycznych dotyczących gromadzenia danych API</w:t>
      </w:r>
      <w:r w:rsidRPr="003409C9">
        <w:rPr>
          <w:rStyle w:val="FootnoteReference0"/>
          <w:noProof/>
        </w:rPr>
        <w:footnoteReference w:id="10"/>
      </w:r>
      <w:r w:rsidRPr="003409C9">
        <w:rPr>
          <w:noProof/>
        </w:rPr>
        <w:t>. Prowadzi to do bardzo rozbieżnych praktyk, co nie tylko zmniejsza skuteczność</w:t>
      </w:r>
      <w:r w:rsidR="003409C9" w:rsidRPr="003409C9">
        <w:rPr>
          <w:noProof/>
        </w:rPr>
        <w:t xml:space="preserve"> i wyd</w:t>
      </w:r>
      <w:r w:rsidRPr="003409C9">
        <w:rPr>
          <w:noProof/>
        </w:rPr>
        <w:t>ajność odprawy granicznej, ale także stanowi dodatkowe obciążenie dla przewoźników lotniczych, którzy muszą przestrzegać różnych zbiorów wymogów</w:t>
      </w:r>
      <w:r w:rsidR="003409C9" w:rsidRPr="003409C9">
        <w:rPr>
          <w:noProof/>
        </w:rPr>
        <w:t xml:space="preserve"> w zal</w:t>
      </w:r>
      <w:r w:rsidRPr="003409C9">
        <w:rPr>
          <w:noProof/>
        </w:rPr>
        <w:t>eżności od tras, na których przewożą pasażerów, oraz od państwa członkowskiego zwracającego się</w:t>
      </w:r>
      <w:r w:rsidR="003409C9" w:rsidRPr="003409C9">
        <w:rPr>
          <w:noProof/>
        </w:rPr>
        <w:t xml:space="preserve"> z wni</w:t>
      </w:r>
      <w:r w:rsidRPr="003409C9">
        <w:rPr>
          <w:noProof/>
        </w:rPr>
        <w:t>oskiem</w:t>
      </w:r>
      <w:r w:rsidR="003409C9" w:rsidRPr="003409C9">
        <w:rPr>
          <w:noProof/>
        </w:rPr>
        <w:t xml:space="preserve"> o prz</w:t>
      </w:r>
      <w:r w:rsidRPr="003409C9">
        <w:rPr>
          <w:noProof/>
        </w:rPr>
        <w:t>ekazanie danych API.</w:t>
      </w:r>
      <w:r w:rsidRPr="003409C9">
        <w:rPr>
          <w:rStyle w:val="FootnoteReference0"/>
          <w:noProof/>
        </w:rPr>
        <w:t xml:space="preserve"> </w:t>
      </w:r>
      <w:r w:rsidRPr="003409C9">
        <w:rPr>
          <w:noProof/>
        </w:rPr>
        <w:t>Dostosowanie procedur gromadzenia</w:t>
      </w:r>
      <w:r w:rsidR="003409C9" w:rsidRPr="003409C9">
        <w:rPr>
          <w:noProof/>
        </w:rPr>
        <w:t xml:space="preserve"> i prz</w:t>
      </w:r>
      <w:r w:rsidRPr="003409C9">
        <w:rPr>
          <w:noProof/>
        </w:rPr>
        <w:t>ekazywania danych API do tych międzynarodowych norm dotyczących danych API zapewniłoby przestrzeganie wymogów</w:t>
      </w:r>
      <w:r w:rsidR="003409C9" w:rsidRPr="003409C9">
        <w:rPr>
          <w:noProof/>
        </w:rPr>
        <w:t xml:space="preserve"> w zak</w:t>
      </w:r>
      <w:r w:rsidRPr="003409C9">
        <w:rPr>
          <w:noProof/>
        </w:rPr>
        <w:t>resie API przez branżę lotniczą</w:t>
      </w:r>
      <w:r w:rsidR="003409C9" w:rsidRPr="003409C9">
        <w:rPr>
          <w:noProof/>
        </w:rPr>
        <w:t>. W cel</w:t>
      </w:r>
      <w:r w:rsidRPr="003409C9">
        <w:rPr>
          <w:noProof/>
        </w:rPr>
        <w:t>u zapewnienia skutecznego korzystania</w:t>
      </w:r>
      <w:r w:rsidR="003409C9" w:rsidRPr="003409C9">
        <w:rPr>
          <w:noProof/>
        </w:rPr>
        <w:t xml:space="preserve"> z dan</w:t>
      </w:r>
      <w:r w:rsidRPr="003409C9">
        <w:rPr>
          <w:noProof/>
        </w:rPr>
        <w:t>ych API muszą one być dokładne, kompletne</w:t>
      </w:r>
      <w:r w:rsidR="003409C9" w:rsidRPr="003409C9">
        <w:rPr>
          <w:noProof/>
        </w:rPr>
        <w:t xml:space="preserve"> i akt</w:t>
      </w:r>
      <w:r w:rsidRPr="003409C9">
        <w:rPr>
          <w:noProof/>
        </w:rPr>
        <w:t>ualne. Jeżeli dane dotyczące tożsamości nie są wiarygodne</w:t>
      </w:r>
      <w:r w:rsidR="003409C9" w:rsidRPr="003409C9">
        <w:rPr>
          <w:noProof/>
        </w:rPr>
        <w:t xml:space="preserve"> i nie</w:t>
      </w:r>
      <w:r w:rsidRPr="003409C9">
        <w:rPr>
          <w:noProof/>
        </w:rPr>
        <w:t xml:space="preserve"> zostały zweryfikowane – co obecnie niekiedy się zdarza – kontrole krzyżowe</w:t>
      </w:r>
      <w:r w:rsidR="003409C9" w:rsidRPr="003409C9">
        <w:rPr>
          <w:noProof/>
        </w:rPr>
        <w:t xml:space="preserve"> w baz</w:t>
      </w:r>
      <w:r w:rsidRPr="003409C9">
        <w:rPr>
          <w:noProof/>
        </w:rPr>
        <w:t>ach danych nie przyniosą wiarygodnych wyników operacyjnych</w:t>
      </w:r>
      <w:r w:rsidR="003409C9" w:rsidRPr="003409C9">
        <w:rPr>
          <w:noProof/>
        </w:rPr>
        <w:t>. Z uwa</w:t>
      </w:r>
      <w:r w:rsidRPr="003409C9">
        <w:rPr>
          <w:noProof/>
        </w:rPr>
        <w:t>gi na fakt, że</w:t>
      </w:r>
      <w:r w:rsidR="003409C9" w:rsidRPr="003409C9">
        <w:rPr>
          <w:noProof/>
        </w:rPr>
        <w:t xml:space="preserve"> w cią</w:t>
      </w:r>
      <w:r w:rsidRPr="003409C9">
        <w:rPr>
          <w:noProof/>
        </w:rPr>
        <w:t>gu ostatnich 20 lat odprawa przez internet stała się powszechną praktyką, pasażerowie coraz częściej ręcznie przepisują dane API</w:t>
      </w:r>
      <w:r w:rsidR="003409C9" w:rsidRPr="003409C9">
        <w:rPr>
          <w:noProof/>
        </w:rPr>
        <w:t xml:space="preserve"> z dok</w:t>
      </w:r>
      <w:r w:rsidRPr="003409C9">
        <w:rPr>
          <w:noProof/>
        </w:rPr>
        <w:t>umentu podróży lub przekazują je</w:t>
      </w:r>
      <w:r w:rsidR="003409C9" w:rsidRPr="003409C9">
        <w:rPr>
          <w:noProof/>
        </w:rPr>
        <w:t xml:space="preserve"> w ram</w:t>
      </w:r>
      <w:r w:rsidRPr="003409C9">
        <w:rPr>
          <w:noProof/>
        </w:rPr>
        <w:t>ach oświadczenia własnego. Przekazywanie organom krajowym niepełnych, nieprawidłowych lub nieaktualnych danych API może prowadzić do powstania luk</w:t>
      </w:r>
      <w:r w:rsidR="003409C9" w:rsidRPr="003409C9">
        <w:rPr>
          <w:noProof/>
        </w:rPr>
        <w:t xml:space="preserve"> w rod</w:t>
      </w:r>
      <w:r w:rsidRPr="003409C9">
        <w:rPr>
          <w:noProof/>
        </w:rPr>
        <w:t>zajach kontroli, jakie mogą przeprowadzać służby graniczne, co ostatecznie ma wpływ na podróżnych, którzy mogą być poddawani nieprawidłowym</w:t>
      </w:r>
      <w:r w:rsidR="003409C9" w:rsidRPr="003409C9">
        <w:rPr>
          <w:noProof/>
        </w:rPr>
        <w:t xml:space="preserve"> i nie</w:t>
      </w:r>
      <w:r w:rsidRPr="003409C9">
        <w:rPr>
          <w:noProof/>
        </w:rPr>
        <w:t>potrzebnym kontrolom. Konieczność zagwarantowania odpowiedniej jakości gromadzonych danych API jest ściśle związana ze środkami stosowanymi przez linie lotnicze</w:t>
      </w:r>
      <w:r w:rsidR="003409C9" w:rsidRPr="003409C9">
        <w:rPr>
          <w:noProof/>
        </w:rPr>
        <w:t xml:space="preserve"> w cel</w:t>
      </w:r>
      <w:r w:rsidRPr="003409C9">
        <w:rPr>
          <w:noProof/>
        </w:rPr>
        <w:t>u zapewnienia, aby odpowiednie gromadzone dane API odpowiadały informacjom zawartym</w:t>
      </w:r>
      <w:r w:rsidR="003409C9" w:rsidRPr="003409C9">
        <w:rPr>
          <w:noProof/>
        </w:rPr>
        <w:t xml:space="preserve"> w dok</w:t>
      </w:r>
      <w:r w:rsidRPr="003409C9">
        <w:rPr>
          <w:noProof/>
        </w:rPr>
        <w:t>umentach podróży. Obowiązujące ramy dotyczące API nie przewidują sposobów gromadzenia danych API od podróżnych. Zautomatyzowane gromadzenie danych –</w:t>
      </w:r>
      <w:r w:rsidR="003409C9" w:rsidRPr="003409C9">
        <w:rPr>
          <w:noProof/>
        </w:rPr>
        <w:t xml:space="preserve"> w prz</w:t>
      </w:r>
      <w:r w:rsidRPr="003409C9">
        <w:rPr>
          <w:noProof/>
        </w:rPr>
        <w:t>eciwieństwie do ręcznego przepisywania informacji – pozwoliłoby zmniejszyć liczbę problemów</w:t>
      </w:r>
      <w:r w:rsidR="003409C9" w:rsidRPr="003409C9">
        <w:rPr>
          <w:noProof/>
        </w:rPr>
        <w:t xml:space="preserve"> z jak</w:t>
      </w:r>
      <w:r w:rsidRPr="003409C9">
        <w:rPr>
          <w:noProof/>
        </w:rPr>
        <w:t>ością oraz zapewnić bardziej skuteczne</w:t>
      </w:r>
      <w:r w:rsidR="003409C9" w:rsidRPr="003409C9">
        <w:rPr>
          <w:noProof/>
        </w:rPr>
        <w:t xml:space="preserve"> i wyd</w:t>
      </w:r>
      <w:r w:rsidRPr="003409C9">
        <w:rPr>
          <w:noProof/>
        </w:rPr>
        <w:t>ajne wykorzystanie danych API, co</w:t>
      </w:r>
      <w:r w:rsidR="003409C9" w:rsidRPr="003409C9">
        <w:rPr>
          <w:noProof/>
        </w:rPr>
        <w:t xml:space="preserve"> z kol</w:t>
      </w:r>
      <w:r w:rsidRPr="003409C9">
        <w:rPr>
          <w:noProof/>
        </w:rPr>
        <w:t>ei przyczyniłoby się do skrócenia czasu, który właściwe służby graniczne poświęcają na kontakty</w:t>
      </w:r>
      <w:r w:rsidR="003409C9" w:rsidRPr="003409C9">
        <w:rPr>
          <w:noProof/>
        </w:rPr>
        <w:t xml:space="preserve"> z prz</w:t>
      </w:r>
      <w:r w:rsidRPr="003409C9">
        <w:rPr>
          <w:noProof/>
        </w:rPr>
        <w:t>ewoźnikami.</w:t>
      </w:r>
    </w:p>
    <w:p w:rsidR="00832116" w:rsidRPr="003409C9" w:rsidRDefault="00832116" w:rsidP="00832116">
      <w:pPr>
        <w:pBdr>
          <w:top w:val="nil"/>
          <w:left w:val="nil"/>
          <w:bottom w:val="nil"/>
          <w:right w:val="nil"/>
          <w:between w:val="nil"/>
          <w:bar w:val="nil"/>
        </w:pBdr>
        <w:spacing w:before="0" w:after="240"/>
        <w:rPr>
          <w:noProof/>
        </w:rPr>
      </w:pPr>
      <w:r w:rsidRPr="003409C9">
        <w:rPr>
          <w:noProof/>
        </w:rPr>
        <w:t>Dlatego też zmiana obowiązujących ram prawnych dotyczących gromadzenia</w:t>
      </w:r>
      <w:r w:rsidR="003409C9" w:rsidRPr="003409C9">
        <w:rPr>
          <w:noProof/>
        </w:rPr>
        <w:t xml:space="preserve"> i prz</w:t>
      </w:r>
      <w:r w:rsidRPr="003409C9">
        <w:rPr>
          <w:noProof/>
        </w:rPr>
        <w:t>ekazywania danych API daje możliwość poprawy</w:t>
      </w:r>
      <w:r w:rsidR="003409C9" w:rsidRPr="003409C9">
        <w:rPr>
          <w:noProof/>
        </w:rPr>
        <w:t xml:space="preserve"> w zak</w:t>
      </w:r>
      <w:r w:rsidRPr="003409C9">
        <w:rPr>
          <w:noProof/>
        </w:rPr>
        <w:t>resie zarządzania granicami zewnętrznymi</w:t>
      </w:r>
      <w:r w:rsidR="003409C9" w:rsidRPr="003409C9">
        <w:rPr>
          <w:noProof/>
        </w:rPr>
        <w:t xml:space="preserve"> i zwa</w:t>
      </w:r>
      <w:r w:rsidRPr="003409C9">
        <w:rPr>
          <w:noProof/>
        </w:rPr>
        <w:t>lczania nielegalnej imigracji</w:t>
      </w:r>
      <w:r w:rsidR="003409C9" w:rsidRPr="003409C9">
        <w:rPr>
          <w:noProof/>
        </w:rPr>
        <w:t>. W tym</w:t>
      </w:r>
      <w:r w:rsidRPr="003409C9">
        <w:rPr>
          <w:noProof/>
        </w:rPr>
        <w:t xml:space="preserve"> celu pomaga zapewnić, aby każda osoba podróżująca drogą powietrzną</w:t>
      </w:r>
      <w:r w:rsidR="003409C9" w:rsidRPr="003409C9">
        <w:rPr>
          <w:noProof/>
        </w:rPr>
        <w:t xml:space="preserve"> z pań</w:t>
      </w:r>
      <w:r w:rsidRPr="003409C9">
        <w:rPr>
          <w:noProof/>
        </w:rPr>
        <w:t>stwa trzeciego lub państwa członkowskiego nieuczestniczącego</w:t>
      </w:r>
      <w:r w:rsidR="003409C9" w:rsidRPr="003409C9">
        <w:rPr>
          <w:noProof/>
        </w:rPr>
        <w:t xml:space="preserve"> w pro</w:t>
      </w:r>
      <w:r w:rsidRPr="003409C9">
        <w:rPr>
          <w:noProof/>
        </w:rPr>
        <w:t>ponowanym rozporządzeniu do Unii (a dokładniej do państw należących do strefy Schengen nieprzeprowadzających kontroli na granicach wewnętrznych („strefa Schengen”), jak również do Irlandii) – tj. obywatele państw trzecich, bezpaństwowcy</w:t>
      </w:r>
      <w:r w:rsidR="003409C9" w:rsidRPr="003409C9">
        <w:rPr>
          <w:noProof/>
        </w:rPr>
        <w:t xml:space="preserve"> i oby</w:t>
      </w:r>
      <w:r w:rsidRPr="003409C9">
        <w:rPr>
          <w:noProof/>
        </w:rPr>
        <w:t>watele UE – mogła zostać poddana wstępnej kontroli</w:t>
      </w:r>
      <w:r w:rsidR="003409C9" w:rsidRPr="003409C9">
        <w:rPr>
          <w:noProof/>
        </w:rPr>
        <w:t xml:space="preserve"> z wyk</w:t>
      </w:r>
      <w:r w:rsidRPr="003409C9">
        <w:rPr>
          <w:noProof/>
        </w:rPr>
        <w:t>orzystaniem danych API przed przybyciem oraz aby państwa członkowskie stosowały jednolite kryteria</w:t>
      </w:r>
      <w:r w:rsidR="003409C9" w:rsidRPr="003409C9">
        <w:rPr>
          <w:noProof/>
        </w:rPr>
        <w:t xml:space="preserve"> w odn</w:t>
      </w:r>
      <w:r w:rsidRPr="003409C9">
        <w:rPr>
          <w:noProof/>
        </w:rPr>
        <w:t>iesieniu do takiego gromadzenia</w:t>
      </w:r>
      <w:r w:rsidR="003409C9" w:rsidRPr="003409C9">
        <w:rPr>
          <w:noProof/>
        </w:rPr>
        <w:t xml:space="preserve"> i prz</w:t>
      </w:r>
      <w:r w:rsidRPr="003409C9">
        <w:rPr>
          <w:noProof/>
        </w:rPr>
        <w:t>ekazywania danych do celów kontroli na granicach zewnętrznych</w:t>
      </w:r>
      <w:r w:rsidR="003409C9" w:rsidRPr="003409C9">
        <w:rPr>
          <w:noProof/>
        </w:rPr>
        <w:t xml:space="preserve"> i zwa</w:t>
      </w:r>
      <w:r w:rsidRPr="003409C9">
        <w:rPr>
          <w:noProof/>
        </w:rPr>
        <w:t>lczania nielegalnej imigracji. Dzięki ułatwieniu przepływów pasażerów</w:t>
      </w:r>
      <w:r w:rsidR="003409C9" w:rsidRPr="003409C9">
        <w:rPr>
          <w:noProof/>
        </w:rPr>
        <w:t xml:space="preserve"> w por</w:t>
      </w:r>
      <w:r w:rsidRPr="003409C9">
        <w:rPr>
          <w:noProof/>
        </w:rPr>
        <w:t>tach lotniczych</w:t>
      </w:r>
      <w:r w:rsidR="003409C9" w:rsidRPr="003409C9">
        <w:rPr>
          <w:noProof/>
        </w:rPr>
        <w:t xml:space="preserve"> i prz</w:t>
      </w:r>
      <w:r w:rsidRPr="003409C9">
        <w:rPr>
          <w:noProof/>
        </w:rPr>
        <w:t>yspieszeniu odprawy granicznej niniejszy wniosek przyczyni się do zapewnienia wydajnego przeprowadzania systematycznej odprawy wszystkich pasażerów podróżujących drogą powietrzną zgodnie</w:t>
      </w:r>
      <w:r w:rsidR="003409C9" w:rsidRPr="003409C9">
        <w:rPr>
          <w:noProof/>
        </w:rPr>
        <w:t xml:space="preserve"> z obo</w:t>
      </w:r>
      <w:r w:rsidRPr="003409C9">
        <w:rPr>
          <w:noProof/>
        </w:rPr>
        <w:t>wiązującymi przepisami</w:t>
      </w:r>
      <w:r w:rsidRPr="003409C9">
        <w:rPr>
          <w:rStyle w:val="FootnoteReference0"/>
          <w:noProof/>
        </w:rPr>
        <w:footnoteReference w:id="11"/>
      </w:r>
      <w:r w:rsidRPr="003409C9">
        <w:rPr>
          <w:noProof/>
        </w:rPr>
        <w:t>.</w:t>
      </w:r>
    </w:p>
    <w:bookmarkEnd w:id="2"/>
    <w:p w:rsidR="00832116" w:rsidRPr="00BB07AF" w:rsidRDefault="00832116" w:rsidP="00832116">
      <w:pPr>
        <w:pStyle w:val="ManualHeading2"/>
        <w:rPr>
          <w:rFonts w:eastAsia="Arial Unicode MS"/>
          <w:noProof/>
          <w:color w:val="000000"/>
          <w:u w:color="000000"/>
          <w:bdr w:val="nil"/>
        </w:rPr>
      </w:pPr>
      <w:r w:rsidRPr="00BB07AF">
        <w:rPr>
          <w:noProof/>
          <w:color w:val="000000"/>
          <w:u w:color="000000"/>
          <w:bdr w:val="nil"/>
        </w:rPr>
        <w:t>•</w:t>
      </w:r>
      <w:r w:rsidRPr="00BB07AF">
        <w:rPr>
          <w:noProof/>
        </w:rPr>
        <w:tab/>
        <w:t>Spójność</w:t>
      </w:r>
      <w:r w:rsidR="003409C9" w:rsidRPr="00BB07AF">
        <w:rPr>
          <w:noProof/>
        </w:rPr>
        <w:t xml:space="preserve"> z prz</w:t>
      </w:r>
      <w:r w:rsidRPr="00BB07AF">
        <w:rPr>
          <w:noProof/>
        </w:rPr>
        <w:t>episami obowiązującymi</w:t>
      </w:r>
      <w:r w:rsidR="003409C9" w:rsidRPr="00BB07AF">
        <w:rPr>
          <w:noProof/>
        </w:rPr>
        <w:t xml:space="preserve"> w tej</w:t>
      </w:r>
      <w:r w:rsidRPr="00BB07AF">
        <w:rPr>
          <w:noProof/>
        </w:rPr>
        <w:t xml:space="preserve"> dziedzinie polityki</w:t>
      </w:r>
    </w:p>
    <w:p w:rsidR="00240090" w:rsidRPr="003409C9" w:rsidRDefault="00832116" w:rsidP="00832116">
      <w:pPr>
        <w:pBdr>
          <w:top w:val="nil"/>
          <w:left w:val="nil"/>
          <w:bottom w:val="nil"/>
          <w:right w:val="nil"/>
          <w:between w:val="nil"/>
          <w:bar w:val="nil"/>
        </w:pBdr>
        <w:spacing w:before="0" w:after="240"/>
        <w:rPr>
          <w:rFonts w:eastAsia="Arial Unicode MS"/>
          <w:noProof/>
        </w:rPr>
      </w:pPr>
      <w:r w:rsidRPr="003409C9">
        <w:rPr>
          <w:noProof/>
        </w:rPr>
        <w:t>W niniejszym wniosku zareagowano na potrzebę ustanowienia wspólnych przepisów dotyczących gromadzenia</w:t>
      </w:r>
      <w:r w:rsidR="003409C9" w:rsidRPr="003409C9">
        <w:rPr>
          <w:noProof/>
        </w:rPr>
        <w:t xml:space="preserve"> i prz</w:t>
      </w:r>
      <w:r w:rsidRPr="003409C9">
        <w:rPr>
          <w:noProof/>
        </w:rPr>
        <w:t>ekazywania danych API do celów zarządzania granicami</w:t>
      </w:r>
      <w:r w:rsidR="003409C9" w:rsidRPr="003409C9">
        <w:rPr>
          <w:noProof/>
        </w:rPr>
        <w:t xml:space="preserve"> i zwa</w:t>
      </w:r>
      <w:r w:rsidRPr="003409C9">
        <w:rPr>
          <w:noProof/>
        </w:rPr>
        <w:t>lczania nielegalnej imigracji, co jest związane</w:t>
      </w:r>
      <w:r w:rsidR="003409C9" w:rsidRPr="003409C9">
        <w:rPr>
          <w:noProof/>
        </w:rPr>
        <w:t xml:space="preserve"> z ist</w:t>
      </w:r>
      <w:r w:rsidRPr="003409C9">
        <w:rPr>
          <w:noProof/>
        </w:rPr>
        <w:t>nieniem strefy Schengen</w:t>
      </w:r>
      <w:r w:rsidR="003409C9" w:rsidRPr="003409C9">
        <w:rPr>
          <w:noProof/>
        </w:rPr>
        <w:t xml:space="preserve"> i ust</w:t>
      </w:r>
      <w:r w:rsidRPr="003409C9">
        <w:rPr>
          <w:noProof/>
        </w:rPr>
        <w:t>anowieniem wspólnych przepisów regulujących przepływ osób przez granice zewnętrzne. Niniejszy wniosek jest zgodny</w:t>
      </w:r>
      <w:r w:rsidR="003409C9" w:rsidRPr="003409C9">
        <w:rPr>
          <w:noProof/>
        </w:rPr>
        <w:t xml:space="preserve"> z obo</w:t>
      </w:r>
      <w:r w:rsidRPr="003409C9">
        <w:rPr>
          <w:noProof/>
        </w:rPr>
        <w:t>wiązkami określonymi</w:t>
      </w:r>
      <w:r w:rsidR="003409C9" w:rsidRPr="003409C9">
        <w:rPr>
          <w:noProof/>
        </w:rPr>
        <w:t xml:space="preserve"> w kod</w:t>
      </w:r>
      <w:r w:rsidRPr="003409C9">
        <w:rPr>
          <w:noProof/>
        </w:rPr>
        <w:t>eksie granicznym Schengen</w:t>
      </w:r>
      <w:r w:rsidR="003409C9" w:rsidRPr="003409C9">
        <w:rPr>
          <w:noProof/>
        </w:rPr>
        <w:t xml:space="preserve"> w zak</w:t>
      </w:r>
      <w:r w:rsidRPr="003409C9">
        <w:rPr>
          <w:noProof/>
        </w:rPr>
        <w:t>resie odpraw osób na granicach zewnętrznych. Proponowane rozporządzenie wpisuje się</w:t>
      </w:r>
      <w:r w:rsidR="003409C9" w:rsidRPr="003409C9">
        <w:rPr>
          <w:noProof/>
        </w:rPr>
        <w:t xml:space="preserve"> w sze</w:t>
      </w:r>
      <w:r w:rsidRPr="003409C9">
        <w:rPr>
          <w:noProof/>
        </w:rPr>
        <w:t>rszy krajobraz wielkoskalowych systemów informacyjnych UE, który znacznie rozwinął się od czasu przyjęcia dyrektywy</w:t>
      </w:r>
      <w:r w:rsidR="003409C9" w:rsidRPr="003409C9">
        <w:rPr>
          <w:noProof/>
        </w:rPr>
        <w:t xml:space="preserve"> w spr</w:t>
      </w:r>
      <w:r w:rsidRPr="003409C9">
        <w:rPr>
          <w:noProof/>
        </w:rPr>
        <w:t>awie API</w:t>
      </w:r>
      <w:r w:rsidR="003409C9" w:rsidRPr="003409C9">
        <w:rPr>
          <w:noProof/>
        </w:rPr>
        <w:t xml:space="preserve"> w 2</w:t>
      </w:r>
      <w:r w:rsidRPr="003409C9">
        <w:rPr>
          <w:noProof/>
        </w:rPr>
        <w:t>004</w:t>
      </w:r>
      <w:r w:rsidR="003409C9" w:rsidRPr="003409C9">
        <w:rPr>
          <w:noProof/>
        </w:rPr>
        <w:t> </w:t>
      </w:r>
      <w:r w:rsidRPr="003409C9">
        <w:rPr>
          <w:noProof/>
        </w:rPr>
        <w:t>r. Dodatkowo</w:t>
      </w:r>
      <w:r w:rsidR="003409C9" w:rsidRPr="003409C9">
        <w:rPr>
          <w:noProof/>
        </w:rPr>
        <w:t xml:space="preserve"> w wyt</w:t>
      </w:r>
      <w:r w:rsidRPr="003409C9">
        <w:rPr>
          <w:noProof/>
        </w:rPr>
        <w:t>ycznych strategicznych przyjętych przez Radę Europejską</w:t>
      </w:r>
      <w:r w:rsidR="003409C9" w:rsidRPr="003409C9">
        <w:rPr>
          <w:noProof/>
        </w:rPr>
        <w:t xml:space="preserve"> w cze</w:t>
      </w:r>
      <w:r w:rsidRPr="003409C9">
        <w:rPr>
          <w:noProof/>
        </w:rPr>
        <w:t>rwcu 2014</w:t>
      </w:r>
      <w:r w:rsidR="003409C9" w:rsidRPr="003409C9">
        <w:rPr>
          <w:noProof/>
        </w:rPr>
        <w:t> </w:t>
      </w:r>
      <w:r w:rsidRPr="003409C9">
        <w:rPr>
          <w:noProof/>
        </w:rPr>
        <w:t>r. przewidziano rozszerzenie procedur podejmowanych przez straż graniczną na granicach zewnętrznych</w:t>
      </w:r>
      <w:r w:rsidR="003409C9" w:rsidRPr="003409C9">
        <w:rPr>
          <w:noProof/>
        </w:rPr>
        <w:t xml:space="preserve"> w cel</w:t>
      </w:r>
      <w:r w:rsidRPr="003409C9">
        <w:rPr>
          <w:noProof/>
        </w:rPr>
        <w:t>u zwiększenia skuteczności odpraw prowadzonych przed punktem kontroli granicznej oraz ograniczenia negatywnych skutków na granicach. Należą do nich: System Informacyjny Schengen (SIS), wizowy system informacyjny (VIS)</w:t>
      </w:r>
      <w:r w:rsidR="003409C9" w:rsidRPr="003409C9">
        <w:rPr>
          <w:noProof/>
        </w:rPr>
        <w:t xml:space="preserve"> i sys</w:t>
      </w:r>
      <w:r w:rsidRPr="003409C9">
        <w:rPr>
          <w:noProof/>
        </w:rPr>
        <w:t>tem Eurodac</w:t>
      </w:r>
      <w:r w:rsidRPr="003409C9">
        <w:rPr>
          <w:rStyle w:val="FootnoteReference0"/>
          <w:noProof/>
        </w:rPr>
        <w:footnoteReference w:id="12"/>
      </w:r>
      <w:r w:rsidRPr="003409C9">
        <w:rPr>
          <w:noProof/>
        </w:rPr>
        <w:t>. Oprócz powyższych,</w:t>
      </w:r>
      <w:r w:rsidR="003409C9" w:rsidRPr="003409C9">
        <w:rPr>
          <w:noProof/>
        </w:rPr>
        <w:t xml:space="preserve"> w faz</w:t>
      </w:r>
      <w:r w:rsidRPr="003409C9">
        <w:rPr>
          <w:noProof/>
        </w:rPr>
        <w:t>ie opracowania są obecnie trzy nowe systemy: system wjazdu/wyjazdu (EES), europejski system informacji</w:t>
      </w:r>
      <w:r w:rsidR="003409C9" w:rsidRPr="003409C9">
        <w:rPr>
          <w:noProof/>
        </w:rPr>
        <w:t xml:space="preserve"> o pod</w:t>
      </w:r>
      <w:r w:rsidRPr="003409C9">
        <w:rPr>
          <w:noProof/>
        </w:rPr>
        <w:t>róży oraz zezwoleń na podróż (ETIAS) oraz scentralizowany system identyfikacji państw członkowskich posiadających informacje</w:t>
      </w:r>
      <w:r w:rsidR="003409C9" w:rsidRPr="003409C9">
        <w:rPr>
          <w:noProof/>
        </w:rPr>
        <w:t xml:space="preserve"> o wyr</w:t>
      </w:r>
      <w:r w:rsidRPr="003409C9">
        <w:rPr>
          <w:noProof/>
        </w:rPr>
        <w:t>okach skazujących wydanych wobec obywateli państw trzecich</w:t>
      </w:r>
      <w:r w:rsidR="003409C9" w:rsidRPr="003409C9">
        <w:rPr>
          <w:noProof/>
        </w:rPr>
        <w:t xml:space="preserve"> i bez</w:t>
      </w:r>
      <w:r w:rsidRPr="003409C9">
        <w:rPr>
          <w:noProof/>
        </w:rPr>
        <w:t>państwowców (system ECRIS-TCN)</w:t>
      </w:r>
      <w:r w:rsidRPr="003409C9">
        <w:rPr>
          <w:rStyle w:val="FootnoteReference0"/>
          <w:noProof/>
        </w:rPr>
        <w:footnoteReference w:id="13"/>
      </w:r>
      <w:r w:rsidRPr="003409C9">
        <w:rPr>
          <w:noProof/>
        </w:rPr>
        <w:t>. Wszystkie te obecne</w:t>
      </w:r>
      <w:r w:rsidR="003409C9" w:rsidRPr="003409C9">
        <w:rPr>
          <w:noProof/>
        </w:rPr>
        <w:t xml:space="preserve"> i prz</w:t>
      </w:r>
      <w:r w:rsidRPr="003409C9">
        <w:rPr>
          <w:noProof/>
        </w:rPr>
        <w:t>yszłe systemy są powiązane za pośrednictwem ram interoperacyjności systemów informacyjnych UE</w:t>
      </w:r>
      <w:r w:rsidRPr="003409C9">
        <w:rPr>
          <w:rStyle w:val="FootnoteReference0"/>
          <w:noProof/>
        </w:rPr>
        <w:footnoteReference w:id="14"/>
      </w:r>
      <w:r w:rsidR="003409C9" w:rsidRPr="003409C9">
        <w:rPr>
          <w:noProof/>
        </w:rPr>
        <w:t xml:space="preserve"> w dzi</w:t>
      </w:r>
      <w:r w:rsidRPr="003409C9">
        <w:rPr>
          <w:noProof/>
        </w:rPr>
        <w:t>edzinie bezpieczeństwa oraz zarządzania granicami</w:t>
      </w:r>
      <w:r w:rsidR="003409C9" w:rsidRPr="003409C9">
        <w:rPr>
          <w:noProof/>
        </w:rPr>
        <w:t xml:space="preserve"> i mig</w:t>
      </w:r>
      <w:r w:rsidRPr="003409C9">
        <w:rPr>
          <w:noProof/>
        </w:rPr>
        <w:t>racjami, przyjętych</w:t>
      </w:r>
      <w:r w:rsidR="003409C9" w:rsidRPr="003409C9">
        <w:rPr>
          <w:noProof/>
        </w:rPr>
        <w:t xml:space="preserve"> w 2</w:t>
      </w:r>
      <w:r w:rsidRPr="003409C9">
        <w:rPr>
          <w:noProof/>
        </w:rPr>
        <w:t>019</w:t>
      </w:r>
      <w:r w:rsidR="003409C9" w:rsidRPr="003409C9">
        <w:rPr>
          <w:noProof/>
        </w:rPr>
        <w:t> </w:t>
      </w:r>
      <w:r w:rsidRPr="003409C9">
        <w:rPr>
          <w:noProof/>
        </w:rPr>
        <w:t>r., które są obecnie wdrażane. Zmiany ujęte</w:t>
      </w:r>
      <w:r w:rsidR="003409C9" w:rsidRPr="003409C9">
        <w:rPr>
          <w:noProof/>
        </w:rPr>
        <w:t xml:space="preserve"> w nin</w:t>
      </w:r>
      <w:r w:rsidRPr="003409C9">
        <w:rPr>
          <w:noProof/>
        </w:rPr>
        <w:t xml:space="preserve">iejszym wniosku uwzględniają ramy interoperacyjności. </w:t>
      </w:r>
    </w:p>
    <w:p w:rsidR="00832116" w:rsidRPr="003409C9" w:rsidRDefault="00832116" w:rsidP="00832116">
      <w:pPr>
        <w:pBdr>
          <w:top w:val="nil"/>
          <w:left w:val="nil"/>
          <w:bottom w:val="nil"/>
          <w:right w:val="nil"/>
          <w:between w:val="nil"/>
          <w:bar w:val="nil"/>
        </w:pBdr>
        <w:spacing w:before="0" w:after="240"/>
        <w:rPr>
          <w:rFonts w:eastAsia="Arial Unicode MS"/>
          <w:noProof/>
        </w:rPr>
      </w:pPr>
      <w:bookmarkStart w:id="3" w:name="_Hlk117698078"/>
      <w:r w:rsidRPr="003409C9">
        <w:rPr>
          <w:noProof/>
        </w:rPr>
        <w:t>Router będący przedmiotem wniosku pozwala</w:t>
      </w:r>
      <w:r w:rsidR="003409C9" w:rsidRPr="003409C9">
        <w:rPr>
          <w:noProof/>
        </w:rPr>
        <w:t xml:space="preserve"> w szc</w:t>
      </w:r>
      <w:r w:rsidRPr="003409C9">
        <w:rPr>
          <w:noProof/>
        </w:rPr>
        <w:t>zególności uniknąć dublowania elementów technicznych poprzez współdzielenie elementów portalu dla przewoźników ETIAS. Portal dla przewoźników ETIAS zapewnia środki techniczne, które pozwalają przewoźnikom na sprawdzanie w ETIAS statusu obywateli państw trzecich zwolnionych</w:t>
      </w:r>
      <w:r w:rsidR="003409C9" w:rsidRPr="003409C9">
        <w:rPr>
          <w:noProof/>
        </w:rPr>
        <w:t xml:space="preserve"> z obo</w:t>
      </w:r>
      <w:r w:rsidRPr="003409C9">
        <w:rPr>
          <w:noProof/>
        </w:rPr>
        <w:t>wiązku wizowego</w:t>
      </w:r>
      <w:r w:rsidR="003409C9" w:rsidRPr="003409C9">
        <w:rPr>
          <w:noProof/>
        </w:rPr>
        <w:t xml:space="preserve"> i pod</w:t>
      </w:r>
      <w:r w:rsidRPr="003409C9">
        <w:rPr>
          <w:noProof/>
        </w:rPr>
        <w:t>różujących do państw członkowskich. Proponowane rozporządzenie zapewnia rozróżnienie</w:t>
      </w:r>
      <w:r w:rsidR="003409C9" w:rsidRPr="003409C9">
        <w:rPr>
          <w:noProof/>
        </w:rPr>
        <w:t xml:space="preserve"> i cał</w:t>
      </w:r>
      <w:r w:rsidRPr="003409C9">
        <w:rPr>
          <w:noProof/>
        </w:rPr>
        <w:t>kowite oddzielenie poszczególnych procesów przetwarzania danych oraz przestrzeganie praw dostępu określonych</w:t>
      </w:r>
      <w:r w:rsidR="003409C9" w:rsidRPr="003409C9">
        <w:rPr>
          <w:noProof/>
        </w:rPr>
        <w:t xml:space="preserve"> w pos</w:t>
      </w:r>
      <w:r w:rsidRPr="003409C9">
        <w:rPr>
          <w:noProof/>
        </w:rPr>
        <w:t>zczególnych instrumentach UE. Ponadto proponowane rozporządzenie łączy prace istniejącej grupy doradczej eu-LISA ds. EES–ETIAS</w:t>
      </w:r>
      <w:r w:rsidR="003409C9" w:rsidRPr="003409C9">
        <w:rPr>
          <w:noProof/>
        </w:rPr>
        <w:t xml:space="preserve"> z prz</w:t>
      </w:r>
      <w:r w:rsidRPr="003409C9">
        <w:rPr>
          <w:noProof/>
        </w:rPr>
        <w:t>yszłymi pracami nad API, dzięki czemu możliwe jest zwiększenie efektywności</w:t>
      </w:r>
      <w:r w:rsidR="003409C9" w:rsidRPr="003409C9">
        <w:rPr>
          <w:noProof/>
        </w:rPr>
        <w:t xml:space="preserve"> i kor</w:t>
      </w:r>
      <w:r w:rsidRPr="003409C9">
        <w:rPr>
          <w:noProof/>
        </w:rPr>
        <w:t>zyści skali poprzez uniknięcie powielania grup roboczych.</w:t>
      </w:r>
    </w:p>
    <w:p w:rsidR="001279F6" w:rsidRPr="003409C9" w:rsidRDefault="001279F6" w:rsidP="00832116">
      <w:pPr>
        <w:pBdr>
          <w:top w:val="nil"/>
          <w:left w:val="nil"/>
          <w:bottom w:val="nil"/>
          <w:right w:val="nil"/>
          <w:between w:val="nil"/>
          <w:bar w:val="nil"/>
        </w:pBdr>
        <w:spacing w:before="0" w:after="240"/>
        <w:rPr>
          <w:rFonts w:eastAsia="Arial Unicode MS"/>
          <w:noProof/>
        </w:rPr>
      </w:pPr>
      <w:r w:rsidRPr="003409C9">
        <w:rPr>
          <w:noProof/>
        </w:rPr>
        <w:t>Jak wyjaśniono powyżej, odprawy graniczne – które mają stać się łatwiejsze</w:t>
      </w:r>
      <w:r w:rsidR="003409C9" w:rsidRPr="003409C9">
        <w:rPr>
          <w:noProof/>
        </w:rPr>
        <w:t xml:space="preserve"> i spr</w:t>
      </w:r>
      <w:r w:rsidRPr="003409C9">
        <w:rPr>
          <w:noProof/>
        </w:rPr>
        <w:t>awniejsze dzięki przepisom proponowanego rozporządzenia – mają być przeprowadzane</w:t>
      </w:r>
      <w:r w:rsidR="003409C9" w:rsidRPr="003409C9">
        <w:rPr>
          <w:noProof/>
        </w:rPr>
        <w:t xml:space="preserve"> w sto</w:t>
      </w:r>
      <w:r w:rsidRPr="003409C9">
        <w:rPr>
          <w:noProof/>
        </w:rPr>
        <w:t>sownych przypadkach zgodnie</w:t>
      </w:r>
      <w:r w:rsidR="003409C9" w:rsidRPr="003409C9">
        <w:rPr>
          <w:noProof/>
        </w:rPr>
        <w:t xml:space="preserve"> z kod</w:t>
      </w:r>
      <w:r w:rsidRPr="003409C9">
        <w:rPr>
          <w:noProof/>
        </w:rPr>
        <w:t>eksem granicznym Schengen lub prawem krajowym.</w:t>
      </w:r>
    </w:p>
    <w:p w:rsidR="001279F6" w:rsidRPr="003409C9" w:rsidRDefault="001279F6" w:rsidP="001279F6">
      <w:pPr>
        <w:pBdr>
          <w:top w:val="nil"/>
          <w:left w:val="nil"/>
          <w:bottom w:val="nil"/>
          <w:right w:val="nil"/>
          <w:between w:val="nil"/>
          <w:bar w:val="nil"/>
        </w:pBdr>
        <w:spacing w:before="0" w:after="240"/>
        <w:rPr>
          <w:rFonts w:eastAsia="Arial Unicode MS"/>
          <w:noProof/>
        </w:rPr>
      </w:pPr>
      <w:bookmarkStart w:id="4" w:name="_Hlk117697917"/>
      <w:bookmarkEnd w:id="3"/>
      <w:r w:rsidRPr="003409C9">
        <w:rPr>
          <w:noProof/>
        </w:rPr>
        <w:t>Ponadto ogólnie obowiązujące akty prawne UE będą miały zastosowanie zgodnie</w:t>
      </w:r>
      <w:r w:rsidR="003409C9" w:rsidRPr="003409C9">
        <w:rPr>
          <w:noProof/>
        </w:rPr>
        <w:t xml:space="preserve"> z okr</w:t>
      </w:r>
      <w:r w:rsidRPr="003409C9">
        <w:rPr>
          <w:noProof/>
        </w:rPr>
        <w:t>eślonymi</w:t>
      </w:r>
      <w:r w:rsidR="003409C9" w:rsidRPr="003409C9">
        <w:rPr>
          <w:noProof/>
        </w:rPr>
        <w:t xml:space="preserve"> w nic</w:t>
      </w:r>
      <w:r w:rsidRPr="003409C9">
        <w:rPr>
          <w:noProof/>
        </w:rPr>
        <w:t>h warunkami. Jeżeli chodzi</w:t>
      </w:r>
      <w:r w:rsidR="003409C9" w:rsidRPr="003409C9">
        <w:rPr>
          <w:noProof/>
        </w:rPr>
        <w:t xml:space="preserve"> o prz</w:t>
      </w:r>
      <w:r w:rsidRPr="003409C9">
        <w:rPr>
          <w:noProof/>
        </w:rPr>
        <w:t>etwarzanie danych osobowych, dotyczy to</w:t>
      </w:r>
      <w:r w:rsidR="003409C9" w:rsidRPr="003409C9">
        <w:rPr>
          <w:noProof/>
        </w:rPr>
        <w:t xml:space="preserve"> w szc</w:t>
      </w:r>
      <w:r w:rsidRPr="003409C9">
        <w:rPr>
          <w:noProof/>
        </w:rPr>
        <w:t>zególności ogólnego rozporządzenia</w:t>
      </w:r>
      <w:r w:rsidR="003409C9" w:rsidRPr="003409C9">
        <w:rPr>
          <w:noProof/>
        </w:rPr>
        <w:t xml:space="preserve"> o och</w:t>
      </w:r>
      <w:r w:rsidRPr="003409C9">
        <w:rPr>
          <w:noProof/>
        </w:rPr>
        <w:t>ronie danych (RODO)</w:t>
      </w:r>
      <w:r w:rsidRPr="003409C9">
        <w:rPr>
          <w:rStyle w:val="FootnoteReference0"/>
          <w:noProof/>
        </w:rPr>
        <w:footnoteReference w:id="15"/>
      </w:r>
      <w:r w:rsidR="003409C9" w:rsidRPr="003409C9">
        <w:rPr>
          <w:noProof/>
        </w:rPr>
        <w:t xml:space="preserve"> i roz</w:t>
      </w:r>
      <w:r w:rsidRPr="003409C9">
        <w:rPr>
          <w:noProof/>
        </w:rPr>
        <w:t>porządzenia UE</w:t>
      </w:r>
      <w:r w:rsidR="003409C9" w:rsidRPr="003409C9">
        <w:rPr>
          <w:noProof/>
        </w:rPr>
        <w:t xml:space="preserve"> o och</w:t>
      </w:r>
      <w:r w:rsidRPr="003409C9">
        <w:rPr>
          <w:noProof/>
        </w:rPr>
        <w:t>ronie danych</w:t>
      </w:r>
      <w:r w:rsidRPr="003409C9">
        <w:rPr>
          <w:rStyle w:val="FootnoteReference0"/>
          <w:noProof/>
        </w:rPr>
        <w:footnoteReference w:id="16"/>
      </w:r>
      <w:r w:rsidRPr="003409C9">
        <w:rPr>
          <w:noProof/>
        </w:rPr>
        <w:t xml:space="preserve">. Niniejszy wniosek nie ma wpływu na te akty prawne. </w:t>
      </w:r>
    </w:p>
    <w:p w:rsidR="001279F6" w:rsidRPr="003409C9" w:rsidRDefault="001279F6" w:rsidP="001279F6">
      <w:pPr>
        <w:pBdr>
          <w:top w:val="nil"/>
          <w:left w:val="nil"/>
          <w:bottom w:val="nil"/>
          <w:right w:val="nil"/>
          <w:between w:val="nil"/>
          <w:bar w:val="nil"/>
        </w:pBdr>
        <w:spacing w:before="0" w:after="240"/>
        <w:rPr>
          <w:rFonts w:eastAsia="Arial Unicode MS"/>
          <w:noProof/>
        </w:rPr>
      </w:pPr>
      <w:r w:rsidRPr="003409C9">
        <w:rPr>
          <w:noProof/>
        </w:rPr>
        <w:t>Zastosowanie wyżej wymienionych aktów prawa UE do przetwarzania danych API otrzymanych na podstawie niniejszego rozporządzenia oznacza, że państwa członkowskie wdrażają prawo UE</w:t>
      </w:r>
      <w:r w:rsidR="003409C9" w:rsidRPr="003409C9">
        <w:rPr>
          <w:noProof/>
        </w:rPr>
        <w:t xml:space="preserve"> w roz</w:t>
      </w:r>
      <w:r w:rsidRPr="003409C9">
        <w:rPr>
          <w:noProof/>
        </w:rPr>
        <w:t>umieniu art.</w:t>
      </w:r>
      <w:r w:rsidR="003409C9" w:rsidRPr="003409C9">
        <w:rPr>
          <w:noProof/>
        </w:rPr>
        <w:t> </w:t>
      </w:r>
      <w:r w:rsidRPr="003409C9">
        <w:rPr>
          <w:noProof/>
        </w:rPr>
        <w:t>51 ust.</w:t>
      </w:r>
      <w:r w:rsidR="003409C9" w:rsidRPr="003409C9">
        <w:rPr>
          <w:noProof/>
        </w:rPr>
        <w:t> </w:t>
      </w:r>
      <w:r w:rsidRPr="003409C9">
        <w:rPr>
          <w:noProof/>
        </w:rPr>
        <w:t>1 Karty, co oznacza, że zastosowanie mają również przepisy Karty</w:t>
      </w:r>
      <w:r w:rsidR="003409C9" w:rsidRPr="003409C9">
        <w:rPr>
          <w:noProof/>
        </w:rPr>
        <w:t>. W szc</w:t>
      </w:r>
      <w:r w:rsidRPr="003409C9">
        <w:rPr>
          <w:noProof/>
        </w:rPr>
        <w:t>zególności przepisy zawarte</w:t>
      </w:r>
      <w:r w:rsidR="003409C9" w:rsidRPr="003409C9">
        <w:rPr>
          <w:noProof/>
        </w:rPr>
        <w:t xml:space="preserve"> w tyc</w:t>
      </w:r>
      <w:r w:rsidRPr="003409C9">
        <w:rPr>
          <w:noProof/>
        </w:rPr>
        <w:t>h aktach prawa UE należy interpretować</w:t>
      </w:r>
      <w:r w:rsidR="003409C9" w:rsidRPr="003409C9">
        <w:rPr>
          <w:noProof/>
        </w:rPr>
        <w:t xml:space="preserve"> w świ</w:t>
      </w:r>
      <w:r w:rsidRPr="003409C9">
        <w:rPr>
          <w:noProof/>
        </w:rPr>
        <w:t xml:space="preserve">etle Karty. </w:t>
      </w:r>
    </w:p>
    <w:p w:rsidR="00832116" w:rsidRPr="003409C9" w:rsidRDefault="00832116" w:rsidP="00832116">
      <w:pPr>
        <w:pBdr>
          <w:top w:val="nil"/>
          <w:left w:val="nil"/>
          <w:bottom w:val="nil"/>
          <w:right w:val="nil"/>
          <w:between w:val="nil"/>
          <w:bar w:val="nil"/>
        </w:pBdr>
        <w:spacing w:before="0" w:after="240"/>
        <w:rPr>
          <w:rFonts w:eastAsia="Arial Unicode MS"/>
          <w:noProof/>
        </w:rPr>
      </w:pPr>
      <w:r w:rsidRPr="003409C9">
        <w:rPr>
          <w:noProof/>
        </w:rPr>
        <w:t>Wytyczne ICAO</w:t>
      </w:r>
      <w:r w:rsidRPr="003409C9">
        <w:rPr>
          <w:rStyle w:val="FootnoteReference0"/>
          <w:rFonts w:eastAsia="Arial Unicode MS"/>
          <w:noProof/>
        </w:rPr>
        <w:footnoteReference w:id="17"/>
      </w:r>
      <w:r w:rsidRPr="003409C9">
        <w:rPr>
          <w:noProof/>
        </w:rPr>
        <w:t xml:space="preserve"> dotyczące dokumentów podróży odczytywanych maszynowo zostały transponowane rozporządzeniem 2019/1157</w:t>
      </w:r>
      <w:r w:rsidR="003409C9" w:rsidRPr="003409C9">
        <w:rPr>
          <w:noProof/>
        </w:rPr>
        <w:t xml:space="preserve"> w spr</w:t>
      </w:r>
      <w:r w:rsidRPr="003409C9">
        <w:rPr>
          <w:noProof/>
        </w:rPr>
        <w:t>awie poprawy zabezpieczeń dowodów osobistych obywateli Unii oraz rozporządzeniem nr</w:t>
      </w:r>
      <w:r w:rsidR="003409C9" w:rsidRPr="003409C9">
        <w:rPr>
          <w:noProof/>
        </w:rPr>
        <w:t> </w:t>
      </w:r>
      <w:r w:rsidRPr="003409C9">
        <w:rPr>
          <w:noProof/>
        </w:rPr>
        <w:t>2252/2004</w:t>
      </w:r>
      <w:r w:rsidR="003409C9" w:rsidRPr="003409C9">
        <w:rPr>
          <w:noProof/>
        </w:rPr>
        <w:t xml:space="preserve"> w spr</w:t>
      </w:r>
      <w:r w:rsidRPr="003409C9">
        <w:rPr>
          <w:noProof/>
        </w:rPr>
        <w:t>awie norm dotyczących zabezpieczeń</w:t>
      </w:r>
      <w:r w:rsidR="003409C9" w:rsidRPr="003409C9">
        <w:rPr>
          <w:noProof/>
        </w:rPr>
        <w:t xml:space="preserve"> i dan</w:t>
      </w:r>
      <w:r w:rsidRPr="003409C9">
        <w:rPr>
          <w:noProof/>
        </w:rPr>
        <w:t>ych biometrycznych</w:t>
      </w:r>
      <w:r w:rsidR="003409C9" w:rsidRPr="003409C9">
        <w:rPr>
          <w:noProof/>
        </w:rPr>
        <w:t xml:space="preserve"> w pas</w:t>
      </w:r>
      <w:r w:rsidRPr="003409C9">
        <w:rPr>
          <w:noProof/>
        </w:rPr>
        <w:t>zportach. Rozporządzenia te są prekursorami umożliwiającymi zautomatyzowane pozyskiwanie pełnych</w:t>
      </w:r>
      <w:r w:rsidR="003409C9" w:rsidRPr="003409C9">
        <w:rPr>
          <w:noProof/>
        </w:rPr>
        <w:t xml:space="preserve"> i wys</w:t>
      </w:r>
      <w:r w:rsidRPr="003409C9">
        <w:rPr>
          <w:noProof/>
        </w:rPr>
        <w:t>okiej jakości danych</w:t>
      </w:r>
      <w:r w:rsidR="003409C9" w:rsidRPr="003409C9">
        <w:rPr>
          <w:noProof/>
        </w:rPr>
        <w:t xml:space="preserve"> z dok</w:t>
      </w:r>
      <w:r w:rsidRPr="003409C9">
        <w:rPr>
          <w:noProof/>
        </w:rPr>
        <w:t>umentów podróży.</w:t>
      </w:r>
    </w:p>
    <w:p w:rsidR="004F474D" w:rsidRPr="003409C9" w:rsidRDefault="004F474D" w:rsidP="009B05A0">
      <w:pPr>
        <w:spacing w:before="0" w:after="240"/>
        <w:rPr>
          <w:noProof/>
        </w:rPr>
      </w:pPr>
      <w:r w:rsidRPr="003409C9">
        <w:rPr>
          <w:noProof/>
        </w:rPr>
        <w:t>Proponowane rozporządzenie będzie kolejnym elementem dorobku prawnego UE. Właściwe służby graniczne państw członkowskich będą nadal otrzymywały</w:t>
      </w:r>
      <w:r w:rsidR="003409C9" w:rsidRPr="003409C9">
        <w:rPr>
          <w:noProof/>
        </w:rPr>
        <w:t xml:space="preserve"> i dal</w:t>
      </w:r>
      <w:r w:rsidRPr="003409C9">
        <w:rPr>
          <w:noProof/>
        </w:rPr>
        <w:t>ej przetwarzały dane API wyłącznie do celów zarządzania granicami</w:t>
      </w:r>
      <w:r w:rsidR="003409C9" w:rsidRPr="003409C9">
        <w:rPr>
          <w:noProof/>
        </w:rPr>
        <w:t xml:space="preserve"> i zwa</w:t>
      </w:r>
      <w:r w:rsidRPr="003409C9">
        <w:rPr>
          <w:noProof/>
        </w:rPr>
        <w:t>lczania nielegalnej imigracji, tj. do celów, do których dane API zostały zgromadzone na podstawie proponowanego rozporządzenia.</w:t>
      </w:r>
    </w:p>
    <w:p w:rsidR="00342C10" w:rsidRPr="003409C9" w:rsidRDefault="00342C10" w:rsidP="00342C10">
      <w:pPr>
        <w:pBdr>
          <w:top w:val="nil"/>
          <w:left w:val="nil"/>
          <w:bottom w:val="nil"/>
          <w:right w:val="nil"/>
          <w:between w:val="nil"/>
          <w:bar w:val="nil"/>
        </w:pBdr>
        <w:spacing w:before="0" w:after="240"/>
        <w:rPr>
          <w:rFonts w:eastAsia="Arial Unicode MS"/>
          <w:noProof/>
        </w:rPr>
      </w:pPr>
      <w:r w:rsidRPr="003409C9">
        <w:rPr>
          <w:noProof/>
        </w:rPr>
        <w:t>Niniejszy wniosek jest ściśle związany</w:t>
      </w:r>
      <w:r w:rsidR="003409C9" w:rsidRPr="003409C9">
        <w:rPr>
          <w:noProof/>
        </w:rPr>
        <w:t xml:space="preserve"> z wni</w:t>
      </w:r>
      <w:r w:rsidRPr="003409C9">
        <w:rPr>
          <w:noProof/>
        </w:rPr>
        <w:t>oskiem dotyczącym rozporządzenia</w:t>
      </w:r>
      <w:r w:rsidR="003409C9" w:rsidRPr="003409C9">
        <w:rPr>
          <w:noProof/>
        </w:rPr>
        <w:t xml:space="preserve"> w spr</w:t>
      </w:r>
      <w:r w:rsidRPr="003409C9">
        <w:rPr>
          <w:noProof/>
        </w:rPr>
        <w:t>awie gromadzenia</w:t>
      </w:r>
      <w:r w:rsidR="003409C9" w:rsidRPr="003409C9">
        <w:rPr>
          <w:noProof/>
        </w:rPr>
        <w:t xml:space="preserve"> i prz</w:t>
      </w:r>
      <w:r w:rsidRPr="003409C9">
        <w:rPr>
          <w:noProof/>
        </w:rPr>
        <w:t>ekazywania danych API</w:t>
      </w:r>
      <w:r w:rsidR="003409C9" w:rsidRPr="003409C9">
        <w:rPr>
          <w:noProof/>
        </w:rPr>
        <w:t xml:space="preserve"> w cel</w:t>
      </w:r>
      <w:r w:rsidRPr="003409C9">
        <w:rPr>
          <w:noProof/>
        </w:rPr>
        <w:t>u zapobiegania przestępstwom terrorystycznym</w:t>
      </w:r>
      <w:r w:rsidR="003409C9" w:rsidRPr="003409C9">
        <w:rPr>
          <w:noProof/>
        </w:rPr>
        <w:t xml:space="preserve"> i pow</w:t>
      </w:r>
      <w:r w:rsidRPr="003409C9">
        <w:rPr>
          <w:noProof/>
        </w:rPr>
        <w:t>ażnej przestępczości, ich wykrywania, prowadzenia postępowań przygotowawczych</w:t>
      </w:r>
      <w:r w:rsidR="003409C9" w:rsidRPr="003409C9">
        <w:rPr>
          <w:noProof/>
        </w:rPr>
        <w:t xml:space="preserve"> w ich</w:t>
      </w:r>
      <w:r w:rsidRPr="003409C9">
        <w:rPr>
          <w:noProof/>
        </w:rPr>
        <w:t xml:space="preserve"> sprawie</w:t>
      </w:r>
      <w:r w:rsidR="003409C9" w:rsidRPr="003409C9">
        <w:rPr>
          <w:noProof/>
        </w:rPr>
        <w:t xml:space="preserve"> i ich</w:t>
      </w:r>
      <w:r w:rsidRPr="003409C9">
        <w:rPr>
          <w:noProof/>
        </w:rPr>
        <w:t xml:space="preserve"> ścigania, ponieważ oba wnioski zawierają podobne przepisy dotyczące wykazu elementów danych API, gromadzenia danych API</w:t>
      </w:r>
      <w:r w:rsidR="003409C9" w:rsidRPr="003409C9">
        <w:rPr>
          <w:noProof/>
        </w:rPr>
        <w:t xml:space="preserve"> w spo</w:t>
      </w:r>
      <w:r w:rsidRPr="003409C9">
        <w:rPr>
          <w:noProof/>
        </w:rPr>
        <w:t xml:space="preserve">sób zautomatyzowany oraz przekazywania danych do routera. </w:t>
      </w:r>
    </w:p>
    <w:bookmarkEnd w:id="4"/>
    <w:p w:rsidR="00832116" w:rsidRPr="00BB07AF" w:rsidRDefault="00832116" w:rsidP="00832116">
      <w:pPr>
        <w:pStyle w:val="ManualHeading1"/>
        <w:rPr>
          <w:noProof/>
        </w:rPr>
      </w:pPr>
      <w:r w:rsidRPr="00BB07AF">
        <w:rPr>
          <w:noProof/>
        </w:rPr>
        <w:t>2.</w:t>
      </w:r>
      <w:r w:rsidRPr="00BB07AF">
        <w:rPr>
          <w:noProof/>
        </w:rPr>
        <w:tab/>
        <w:t>PODSTAWA PRAWNA, POMOCNICZOŚĆ I PROPORCJONALNOŚĆ</w:t>
      </w:r>
    </w:p>
    <w:p w:rsidR="00832116" w:rsidRPr="00BB07AF" w:rsidRDefault="00832116" w:rsidP="00832116">
      <w:pPr>
        <w:pStyle w:val="ManualHeading2"/>
        <w:rPr>
          <w:rFonts w:eastAsia="Arial Unicode MS"/>
          <w:noProof/>
          <w:u w:color="000000"/>
          <w:bdr w:val="nil"/>
        </w:rPr>
      </w:pPr>
      <w:r w:rsidRPr="00BB07AF">
        <w:rPr>
          <w:noProof/>
          <w:u w:color="000000"/>
          <w:bdr w:val="nil"/>
        </w:rPr>
        <w:t>•</w:t>
      </w:r>
      <w:r w:rsidRPr="00BB07AF">
        <w:rPr>
          <w:noProof/>
        </w:rPr>
        <w:tab/>
      </w:r>
      <w:r w:rsidRPr="00BB07AF">
        <w:rPr>
          <w:noProof/>
          <w:u w:color="000000"/>
          <w:bdr w:val="nil"/>
        </w:rPr>
        <w:t>Podstawa prawna</w:t>
      </w:r>
    </w:p>
    <w:p w:rsidR="004F474D" w:rsidRPr="003409C9" w:rsidRDefault="004F474D" w:rsidP="004F474D">
      <w:pPr>
        <w:spacing w:before="0" w:after="240"/>
        <w:rPr>
          <w:noProof/>
        </w:rPr>
      </w:pPr>
      <w:r w:rsidRPr="003409C9">
        <w:rPr>
          <w:noProof/>
        </w:rPr>
        <w:t>W przypadku niniejszego proponowanego rozporządzenia</w:t>
      </w:r>
      <w:r w:rsidR="003409C9" w:rsidRPr="003409C9">
        <w:rPr>
          <w:noProof/>
        </w:rPr>
        <w:t xml:space="preserve"> w spr</w:t>
      </w:r>
      <w:r w:rsidRPr="003409C9">
        <w:rPr>
          <w:noProof/>
        </w:rPr>
        <w:t>awie gromadzenia</w:t>
      </w:r>
      <w:r w:rsidR="003409C9" w:rsidRPr="003409C9">
        <w:rPr>
          <w:noProof/>
        </w:rPr>
        <w:t xml:space="preserve"> i prz</w:t>
      </w:r>
      <w:r w:rsidRPr="003409C9">
        <w:rPr>
          <w:noProof/>
        </w:rPr>
        <w:t>ekazywania danych API do celów zarządzania granicami</w:t>
      </w:r>
      <w:r w:rsidR="003409C9" w:rsidRPr="003409C9">
        <w:rPr>
          <w:noProof/>
        </w:rPr>
        <w:t xml:space="preserve"> i zwa</w:t>
      </w:r>
      <w:r w:rsidRPr="003409C9">
        <w:rPr>
          <w:noProof/>
        </w:rPr>
        <w:t>lczania nielegalnej imigracji – ze względu na cel</w:t>
      </w:r>
      <w:r w:rsidR="003409C9" w:rsidRPr="003409C9">
        <w:rPr>
          <w:noProof/>
        </w:rPr>
        <w:t xml:space="preserve"> i prz</w:t>
      </w:r>
      <w:r w:rsidRPr="003409C9">
        <w:rPr>
          <w:noProof/>
        </w:rPr>
        <w:t>ewidziane środki – właściwą podstawą prawną jest art.</w:t>
      </w:r>
      <w:r w:rsidR="003409C9" w:rsidRPr="003409C9">
        <w:rPr>
          <w:noProof/>
        </w:rPr>
        <w:t> </w:t>
      </w:r>
      <w:r w:rsidRPr="003409C9">
        <w:rPr>
          <w:noProof/>
        </w:rPr>
        <w:t>77 ust.</w:t>
      </w:r>
      <w:r w:rsidR="003409C9" w:rsidRPr="003409C9">
        <w:rPr>
          <w:noProof/>
        </w:rPr>
        <w:t> </w:t>
      </w:r>
      <w:r w:rsidRPr="003409C9">
        <w:rPr>
          <w:noProof/>
        </w:rPr>
        <w:t>2 lit.</w:t>
      </w:r>
      <w:r w:rsidR="003409C9" w:rsidRPr="003409C9">
        <w:rPr>
          <w:noProof/>
        </w:rPr>
        <w:t> </w:t>
      </w:r>
      <w:r w:rsidRPr="003409C9">
        <w:rPr>
          <w:noProof/>
        </w:rPr>
        <w:t>b) i d) oraz art.</w:t>
      </w:r>
      <w:r w:rsidR="003409C9" w:rsidRPr="003409C9">
        <w:rPr>
          <w:noProof/>
        </w:rPr>
        <w:t> </w:t>
      </w:r>
      <w:r w:rsidRPr="003409C9">
        <w:rPr>
          <w:noProof/>
        </w:rPr>
        <w:t>79 ust.</w:t>
      </w:r>
      <w:r w:rsidR="003409C9" w:rsidRPr="003409C9">
        <w:rPr>
          <w:noProof/>
        </w:rPr>
        <w:t> </w:t>
      </w:r>
      <w:r w:rsidRPr="003409C9">
        <w:rPr>
          <w:noProof/>
        </w:rPr>
        <w:t>2 lit.</w:t>
      </w:r>
      <w:r w:rsidR="003409C9" w:rsidRPr="003409C9">
        <w:rPr>
          <w:noProof/>
        </w:rPr>
        <w:t> </w:t>
      </w:r>
      <w:r w:rsidRPr="003409C9">
        <w:rPr>
          <w:noProof/>
        </w:rPr>
        <w:t xml:space="preserve">c) </w:t>
      </w:r>
      <w:bookmarkStart w:id="5" w:name="_Hlk117163755"/>
      <w:r w:rsidRPr="003409C9">
        <w:rPr>
          <w:noProof/>
        </w:rPr>
        <w:t>Traktatu</w:t>
      </w:r>
      <w:r w:rsidR="003409C9" w:rsidRPr="003409C9">
        <w:rPr>
          <w:noProof/>
        </w:rPr>
        <w:t xml:space="preserve"> o fun</w:t>
      </w:r>
      <w:r w:rsidRPr="003409C9">
        <w:rPr>
          <w:noProof/>
        </w:rPr>
        <w:t>kcjonowaniu Unii Europejskiej (TFUE)</w:t>
      </w:r>
      <w:bookmarkEnd w:id="5"/>
      <w:r w:rsidRPr="003409C9">
        <w:rPr>
          <w:noProof/>
        </w:rPr>
        <w:t xml:space="preserve">. </w:t>
      </w:r>
    </w:p>
    <w:p w:rsidR="00EA0500" w:rsidRPr="003409C9" w:rsidRDefault="004F474D" w:rsidP="00A4343C">
      <w:pPr>
        <w:rPr>
          <w:noProof/>
        </w:rPr>
      </w:pPr>
      <w:r w:rsidRPr="003409C9">
        <w:rPr>
          <w:noProof/>
        </w:rPr>
        <w:t>Zgodnie</w:t>
      </w:r>
      <w:r w:rsidR="003409C9" w:rsidRPr="003409C9">
        <w:rPr>
          <w:noProof/>
        </w:rPr>
        <w:t xml:space="preserve"> z art</w:t>
      </w:r>
      <w:r w:rsidRPr="003409C9">
        <w:rPr>
          <w:noProof/>
        </w:rPr>
        <w:t>.</w:t>
      </w:r>
      <w:r w:rsidR="003409C9" w:rsidRPr="003409C9">
        <w:rPr>
          <w:noProof/>
        </w:rPr>
        <w:t> </w:t>
      </w:r>
      <w:r w:rsidRPr="003409C9">
        <w:rPr>
          <w:noProof/>
        </w:rPr>
        <w:t>77 ust.</w:t>
      </w:r>
      <w:r w:rsidR="003409C9" w:rsidRPr="003409C9">
        <w:rPr>
          <w:noProof/>
        </w:rPr>
        <w:t> </w:t>
      </w:r>
      <w:r w:rsidRPr="003409C9">
        <w:rPr>
          <w:noProof/>
        </w:rPr>
        <w:t>2 lit.</w:t>
      </w:r>
      <w:r w:rsidR="003409C9" w:rsidRPr="003409C9">
        <w:rPr>
          <w:noProof/>
        </w:rPr>
        <w:t> </w:t>
      </w:r>
      <w:r w:rsidRPr="003409C9">
        <w:rPr>
          <w:noProof/>
        </w:rPr>
        <w:t>b) TFUE Unia jest uprawniona do przyjmowania środków dotyczących kontroli, którym podlegają osoby przekraczające granice zewnętrzne,</w:t>
      </w:r>
      <w:r w:rsidR="003409C9" w:rsidRPr="003409C9">
        <w:rPr>
          <w:noProof/>
        </w:rPr>
        <w:t xml:space="preserve"> a zgo</w:t>
      </w:r>
      <w:r w:rsidRPr="003409C9">
        <w:rPr>
          <w:noProof/>
        </w:rPr>
        <w:t>dnie</w:t>
      </w:r>
      <w:r w:rsidR="003409C9" w:rsidRPr="003409C9">
        <w:rPr>
          <w:noProof/>
        </w:rPr>
        <w:t xml:space="preserve"> z lit</w:t>
      </w:r>
      <w:r w:rsidRPr="003409C9">
        <w:rPr>
          <w:noProof/>
        </w:rPr>
        <w:t>.</w:t>
      </w:r>
      <w:r w:rsidR="003409C9" w:rsidRPr="003409C9">
        <w:rPr>
          <w:noProof/>
        </w:rPr>
        <w:t> </w:t>
      </w:r>
      <w:r w:rsidRPr="003409C9">
        <w:rPr>
          <w:noProof/>
        </w:rPr>
        <w:t>d) tego artykułu Unia jest uprawniona do przyjmowania wszelkich środków niezbędnych do stopniowego wprowadzania zintegrowanego systemu zarządzania granicami zewnętrznymi. Zgodnie</w:t>
      </w:r>
      <w:r w:rsidR="003409C9" w:rsidRPr="003409C9">
        <w:rPr>
          <w:noProof/>
        </w:rPr>
        <w:t xml:space="preserve"> z art</w:t>
      </w:r>
      <w:r w:rsidRPr="003409C9">
        <w:rPr>
          <w:noProof/>
        </w:rPr>
        <w:t>.</w:t>
      </w:r>
      <w:r w:rsidR="003409C9" w:rsidRPr="003409C9">
        <w:rPr>
          <w:noProof/>
        </w:rPr>
        <w:t> </w:t>
      </w:r>
      <w:r w:rsidRPr="003409C9">
        <w:rPr>
          <w:noProof/>
        </w:rPr>
        <w:t>79 ust.</w:t>
      </w:r>
      <w:r w:rsidR="003409C9" w:rsidRPr="003409C9">
        <w:rPr>
          <w:noProof/>
        </w:rPr>
        <w:t> </w:t>
      </w:r>
      <w:r w:rsidRPr="003409C9">
        <w:rPr>
          <w:noProof/>
        </w:rPr>
        <w:t>2 lit.</w:t>
      </w:r>
      <w:r w:rsidR="003409C9" w:rsidRPr="003409C9">
        <w:rPr>
          <w:noProof/>
        </w:rPr>
        <w:t> </w:t>
      </w:r>
      <w:r w:rsidRPr="003409C9">
        <w:rPr>
          <w:noProof/>
        </w:rPr>
        <w:t>c) TFUE Unia jest uprawniona do przyjmowania środków dotyczących nielegalnej imigracji.</w:t>
      </w:r>
    </w:p>
    <w:p w:rsidR="00722A64" w:rsidRPr="003409C9" w:rsidRDefault="00722A64" w:rsidP="00A4343C">
      <w:pPr>
        <w:rPr>
          <w:rFonts w:eastAsia="Arial Unicode MS"/>
          <w:noProof/>
        </w:rPr>
      </w:pPr>
      <w:r w:rsidRPr="003409C9">
        <w:rPr>
          <w:noProof/>
        </w:rPr>
        <w:t>Pozwala to zapewnić spójność</w:t>
      </w:r>
      <w:r w:rsidR="003409C9" w:rsidRPr="003409C9">
        <w:rPr>
          <w:noProof/>
        </w:rPr>
        <w:t xml:space="preserve"> z obo</w:t>
      </w:r>
      <w:r w:rsidRPr="003409C9">
        <w:rPr>
          <w:noProof/>
        </w:rPr>
        <w:t>wiązującą dyrektywą</w:t>
      </w:r>
      <w:r w:rsidR="003409C9" w:rsidRPr="003409C9">
        <w:rPr>
          <w:noProof/>
        </w:rPr>
        <w:t xml:space="preserve"> w spr</w:t>
      </w:r>
      <w:r w:rsidRPr="003409C9">
        <w:rPr>
          <w:noProof/>
        </w:rPr>
        <w:t>awie API, której podstawę stanowią te same przepisy.</w:t>
      </w:r>
    </w:p>
    <w:p w:rsidR="00832116" w:rsidRPr="00BB07AF" w:rsidRDefault="00832116" w:rsidP="00832116">
      <w:pPr>
        <w:pStyle w:val="ManualHeading2"/>
        <w:rPr>
          <w:rFonts w:eastAsia="Arial Unicode MS"/>
          <w:noProof/>
          <w:u w:color="000000"/>
          <w:bdr w:val="nil"/>
        </w:rPr>
      </w:pPr>
      <w:r w:rsidRPr="00BB07AF">
        <w:rPr>
          <w:noProof/>
          <w:u w:color="000000"/>
          <w:bdr w:val="nil"/>
        </w:rPr>
        <w:t>•</w:t>
      </w:r>
      <w:r w:rsidRPr="00BB07AF">
        <w:rPr>
          <w:noProof/>
        </w:rPr>
        <w:tab/>
      </w:r>
      <w:r w:rsidRPr="00BB07AF">
        <w:rPr>
          <w:noProof/>
          <w:u w:color="000000"/>
          <w:bdr w:val="nil"/>
        </w:rPr>
        <w:t xml:space="preserve">Pomocniczość </w:t>
      </w:r>
    </w:p>
    <w:p w:rsidR="00832116" w:rsidRPr="003409C9" w:rsidRDefault="00832116" w:rsidP="00832116">
      <w:pPr>
        <w:rPr>
          <w:noProof/>
        </w:rPr>
      </w:pPr>
      <w:r w:rsidRPr="003409C9">
        <w:rPr>
          <w:noProof/>
        </w:rPr>
        <w:t>Zważywszy, że na mocy TFUE wyraźnie upoważnia się Unię do opracowania wspólnej polityki</w:t>
      </w:r>
      <w:r w:rsidR="003409C9" w:rsidRPr="003409C9">
        <w:rPr>
          <w:noProof/>
        </w:rPr>
        <w:t xml:space="preserve"> w zak</w:t>
      </w:r>
      <w:r w:rsidRPr="003409C9">
        <w:rPr>
          <w:noProof/>
        </w:rPr>
        <w:t>resie kontroli, którym podlegają osoby przekraczające granice zewnętrzne, jest to wyraźny cel, który należy realizować na szczeblu UE. Jednocześnie jest to obszar kompetencji dzielonych między UE</w:t>
      </w:r>
      <w:r w:rsidR="003409C9" w:rsidRPr="003409C9">
        <w:rPr>
          <w:noProof/>
        </w:rPr>
        <w:t xml:space="preserve"> a pań</w:t>
      </w:r>
      <w:r w:rsidRPr="003409C9">
        <w:rPr>
          <w:noProof/>
        </w:rPr>
        <w:t>stwami członkowskimi.</w:t>
      </w:r>
    </w:p>
    <w:p w:rsidR="00832116" w:rsidRPr="003409C9" w:rsidRDefault="00832116" w:rsidP="00832116">
      <w:pPr>
        <w:pBdr>
          <w:top w:val="nil"/>
          <w:left w:val="nil"/>
          <w:bottom w:val="nil"/>
          <w:right w:val="nil"/>
          <w:between w:val="nil"/>
          <w:bar w:val="nil"/>
        </w:pBdr>
        <w:spacing w:before="0" w:after="240"/>
        <w:rPr>
          <w:noProof/>
        </w:rPr>
      </w:pPr>
      <w:r w:rsidRPr="003409C9">
        <w:rPr>
          <w:noProof/>
        </w:rPr>
        <w:t>Potrzeba ustanowienia wspólnych przepisów dotyczących gromadzenia</w:t>
      </w:r>
      <w:r w:rsidR="003409C9" w:rsidRPr="003409C9">
        <w:rPr>
          <w:noProof/>
        </w:rPr>
        <w:t xml:space="preserve"> i prz</w:t>
      </w:r>
      <w:r w:rsidRPr="003409C9">
        <w:rPr>
          <w:noProof/>
        </w:rPr>
        <w:t>ekazywania danych API do celów zarządzania granicami</w:t>
      </w:r>
      <w:r w:rsidR="003409C9" w:rsidRPr="003409C9">
        <w:rPr>
          <w:noProof/>
        </w:rPr>
        <w:t xml:space="preserve"> i zwa</w:t>
      </w:r>
      <w:r w:rsidRPr="003409C9">
        <w:rPr>
          <w:noProof/>
        </w:rPr>
        <w:t>lczania nielegalnej imigracji jest związana –</w:t>
      </w:r>
      <w:r w:rsidR="003409C9" w:rsidRPr="003409C9">
        <w:rPr>
          <w:noProof/>
        </w:rPr>
        <w:t xml:space="preserve"> w szc</w:t>
      </w:r>
      <w:r w:rsidRPr="003409C9">
        <w:rPr>
          <w:noProof/>
        </w:rPr>
        <w:t>zególności</w:t>
      </w:r>
      <w:r w:rsidR="003409C9" w:rsidRPr="003409C9">
        <w:rPr>
          <w:noProof/>
        </w:rPr>
        <w:t xml:space="preserve"> i bez</w:t>
      </w:r>
      <w:r w:rsidRPr="003409C9">
        <w:rPr>
          <w:noProof/>
        </w:rPr>
        <w:t xml:space="preserve"> uszczerbku dla szczególnego stanowiska Irlandii –</w:t>
      </w:r>
      <w:r w:rsidR="003409C9" w:rsidRPr="003409C9">
        <w:rPr>
          <w:noProof/>
        </w:rPr>
        <w:t xml:space="preserve"> z utw</w:t>
      </w:r>
      <w:r w:rsidRPr="003409C9">
        <w:rPr>
          <w:noProof/>
        </w:rPr>
        <w:t>orzeniem strefy Schengen</w:t>
      </w:r>
      <w:r w:rsidR="003409C9" w:rsidRPr="003409C9">
        <w:rPr>
          <w:noProof/>
        </w:rPr>
        <w:t xml:space="preserve"> i wsp</w:t>
      </w:r>
      <w:r w:rsidRPr="003409C9">
        <w:rPr>
          <w:noProof/>
        </w:rPr>
        <w:t>ólnych przepisów regulujących przepływ osób przez granice zewnętrzne,</w:t>
      </w:r>
      <w:r w:rsidR="003409C9" w:rsidRPr="003409C9">
        <w:rPr>
          <w:noProof/>
        </w:rPr>
        <w:t xml:space="preserve"> w szc</w:t>
      </w:r>
      <w:r w:rsidRPr="003409C9">
        <w:rPr>
          <w:noProof/>
        </w:rPr>
        <w:t>zególności zgodnie</w:t>
      </w:r>
      <w:r w:rsidR="003409C9" w:rsidRPr="003409C9">
        <w:rPr>
          <w:noProof/>
        </w:rPr>
        <w:t xml:space="preserve"> z kod</w:t>
      </w:r>
      <w:r w:rsidRPr="003409C9">
        <w:rPr>
          <w:noProof/>
        </w:rPr>
        <w:t>eksem granicznym Schengen</w:t>
      </w:r>
      <w:r w:rsidRPr="003409C9">
        <w:rPr>
          <w:rStyle w:val="FootnoteReference0"/>
          <w:noProof/>
        </w:rPr>
        <w:footnoteReference w:id="18"/>
      </w:r>
      <w:r w:rsidR="003409C9" w:rsidRPr="003409C9">
        <w:rPr>
          <w:noProof/>
        </w:rPr>
        <w:t>. W tym</w:t>
      </w:r>
      <w:r w:rsidRPr="003409C9">
        <w:rPr>
          <w:noProof/>
        </w:rPr>
        <w:t xml:space="preserve"> kontekście decyzje jednego państwa członkowskiego mają wpływ na inne państwa członkowskie, dlatego konieczne jest ustanowienie wspólnych</w:t>
      </w:r>
      <w:r w:rsidR="003409C9" w:rsidRPr="003409C9">
        <w:rPr>
          <w:noProof/>
        </w:rPr>
        <w:t xml:space="preserve"> i jas</w:t>
      </w:r>
      <w:r w:rsidRPr="003409C9">
        <w:rPr>
          <w:noProof/>
        </w:rPr>
        <w:t>nych zasad oraz praktyk operacyjnych</w:t>
      </w:r>
      <w:r w:rsidR="003409C9" w:rsidRPr="003409C9">
        <w:rPr>
          <w:noProof/>
        </w:rPr>
        <w:t xml:space="preserve"> w tej</w:t>
      </w:r>
      <w:r w:rsidRPr="003409C9">
        <w:rPr>
          <w:noProof/>
        </w:rPr>
        <w:t xml:space="preserve"> dziedzinie. Wydajne</w:t>
      </w:r>
      <w:r w:rsidR="003409C9" w:rsidRPr="003409C9">
        <w:rPr>
          <w:noProof/>
        </w:rPr>
        <w:t xml:space="preserve"> i sku</w:t>
      </w:r>
      <w:r w:rsidRPr="003409C9">
        <w:rPr>
          <w:noProof/>
        </w:rPr>
        <w:t>teczne kontrole na granicach zewnętrznych wymagają spójnego podejścia</w:t>
      </w:r>
      <w:r w:rsidR="003409C9" w:rsidRPr="003409C9">
        <w:rPr>
          <w:noProof/>
        </w:rPr>
        <w:t xml:space="preserve"> w cał</w:t>
      </w:r>
      <w:r w:rsidRPr="003409C9">
        <w:rPr>
          <w:noProof/>
        </w:rPr>
        <w:t>ej strefie Schengen,</w:t>
      </w:r>
      <w:r w:rsidR="003409C9" w:rsidRPr="003409C9">
        <w:rPr>
          <w:noProof/>
        </w:rPr>
        <w:t xml:space="preserve"> w tym w zak</w:t>
      </w:r>
      <w:r w:rsidRPr="003409C9">
        <w:rPr>
          <w:noProof/>
        </w:rPr>
        <w:t>resie możliwości wstępnych kontroli podróżnych</w:t>
      </w:r>
      <w:r w:rsidR="003409C9" w:rsidRPr="003409C9">
        <w:rPr>
          <w:noProof/>
        </w:rPr>
        <w:t xml:space="preserve"> z wyk</w:t>
      </w:r>
      <w:r w:rsidRPr="003409C9">
        <w:rPr>
          <w:noProof/>
        </w:rPr>
        <w:t>orzystaniem danych API.</w:t>
      </w:r>
    </w:p>
    <w:p w:rsidR="00832116" w:rsidRPr="003409C9" w:rsidRDefault="00832116" w:rsidP="00832116">
      <w:pPr>
        <w:rPr>
          <w:noProof/>
        </w:rPr>
      </w:pPr>
      <w:r w:rsidRPr="003409C9">
        <w:rPr>
          <w:noProof/>
        </w:rPr>
        <w:t>Potrzeba podjęcia działania na poziomie UE</w:t>
      </w:r>
      <w:r w:rsidR="003409C9" w:rsidRPr="003409C9">
        <w:rPr>
          <w:noProof/>
        </w:rPr>
        <w:t xml:space="preserve"> w odn</w:t>
      </w:r>
      <w:r w:rsidRPr="003409C9">
        <w:rPr>
          <w:noProof/>
        </w:rPr>
        <w:t>iesieniu do danych API na tym etapie wynika również</w:t>
      </w:r>
      <w:r w:rsidR="003409C9" w:rsidRPr="003409C9">
        <w:rPr>
          <w:noProof/>
        </w:rPr>
        <w:t xml:space="preserve"> z nie</w:t>
      </w:r>
      <w:r w:rsidRPr="003409C9">
        <w:rPr>
          <w:noProof/>
        </w:rPr>
        <w:t>dawnych zmian legislacyjnych dotyczących zarządzania zewnętrznymi granicami strefy Schengen,</w:t>
      </w:r>
      <w:r w:rsidR="003409C9" w:rsidRPr="003409C9">
        <w:rPr>
          <w:noProof/>
        </w:rPr>
        <w:t xml:space="preserve"> w szc</w:t>
      </w:r>
      <w:r w:rsidRPr="003409C9">
        <w:rPr>
          <w:noProof/>
        </w:rPr>
        <w:t xml:space="preserve">zególności: </w:t>
      </w:r>
    </w:p>
    <w:p w:rsidR="00832116" w:rsidRPr="003409C9" w:rsidRDefault="00832116" w:rsidP="00D814A0">
      <w:pPr>
        <w:pStyle w:val="Tiret1"/>
        <w:numPr>
          <w:ilvl w:val="0"/>
          <w:numId w:val="9"/>
        </w:numPr>
        <w:rPr>
          <w:noProof/>
        </w:rPr>
      </w:pPr>
      <w:r w:rsidRPr="003409C9">
        <w:rPr>
          <w:noProof/>
        </w:rPr>
        <w:t>rozporządzenie</w:t>
      </w:r>
      <w:r w:rsidR="003409C9" w:rsidRPr="003409C9">
        <w:rPr>
          <w:noProof/>
        </w:rPr>
        <w:t xml:space="preserve"> w spr</w:t>
      </w:r>
      <w:r w:rsidRPr="003409C9">
        <w:rPr>
          <w:noProof/>
        </w:rPr>
        <w:t>awie interoperacyjności</w:t>
      </w:r>
      <w:r w:rsidRPr="003409C9">
        <w:rPr>
          <w:rStyle w:val="FootnoteReference0"/>
          <w:noProof/>
        </w:rPr>
        <w:footnoteReference w:id="19"/>
      </w:r>
      <w:r w:rsidR="003409C9" w:rsidRPr="003409C9">
        <w:rPr>
          <w:noProof/>
        </w:rPr>
        <w:t xml:space="preserve"> z 2</w:t>
      </w:r>
      <w:r w:rsidRPr="003409C9">
        <w:rPr>
          <w:noProof/>
        </w:rPr>
        <w:t>019</w:t>
      </w:r>
      <w:r w:rsidR="003409C9" w:rsidRPr="003409C9">
        <w:rPr>
          <w:noProof/>
        </w:rPr>
        <w:t> </w:t>
      </w:r>
      <w:r w:rsidRPr="003409C9">
        <w:rPr>
          <w:noProof/>
        </w:rPr>
        <w:t>r. umożliwi systematyczne odprawy osób przekraczających granice zewnętrzne</w:t>
      </w:r>
      <w:r w:rsidR="003409C9" w:rsidRPr="003409C9">
        <w:rPr>
          <w:noProof/>
        </w:rPr>
        <w:t xml:space="preserve"> z wyk</w:t>
      </w:r>
      <w:r w:rsidRPr="003409C9">
        <w:rPr>
          <w:noProof/>
        </w:rPr>
        <w:t>orzystaniem wszystkich dostępnych</w:t>
      </w:r>
      <w:r w:rsidR="003409C9" w:rsidRPr="003409C9">
        <w:rPr>
          <w:noProof/>
        </w:rPr>
        <w:t xml:space="preserve"> i ist</w:t>
      </w:r>
      <w:r w:rsidRPr="003409C9">
        <w:rPr>
          <w:noProof/>
        </w:rPr>
        <w:t>otnych informacji zawartych</w:t>
      </w:r>
      <w:r w:rsidR="003409C9" w:rsidRPr="003409C9">
        <w:rPr>
          <w:noProof/>
        </w:rPr>
        <w:t xml:space="preserve"> w sce</w:t>
      </w:r>
      <w:r w:rsidRPr="003409C9">
        <w:rPr>
          <w:noProof/>
        </w:rPr>
        <w:t>ntralizowanych systemach informacyjnych UE</w:t>
      </w:r>
      <w:r w:rsidR="003409C9" w:rsidRPr="003409C9">
        <w:rPr>
          <w:noProof/>
        </w:rPr>
        <w:t xml:space="preserve"> w dzi</w:t>
      </w:r>
      <w:r w:rsidRPr="003409C9">
        <w:rPr>
          <w:noProof/>
        </w:rPr>
        <w:t>edzinie bezpieczeństwa oraz zarządzania granicami</w:t>
      </w:r>
      <w:r w:rsidR="003409C9" w:rsidRPr="003409C9">
        <w:rPr>
          <w:noProof/>
        </w:rPr>
        <w:t xml:space="preserve"> i mig</w:t>
      </w:r>
      <w:r w:rsidRPr="003409C9">
        <w:rPr>
          <w:noProof/>
        </w:rPr>
        <w:t>racjami. Ustanowienie scentralizowanego mechanizmu przekazywania danych API na poziomie UE jest logiczną kontynuacją tej koncepcji. Zgodnie</w:t>
      </w:r>
      <w:r w:rsidR="003409C9" w:rsidRPr="003409C9">
        <w:rPr>
          <w:noProof/>
        </w:rPr>
        <w:t xml:space="preserve"> z kon</w:t>
      </w:r>
      <w:r w:rsidRPr="003409C9">
        <w:rPr>
          <w:noProof/>
        </w:rPr>
        <w:t>cepcjami zawartymi</w:t>
      </w:r>
      <w:r w:rsidR="003409C9" w:rsidRPr="003409C9">
        <w:rPr>
          <w:noProof/>
        </w:rPr>
        <w:t xml:space="preserve"> w roz</w:t>
      </w:r>
      <w:r w:rsidRPr="003409C9">
        <w:rPr>
          <w:noProof/>
        </w:rPr>
        <w:t>porządzeniach</w:t>
      </w:r>
      <w:r w:rsidR="003409C9" w:rsidRPr="003409C9">
        <w:rPr>
          <w:noProof/>
        </w:rPr>
        <w:t xml:space="preserve"> w spr</w:t>
      </w:r>
      <w:r w:rsidRPr="003409C9">
        <w:rPr>
          <w:noProof/>
        </w:rPr>
        <w:t>awie interoperacyjności scentralizowane przekazywanie danych API mogłoby</w:t>
      </w:r>
      <w:r w:rsidR="003409C9" w:rsidRPr="003409C9">
        <w:rPr>
          <w:noProof/>
        </w:rPr>
        <w:t xml:space="preserve"> w prz</w:t>
      </w:r>
      <w:r w:rsidRPr="003409C9">
        <w:rPr>
          <w:noProof/>
        </w:rPr>
        <w:t>yszłości prowadzić do wykorzystywania tych danych do przeszukiwania różnych baz danych (SIS, dane Europolu) za pośrednictwem europejskiego portalu wyszukiwania;</w:t>
      </w:r>
      <w:r w:rsidR="003B5A1D" w:rsidRPr="003409C9">
        <w:rPr>
          <w:noProof/>
        </w:rPr>
        <w:t xml:space="preserve"> </w:t>
      </w:r>
    </w:p>
    <w:p w:rsidR="00832116" w:rsidRPr="003409C9" w:rsidRDefault="00832116" w:rsidP="00D71F7E">
      <w:pPr>
        <w:pStyle w:val="Tiret1"/>
        <w:rPr>
          <w:noProof/>
        </w:rPr>
      </w:pPr>
      <w:r w:rsidRPr="003409C9">
        <w:rPr>
          <w:noProof/>
        </w:rPr>
        <w:t>na granicach zewnętrznych wykorzystanie danych API stanowiłoby skuteczne uzupełnienie zbliżającego się wdrożenia europejskiego systemu informacji</w:t>
      </w:r>
      <w:r w:rsidR="003409C9" w:rsidRPr="003409C9">
        <w:rPr>
          <w:noProof/>
        </w:rPr>
        <w:t xml:space="preserve"> o pod</w:t>
      </w:r>
      <w:r w:rsidRPr="003409C9">
        <w:rPr>
          <w:noProof/>
        </w:rPr>
        <w:t>różach</w:t>
      </w:r>
      <w:r w:rsidR="003409C9" w:rsidRPr="003409C9">
        <w:rPr>
          <w:noProof/>
        </w:rPr>
        <w:t xml:space="preserve"> i aut</w:t>
      </w:r>
      <w:r w:rsidRPr="003409C9">
        <w:rPr>
          <w:noProof/>
        </w:rPr>
        <w:t>oryzacji (ETIAS) oraz systemu wjazdu/wyjazdu (EES). Wykorzystanie danych API byłoby nadal niezbędne</w:t>
      </w:r>
      <w:r w:rsidR="003409C9" w:rsidRPr="003409C9">
        <w:rPr>
          <w:noProof/>
        </w:rPr>
        <w:t xml:space="preserve"> w zar</w:t>
      </w:r>
      <w:r w:rsidRPr="003409C9">
        <w:rPr>
          <w:noProof/>
        </w:rPr>
        <w:t>ządzaniu granicami zewnętrznymi, ponieważ pozwalałoby</w:t>
      </w:r>
      <w:r w:rsidR="003409C9" w:rsidRPr="003409C9">
        <w:rPr>
          <w:noProof/>
        </w:rPr>
        <w:t xml:space="preserve"> z wyp</w:t>
      </w:r>
      <w:r w:rsidRPr="003409C9">
        <w:rPr>
          <w:noProof/>
        </w:rPr>
        <w:t>rzedzeniem informować funkcjonariuszy straży granicznej</w:t>
      </w:r>
      <w:r w:rsidR="003409C9" w:rsidRPr="003409C9">
        <w:rPr>
          <w:noProof/>
        </w:rPr>
        <w:t xml:space="preserve"> o tym</w:t>
      </w:r>
      <w:r w:rsidRPr="003409C9">
        <w:rPr>
          <w:noProof/>
        </w:rPr>
        <w:t>, czy dany podróżny faktycznie wsiadł na pokład samolotu</w:t>
      </w:r>
      <w:r w:rsidR="003409C9" w:rsidRPr="003409C9">
        <w:rPr>
          <w:noProof/>
        </w:rPr>
        <w:t xml:space="preserve"> i zam</w:t>
      </w:r>
      <w:r w:rsidRPr="003409C9">
        <w:rPr>
          <w:noProof/>
        </w:rPr>
        <w:t>ierza wjechać do strefy Schengen, co ułatwi odprawę graniczną, która będzie miała miejsce po przybyciu podróżnego na granicę zewnętrzną.</w:t>
      </w:r>
    </w:p>
    <w:p w:rsidR="00832116" w:rsidRPr="00BB07AF" w:rsidRDefault="00832116" w:rsidP="00832116">
      <w:pPr>
        <w:pStyle w:val="ManualHeading2"/>
        <w:rPr>
          <w:rFonts w:eastAsia="Arial Unicode MS"/>
          <w:noProof/>
          <w:u w:color="000000"/>
          <w:bdr w:val="nil"/>
        </w:rPr>
      </w:pPr>
      <w:r w:rsidRPr="00BB07AF">
        <w:rPr>
          <w:noProof/>
          <w:u w:color="000000"/>
          <w:bdr w:val="nil"/>
        </w:rPr>
        <w:t>•</w:t>
      </w:r>
      <w:r w:rsidRPr="00BB07AF">
        <w:rPr>
          <w:noProof/>
        </w:rPr>
        <w:tab/>
      </w:r>
      <w:r w:rsidRPr="00BB07AF">
        <w:rPr>
          <w:noProof/>
          <w:u w:color="000000"/>
          <w:bdr w:val="nil"/>
        </w:rPr>
        <w:t>Proporcjonalność</w:t>
      </w:r>
    </w:p>
    <w:p w:rsidR="00832116" w:rsidRPr="003409C9" w:rsidRDefault="00832116" w:rsidP="00832116">
      <w:pPr>
        <w:rPr>
          <w:noProof/>
        </w:rPr>
      </w:pPr>
      <w:bookmarkStart w:id="6" w:name="_Hlk117165654"/>
      <w:r w:rsidRPr="003409C9">
        <w:rPr>
          <w:noProof/>
        </w:rPr>
        <w:t>Zgodnie</w:t>
      </w:r>
      <w:r w:rsidR="003409C9" w:rsidRPr="003409C9">
        <w:rPr>
          <w:noProof/>
        </w:rPr>
        <w:t xml:space="preserve"> z zas</w:t>
      </w:r>
      <w:r w:rsidRPr="003409C9">
        <w:rPr>
          <w:noProof/>
        </w:rPr>
        <w:t>adą proporcjonalności określoną</w:t>
      </w:r>
      <w:r w:rsidR="003409C9" w:rsidRPr="003409C9">
        <w:rPr>
          <w:noProof/>
        </w:rPr>
        <w:t xml:space="preserve"> w art</w:t>
      </w:r>
      <w:r w:rsidRPr="003409C9">
        <w:rPr>
          <w:noProof/>
        </w:rPr>
        <w:t>.</w:t>
      </w:r>
      <w:r w:rsidR="003409C9" w:rsidRPr="003409C9">
        <w:rPr>
          <w:noProof/>
        </w:rPr>
        <w:t> </w:t>
      </w:r>
      <w:r w:rsidRPr="003409C9">
        <w:rPr>
          <w:noProof/>
        </w:rPr>
        <w:t>5 ust.</w:t>
      </w:r>
      <w:r w:rsidR="003409C9" w:rsidRPr="003409C9">
        <w:rPr>
          <w:noProof/>
        </w:rPr>
        <w:t> </w:t>
      </w:r>
      <w:r w:rsidRPr="003409C9">
        <w:rPr>
          <w:noProof/>
        </w:rPr>
        <w:t>4 Traktatu UE konieczne jest dostosowanie charakteru</w:t>
      </w:r>
      <w:r w:rsidR="003409C9" w:rsidRPr="003409C9">
        <w:rPr>
          <w:noProof/>
        </w:rPr>
        <w:t xml:space="preserve"> i int</w:t>
      </w:r>
      <w:r w:rsidRPr="003409C9">
        <w:rPr>
          <w:noProof/>
        </w:rPr>
        <w:t>ensywności danego działania do zidentyfikowanego problemu. Wszystkie kwestie poruszone</w:t>
      </w:r>
      <w:r w:rsidR="003409C9" w:rsidRPr="003409C9">
        <w:rPr>
          <w:noProof/>
        </w:rPr>
        <w:t xml:space="preserve"> w nin</w:t>
      </w:r>
      <w:r w:rsidRPr="003409C9">
        <w:rPr>
          <w:noProof/>
        </w:rPr>
        <w:t>iejszej inicjatywie ustawodawczej wymagają,</w:t>
      </w:r>
      <w:r w:rsidR="003409C9" w:rsidRPr="003409C9">
        <w:rPr>
          <w:noProof/>
        </w:rPr>
        <w:t xml:space="preserve"> w tak</w:t>
      </w:r>
      <w:r w:rsidRPr="003409C9">
        <w:rPr>
          <w:noProof/>
        </w:rPr>
        <w:t xml:space="preserve">i czy inny sposób, podjęcia działań ustawodawczych na szczeblu UE, które umożliwiałyby państwom członkowskim skuteczne zajęcie się tymi problemami, nie wykraczając poza to, co jest konieczne do ich rozwiązania. </w:t>
      </w:r>
    </w:p>
    <w:bookmarkEnd w:id="6"/>
    <w:p w:rsidR="00832116" w:rsidRPr="003409C9" w:rsidRDefault="00832116" w:rsidP="00832116">
      <w:pPr>
        <w:rPr>
          <w:noProof/>
        </w:rPr>
      </w:pPr>
      <w:r w:rsidRPr="003409C9">
        <w:rPr>
          <w:noProof/>
        </w:rPr>
        <w:t>Niniejszy wniosek przyczyni się do wzmocnienia ram prawnych dotyczących gromadzenia</w:t>
      </w:r>
      <w:r w:rsidR="003409C9" w:rsidRPr="003409C9">
        <w:rPr>
          <w:noProof/>
        </w:rPr>
        <w:t xml:space="preserve"> i prz</w:t>
      </w:r>
      <w:r w:rsidRPr="003409C9">
        <w:rPr>
          <w:noProof/>
        </w:rPr>
        <w:t>ekazywania danych API do celów zarządzania granicami zewnętrznymi</w:t>
      </w:r>
      <w:r w:rsidR="003409C9" w:rsidRPr="003409C9">
        <w:rPr>
          <w:noProof/>
        </w:rPr>
        <w:t xml:space="preserve"> i zwa</w:t>
      </w:r>
      <w:r w:rsidRPr="003409C9">
        <w:rPr>
          <w:noProof/>
        </w:rPr>
        <w:t>lczania nielegalnej imigracji. Dzięki niemu zwiększy się znaczenie danych API jako instrumentu usprawniającego wstępne kontrole podróżnych na granicach zewnętrznych, co przyczyni się nie tylko do poprawy skuteczności</w:t>
      </w:r>
      <w:r w:rsidR="003409C9" w:rsidRPr="003409C9">
        <w:rPr>
          <w:noProof/>
        </w:rPr>
        <w:t xml:space="preserve"> i wyd</w:t>
      </w:r>
      <w:r w:rsidRPr="003409C9">
        <w:rPr>
          <w:noProof/>
        </w:rPr>
        <w:t>ajności samej odprawy, ale także do realizacji celu polegającego na zwalczaniu nielegalnej imigracji, szczególnie</w:t>
      </w:r>
      <w:r w:rsidR="003409C9" w:rsidRPr="003409C9">
        <w:rPr>
          <w:noProof/>
        </w:rPr>
        <w:t xml:space="preserve"> w zwi</w:t>
      </w:r>
      <w:r w:rsidRPr="003409C9">
        <w:rPr>
          <w:noProof/>
        </w:rPr>
        <w:t>ązku</w:t>
      </w:r>
      <w:r w:rsidR="003409C9" w:rsidRPr="003409C9">
        <w:rPr>
          <w:noProof/>
        </w:rPr>
        <w:t xml:space="preserve"> z tra</w:t>
      </w:r>
      <w:r w:rsidRPr="003409C9">
        <w:rPr>
          <w:noProof/>
        </w:rPr>
        <w:t>nsgranicznymi podróżami lotniczymi</w:t>
      </w:r>
      <w:r w:rsidR="003409C9" w:rsidRPr="003409C9">
        <w:rPr>
          <w:noProof/>
        </w:rPr>
        <w:t xml:space="preserve"> i odp</w:t>
      </w:r>
      <w:r w:rsidRPr="003409C9">
        <w:rPr>
          <w:noProof/>
        </w:rPr>
        <w:t>owiedzialnością przewoźników lotniczych</w:t>
      </w:r>
      <w:r w:rsidR="003409C9" w:rsidRPr="003409C9">
        <w:rPr>
          <w:noProof/>
        </w:rPr>
        <w:t xml:space="preserve"> w tym</w:t>
      </w:r>
      <w:r w:rsidRPr="003409C9">
        <w:rPr>
          <w:noProof/>
        </w:rPr>
        <w:t xml:space="preserve"> zakresie. Zgodnie</w:t>
      </w:r>
      <w:r w:rsidR="003409C9" w:rsidRPr="003409C9">
        <w:rPr>
          <w:noProof/>
        </w:rPr>
        <w:t xml:space="preserve"> z nor</w:t>
      </w:r>
      <w:r w:rsidRPr="003409C9">
        <w:rPr>
          <w:noProof/>
        </w:rPr>
        <w:t>mami międzynarodowymi</w:t>
      </w:r>
      <w:r w:rsidR="003409C9" w:rsidRPr="003409C9">
        <w:rPr>
          <w:noProof/>
        </w:rPr>
        <w:t xml:space="preserve"> i zal</w:t>
      </w:r>
      <w:r w:rsidRPr="003409C9">
        <w:rPr>
          <w:noProof/>
        </w:rPr>
        <w:t>ecanymi praktykami niniejszy wniosek będzie zawierał wymóg, aby przewoźnicy lotniczy gromadzili</w:t>
      </w:r>
      <w:r w:rsidR="003409C9" w:rsidRPr="003409C9">
        <w:rPr>
          <w:noProof/>
        </w:rPr>
        <w:t xml:space="preserve"> i prz</w:t>
      </w:r>
      <w:r w:rsidRPr="003409C9">
        <w:rPr>
          <w:noProof/>
        </w:rPr>
        <w:t>ekazywali dane API</w:t>
      </w:r>
      <w:r w:rsidR="003409C9" w:rsidRPr="003409C9">
        <w:rPr>
          <w:noProof/>
        </w:rPr>
        <w:t xml:space="preserve"> w odn</w:t>
      </w:r>
      <w:r w:rsidRPr="003409C9">
        <w:rPr>
          <w:noProof/>
        </w:rPr>
        <w:t>iesieniu do wszystkich lotów do Unii, jak określono we wniosku. Obowiązki określone</w:t>
      </w:r>
      <w:r w:rsidR="003409C9" w:rsidRPr="003409C9">
        <w:rPr>
          <w:noProof/>
        </w:rPr>
        <w:t xml:space="preserve"> w nin</w:t>
      </w:r>
      <w:r w:rsidRPr="003409C9">
        <w:rPr>
          <w:noProof/>
        </w:rPr>
        <w:t>iejszym wniosku są ograniczone do tego, co jest niezbędne do osiągnięcia tego celu</w:t>
      </w:r>
      <w:r w:rsidR="003409C9" w:rsidRPr="003409C9">
        <w:rPr>
          <w:noProof/>
        </w:rPr>
        <w:t>. W nin</w:t>
      </w:r>
      <w:r w:rsidRPr="003409C9">
        <w:rPr>
          <w:noProof/>
        </w:rPr>
        <w:t>iejszym wniosku ustanawia się</w:t>
      </w:r>
      <w:r w:rsidR="003409C9" w:rsidRPr="003409C9">
        <w:rPr>
          <w:noProof/>
        </w:rPr>
        <w:t xml:space="preserve"> w szc</w:t>
      </w:r>
      <w:r w:rsidRPr="003409C9">
        <w:rPr>
          <w:noProof/>
        </w:rPr>
        <w:t>zególności jasne przepisy dotyczące m.in. tego, co stanowi dane API, na jakich trasach przewoźnicy lotniczy powinni gromadzić dane API</w:t>
      </w:r>
      <w:r w:rsidR="003409C9" w:rsidRPr="003409C9">
        <w:rPr>
          <w:noProof/>
        </w:rPr>
        <w:t xml:space="preserve"> i jak</w:t>
      </w:r>
      <w:r w:rsidRPr="003409C9">
        <w:rPr>
          <w:noProof/>
        </w:rPr>
        <w:t xml:space="preserve"> powinni je przekazywać</w:t>
      </w:r>
      <w:r w:rsidR="003409C9" w:rsidRPr="003409C9">
        <w:rPr>
          <w:noProof/>
        </w:rPr>
        <w:t>. W dro</w:t>
      </w:r>
      <w:r w:rsidRPr="003409C9">
        <w:rPr>
          <w:noProof/>
        </w:rPr>
        <w:t>dze rozporządzenia</w:t>
      </w:r>
      <w:r w:rsidR="003409C9" w:rsidRPr="003409C9">
        <w:rPr>
          <w:noProof/>
        </w:rPr>
        <w:t xml:space="preserve"> w nin</w:t>
      </w:r>
      <w:r w:rsidRPr="003409C9">
        <w:rPr>
          <w:noProof/>
        </w:rPr>
        <w:t>iejszym wniosku określone zostanie spójne podejście do wykorzystania danych API</w:t>
      </w:r>
      <w:r w:rsidR="003409C9" w:rsidRPr="003409C9">
        <w:rPr>
          <w:noProof/>
        </w:rPr>
        <w:t xml:space="preserve"> w zar</w:t>
      </w:r>
      <w:r w:rsidRPr="003409C9">
        <w:rPr>
          <w:noProof/>
        </w:rPr>
        <w:t>ządzaniu granicami zewnętrznymi</w:t>
      </w:r>
      <w:r w:rsidR="003409C9" w:rsidRPr="003409C9">
        <w:rPr>
          <w:noProof/>
        </w:rPr>
        <w:t xml:space="preserve"> i zwa</w:t>
      </w:r>
      <w:r w:rsidRPr="003409C9">
        <w:rPr>
          <w:noProof/>
        </w:rPr>
        <w:t>lczaniu nielegalnej imigracji. Taka standaryzacja wymogów</w:t>
      </w:r>
      <w:r w:rsidR="003409C9" w:rsidRPr="003409C9">
        <w:rPr>
          <w:noProof/>
        </w:rPr>
        <w:t xml:space="preserve"> w zak</w:t>
      </w:r>
      <w:r w:rsidRPr="003409C9">
        <w:rPr>
          <w:noProof/>
        </w:rPr>
        <w:t>resie API</w:t>
      </w:r>
      <w:r w:rsidR="003409C9" w:rsidRPr="003409C9">
        <w:rPr>
          <w:noProof/>
        </w:rPr>
        <w:t xml:space="preserve"> w pań</w:t>
      </w:r>
      <w:r w:rsidRPr="003409C9">
        <w:rPr>
          <w:noProof/>
        </w:rPr>
        <w:t>stwach członkowskich przyczyni się do zwiększenia pewności prawa</w:t>
      </w:r>
      <w:r w:rsidR="003409C9" w:rsidRPr="003409C9">
        <w:rPr>
          <w:noProof/>
        </w:rPr>
        <w:t xml:space="preserve"> i prz</w:t>
      </w:r>
      <w:r w:rsidRPr="003409C9">
        <w:rPr>
          <w:noProof/>
        </w:rPr>
        <w:t xml:space="preserve">ewidywalności, a co za tym idzie – także do lepszego przestrzegania przepisów przez przewoźników lotniczych. </w:t>
      </w:r>
    </w:p>
    <w:p w:rsidR="001279F6" w:rsidRPr="003409C9" w:rsidRDefault="001279F6" w:rsidP="001279F6">
      <w:pPr>
        <w:rPr>
          <w:noProof/>
        </w:rPr>
      </w:pPr>
      <w:r w:rsidRPr="003409C9">
        <w:rPr>
          <w:noProof/>
        </w:rPr>
        <w:t>Zgodność</w:t>
      </w:r>
      <w:r w:rsidR="003409C9" w:rsidRPr="003409C9">
        <w:rPr>
          <w:noProof/>
        </w:rPr>
        <w:t xml:space="preserve"> z zas</w:t>
      </w:r>
      <w:r w:rsidRPr="003409C9">
        <w:rPr>
          <w:noProof/>
        </w:rPr>
        <w:t>adą proporcjonalności zapewnia się również dzięki kilku elementom proponowanego rozporządzenia, obejmującym m.in. ograniczenie wyłącznie do lotów przychodzących, ukierunkowanie wymogu automatyzacji wyłącznie na niektóre dane API oraz zabezpieczenia dotyczące sposobu</w:t>
      </w:r>
      <w:r w:rsidR="003409C9" w:rsidRPr="003409C9">
        <w:rPr>
          <w:noProof/>
        </w:rPr>
        <w:t xml:space="preserve"> i cel</w:t>
      </w:r>
      <w:r w:rsidRPr="003409C9">
        <w:rPr>
          <w:noProof/>
        </w:rPr>
        <w:t xml:space="preserve">u przetwarzania danych API. </w:t>
      </w:r>
    </w:p>
    <w:p w:rsidR="00832116" w:rsidRPr="003409C9" w:rsidRDefault="00832116" w:rsidP="00832116">
      <w:pPr>
        <w:rPr>
          <w:noProof/>
        </w:rPr>
      </w:pPr>
      <w:bookmarkStart w:id="7" w:name="_Hlk117698105"/>
      <w:r w:rsidRPr="003409C9">
        <w:rPr>
          <w:noProof/>
        </w:rPr>
        <w:t>W proponowanym rozporządzeniu przewiduje się utworzenie routera, który stanowiłby pojedynczy punkt łączności między państwami członkowskimi</w:t>
      </w:r>
      <w:r w:rsidR="003409C9" w:rsidRPr="003409C9">
        <w:rPr>
          <w:noProof/>
        </w:rPr>
        <w:t xml:space="preserve"> a prz</w:t>
      </w:r>
      <w:r w:rsidRPr="003409C9">
        <w:rPr>
          <w:noProof/>
        </w:rPr>
        <w:t>ewoźnikami lotniczymi, zgodnie</w:t>
      </w:r>
      <w:r w:rsidR="003409C9" w:rsidRPr="003409C9">
        <w:rPr>
          <w:noProof/>
        </w:rPr>
        <w:t xml:space="preserve"> z zal</w:t>
      </w:r>
      <w:r w:rsidRPr="003409C9">
        <w:rPr>
          <w:noProof/>
        </w:rPr>
        <w:t>eceniami międzynarodowymi, oraz ustanawia się unijne podejście do gromadzenia</w:t>
      </w:r>
      <w:r w:rsidR="003409C9" w:rsidRPr="003409C9">
        <w:rPr>
          <w:noProof/>
        </w:rPr>
        <w:t xml:space="preserve"> i prz</w:t>
      </w:r>
      <w:r w:rsidRPr="003409C9">
        <w:rPr>
          <w:noProof/>
        </w:rPr>
        <w:t>ekazywania danych API. Przekazywanie danych API za pośrednictwem routera zmniejszy koszty ponoszone przez branżę lotniczą</w:t>
      </w:r>
      <w:r w:rsidR="003409C9" w:rsidRPr="003409C9">
        <w:rPr>
          <w:noProof/>
        </w:rPr>
        <w:t xml:space="preserve"> i zap</w:t>
      </w:r>
      <w:r w:rsidRPr="003409C9">
        <w:rPr>
          <w:noProof/>
        </w:rPr>
        <w:t>ewni straży granicznej szybki</w:t>
      </w:r>
      <w:r w:rsidR="003409C9" w:rsidRPr="003409C9">
        <w:rPr>
          <w:noProof/>
        </w:rPr>
        <w:t xml:space="preserve"> i bez</w:t>
      </w:r>
      <w:r w:rsidRPr="003409C9">
        <w:rPr>
          <w:noProof/>
        </w:rPr>
        <w:t>problemowy dostęp do danych API, których potrzebuje ona do przeprowadzania odpraw granicznych</w:t>
      </w:r>
      <w:r w:rsidR="003409C9" w:rsidRPr="003409C9">
        <w:rPr>
          <w:noProof/>
        </w:rPr>
        <w:t xml:space="preserve"> z wyp</w:t>
      </w:r>
      <w:r w:rsidRPr="003409C9">
        <w:rPr>
          <w:noProof/>
        </w:rPr>
        <w:t>rzedzeniem. Takie podejście pozwoli drastycznie zmniejszyć liczbę połączeń, które trzeba nawiązywać</w:t>
      </w:r>
      <w:r w:rsidR="003409C9" w:rsidRPr="003409C9">
        <w:rPr>
          <w:noProof/>
        </w:rPr>
        <w:t xml:space="preserve"> i utr</w:t>
      </w:r>
      <w:r w:rsidRPr="003409C9">
        <w:rPr>
          <w:noProof/>
        </w:rPr>
        <w:t>zymywać</w:t>
      </w:r>
      <w:r w:rsidR="003409C9" w:rsidRPr="003409C9">
        <w:rPr>
          <w:noProof/>
        </w:rPr>
        <w:t xml:space="preserve"> z per</w:t>
      </w:r>
      <w:r w:rsidRPr="003409C9">
        <w:rPr>
          <w:noProof/>
        </w:rPr>
        <w:t>spektywy państw członkowskich</w:t>
      </w:r>
      <w:r w:rsidR="003409C9" w:rsidRPr="003409C9">
        <w:rPr>
          <w:noProof/>
        </w:rPr>
        <w:t>. Z dru</w:t>
      </w:r>
      <w:r w:rsidRPr="003409C9">
        <w:rPr>
          <w:noProof/>
        </w:rPr>
        <w:t>giej strony przyczyni się do zmniejszenia złożoności procesu utrzymywania przez przewoźników lotniczych połączeń</w:t>
      </w:r>
      <w:r w:rsidR="003409C9" w:rsidRPr="003409C9">
        <w:rPr>
          <w:noProof/>
        </w:rPr>
        <w:t xml:space="preserve"> z wła</w:t>
      </w:r>
      <w:r w:rsidRPr="003409C9">
        <w:rPr>
          <w:noProof/>
        </w:rPr>
        <w:t>ściwymi służbami granicznymi</w:t>
      </w:r>
      <w:r w:rsidR="003409C9" w:rsidRPr="003409C9">
        <w:rPr>
          <w:noProof/>
        </w:rPr>
        <w:t xml:space="preserve"> i wpr</w:t>
      </w:r>
      <w:r w:rsidRPr="003409C9">
        <w:rPr>
          <w:noProof/>
        </w:rPr>
        <w:t>owadzi korzyści skali. Agencja UE – eu-LISA – będzie odpowiedzialna za zaprojektowanie, opracowanie</w:t>
      </w:r>
      <w:r w:rsidR="003409C9" w:rsidRPr="003409C9">
        <w:rPr>
          <w:noProof/>
        </w:rPr>
        <w:t xml:space="preserve"> i obs</w:t>
      </w:r>
      <w:r w:rsidRPr="003409C9">
        <w:rPr>
          <w:noProof/>
        </w:rPr>
        <w:t>ługę routera oraz za zarządzanie techniczne tym routerem. Przekazywanie danych API za pośrednictwem routera ułatwi monitorowanie lotów,</w:t>
      </w:r>
      <w:r w:rsidR="003409C9" w:rsidRPr="003409C9">
        <w:rPr>
          <w:noProof/>
        </w:rPr>
        <w:t xml:space="preserve"> a tym</w:t>
      </w:r>
      <w:r w:rsidRPr="003409C9">
        <w:rPr>
          <w:noProof/>
        </w:rPr>
        <w:t xml:space="preserve"> samym zmniejszy prawdopodobieństwo, że przewoźnik nie dopełnił obowiązku przekazania danych API zgodnie</w:t>
      </w:r>
      <w:r w:rsidR="003409C9" w:rsidRPr="003409C9">
        <w:rPr>
          <w:noProof/>
        </w:rPr>
        <w:t xml:space="preserve"> z nin</w:t>
      </w:r>
      <w:r w:rsidRPr="003409C9">
        <w:rPr>
          <w:noProof/>
        </w:rPr>
        <w:t xml:space="preserve">iejszym wnioskiem. </w:t>
      </w:r>
    </w:p>
    <w:bookmarkEnd w:id="7"/>
    <w:p w:rsidR="00832116" w:rsidRPr="00BB07AF" w:rsidRDefault="00832116" w:rsidP="00832116">
      <w:pPr>
        <w:pStyle w:val="ManualHeading2"/>
        <w:rPr>
          <w:rFonts w:eastAsia="Arial Unicode MS"/>
          <w:noProof/>
          <w:u w:color="000000"/>
          <w:bdr w:val="nil"/>
        </w:rPr>
      </w:pPr>
      <w:r w:rsidRPr="00BB07AF">
        <w:rPr>
          <w:noProof/>
          <w:u w:color="000000"/>
          <w:bdr w:val="nil"/>
        </w:rPr>
        <w:t>•</w:t>
      </w:r>
      <w:r w:rsidRPr="00BB07AF">
        <w:rPr>
          <w:noProof/>
        </w:rPr>
        <w:tab/>
      </w:r>
      <w:r w:rsidRPr="00BB07AF">
        <w:rPr>
          <w:noProof/>
          <w:u w:color="000000"/>
          <w:bdr w:val="nil"/>
        </w:rPr>
        <w:t>Wybór instrumentu</w:t>
      </w:r>
    </w:p>
    <w:p w:rsidR="00832116" w:rsidRPr="003409C9" w:rsidRDefault="00832116" w:rsidP="00832116">
      <w:pPr>
        <w:rPr>
          <w:rFonts w:eastAsia="Arial Unicode MS"/>
          <w:noProof/>
        </w:rPr>
      </w:pPr>
      <w:bookmarkStart w:id="8" w:name="_Hlk117165426"/>
      <w:r w:rsidRPr="003409C9">
        <w:rPr>
          <w:noProof/>
        </w:rPr>
        <w:t xml:space="preserve">Proponowanym rodzajem aktu prawnego jest rozporządzenie. </w:t>
      </w:r>
      <w:bookmarkEnd w:id="8"/>
      <w:r w:rsidRPr="003409C9">
        <w:rPr>
          <w:noProof/>
        </w:rPr>
        <w:t>Zgodnie</w:t>
      </w:r>
      <w:r w:rsidR="003409C9" w:rsidRPr="003409C9">
        <w:rPr>
          <w:noProof/>
        </w:rPr>
        <w:t xml:space="preserve"> z oce</w:t>
      </w:r>
      <w:r w:rsidRPr="003409C9">
        <w:rPr>
          <w:noProof/>
        </w:rPr>
        <w:t>ną skutków towarzyszącą niniejszemu wnioskowi oraz ze względu na potrzebę bezpośredniego</w:t>
      </w:r>
      <w:r w:rsidR="003409C9" w:rsidRPr="003409C9">
        <w:rPr>
          <w:noProof/>
        </w:rPr>
        <w:t xml:space="preserve"> i jed</w:t>
      </w:r>
      <w:r w:rsidRPr="003409C9">
        <w:rPr>
          <w:noProof/>
        </w:rPr>
        <w:t>nolitego stosowania proponowanych środków we wszystkich państwach członkowskich odpowiednim aktem prawnym jest rozporządzenie.</w:t>
      </w:r>
    </w:p>
    <w:p w:rsidR="00832116" w:rsidRPr="00BB07AF" w:rsidRDefault="00832116" w:rsidP="00832116">
      <w:pPr>
        <w:pStyle w:val="ManualHeading1"/>
        <w:rPr>
          <w:noProof/>
        </w:rPr>
      </w:pPr>
      <w:r w:rsidRPr="00BB07AF">
        <w:rPr>
          <w:noProof/>
        </w:rPr>
        <w:t>3.</w:t>
      </w:r>
      <w:r w:rsidRPr="00BB07AF">
        <w:rPr>
          <w:noProof/>
        </w:rPr>
        <w:tab/>
        <w:t xml:space="preserve">WYNIKI OCEN </w:t>
      </w:r>
      <w:r w:rsidRPr="00BB07AF">
        <w:rPr>
          <w:i/>
          <w:iCs/>
          <w:noProof/>
        </w:rPr>
        <w:t>EX POST</w:t>
      </w:r>
      <w:r w:rsidRPr="00BB07AF">
        <w:rPr>
          <w:noProof/>
        </w:rPr>
        <w:t>, KONSULTACJI Z ZAINTERESOWANYMI STRONAMI I OCEN SKUTKÓW</w:t>
      </w:r>
    </w:p>
    <w:p w:rsidR="00832116" w:rsidRPr="00BB07AF" w:rsidRDefault="00832116" w:rsidP="00832116">
      <w:pPr>
        <w:pStyle w:val="ManualHeading2"/>
        <w:rPr>
          <w:rFonts w:eastAsia="Arial Unicode MS"/>
          <w:noProof/>
          <w:u w:color="000000"/>
          <w:bdr w:val="nil"/>
        </w:rPr>
      </w:pPr>
      <w:r w:rsidRPr="00BB07AF">
        <w:rPr>
          <w:noProof/>
          <w:u w:color="000000"/>
          <w:bdr w:val="nil"/>
        </w:rPr>
        <w:t>•</w:t>
      </w:r>
      <w:r w:rsidRPr="00BB07AF">
        <w:rPr>
          <w:noProof/>
        </w:rPr>
        <w:tab/>
      </w:r>
      <w:r w:rsidRPr="00BB07AF">
        <w:rPr>
          <w:noProof/>
          <w:u w:color="000000"/>
          <w:bdr w:val="nil"/>
        </w:rPr>
        <w:t xml:space="preserve">Oceny </w:t>
      </w:r>
      <w:r w:rsidRPr="00BB07AF">
        <w:rPr>
          <w:i/>
          <w:iCs/>
          <w:noProof/>
          <w:u w:color="000000"/>
          <w:bdr w:val="nil"/>
        </w:rPr>
        <w:t>ex post</w:t>
      </w:r>
      <w:r w:rsidRPr="00BB07AF">
        <w:rPr>
          <w:noProof/>
          <w:u w:color="000000"/>
          <w:bdr w:val="nil"/>
        </w:rPr>
        <w:t xml:space="preserve"> obowiązującego prawodawstwa</w:t>
      </w:r>
    </w:p>
    <w:p w:rsidR="00832116" w:rsidRPr="003409C9" w:rsidRDefault="00503747" w:rsidP="00832116">
      <w:pPr>
        <w:pBdr>
          <w:top w:val="nil"/>
          <w:left w:val="nil"/>
          <w:bottom w:val="nil"/>
          <w:right w:val="nil"/>
          <w:between w:val="nil"/>
          <w:bar w:val="nil"/>
        </w:pBdr>
        <w:spacing w:before="0" w:after="240"/>
        <w:rPr>
          <w:noProof/>
        </w:rPr>
      </w:pPr>
      <w:bookmarkStart w:id="9" w:name="_Hlk117164436"/>
      <w:r w:rsidRPr="003409C9">
        <w:rPr>
          <w:noProof/>
        </w:rPr>
        <w:t>Z oceny dyrektywy</w:t>
      </w:r>
      <w:r w:rsidR="003409C9" w:rsidRPr="003409C9">
        <w:rPr>
          <w:noProof/>
        </w:rPr>
        <w:t xml:space="preserve"> w spr</w:t>
      </w:r>
      <w:r w:rsidRPr="003409C9">
        <w:rPr>
          <w:noProof/>
        </w:rPr>
        <w:t>awie API</w:t>
      </w:r>
      <w:r w:rsidRPr="003409C9">
        <w:rPr>
          <w:rStyle w:val="FootnoteReference0"/>
          <w:noProof/>
        </w:rPr>
        <w:footnoteReference w:id="20"/>
      </w:r>
      <w:r w:rsidRPr="003409C9">
        <w:rPr>
          <w:noProof/>
        </w:rPr>
        <w:t xml:space="preserve"> </w:t>
      </w:r>
      <w:bookmarkEnd w:id="9"/>
      <w:r w:rsidRPr="003409C9">
        <w:rPr>
          <w:noProof/>
        </w:rPr>
        <w:t>wynika, że uzasadnienie dla gromadzenia danych API</w:t>
      </w:r>
      <w:r w:rsidR="003409C9" w:rsidRPr="003409C9">
        <w:rPr>
          <w:noProof/>
        </w:rPr>
        <w:t xml:space="preserve"> i prz</w:t>
      </w:r>
      <w:r w:rsidRPr="003409C9">
        <w:rPr>
          <w:noProof/>
        </w:rPr>
        <w:t>ekazywania ich właściwym służbom granicznym jest nadal aktualne 15 lat po wejściu</w:t>
      </w:r>
      <w:r w:rsidR="003409C9" w:rsidRPr="003409C9">
        <w:rPr>
          <w:noProof/>
        </w:rPr>
        <w:t xml:space="preserve"> w życ</w:t>
      </w:r>
      <w:r w:rsidRPr="003409C9">
        <w:rPr>
          <w:noProof/>
        </w:rPr>
        <w:t>ie dyrektywy. Obecne cele dyrektywy –</w:t>
      </w:r>
      <w:r w:rsidR="003409C9" w:rsidRPr="003409C9">
        <w:rPr>
          <w:noProof/>
        </w:rPr>
        <w:t xml:space="preserve"> w szc</w:t>
      </w:r>
      <w:r w:rsidRPr="003409C9">
        <w:rPr>
          <w:noProof/>
        </w:rPr>
        <w:t>zególności cel polegający na usprawnieniu zarządzania kontrolą graniczną, co</w:t>
      </w:r>
      <w:r w:rsidR="003409C9" w:rsidRPr="003409C9">
        <w:rPr>
          <w:noProof/>
        </w:rPr>
        <w:t xml:space="preserve"> z kol</w:t>
      </w:r>
      <w:r w:rsidRPr="003409C9">
        <w:rPr>
          <w:noProof/>
        </w:rPr>
        <w:t>ei może również przyczynić się do zwalczania nielegalnej migracji – pozostają bardzo adekwatne do potrzeb odpowiednich zainteresowanych stron</w:t>
      </w:r>
      <w:r w:rsidR="003409C9" w:rsidRPr="003409C9">
        <w:rPr>
          <w:noProof/>
        </w:rPr>
        <w:t xml:space="preserve"> i sze</w:t>
      </w:r>
      <w:r w:rsidRPr="003409C9">
        <w:rPr>
          <w:noProof/>
        </w:rPr>
        <w:t>roko pojętego społeczeństwa. Ponadto gromadzenie</w:t>
      </w:r>
      <w:r w:rsidR="003409C9" w:rsidRPr="003409C9">
        <w:rPr>
          <w:noProof/>
        </w:rPr>
        <w:t xml:space="preserve"> i prz</w:t>
      </w:r>
      <w:r w:rsidRPr="003409C9">
        <w:rPr>
          <w:noProof/>
        </w:rPr>
        <w:t>ekazywanie danych API uznano za istotne</w:t>
      </w:r>
      <w:r w:rsidR="003409C9" w:rsidRPr="003409C9">
        <w:rPr>
          <w:noProof/>
        </w:rPr>
        <w:t xml:space="preserve"> w kon</w:t>
      </w:r>
      <w:r w:rsidRPr="003409C9">
        <w:rPr>
          <w:noProof/>
        </w:rPr>
        <w:t>tekście ułatwienia legalnego podróżowania.</w:t>
      </w:r>
      <w:r w:rsidR="003B5A1D" w:rsidRPr="003409C9">
        <w:rPr>
          <w:noProof/>
        </w:rPr>
        <w:t xml:space="preserve"> </w:t>
      </w:r>
    </w:p>
    <w:p w:rsidR="00832116" w:rsidRPr="003409C9" w:rsidRDefault="00503747" w:rsidP="00832116">
      <w:pPr>
        <w:pBdr>
          <w:top w:val="nil"/>
          <w:left w:val="nil"/>
          <w:bottom w:val="nil"/>
          <w:right w:val="nil"/>
          <w:between w:val="nil"/>
          <w:bar w:val="nil"/>
        </w:pBdr>
        <w:spacing w:before="0" w:after="240"/>
        <w:rPr>
          <w:noProof/>
        </w:rPr>
      </w:pPr>
      <w:r w:rsidRPr="003409C9">
        <w:rPr>
          <w:noProof/>
        </w:rPr>
        <w:t>W ocenie stwierdzono, że brak harmonizacji we wdrażaniu dyrektywy stanowi przeszkodę dla jej skuteczności</w:t>
      </w:r>
      <w:r w:rsidR="003409C9" w:rsidRPr="003409C9">
        <w:rPr>
          <w:noProof/>
        </w:rPr>
        <w:t xml:space="preserve"> i spó</w:t>
      </w:r>
      <w:r w:rsidRPr="003409C9">
        <w:rPr>
          <w:noProof/>
        </w:rPr>
        <w:t>jności</w:t>
      </w:r>
      <w:r w:rsidR="003409C9" w:rsidRPr="003409C9">
        <w:rPr>
          <w:noProof/>
        </w:rPr>
        <w:t>. Z uwa</w:t>
      </w:r>
      <w:r w:rsidRPr="003409C9">
        <w:rPr>
          <w:noProof/>
        </w:rPr>
        <w:t>gi na fakt, że wymogi nałożone</w:t>
      </w:r>
      <w:r w:rsidR="003409C9" w:rsidRPr="003409C9">
        <w:rPr>
          <w:noProof/>
        </w:rPr>
        <w:t xml:space="preserve"> w dyr</w:t>
      </w:r>
      <w:r w:rsidRPr="003409C9">
        <w:rPr>
          <w:noProof/>
        </w:rPr>
        <w:t>ektywie są minimalne, sytuacja</w:t>
      </w:r>
      <w:r w:rsidR="003409C9" w:rsidRPr="003409C9">
        <w:rPr>
          <w:noProof/>
        </w:rPr>
        <w:t xml:space="preserve"> w zak</w:t>
      </w:r>
      <w:r w:rsidRPr="003409C9">
        <w:rPr>
          <w:noProof/>
        </w:rPr>
        <w:t>resie wdrażania systemów API,</w:t>
      </w:r>
      <w:r w:rsidR="003409C9" w:rsidRPr="003409C9">
        <w:rPr>
          <w:noProof/>
        </w:rPr>
        <w:t xml:space="preserve"> a tak</w:t>
      </w:r>
      <w:r w:rsidRPr="003409C9">
        <w:rPr>
          <w:noProof/>
        </w:rPr>
        <w:t>że rzeczywistego wykorzystania danych API jest bardzo zróżnicowana. Ponadto możliwość pozostawiona państwom członkowskim dotycząca wykorzystywania danych API do celów wykonania prawa</w:t>
      </w:r>
      <w:r w:rsidRPr="003409C9">
        <w:rPr>
          <w:rStyle w:val="FootnoteReference0"/>
          <w:noProof/>
        </w:rPr>
        <w:footnoteReference w:id="21"/>
      </w:r>
      <w:r w:rsidRPr="003409C9">
        <w:rPr>
          <w:noProof/>
        </w:rPr>
        <w:t>, bez zapewnienia jasnej definicji tego celu ani ustanowienia ram, doprowadziła do niespójnego wdrożenia na poziomie krajowym</w:t>
      </w:r>
      <w:r w:rsidR="003409C9" w:rsidRPr="003409C9">
        <w:rPr>
          <w:noProof/>
        </w:rPr>
        <w:t>. W oce</w:t>
      </w:r>
      <w:r w:rsidRPr="003409C9">
        <w:rPr>
          <w:noProof/>
        </w:rPr>
        <w:t>nie stwierdzono również rozbieżności</w:t>
      </w:r>
      <w:r w:rsidR="003409C9" w:rsidRPr="003409C9">
        <w:rPr>
          <w:noProof/>
        </w:rPr>
        <w:t xml:space="preserve"> z inn</w:t>
      </w:r>
      <w:r w:rsidRPr="003409C9">
        <w:rPr>
          <w:noProof/>
        </w:rPr>
        <w:t>ymi instrumentami UE, powodujące wystąpienie problemów operacyjnych</w:t>
      </w:r>
      <w:r w:rsidR="003409C9" w:rsidRPr="003409C9">
        <w:rPr>
          <w:noProof/>
        </w:rPr>
        <w:t xml:space="preserve"> w pra</w:t>
      </w:r>
      <w:r w:rsidRPr="003409C9">
        <w:rPr>
          <w:noProof/>
        </w:rPr>
        <w:t>ktyce oraz niepewność wśród zainteresowanych stron,</w:t>
      </w:r>
      <w:r w:rsidR="003409C9" w:rsidRPr="003409C9">
        <w:rPr>
          <w:noProof/>
        </w:rPr>
        <w:t xml:space="preserve"> w szc</w:t>
      </w:r>
      <w:r w:rsidRPr="003409C9">
        <w:rPr>
          <w:noProof/>
        </w:rPr>
        <w:t>zególności osób, których dane dotyczą. Wymogi dotyczące ochrony danych osobowych zawarte</w:t>
      </w:r>
      <w:r w:rsidR="003409C9" w:rsidRPr="003409C9">
        <w:rPr>
          <w:noProof/>
        </w:rPr>
        <w:t xml:space="preserve"> w dyr</w:t>
      </w:r>
      <w:r w:rsidRPr="003409C9">
        <w:rPr>
          <w:noProof/>
        </w:rPr>
        <w:t>ektywie</w:t>
      </w:r>
      <w:r w:rsidR="003409C9" w:rsidRPr="003409C9">
        <w:rPr>
          <w:noProof/>
        </w:rPr>
        <w:t xml:space="preserve"> w spr</w:t>
      </w:r>
      <w:r w:rsidRPr="003409C9">
        <w:rPr>
          <w:noProof/>
        </w:rPr>
        <w:t>awie API nie są</w:t>
      </w:r>
      <w:r w:rsidR="003409C9" w:rsidRPr="003409C9">
        <w:rPr>
          <w:noProof/>
        </w:rPr>
        <w:t xml:space="preserve"> w peł</w:t>
      </w:r>
      <w:r w:rsidRPr="003409C9">
        <w:rPr>
          <w:noProof/>
        </w:rPr>
        <w:t>ni zgodne</w:t>
      </w:r>
      <w:r w:rsidR="003409C9" w:rsidRPr="003409C9">
        <w:rPr>
          <w:noProof/>
        </w:rPr>
        <w:t xml:space="preserve"> z naj</w:t>
      </w:r>
      <w:r w:rsidRPr="003409C9">
        <w:rPr>
          <w:noProof/>
        </w:rPr>
        <w:t>nowszymi osiągnięciami</w:t>
      </w:r>
      <w:r w:rsidR="003409C9" w:rsidRPr="003409C9">
        <w:rPr>
          <w:noProof/>
        </w:rPr>
        <w:t xml:space="preserve"> w tej</w:t>
      </w:r>
      <w:r w:rsidRPr="003409C9">
        <w:rPr>
          <w:noProof/>
        </w:rPr>
        <w:t xml:space="preserve"> dziedzinie. Ponadto dyrektywa</w:t>
      </w:r>
      <w:r w:rsidR="003409C9" w:rsidRPr="003409C9">
        <w:rPr>
          <w:noProof/>
        </w:rPr>
        <w:t xml:space="preserve"> w spr</w:t>
      </w:r>
      <w:r w:rsidRPr="003409C9">
        <w:rPr>
          <w:noProof/>
        </w:rPr>
        <w:t>awie API nie jest</w:t>
      </w:r>
      <w:r w:rsidR="003409C9" w:rsidRPr="003409C9">
        <w:rPr>
          <w:noProof/>
        </w:rPr>
        <w:t xml:space="preserve"> w peł</w:t>
      </w:r>
      <w:r w:rsidRPr="003409C9">
        <w:rPr>
          <w:noProof/>
        </w:rPr>
        <w:t>ni spójna</w:t>
      </w:r>
      <w:r w:rsidR="003409C9" w:rsidRPr="003409C9">
        <w:rPr>
          <w:noProof/>
        </w:rPr>
        <w:t xml:space="preserve"> z mię</w:t>
      </w:r>
      <w:r w:rsidRPr="003409C9">
        <w:rPr>
          <w:noProof/>
        </w:rPr>
        <w:t>dzynarodowymi ramami prawnymi dotyczącymi informacji</w:t>
      </w:r>
      <w:r w:rsidR="003409C9" w:rsidRPr="003409C9">
        <w:rPr>
          <w:noProof/>
        </w:rPr>
        <w:t xml:space="preserve"> o pas</w:t>
      </w:r>
      <w:r w:rsidRPr="003409C9">
        <w:rPr>
          <w:noProof/>
        </w:rPr>
        <w:t>ażerach, zwłaszcza jeśli chodzi</w:t>
      </w:r>
      <w:r w:rsidR="003409C9" w:rsidRPr="003409C9">
        <w:rPr>
          <w:noProof/>
        </w:rPr>
        <w:t xml:space="preserve"> o pol</w:t>
      </w:r>
      <w:r w:rsidRPr="003409C9">
        <w:rPr>
          <w:noProof/>
        </w:rPr>
        <w:t>a danych</w:t>
      </w:r>
      <w:r w:rsidR="003409C9" w:rsidRPr="003409C9">
        <w:rPr>
          <w:noProof/>
        </w:rPr>
        <w:t xml:space="preserve"> i nor</w:t>
      </w:r>
      <w:r w:rsidRPr="003409C9">
        <w:rPr>
          <w:noProof/>
        </w:rPr>
        <w:t>my transmisji.</w:t>
      </w:r>
    </w:p>
    <w:p w:rsidR="00832116" w:rsidRPr="003409C9" w:rsidRDefault="00503747" w:rsidP="00832116">
      <w:pPr>
        <w:pBdr>
          <w:top w:val="nil"/>
          <w:left w:val="nil"/>
          <w:bottom w:val="nil"/>
          <w:right w:val="nil"/>
          <w:between w:val="nil"/>
          <w:bar w:val="nil"/>
        </w:pBdr>
        <w:spacing w:before="0" w:after="240"/>
        <w:rPr>
          <w:noProof/>
        </w:rPr>
      </w:pPr>
      <w:r w:rsidRPr="003409C9">
        <w:rPr>
          <w:noProof/>
        </w:rPr>
        <w:t>W ocenie zwrócono uwagę na szereg niedociągnięć związanych</w:t>
      </w:r>
      <w:r w:rsidR="003409C9" w:rsidRPr="003409C9">
        <w:rPr>
          <w:noProof/>
        </w:rPr>
        <w:t xml:space="preserve"> z dyr</w:t>
      </w:r>
      <w:r w:rsidRPr="003409C9">
        <w:rPr>
          <w:noProof/>
        </w:rPr>
        <w:t>ektywą</w:t>
      </w:r>
      <w:r w:rsidR="003409C9" w:rsidRPr="003409C9">
        <w:rPr>
          <w:noProof/>
        </w:rPr>
        <w:t xml:space="preserve"> w spr</w:t>
      </w:r>
      <w:r w:rsidRPr="003409C9">
        <w:rPr>
          <w:noProof/>
        </w:rPr>
        <w:t>awie API, tj. brak: (i) standaryzacji</w:t>
      </w:r>
      <w:r w:rsidR="003409C9" w:rsidRPr="003409C9">
        <w:rPr>
          <w:noProof/>
        </w:rPr>
        <w:t xml:space="preserve"> i har</w:t>
      </w:r>
      <w:r w:rsidRPr="003409C9">
        <w:rPr>
          <w:noProof/>
        </w:rPr>
        <w:t>monizacji, (ii) pewnych gwarancji ochrony danych oraz (iii) wyraźnego dostosowania do najnowszych zmian politycznych</w:t>
      </w:r>
      <w:r w:rsidR="003409C9" w:rsidRPr="003409C9">
        <w:rPr>
          <w:noProof/>
        </w:rPr>
        <w:t xml:space="preserve"> i pra</w:t>
      </w:r>
      <w:r w:rsidRPr="003409C9">
        <w:rPr>
          <w:noProof/>
        </w:rPr>
        <w:t>wnych na poziomie UE. Elementy te oddziałują na skuteczność dyrektywy, powodują obciążenia dla zainteresowanych stron</w:t>
      </w:r>
      <w:r w:rsidR="003409C9" w:rsidRPr="003409C9">
        <w:rPr>
          <w:noProof/>
        </w:rPr>
        <w:t xml:space="preserve"> i gen</w:t>
      </w:r>
      <w:r w:rsidRPr="003409C9">
        <w:rPr>
          <w:noProof/>
        </w:rPr>
        <w:t>erują pewien poziom niepewności prawa dla przewoźników lotniczych gromadzących</w:t>
      </w:r>
      <w:r w:rsidR="003409C9" w:rsidRPr="003409C9">
        <w:rPr>
          <w:noProof/>
        </w:rPr>
        <w:t xml:space="preserve"> i prz</w:t>
      </w:r>
      <w:r w:rsidRPr="003409C9">
        <w:rPr>
          <w:noProof/>
        </w:rPr>
        <w:t>ekazujących dane API, dla właściwych służb granicznych otrzymujących</w:t>
      </w:r>
      <w:r w:rsidR="003409C9" w:rsidRPr="003409C9">
        <w:rPr>
          <w:noProof/>
        </w:rPr>
        <w:t xml:space="preserve"> i dal</w:t>
      </w:r>
      <w:r w:rsidRPr="003409C9">
        <w:rPr>
          <w:noProof/>
        </w:rPr>
        <w:t xml:space="preserve">ej przetwarzających te dane, jak również ostatecznie dla pasażerów. </w:t>
      </w:r>
    </w:p>
    <w:p w:rsidR="00832116" w:rsidRPr="003409C9" w:rsidRDefault="00832116" w:rsidP="00832116">
      <w:pPr>
        <w:pBdr>
          <w:top w:val="nil"/>
          <w:left w:val="nil"/>
          <w:bottom w:val="nil"/>
          <w:right w:val="nil"/>
          <w:between w:val="nil"/>
          <w:bar w:val="nil"/>
        </w:pBdr>
        <w:spacing w:before="0" w:after="240"/>
        <w:rPr>
          <w:rFonts w:eastAsia="Arial Unicode MS"/>
          <w:noProof/>
        </w:rPr>
      </w:pPr>
      <w:r w:rsidRPr="003409C9">
        <w:rPr>
          <w:noProof/>
        </w:rPr>
        <w:t>Wyniki oceny wykorzystano podczas przygotowania oceny skutków</w:t>
      </w:r>
      <w:r w:rsidR="003409C9" w:rsidRPr="003409C9">
        <w:rPr>
          <w:noProof/>
        </w:rPr>
        <w:t xml:space="preserve"> i nin</w:t>
      </w:r>
      <w:r w:rsidRPr="003409C9">
        <w:rPr>
          <w:noProof/>
        </w:rPr>
        <w:t>iejszego wniosku.</w:t>
      </w:r>
    </w:p>
    <w:p w:rsidR="00832116" w:rsidRPr="00BB07AF" w:rsidRDefault="00832116" w:rsidP="00832116">
      <w:pPr>
        <w:pStyle w:val="ManualHeading2"/>
        <w:rPr>
          <w:rFonts w:eastAsia="Arial Unicode MS"/>
          <w:noProof/>
          <w:u w:color="000000"/>
          <w:bdr w:val="nil"/>
        </w:rPr>
      </w:pPr>
      <w:r w:rsidRPr="00BB07AF">
        <w:rPr>
          <w:noProof/>
          <w:u w:color="000000"/>
          <w:bdr w:val="nil"/>
        </w:rPr>
        <w:t>•</w:t>
      </w:r>
      <w:r w:rsidRPr="00BB07AF">
        <w:rPr>
          <w:noProof/>
        </w:rPr>
        <w:tab/>
      </w:r>
      <w:r w:rsidRPr="00BB07AF">
        <w:rPr>
          <w:noProof/>
          <w:u w:color="000000"/>
          <w:bdr w:val="nil"/>
        </w:rPr>
        <w:t>Konsultacje</w:t>
      </w:r>
      <w:r w:rsidR="003409C9" w:rsidRPr="00BB07AF">
        <w:rPr>
          <w:noProof/>
          <w:u w:color="000000"/>
          <w:bdr w:val="nil"/>
        </w:rPr>
        <w:t xml:space="preserve"> z zai</w:t>
      </w:r>
      <w:r w:rsidRPr="00BB07AF">
        <w:rPr>
          <w:noProof/>
          <w:u w:color="000000"/>
          <w:bdr w:val="nil"/>
        </w:rPr>
        <w:t>nteresowanymi stronami</w:t>
      </w:r>
    </w:p>
    <w:p w:rsidR="00832116" w:rsidRPr="003409C9" w:rsidRDefault="00832116" w:rsidP="00832116">
      <w:pPr>
        <w:rPr>
          <w:noProof/>
        </w:rPr>
      </w:pPr>
      <w:bookmarkStart w:id="10" w:name="_Hlk117164462"/>
      <w:r w:rsidRPr="003409C9">
        <w:rPr>
          <w:noProof/>
        </w:rPr>
        <w:t>Przygotowanie niniejszego wniosku obejmowało szeroko zakrojone konsultacje</w:t>
      </w:r>
      <w:r w:rsidR="003409C9" w:rsidRPr="003409C9">
        <w:rPr>
          <w:noProof/>
        </w:rPr>
        <w:t xml:space="preserve"> z zai</w:t>
      </w:r>
      <w:r w:rsidRPr="003409C9">
        <w:rPr>
          <w:noProof/>
        </w:rPr>
        <w:t>nteresowanymi stronami,</w:t>
      </w:r>
      <w:r w:rsidR="003409C9" w:rsidRPr="003409C9">
        <w:rPr>
          <w:noProof/>
        </w:rPr>
        <w:t xml:space="preserve"> w tym z org</w:t>
      </w:r>
      <w:r w:rsidRPr="003409C9">
        <w:rPr>
          <w:noProof/>
        </w:rPr>
        <w:t>anami państw członkowskich (właściwe służby graniczne, jednostka do spraw informacji</w:t>
      </w:r>
      <w:r w:rsidR="003409C9" w:rsidRPr="003409C9">
        <w:rPr>
          <w:noProof/>
        </w:rPr>
        <w:t xml:space="preserve"> o pas</w:t>
      </w:r>
      <w:r w:rsidRPr="003409C9">
        <w:rPr>
          <w:noProof/>
        </w:rPr>
        <w:t>ażerach), przedstawicielami branży transportowej</w:t>
      </w:r>
      <w:r w:rsidR="003409C9" w:rsidRPr="003409C9">
        <w:rPr>
          <w:noProof/>
        </w:rPr>
        <w:t xml:space="preserve"> i ind</w:t>
      </w:r>
      <w:r w:rsidRPr="003409C9">
        <w:rPr>
          <w:noProof/>
        </w:rPr>
        <w:t>ywidualnymi przewoźnikami lotniczymi. Agencje UE – takie jak Europejska Agencja Straży Granicznej</w:t>
      </w:r>
      <w:r w:rsidR="003409C9" w:rsidRPr="003409C9">
        <w:rPr>
          <w:noProof/>
        </w:rPr>
        <w:t xml:space="preserve"> i Prz</w:t>
      </w:r>
      <w:r w:rsidRPr="003409C9">
        <w:rPr>
          <w:noProof/>
        </w:rPr>
        <w:t>ybrzeżnej (Frontex), Agencja Unii Europejskiej ds. Współpracy Organów Ścigania (Europol), Agencja Unii Europejskiej ds. Zarządzania Operacyjnego Wielkoskalowymi Systemami Informatycznymi</w:t>
      </w:r>
      <w:r w:rsidR="003409C9" w:rsidRPr="003409C9">
        <w:rPr>
          <w:noProof/>
        </w:rPr>
        <w:t xml:space="preserve"> w Prz</w:t>
      </w:r>
      <w:r w:rsidRPr="003409C9">
        <w:rPr>
          <w:noProof/>
        </w:rPr>
        <w:t>estrzeni Wolności, Bezpieczeństwa</w:t>
      </w:r>
      <w:r w:rsidR="003409C9" w:rsidRPr="003409C9">
        <w:rPr>
          <w:noProof/>
        </w:rPr>
        <w:t xml:space="preserve"> i Spr</w:t>
      </w:r>
      <w:r w:rsidRPr="003409C9">
        <w:rPr>
          <w:noProof/>
        </w:rPr>
        <w:t>awiedliwości (eu-LISA) oraz Agencja Praw Podstawowych Unii Europejskiej (FRA) – również wniosły swój wkład</w:t>
      </w:r>
      <w:r w:rsidR="003409C9" w:rsidRPr="003409C9">
        <w:rPr>
          <w:noProof/>
        </w:rPr>
        <w:t xml:space="preserve"> z uwz</w:t>
      </w:r>
      <w:r w:rsidRPr="003409C9">
        <w:rPr>
          <w:noProof/>
        </w:rPr>
        <w:t>ględnieniem ich uprawnień</w:t>
      </w:r>
      <w:r w:rsidR="003409C9" w:rsidRPr="003409C9">
        <w:rPr>
          <w:noProof/>
        </w:rPr>
        <w:t xml:space="preserve"> i wie</w:t>
      </w:r>
      <w:r w:rsidRPr="003409C9">
        <w:rPr>
          <w:noProof/>
        </w:rPr>
        <w:t>dzy fachowej</w:t>
      </w:r>
      <w:r w:rsidR="003409C9" w:rsidRPr="003409C9">
        <w:rPr>
          <w:noProof/>
        </w:rPr>
        <w:t>. W ini</w:t>
      </w:r>
      <w:r w:rsidRPr="003409C9">
        <w:rPr>
          <w:noProof/>
        </w:rPr>
        <w:t>cjatywie tej uwzględniono również poglądy</w:t>
      </w:r>
      <w:r w:rsidR="003409C9" w:rsidRPr="003409C9">
        <w:rPr>
          <w:noProof/>
        </w:rPr>
        <w:t xml:space="preserve"> i inf</w:t>
      </w:r>
      <w:r w:rsidRPr="003409C9">
        <w:rPr>
          <w:noProof/>
        </w:rPr>
        <w:t>ormacje zwrotne otrzymane podczas konsultacji publicznych przeprowadzonych pod koniec 2019</w:t>
      </w:r>
      <w:r w:rsidR="003409C9" w:rsidRPr="003409C9">
        <w:rPr>
          <w:noProof/>
        </w:rPr>
        <w:t> </w:t>
      </w:r>
      <w:r w:rsidRPr="003409C9">
        <w:rPr>
          <w:noProof/>
        </w:rPr>
        <w:t>r.</w:t>
      </w:r>
      <w:r w:rsidR="003409C9" w:rsidRPr="003409C9">
        <w:rPr>
          <w:noProof/>
        </w:rPr>
        <w:t xml:space="preserve"> w ram</w:t>
      </w:r>
      <w:r w:rsidRPr="003409C9">
        <w:rPr>
          <w:noProof/>
        </w:rPr>
        <w:t>ach oceny dyrektywy</w:t>
      </w:r>
      <w:r w:rsidR="003409C9" w:rsidRPr="003409C9">
        <w:rPr>
          <w:noProof/>
        </w:rPr>
        <w:t xml:space="preserve"> w spr</w:t>
      </w:r>
      <w:r w:rsidRPr="003409C9">
        <w:rPr>
          <w:noProof/>
        </w:rPr>
        <w:t>awie API</w:t>
      </w:r>
      <w:r w:rsidRPr="003409C9">
        <w:rPr>
          <w:rStyle w:val="FootnoteReference0"/>
          <w:noProof/>
        </w:rPr>
        <w:footnoteReference w:id="22"/>
      </w:r>
      <w:r w:rsidRPr="003409C9">
        <w:rPr>
          <w:noProof/>
        </w:rPr>
        <w:t>.</w:t>
      </w:r>
    </w:p>
    <w:p w:rsidR="00832116" w:rsidRPr="003409C9" w:rsidRDefault="00832116" w:rsidP="00832116">
      <w:pPr>
        <w:rPr>
          <w:noProof/>
        </w:rPr>
      </w:pPr>
      <w:r w:rsidRPr="003409C9">
        <w:rPr>
          <w:noProof/>
        </w:rPr>
        <w:t>W ramach działań konsultacyjnych prowadzonych</w:t>
      </w:r>
      <w:r w:rsidR="003409C9" w:rsidRPr="003409C9">
        <w:rPr>
          <w:noProof/>
        </w:rPr>
        <w:t xml:space="preserve"> w kon</w:t>
      </w:r>
      <w:r w:rsidRPr="003409C9">
        <w:rPr>
          <w:noProof/>
        </w:rPr>
        <w:t>tekście przygotowania oceny skutków stanowiącej uzupełnienie niniejszego wniosku zebrano informacje zwrotne od zainteresowanych stron, korzystając</w:t>
      </w:r>
      <w:r w:rsidR="003409C9" w:rsidRPr="003409C9">
        <w:rPr>
          <w:noProof/>
        </w:rPr>
        <w:t xml:space="preserve"> z róż</w:t>
      </w:r>
      <w:r w:rsidRPr="003409C9">
        <w:rPr>
          <w:noProof/>
        </w:rPr>
        <w:t>nych metod. Działania te obejmowały</w:t>
      </w:r>
      <w:r w:rsidR="003409C9" w:rsidRPr="003409C9">
        <w:rPr>
          <w:noProof/>
        </w:rPr>
        <w:t xml:space="preserve"> w szc</w:t>
      </w:r>
      <w:r w:rsidRPr="003409C9">
        <w:rPr>
          <w:noProof/>
        </w:rPr>
        <w:t xml:space="preserve">zególności wstępną ocenę skutków, zewnętrzne badanie uzupełniające oraz cykl warsztatów technicznych. </w:t>
      </w:r>
    </w:p>
    <w:p w:rsidR="00832116" w:rsidRPr="003409C9" w:rsidRDefault="00832116" w:rsidP="00832116">
      <w:pPr>
        <w:rPr>
          <w:noProof/>
        </w:rPr>
      </w:pPr>
      <w:r w:rsidRPr="003409C9">
        <w:rPr>
          <w:noProof/>
        </w:rPr>
        <w:t>Wstępną ocenę skutków opublikowano na potrzeby zbierania informacji zwrotnych</w:t>
      </w:r>
      <w:r w:rsidR="003409C9" w:rsidRPr="003409C9">
        <w:rPr>
          <w:noProof/>
        </w:rPr>
        <w:t xml:space="preserve"> w okr</w:t>
      </w:r>
      <w:r w:rsidRPr="003409C9">
        <w:rPr>
          <w:noProof/>
        </w:rPr>
        <w:t>esie od</w:t>
      </w:r>
      <w:r w:rsidR="003409C9" w:rsidRPr="003409C9">
        <w:rPr>
          <w:noProof/>
        </w:rPr>
        <w:t> </w:t>
      </w:r>
      <w:r w:rsidRPr="003409C9">
        <w:rPr>
          <w:noProof/>
        </w:rPr>
        <w:t>5 czerwca 2020</w:t>
      </w:r>
      <w:r w:rsidR="003409C9" w:rsidRPr="003409C9">
        <w:rPr>
          <w:noProof/>
        </w:rPr>
        <w:t> </w:t>
      </w:r>
      <w:r w:rsidRPr="003409C9">
        <w:rPr>
          <w:noProof/>
        </w:rPr>
        <w:t>r. do</w:t>
      </w:r>
      <w:r w:rsidR="003409C9" w:rsidRPr="003409C9">
        <w:rPr>
          <w:noProof/>
        </w:rPr>
        <w:t> </w:t>
      </w:r>
      <w:r w:rsidRPr="003409C9">
        <w:rPr>
          <w:noProof/>
        </w:rPr>
        <w:t>14 sierpnia 2020</w:t>
      </w:r>
      <w:r w:rsidR="003409C9" w:rsidRPr="003409C9">
        <w:rPr>
          <w:noProof/>
        </w:rPr>
        <w:t> </w:t>
      </w:r>
      <w:r w:rsidRPr="003409C9">
        <w:rPr>
          <w:noProof/>
        </w:rPr>
        <w:t>r.; otrzymano łącznie siedem odpowiedzi zawierających informacje zwrotne na temat rozszerzenia zakresu stosowania przyszłej dyrektywy</w:t>
      </w:r>
      <w:r w:rsidR="003409C9" w:rsidRPr="003409C9">
        <w:rPr>
          <w:noProof/>
        </w:rPr>
        <w:t xml:space="preserve"> w spr</w:t>
      </w:r>
      <w:r w:rsidRPr="003409C9">
        <w:rPr>
          <w:noProof/>
        </w:rPr>
        <w:t>awie API, jakości danych, kar, związku danych API i PNR oraz ochrony danych osobowych</w:t>
      </w:r>
      <w:r w:rsidRPr="003409C9">
        <w:rPr>
          <w:rStyle w:val="FootnoteReference0"/>
          <w:bCs/>
          <w:noProof/>
          <w:szCs w:val="23"/>
        </w:rPr>
        <w:footnoteReference w:id="23"/>
      </w:r>
      <w:r w:rsidRPr="003409C9">
        <w:rPr>
          <w:noProof/>
        </w:rPr>
        <w:t xml:space="preserve">. </w:t>
      </w:r>
    </w:p>
    <w:p w:rsidR="00832116" w:rsidRPr="003409C9" w:rsidRDefault="00832116" w:rsidP="00832116">
      <w:pPr>
        <w:rPr>
          <w:noProof/>
        </w:rPr>
      </w:pPr>
      <w:r w:rsidRPr="003409C9">
        <w:rPr>
          <w:noProof/>
        </w:rPr>
        <w:t>Zewnętrzne badanie uzupełniające przeprowadzono</w:t>
      </w:r>
      <w:r w:rsidR="003409C9" w:rsidRPr="003409C9">
        <w:rPr>
          <w:noProof/>
        </w:rPr>
        <w:t xml:space="preserve"> w opa</w:t>
      </w:r>
      <w:r w:rsidRPr="003409C9">
        <w:rPr>
          <w:noProof/>
        </w:rPr>
        <w:t>rciu</w:t>
      </w:r>
      <w:r w:rsidR="003409C9" w:rsidRPr="003409C9">
        <w:rPr>
          <w:noProof/>
        </w:rPr>
        <w:t xml:space="preserve"> o bad</w:t>
      </w:r>
      <w:r w:rsidRPr="003409C9">
        <w:rPr>
          <w:noProof/>
        </w:rPr>
        <w:t>anie źródeł wtórnych oraz rozmowy</w:t>
      </w:r>
      <w:r w:rsidR="003409C9" w:rsidRPr="003409C9">
        <w:rPr>
          <w:noProof/>
        </w:rPr>
        <w:t xml:space="preserve"> i ank</w:t>
      </w:r>
      <w:r w:rsidRPr="003409C9">
        <w:rPr>
          <w:noProof/>
        </w:rPr>
        <w:t>iety</w:t>
      </w:r>
      <w:r w:rsidR="003409C9" w:rsidRPr="003409C9">
        <w:rPr>
          <w:noProof/>
        </w:rPr>
        <w:t xml:space="preserve"> z eks</w:t>
      </w:r>
      <w:r w:rsidRPr="003409C9">
        <w:rPr>
          <w:noProof/>
        </w:rPr>
        <w:t>pertami</w:t>
      </w:r>
      <w:r w:rsidR="003409C9" w:rsidRPr="003409C9">
        <w:rPr>
          <w:noProof/>
        </w:rPr>
        <w:t xml:space="preserve"> w dan</w:t>
      </w:r>
      <w:r w:rsidRPr="003409C9">
        <w:rPr>
          <w:noProof/>
        </w:rPr>
        <w:t>ej dziedzinie,</w:t>
      </w:r>
      <w:r w:rsidR="003409C9" w:rsidRPr="003409C9">
        <w:rPr>
          <w:noProof/>
        </w:rPr>
        <w:t xml:space="preserve"> w ram</w:t>
      </w:r>
      <w:r w:rsidRPr="003409C9">
        <w:rPr>
          <w:noProof/>
        </w:rPr>
        <w:t>ach których przeanalizowano różne możliwe środki przetwarzania danych API na jasnych zasadach, które ułatwiają legalne podróże,</w:t>
      </w:r>
      <w:r w:rsidR="003409C9" w:rsidRPr="003409C9">
        <w:rPr>
          <w:noProof/>
        </w:rPr>
        <w:t xml:space="preserve"> a tak</w:t>
      </w:r>
      <w:r w:rsidRPr="003409C9">
        <w:rPr>
          <w:noProof/>
        </w:rPr>
        <w:t>że są zgodne</w:t>
      </w:r>
      <w:r w:rsidR="003409C9" w:rsidRPr="003409C9">
        <w:rPr>
          <w:noProof/>
        </w:rPr>
        <w:t xml:space="preserve"> z int</w:t>
      </w:r>
      <w:r w:rsidRPr="003409C9">
        <w:rPr>
          <w:noProof/>
        </w:rPr>
        <w:t>eroperacyjnością systemów informacyjnych UE, wymogami UE</w:t>
      </w:r>
      <w:r w:rsidR="003409C9" w:rsidRPr="003409C9">
        <w:rPr>
          <w:noProof/>
        </w:rPr>
        <w:t xml:space="preserve"> w zak</w:t>
      </w:r>
      <w:r w:rsidRPr="003409C9">
        <w:rPr>
          <w:noProof/>
        </w:rPr>
        <w:t>resie ochrony danych osobowych oraz innymi istniejącymi instrumentami UE</w:t>
      </w:r>
      <w:r w:rsidR="003409C9" w:rsidRPr="003409C9">
        <w:rPr>
          <w:noProof/>
        </w:rPr>
        <w:t xml:space="preserve"> i nor</w:t>
      </w:r>
      <w:r w:rsidRPr="003409C9">
        <w:rPr>
          <w:noProof/>
        </w:rPr>
        <w:t xml:space="preserve">mami międzynarodowymi. </w:t>
      </w:r>
    </w:p>
    <w:p w:rsidR="00832116" w:rsidRPr="003409C9" w:rsidRDefault="00832116" w:rsidP="00832116">
      <w:pPr>
        <w:rPr>
          <w:rFonts w:eastAsia="Arial Unicode MS"/>
          <w:noProof/>
        </w:rPr>
      </w:pPr>
      <w:r w:rsidRPr="003409C9">
        <w:rPr>
          <w:noProof/>
        </w:rPr>
        <w:t>Służby Komisji zorganizowały również cykl warsztatów technicznych</w:t>
      </w:r>
      <w:r w:rsidR="003409C9" w:rsidRPr="003409C9">
        <w:rPr>
          <w:noProof/>
        </w:rPr>
        <w:t xml:space="preserve"> z eks</w:t>
      </w:r>
      <w:r w:rsidRPr="003409C9">
        <w:rPr>
          <w:noProof/>
        </w:rPr>
        <w:t>pertami</w:t>
      </w:r>
      <w:r w:rsidR="003409C9" w:rsidRPr="003409C9">
        <w:rPr>
          <w:noProof/>
        </w:rPr>
        <w:t xml:space="preserve"> z pań</w:t>
      </w:r>
      <w:r w:rsidRPr="003409C9">
        <w:rPr>
          <w:noProof/>
        </w:rPr>
        <w:t>stw członkowskich</w:t>
      </w:r>
      <w:r w:rsidR="003409C9" w:rsidRPr="003409C9">
        <w:rPr>
          <w:noProof/>
        </w:rPr>
        <w:t xml:space="preserve"> i pań</w:t>
      </w:r>
      <w:r w:rsidRPr="003409C9">
        <w:rPr>
          <w:noProof/>
        </w:rPr>
        <w:t>stw stowarzyszonych</w:t>
      </w:r>
      <w:r w:rsidR="003409C9" w:rsidRPr="003409C9">
        <w:rPr>
          <w:noProof/>
        </w:rPr>
        <w:t xml:space="preserve"> w ram</w:t>
      </w:r>
      <w:r w:rsidRPr="003409C9">
        <w:rPr>
          <w:noProof/>
        </w:rPr>
        <w:t>ach Schengen. Warsztaty te miały na celu zgromadzenie ekspertów</w:t>
      </w:r>
      <w:r w:rsidR="003409C9" w:rsidRPr="003409C9">
        <w:rPr>
          <w:noProof/>
        </w:rPr>
        <w:t xml:space="preserve"> w cel</w:t>
      </w:r>
      <w:r w:rsidRPr="003409C9">
        <w:rPr>
          <w:noProof/>
        </w:rPr>
        <w:t>u wymiany poglądów na temat możliwych wariantów, które przewidziano</w:t>
      </w:r>
      <w:r w:rsidR="003409C9" w:rsidRPr="003409C9">
        <w:rPr>
          <w:noProof/>
        </w:rPr>
        <w:t xml:space="preserve"> z myś</w:t>
      </w:r>
      <w:r w:rsidRPr="003409C9">
        <w:rPr>
          <w:noProof/>
        </w:rPr>
        <w:t>lą</w:t>
      </w:r>
      <w:r w:rsidR="003409C9" w:rsidRPr="003409C9">
        <w:rPr>
          <w:noProof/>
        </w:rPr>
        <w:t xml:space="preserve"> o wzm</w:t>
      </w:r>
      <w:r w:rsidRPr="003409C9">
        <w:rPr>
          <w:noProof/>
        </w:rPr>
        <w:t>ocnieniu przyszłych ram dotyczących API do celów zarządzania granicami</w:t>
      </w:r>
      <w:r w:rsidR="003409C9" w:rsidRPr="003409C9">
        <w:rPr>
          <w:noProof/>
        </w:rPr>
        <w:t xml:space="preserve"> i zwa</w:t>
      </w:r>
      <w:r w:rsidRPr="003409C9">
        <w:rPr>
          <w:noProof/>
        </w:rPr>
        <w:t>lczania nielegalnej imigracji,</w:t>
      </w:r>
      <w:r w:rsidR="003409C9" w:rsidRPr="003409C9">
        <w:rPr>
          <w:noProof/>
        </w:rPr>
        <w:t xml:space="preserve"> a tak</w:t>
      </w:r>
      <w:r w:rsidRPr="003409C9">
        <w:rPr>
          <w:noProof/>
        </w:rPr>
        <w:t>że przeciwdziałania przestępczości</w:t>
      </w:r>
      <w:r w:rsidR="003409C9" w:rsidRPr="003409C9">
        <w:rPr>
          <w:noProof/>
        </w:rPr>
        <w:t xml:space="preserve"> i ter</w:t>
      </w:r>
      <w:r w:rsidRPr="003409C9">
        <w:rPr>
          <w:noProof/>
        </w:rPr>
        <w:t xml:space="preserve">roryzmowi. </w:t>
      </w:r>
    </w:p>
    <w:p w:rsidR="00832116" w:rsidRPr="003409C9" w:rsidRDefault="00832116" w:rsidP="00832116">
      <w:pPr>
        <w:rPr>
          <w:noProof/>
        </w:rPr>
      </w:pPr>
      <w:r w:rsidRPr="003409C9">
        <w:rPr>
          <w:noProof/>
        </w:rPr>
        <w:t>Więcej szczegółowych informacji na temat konsultacji</w:t>
      </w:r>
      <w:r w:rsidR="003409C9" w:rsidRPr="003409C9">
        <w:rPr>
          <w:noProof/>
        </w:rPr>
        <w:t xml:space="preserve"> z zai</w:t>
      </w:r>
      <w:r w:rsidRPr="003409C9">
        <w:rPr>
          <w:noProof/>
        </w:rPr>
        <w:t>nteresowanymi stronami zamieszczono</w:t>
      </w:r>
      <w:r w:rsidR="003409C9" w:rsidRPr="003409C9">
        <w:rPr>
          <w:noProof/>
        </w:rPr>
        <w:t xml:space="preserve"> w oce</w:t>
      </w:r>
      <w:r w:rsidRPr="003409C9">
        <w:rPr>
          <w:noProof/>
        </w:rPr>
        <w:t>nie skutków towarzyszącej niniejszemu wnioskowi (załącznik 2).</w:t>
      </w:r>
    </w:p>
    <w:bookmarkEnd w:id="10"/>
    <w:p w:rsidR="00832116" w:rsidRPr="00BB07AF" w:rsidRDefault="00832116" w:rsidP="00832116">
      <w:pPr>
        <w:pStyle w:val="ManualHeading2"/>
        <w:rPr>
          <w:rFonts w:eastAsia="Arial Unicode MS"/>
          <w:noProof/>
          <w:u w:color="000000"/>
          <w:bdr w:val="nil"/>
        </w:rPr>
      </w:pPr>
      <w:r w:rsidRPr="00BB07AF">
        <w:rPr>
          <w:noProof/>
          <w:u w:color="000000"/>
          <w:bdr w:val="nil"/>
        </w:rPr>
        <w:t>•</w:t>
      </w:r>
      <w:r w:rsidRPr="00BB07AF">
        <w:rPr>
          <w:noProof/>
        </w:rPr>
        <w:tab/>
      </w:r>
      <w:r w:rsidRPr="00BB07AF">
        <w:rPr>
          <w:noProof/>
          <w:u w:color="000000"/>
          <w:bdr w:val="nil"/>
        </w:rPr>
        <w:t>Ocena skutków</w:t>
      </w:r>
    </w:p>
    <w:p w:rsidR="00832116" w:rsidRPr="003409C9" w:rsidRDefault="00832116" w:rsidP="00832116">
      <w:pPr>
        <w:pBdr>
          <w:top w:val="nil"/>
          <w:left w:val="nil"/>
          <w:bottom w:val="nil"/>
          <w:right w:val="nil"/>
          <w:between w:val="nil"/>
          <w:bar w:val="nil"/>
        </w:pBdr>
        <w:spacing w:before="0" w:after="240"/>
        <w:rPr>
          <w:noProof/>
        </w:rPr>
      </w:pPr>
      <w:bookmarkStart w:id="11" w:name="_Hlk117164486"/>
      <w:r w:rsidRPr="003409C9">
        <w:rPr>
          <w:noProof/>
        </w:rPr>
        <w:t>Zgodnie</w:t>
      </w:r>
      <w:r w:rsidR="003409C9" w:rsidRPr="003409C9">
        <w:rPr>
          <w:noProof/>
        </w:rPr>
        <w:t xml:space="preserve"> z wyt</w:t>
      </w:r>
      <w:r w:rsidRPr="003409C9">
        <w:rPr>
          <w:noProof/>
        </w:rPr>
        <w:t>ycznymi dotyczącymi lepszego stanowienia prawa Komisja przeprowadziła ocenę skutków, którą przedstawiono</w:t>
      </w:r>
      <w:r w:rsidR="003409C9" w:rsidRPr="003409C9">
        <w:rPr>
          <w:noProof/>
        </w:rPr>
        <w:t xml:space="preserve"> w tow</w:t>
      </w:r>
      <w:r w:rsidRPr="003409C9">
        <w:rPr>
          <w:noProof/>
        </w:rPr>
        <w:t>arzyszącym dokumencie roboczym służb Komisji</w:t>
      </w:r>
      <w:r w:rsidRPr="003409C9">
        <w:rPr>
          <w:rStyle w:val="FootnoteReference0"/>
          <w:noProof/>
        </w:rPr>
        <w:footnoteReference w:id="24"/>
      </w:r>
      <w:r w:rsidRPr="003409C9">
        <w:rPr>
          <w:noProof/>
        </w:rPr>
        <w:t>. Rada ds. Kontroli Regulacyjnej oceniła projekt oceny skutków podczas posiedzenia, które odbyło się</w:t>
      </w:r>
      <w:r w:rsidR="003409C9" w:rsidRPr="003409C9">
        <w:rPr>
          <w:noProof/>
        </w:rPr>
        <w:t> </w:t>
      </w:r>
      <w:r w:rsidRPr="003409C9">
        <w:rPr>
          <w:noProof/>
        </w:rPr>
        <w:t>28 września 2022</w:t>
      </w:r>
      <w:r w:rsidR="003409C9" w:rsidRPr="003409C9">
        <w:rPr>
          <w:noProof/>
        </w:rPr>
        <w:t> </w:t>
      </w:r>
      <w:r w:rsidRPr="003409C9">
        <w:rPr>
          <w:noProof/>
        </w:rPr>
        <w:t>r.,</w:t>
      </w:r>
      <w:r w:rsidR="003409C9" w:rsidRPr="003409C9">
        <w:rPr>
          <w:noProof/>
        </w:rPr>
        <w:t xml:space="preserve"> a 3</w:t>
      </w:r>
      <w:r w:rsidRPr="003409C9">
        <w:rPr>
          <w:noProof/>
        </w:rPr>
        <w:t>0 września 2022</w:t>
      </w:r>
      <w:r w:rsidR="003409C9" w:rsidRPr="003409C9">
        <w:rPr>
          <w:noProof/>
        </w:rPr>
        <w:t> </w:t>
      </w:r>
      <w:r w:rsidRPr="003409C9">
        <w:rPr>
          <w:noProof/>
        </w:rPr>
        <w:t>r. wydała opinię pozytywną.</w:t>
      </w:r>
    </w:p>
    <w:p w:rsidR="00832116" w:rsidRPr="003409C9" w:rsidRDefault="00832116" w:rsidP="00832116">
      <w:pPr>
        <w:pBdr>
          <w:top w:val="nil"/>
          <w:left w:val="nil"/>
          <w:bottom w:val="nil"/>
          <w:right w:val="nil"/>
          <w:between w:val="nil"/>
          <w:bar w:val="nil"/>
        </w:pBdr>
        <w:spacing w:before="0" w:after="240"/>
        <w:rPr>
          <w:noProof/>
        </w:rPr>
      </w:pPr>
      <w:r w:rsidRPr="003409C9">
        <w:rPr>
          <w:noProof/>
        </w:rPr>
        <w:t>Z uwagi na stwierdzone problemy związane</w:t>
      </w:r>
      <w:r w:rsidR="003409C9" w:rsidRPr="003409C9">
        <w:rPr>
          <w:noProof/>
        </w:rPr>
        <w:t xml:space="preserve"> z gro</w:t>
      </w:r>
      <w:r w:rsidRPr="003409C9">
        <w:rPr>
          <w:noProof/>
        </w:rPr>
        <w:t>madzeniem</w:t>
      </w:r>
      <w:r w:rsidR="003409C9" w:rsidRPr="003409C9">
        <w:rPr>
          <w:noProof/>
        </w:rPr>
        <w:t xml:space="preserve"> i prz</w:t>
      </w:r>
      <w:r w:rsidRPr="003409C9">
        <w:rPr>
          <w:noProof/>
        </w:rPr>
        <w:t>ekazywaniem danych API</w:t>
      </w:r>
      <w:r w:rsidR="003409C9" w:rsidRPr="003409C9">
        <w:rPr>
          <w:noProof/>
        </w:rPr>
        <w:t xml:space="preserve"> w oce</w:t>
      </w:r>
      <w:r w:rsidRPr="003409C9">
        <w:rPr>
          <w:noProof/>
        </w:rPr>
        <w:t>nie skutków dokonano oceny wariantów strategicznych dotyczących zakresu gromadzenia danych API do wyżej wymienionych celów, jak również wariantów dotyczących środków na rzecz poprawy jakości danych API. Jeśli chodzi</w:t>
      </w:r>
      <w:r w:rsidR="003409C9" w:rsidRPr="003409C9">
        <w:rPr>
          <w:noProof/>
        </w:rPr>
        <w:t xml:space="preserve"> o gro</w:t>
      </w:r>
      <w:r w:rsidRPr="003409C9">
        <w:rPr>
          <w:noProof/>
        </w:rPr>
        <w:t>madzenie danych API na potrzeby zarządzania granicami zewnętrznymi</w:t>
      </w:r>
      <w:r w:rsidR="003409C9" w:rsidRPr="003409C9">
        <w:rPr>
          <w:noProof/>
        </w:rPr>
        <w:t xml:space="preserve"> i zwa</w:t>
      </w:r>
      <w:r w:rsidRPr="003409C9">
        <w:rPr>
          <w:noProof/>
        </w:rPr>
        <w:t>lczania nielegalnej imigracji,</w:t>
      </w:r>
      <w:r w:rsidR="003409C9" w:rsidRPr="003409C9">
        <w:rPr>
          <w:noProof/>
        </w:rPr>
        <w:t xml:space="preserve"> w oce</w:t>
      </w:r>
      <w:r w:rsidRPr="003409C9">
        <w:rPr>
          <w:noProof/>
        </w:rPr>
        <w:t>nie skutków rozważono</w:t>
      </w:r>
      <w:r w:rsidR="003409C9" w:rsidRPr="003409C9">
        <w:rPr>
          <w:noProof/>
        </w:rPr>
        <w:t xml:space="preserve"> z jed</w:t>
      </w:r>
      <w:r w:rsidRPr="003409C9">
        <w:rPr>
          <w:noProof/>
        </w:rPr>
        <w:t>nej strony gromadzenie danych API</w:t>
      </w:r>
      <w:r w:rsidR="003409C9" w:rsidRPr="003409C9">
        <w:rPr>
          <w:noProof/>
        </w:rPr>
        <w:t xml:space="preserve"> w prz</w:t>
      </w:r>
      <w:r w:rsidRPr="003409C9">
        <w:rPr>
          <w:noProof/>
        </w:rPr>
        <w:t>ypadku wszystkich lotów przychodzących spoza strefy Schengen,</w:t>
      </w:r>
      <w:r w:rsidR="003409C9" w:rsidRPr="003409C9">
        <w:rPr>
          <w:noProof/>
        </w:rPr>
        <w:t xml:space="preserve"> a z dru</w:t>
      </w:r>
      <w:r w:rsidRPr="003409C9">
        <w:rPr>
          <w:noProof/>
        </w:rPr>
        <w:t>giej strony gromadzenie danych API</w:t>
      </w:r>
      <w:r w:rsidR="003409C9" w:rsidRPr="003409C9">
        <w:rPr>
          <w:noProof/>
        </w:rPr>
        <w:t xml:space="preserve"> w prz</w:t>
      </w:r>
      <w:r w:rsidRPr="003409C9">
        <w:rPr>
          <w:noProof/>
        </w:rPr>
        <w:t>ypadku wszystkich lotów przychodzących spoza strefy Schengen</w:t>
      </w:r>
      <w:r w:rsidR="003409C9" w:rsidRPr="003409C9">
        <w:rPr>
          <w:noProof/>
        </w:rPr>
        <w:t xml:space="preserve"> i lot</w:t>
      </w:r>
      <w:r w:rsidRPr="003409C9">
        <w:rPr>
          <w:noProof/>
        </w:rPr>
        <w:t>ów wychodzących poza strefę Schengen</w:t>
      </w:r>
      <w:r w:rsidR="003409C9" w:rsidRPr="003409C9">
        <w:rPr>
          <w:noProof/>
        </w:rPr>
        <w:t>. W oce</w:t>
      </w:r>
      <w:r w:rsidRPr="003409C9">
        <w:rPr>
          <w:noProof/>
        </w:rPr>
        <w:t>nie skutków rozważono również warianty ukierunkowane na poprawę jakości danych API – gromadzenie danych API</w:t>
      </w:r>
      <w:r w:rsidR="003409C9" w:rsidRPr="003409C9">
        <w:rPr>
          <w:noProof/>
        </w:rPr>
        <w:t xml:space="preserve"> w spo</w:t>
      </w:r>
      <w:r w:rsidRPr="003409C9">
        <w:rPr>
          <w:noProof/>
        </w:rPr>
        <w:t>sób zautomatyzowany</w:t>
      </w:r>
      <w:r w:rsidR="003409C9" w:rsidRPr="003409C9">
        <w:rPr>
          <w:noProof/>
        </w:rPr>
        <w:t xml:space="preserve"> i ręc</w:t>
      </w:r>
      <w:r w:rsidRPr="003409C9">
        <w:rPr>
          <w:noProof/>
        </w:rPr>
        <w:t>zny albo gromadzenie danych API wyłącznie</w:t>
      </w:r>
      <w:r w:rsidR="003409C9" w:rsidRPr="003409C9">
        <w:rPr>
          <w:noProof/>
        </w:rPr>
        <w:t xml:space="preserve"> w spo</w:t>
      </w:r>
      <w:r w:rsidRPr="003409C9">
        <w:rPr>
          <w:noProof/>
        </w:rPr>
        <w:t xml:space="preserve">sób zautomatyzowany. </w:t>
      </w:r>
    </w:p>
    <w:p w:rsidR="00832116" w:rsidRPr="003409C9" w:rsidRDefault="00832116" w:rsidP="00832116">
      <w:pPr>
        <w:pBdr>
          <w:top w:val="nil"/>
          <w:left w:val="nil"/>
          <w:bottom w:val="nil"/>
          <w:right w:val="nil"/>
          <w:between w:val="nil"/>
          <w:bar w:val="nil"/>
        </w:pBdr>
        <w:spacing w:before="0" w:after="240"/>
        <w:rPr>
          <w:noProof/>
        </w:rPr>
      </w:pPr>
      <w:r w:rsidRPr="003409C9">
        <w:rPr>
          <w:noProof/>
        </w:rPr>
        <w:t>Z uwagi na fakt, że pełny zestaw danych API jest generowany po wejściu pasażerów na pokład samolotu, straż graniczna otrzymywałaby dane API dopiero po fizycznej kontroli wyjazdu podróżnych</w:t>
      </w:r>
      <w:r w:rsidR="003409C9" w:rsidRPr="003409C9">
        <w:rPr>
          <w:noProof/>
        </w:rPr>
        <w:t xml:space="preserve"> i spr</w:t>
      </w:r>
      <w:r w:rsidRPr="003409C9">
        <w:rPr>
          <w:noProof/>
        </w:rPr>
        <w:t>awdzeniu ich paszportów,</w:t>
      </w:r>
      <w:r w:rsidR="003409C9" w:rsidRPr="003409C9">
        <w:rPr>
          <w:noProof/>
        </w:rPr>
        <w:t xml:space="preserve"> a zat</w:t>
      </w:r>
      <w:r w:rsidRPr="003409C9">
        <w:rPr>
          <w:noProof/>
        </w:rPr>
        <w:t>em zbyt późno, aby wspomóc pracę straży granicznej, dlatego też wariant uwzględniający gromadzenie danych API</w:t>
      </w:r>
      <w:r w:rsidR="003409C9" w:rsidRPr="003409C9">
        <w:rPr>
          <w:noProof/>
        </w:rPr>
        <w:t xml:space="preserve"> w prz</w:t>
      </w:r>
      <w:r w:rsidRPr="003409C9">
        <w:rPr>
          <w:noProof/>
        </w:rPr>
        <w:t>ypadku wszystkich odpowiednich lotów przychodzących</w:t>
      </w:r>
      <w:r w:rsidR="003409C9" w:rsidRPr="003409C9">
        <w:rPr>
          <w:noProof/>
        </w:rPr>
        <w:t xml:space="preserve"> i wyc</w:t>
      </w:r>
      <w:r w:rsidRPr="003409C9">
        <w:rPr>
          <w:noProof/>
        </w:rPr>
        <w:t xml:space="preserve">hodzących nie został wybrany jako wariant preferowany. </w:t>
      </w:r>
    </w:p>
    <w:p w:rsidR="00832116" w:rsidRPr="003409C9" w:rsidRDefault="00832116" w:rsidP="00832116">
      <w:pPr>
        <w:pBdr>
          <w:top w:val="nil"/>
          <w:left w:val="nil"/>
          <w:bottom w:val="nil"/>
          <w:right w:val="nil"/>
          <w:between w:val="nil"/>
          <w:bar w:val="nil"/>
        </w:pBdr>
        <w:spacing w:before="0" w:after="240"/>
        <w:rPr>
          <w:rFonts w:eastAsia="Arial Unicode MS"/>
          <w:noProof/>
        </w:rPr>
      </w:pPr>
      <w:r w:rsidRPr="003409C9">
        <w:rPr>
          <w:noProof/>
        </w:rPr>
        <w:t>Na podstawie ustaleń zawartych</w:t>
      </w:r>
      <w:r w:rsidR="003409C9" w:rsidRPr="003409C9">
        <w:rPr>
          <w:noProof/>
        </w:rPr>
        <w:t xml:space="preserve"> w spr</w:t>
      </w:r>
      <w:r w:rsidRPr="003409C9">
        <w:rPr>
          <w:noProof/>
        </w:rPr>
        <w:t>awozdaniu</w:t>
      </w:r>
      <w:r w:rsidR="003409C9" w:rsidRPr="003409C9">
        <w:rPr>
          <w:noProof/>
        </w:rPr>
        <w:t xml:space="preserve"> z oce</w:t>
      </w:r>
      <w:r w:rsidRPr="003409C9">
        <w:rPr>
          <w:noProof/>
        </w:rPr>
        <w:t>ny skutków wariant preferowany dotyczący instrumentu API do celów wskazanych wyżej obejmuje gromadzenie danych API dotyczących wszystkich odpowiednich lotów przychodzących, przy czym niektóre dane API będą gromadzone przez przewoźników lotniczych wyłącznie</w:t>
      </w:r>
      <w:r w:rsidR="003409C9" w:rsidRPr="003409C9">
        <w:rPr>
          <w:noProof/>
        </w:rPr>
        <w:t xml:space="preserve"> w spo</w:t>
      </w:r>
      <w:r w:rsidRPr="003409C9">
        <w:rPr>
          <w:noProof/>
        </w:rPr>
        <w:t>sób zautomatyzowany. Połączenie tych wariantów pozwoliłoby zwiększyć zdolność państw członkowskich</w:t>
      </w:r>
      <w:r w:rsidR="003409C9" w:rsidRPr="003409C9">
        <w:rPr>
          <w:noProof/>
        </w:rPr>
        <w:t xml:space="preserve"> w zak</w:t>
      </w:r>
      <w:r w:rsidRPr="003409C9">
        <w:rPr>
          <w:noProof/>
        </w:rPr>
        <w:t>resie wykorzystywania danych API na potrzeby skutecznej</w:t>
      </w:r>
      <w:r w:rsidR="003409C9" w:rsidRPr="003409C9">
        <w:rPr>
          <w:noProof/>
        </w:rPr>
        <w:t xml:space="preserve"> i wyd</w:t>
      </w:r>
      <w:r w:rsidRPr="003409C9">
        <w:rPr>
          <w:noProof/>
        </w:rPr>
        <w:t>ajnej wstępnej kontroli osób podróżujących drogą powietrzną przed ich przybyciem na granicę zewnętrzną. Standaryzacja wymogów dotyczących gromadzenia</w:t>
      </w:r>
      <w:r w:rsidR="003409C9" w:rsidRPr="003409C9">
        <w:rPr>
          <w:noProof/>
        </w:rPr>
        <w:t xml:space="preserve"> i prz</w:t>
      </w:r>
      <w:r w:rsidRPr="003409C9">
        <w:rPr>
          <w:noProof/>
        </w:rPr>
        <w:t>ekazywania danych API pozwoliłaby zwiększyć stopień ich przestrzegania przez branżę lotniczą, ponieważ we wszystkich państwach członkowskich obowiązywałyby te same wymogi. Bardziej wiarygodne</w:t>
      </w:r>
      <w:r w:rsidR="003409C9" w:rsidRPr="003409C9">
        <w:rPr>
          <w:noProof/>
        </w:rPr>
        <w:t xml:space="preserve"> i zwe</w:t>
      </w:r>
      <w:r w:rsidRPr="003409C9">
        <w:rPr>
          <w:noProof/>
        </w:rPr>
        <w:t>ryfikowane dane API,</w:t>
      </w:r>
      <w:r w:rsidR="003409C9" w:rsidRPr="003409C9">
        <w:rPr>
          <w:noProof/>
        </w:rPr>
        <w:t xml:space="preserve"> w tym</w:t>
      </w:r>
      <w:r w:rsidRPr="003409C9">
        <w:rPr>
          <w:noProof/>
        </w:rPr>
        <w:t xml:space="preserve"> dane API zgromadzone</w:t>
      </w:r>
      <w:r w:rsidR="003409C9" w:rsidRPr="003409C9">
        <w:rPr>
          <w:noProof/>
        </w:rPr>
        <w:t xml:space="preserve"> w spo</w:t>
      </w:r>
      <w:r w:rsidRPr="003409C9">
        <w:rPr>
          <w:noProof/>
        </w:rPr>
        <w:t>sób zautomatyzowany, pozwoliłyby na identyfikację podróżnych wysokiego ryzyka</w:t>
      </w:r>
      <w:r w:rsidR="003409C9" w:rsidRPr="003409C9">
        <w:rPr>
          <w:noProof/>
        </w:rPr>
        <w:t xml:space="preserve"> i zap</w:t>
      </w:r>
      <w:r w:rsidRPr="003409C9">
        <w:rPr>
          <w:noProof/>
        </w:rPr>
        <w:t>ewniłyby szybsze ułatwienie odprawy na granicach zewnętrznych oraz odprawę celną pasażerów po przyjeździe. Wniosek jest zgodny</w:t>
      </w:r>
      <w:r w:rsidR="003409C9" w:rsidRPr="003409C9">
        <w:rPr>
          <w:noProof/>
        </w:rPr>
        <w:t xml:space="preserve"> z cel</w:t>
      </w:r>
      <w:r w:rsidRPr="003409C9">
        <w:rPr>
          <w:noProof/>
        </w:rPr>
        <w:t>em neutralności klimatycznej określonym</w:t>
      </w:r>
      <w:r w:rsidR="003409C9" w:rsidRPr="003409C9">
        <w:rPr>
          <w:noProof/>
        </w:rPr>
        <w:t xml:space="preserve"> w Eur</w:t>
      </w:r>
      <w:r w:rsidRPr="003409C9">
        <w:rPr>
          <w:noProof/>
        </w:rPr>
        <w:t>opejskim prawie</w:t>
      </w:r>
      <w:r w:rsidR="003409C9" w:rsidRPr="003409C9">
        <w:rPr>
          <w:noProof/>
        </w:rPr>
        <w:t xml:space="preserve"> o kli</w:t>
      </w:r>
      <w:r w:rsidRPr="003409C9">
        <w:rPr>
          <w:noProof/>
        </w:rPr>
        <w:t>macie</w:t>
      </w:r>
      <w:r w:rsidRPr="003409C9">
        <w:rPr>
          <w:rStyle w:val="FootnoteReference0"/>
          <w:rFonts w:eastAsia="Arial Unicode MS"/>
          <w:noProof/>
        </w:rPr>
        <w:footnoteReference w:id="25"/>
      </w:r>
      <w:r w:rsidRPr="003409C9">
        <w:rPr>
          <w:noProof/>
        </w:rPr>
        <w:t xml:space="preserve"> oraz</w:t>
      </w:r>
      <w:r w:rsidR="003409C9" w:rsidRPr="003409C9">
        <w:rPr>
          <w:noProof/>
        </w:rPr>
        <w:t xml:space="preserve"> z cel</w:t>
      </w:r>
      <w:r w:rsidRPr="003409C9">
        <w:rPr>
          <w:noProof/>
        </w:rPr>
        <w:t>ami Unii na lata 2030</w:t>
      </w:r>
      <w:r w:rsidR="003409C9" w:rsidRPr="003409C9">
        <w:rPr>
          <w:noProof/>
        </w:rPr>
        <w:t xml:space="preserve"> i 2</w:t>
      </w:r>
      <w:r w:rsidRPr="003409C9">
        <w:rPr>
          <w:noProof/>
        </w:rPr>
        <w:t>040.</w:t>
      </w:r>
    </w:p>
    <w:bookmarkEnd w:id="11"/>
    <w:p w:rsidR="00832116" w:rsidRPr="003409C9" w:rsidRDefault="00503747" w:rsidP="00832116">
      <w:pPr>
        <w:pBdr>
          <w:top w:val="nil"/>
          <w:left w:val="nil"/>
          <w:bottom w:val="nil"/>
          <w:right w:val="nil"/>
          <w:between w:val="nil"/>
          <w:bar w:val="nil"/>
        </w:pBdr>
        <w:spacing w:before="0" w:after="240"/>
        <w:rPr>
          <w:rFonts w:eastAsia="Arial Unicode MS"/>
          <w:noProof/>
        </w:rPr>
      </w:pPr>
      <w:r w:rsidRPr="003409C9">
        <w:rPr>
          <w:noProof/>
        </w:rPr>
        <w:t>W ocenie skutków rozważono również –</w:t>
      </w:r>
      <w:r w:rsidR="003409C9" w:rsidRPr="003409C9">
        <w:rPr>
          <w:noProof/>
        </w:rPr>
        <w:t xml:space="preserve"> i odr</w:t>
      </w:r>
      <w:r w:rsidRPr="003409C9">
        <w:rPr>
          <w:noProof/>
        </w:rPr>
        <w:t>zucono – warianty dotyczące np. gromadzenia danych API od operatorów innych środków transportu od podmiotów, takich jak operatorzy transportu morskiego, kolejowego</w:t>
      </w:r>
      <w:r w:rsidR="003409C9" w:rsidRPr="003409C9">
        <w:rPr>
          <w:noProof/>
        </w:rPr>
        <w:t xml:space="preserve"> i aut</w:t>
      </w:r>
      <w:r w:rsidRPr="003409C9">
        <w:rPr>
          <w:noProof/>
        </w:rPr>
        <w:t>obusowego</w:t>
      </w:r>
      <w:r w:rsidR="003409C9" w:rsidRPr="003409C9">
        <w:rPr>
          <w:noProof/>
        </w:rPr>
        <w:t>. W oce</w:t>
      </w:r>
      <w:r w:rsidRPr="003409C9">
        <w:rPr>
          <w:noProof/>
        </w:rPr>
        <w:t>nie skutków stwierdzono, że istnieją już unijne</w:t>
      </w:r>
      <w:r w:rsidR="003409C9" w:rsidRPr="003409C9">
        <w:rPr>
          <w:noProof/>
        </w:rPr>
        <w:t xml:space="preserve"> i mię</w:t>
      </w:r>
      <w:r w:rsidRPr="003409C9">
        <w:rPr>
          <w:noProof/>
        </w:rPr>
        <w:t>dzynarodowe przepisy,</w:t>
      </w:r>
      <w:r w:rsidR="003409C9" w:rsidRPr="003409C9">
        <w:rPr>
          <w:noProof/>
        </w:rPr>
        <w:t xml:space="preserve"> w któ</w:t>
      </w:r>
      <w:r w:rsidRPr="003409C9">
        <w:rPr>
          <w:noProof/>
        </w:rPr>
        <w:t>rych zobowiązuje się operatorów transportu morskiego do przekazywania</w:t>
      </w:r>
      <w:r w:rsidR="003409C9" w:rsidRPr="003409C9">
        <w:rPr>
          <w:noProof/>
        </w:rPr>
        <w:t xml:space="preserve"> z wyp</w:t>
      </w:r>
      <w:r w:rsidRPr="003409C9">
        <w:rPr>
          <w:noProof/>
        </w:rPr>
        <w:t>rzedzeniem służbom granicznym informacji</w:t>
      </w:r>
      <w:r w:rsidR="003409C9" w:rsidRPr="003409C9">
        <w:rPr>
          <w:noProof/>
        </w:rPr>
        <w:t xml:space="preserve"> o pas</w:t>
      </w:r>
      <w:r w:rsidRPr="003409C9">
        <w:rPr>
          <w:noProof/>
        </w:rPr>
        <w:t>ażerach państw członkowskich na trasach przychodzących</w:t>
      </w:r>
      <w:r w:rsidR="003409C9" w:rsidRPr="003409C9">
        <w:rPr>
          <w:noProof/>
        </w:rPr>
        <w:t xml:space="preserve"> i wyc</w:t>
      </w:r>
      <w:r w:rsidRPr="003409C9">
        <w:rPr>
          <w:noProof/>
        </w:rPr>
        <w:t>hodzących. Nałożenie na operatorów transportu morskiego dodatkowego zobowiązania na poziomie UE do przekazywania danych API byłoby zatem zbędne</w:t>
      </w:r>
      <w:r w:rsidR="003409C9" w:rsidRPr="003409C9">
        <w:rPr>
          <w:noProof/>
        </w:rPr>
        <w:t>. W por</w:t>
      </w:r>
      <w:r w:rsidRPr="003409C9">
        <w:rPr>
          <w:noProof/>
        </w:rPr>
        <w:t>ównaniu</w:t>
      </w:r>
      <w:r w:rsidR="003409C9" w:rsidRPr="003409C9">
        <w:rPr>
          <w:noProof/>
        </w:rPr>
        <w:t xml:space="preserve"> z sek</w:t>
      </w:r>
      <w:r w:rsidRPr="003409C9">
        <w:rPr>
          <w:noProof/>
        </w:rPr>
        <w:t>torem transportu lotniczego gromadzenie danych dotyczących pasażerów stanowi większe wyzwanie dla operatorów transportu lądowego, np. kolejowego lub autobusowego (brak procesów odprawy, brak systematycznego wydawania biletów imiennych),</w:t>
      </w:r>
      <w:r w:rsidR="003409C9" w:rsidRPr="003409C9">
        <w:rPr>
          <w:noProof/>
        </w:rPr>
        <w:t xml:space="preserve"> i wym</w:t>
      </w:r>
      <w:r w:rsidRPr="003409C9">
        <w:rPr>
          <w:noProof/>
        </w:rPr>
        <w:t>agałoby poważnych inwestycji</w:t>
      </w:r>
      <w:r w:rsidR="003409C9" w:rsidRPr="003409C9">
        <w:rPr>
          <w:noProof/>
        </w:rPr>
        <w:t xml:space="preserve"> w inf</w:t>
      </w:r>
      <w:r w:rsidRPr="003409C9">
        <w:rPr>
          <w:noProof/>
        </w:rPr>
        <w:t>rastrukturę fizyczną operatorów, co wiązałoby się ze znacznymi konsekwencjami dla ich modelu ekonomicznego</w:t>
      </w:r>
      <w:r w:rsidR="003409C9" w:rsidRPr="003409C9">
        <w:rPr>
          <w:noProof/>
        </w:rPr>
        <w:t xml:space="preserve"> i pas</w:t>
      </w:r>
      <w:r w:rsidRPr="003409C9">
        <w:rPr>
          <w:noProof/>
        </w:rPr>
        <w:t>ażerów. Decyzja</w:t>
      </w:r>
      <w:r w:rsidR="003409C9" w:rsidRPr="003409C9">
        <w:rPr>
          <w:noProof/>
        </w:rPr>
        <w:t xml:space="preserve"> o nie</w:t>
      </w:r>
      <w:r w:rsidRPr="003409C9">
        <w:rPr>
          <w:noProof/>
        </w:rPr>
        <w:t>uwzględnieniu tych aspektów</w:t>
      </w:r>
      <w:r w:rsidR="003409C9" w:rsidRPr="003409C9">
        <w:rPr>
          <w:noProof/>
        </w:rPr>
        <w:t xml:space="preserve"> w nin</w:t>
      </w:r>
      <w:r w:rsidRPr="003409C9">
        <w:rPr>
          <w:noProof/>
        </w:rPr>
        <w:t>iejszym rozporządzeniu pozostaje bez uszczerbku dla praktyk niektórych państw członkowskich, które wymagają podania danych dotyczących pasażerów</w:t>
      </w:r>
      <w:r w:rsidR="003409C9" w:rsidRPr="003409C9">
        <w:rPr>
          <w:noProof/>
        </w:rPr>
        <w:t xml:space="preserve"> w prz</w:t>
      </w:r>
      <w:r w:rsidRPr="003409C9">
        <w:rPr>
          <w:noProof/>
        </w:rPr>
        <w:t>ypadku połączeń kolejowych</w:t>
      </w:r>
      <w:r w:rsidR="003409C9" w:rsidRPr="003409C9">
        <w:rPr>
          <w:noProof/>
        </w:rPr>
        <w:t xml:space="preserve"> w opa</w:t>
      </w:r>
      <w:r w:rsidRPr="003409C9">
        <w:rPr>
          <w:noProof/>
        </w:rPr>
        <w:t>rciu</w:t>
      </w:r>
      <w:r w:rsidR="003409C9" w:rsidRPr="003409C9">
        <w:rPr>
          <w:noProof/>
        </w:rPr>
        <w:t xml:space="preserve"> o pra</w:t>
      </w:r>
      <w:r w:rsidRPr="003409C9">
        <w:rPr>
          <w:noProof/>
        </w:rPr>
        <w:t>wo krajowe, pod warunkiem że są one zgodne</w:t>
      </w:r>
      <w:r w:rsidR="003409C9" w:rsidRPr="003409C9">
        <w:rPr>
          <w:noProof/>
        </w:rPr>
        <w:t xml:space="preserve"> z pra</w:t>
      </w:r>
      <w:r w:rsidRPr="003409C9">
        <w:rPr>
          <w:noProof/>
        </w:rPr>
        <w:t>wem UE.</w:t>
      </w:r>
    </w:p>
    <w:p w:rsidR="00832116" w:rsidRPr="00BB07AF" w:rsidRDefault="00832116" w:rsidP="00832116">
      <w:pPr>
        <w:pStyle w:val="ManualHeading2"/>
        <w:rPr>
          <w:rFonts w:eastAsia="Arial Unicode MS"/>
          <w:noProof/>
          <w:u w:color="000000"/>
          <w:bdr w:val="nil"/>
        </w:rPr>
      </w:pPr>
      <w:r w:rsidRPr="00BB07AF">
        <w:rPr>
          <w:noProof/>
          <w:u w:color="000000"/>
          <w:bdr w:val="nil"/>
        </w:rPr>
        <w:t>•</w:t>
      </w:r>
      <w:r w:rsidRPr="00BB07AF">
        <w:rPr>
          <w:noProof/>
        </w:rPr>
        <w:tab/>
      </w:r>
      <w:r w:rsidRPr="00BB07AF">
        <w:rPr>
          <w:noProof/>
          <w:u w:color="000000"/>
          <w:bdr w:val="nil"/>
        </w:rPr>
        <w:t>Prawa podstawowe</w:t>
      </w:r>
      <w:r w:rsidR="003409C9" w:rsidRPr="00BB07AF">
        <w:rPr>
          <w:noProof/>
          <w:u w:color="000000"/>
          <w:bdr w:val="nil"/>
        </w:rPr>
        <w:t xml:space="preserve"> i och</w:t>
      </w:r>
      <w:r w:rsidRPr="00BB07AF">
        <w:rPr>
          <w:noProof/>
          <w:u w:color="000000"/>
          <w:bdr w:val="nil"/>
        </w:rPr>
        <w:t>rona danych osobowych</w:t>
      </w:r>
    </w:p>
    <w:p w:rsidR="00A31C74" w:rsidRPr="003409C9" w:rsidRDefault="00832116" w:rsidP="00A31C74">
      <w:pPr>
        <w:pBdr>
          <w:top w:val="nil"/>
          <w:left w:val="nil"/>
          <w:bottom w:val="nil"/>
          <w:right w:val="nil"/>
          <w:between w:val="nil"/>
          <w:bar w:val="nil"/>
        </w:pBdr>
        <w:spacing w:before="0" w:after="240"/>
        <w:rPr>
          <w:noProof/>
        </w:rPr>
      </w:pPr>
      <w:bookmarkStart w:id="12" w:name="_Hlk117164509"/>
      <w:r w:rsidRPr="003409C9">
        <w:rPr>
          <w:noProof/>
        </w:rPr>
        <w:t>Niniejsza inicjatywa przewiduje przetwarzanie danych osobowych podróżnych</w:t>
      </w:r>
      <w:r w:rsidR="003409C9" w:rsidRPr="003409C9">
        <w:rPr>
          <w:noProof/>
        </w:rPr>
        <w:t xml:space="preserve"> i w zwi</w:t>
      </w:r>
      <w:r w:rsidRPr="003409C9">
        <w:rPr>
          <w:noProof/>
        </w:rPr>
        <w:t>ązku</w:t>
      </w:r>
      <w:r w:rsidR="003409C9" w:rsidRPr="003409C9">
        <w:rPr>
          <w:noProof/>
        </w:rPr>
        <w:t xml:space="preserve"> z tym</w:t>
      </w:r>
      <w:r w:rsidRPr="003409C9">
        <w:rPr>
          <w:noProof/>
        </w:rPr>
        <w:t xml:space="preserve"> ogranicza korzystanie</w:t>
      </w:r>
      <w:r w:rsidR="003409C9" w:rsidRPr="003409C9">
        <w:rPr>
          <w:noProof/>
        </w:rPr>
        <w:t xml:space="preserve"> z pod</w:t>
      </w:r>
      <w:r w:rsidRPr="003409C9">
        <w:rPr>
          <w:noProof/>
        </w:rPr>
        <w:t xml:space="preserve">stawowego prawa do ochrony danych osobowych gwarantowanego przez </w:t>
      </w:r>
      <w:bookmarkEnd w:id="12"/>
      <w:r w:rsidRPr="003409C9">
        <w:rPr>
          <w:noProof/>
        </w:rPr>
        <w:t>art.</w:t>
      </w:r>
      <w:r w:rsidR="003409C9" w:rsidRPr="003409C9">
        <w:rPr>
          <w:noProof/>
        </w:rPr>
        <w:t> </w:t>
      </w:r>
      <w:r w:rsidRPr="003409C9">
        <w:rPr>
          <w:noProof/>
        </w:rPr>
        <w:t>8 Karty praw podstawowych UE („Karta”)</w:t>
      </w:r>
      <w:r w:rsidR="003409C9" w:rsidRPr="003409C9">
        <w:rPr>
          <w:noProof/>
        </w:rPr>
        <w:t xml:space="preserve"> i art</w:t>
      </w:r>
      <w:r w:rsidRPr="003409C9">
        <w:rPr>
          <w:noProof/>
        </w:rPr>
        <w:t>.</w:t>
      </w:r>
      <w:r w:rsidR="003409C9" w:rsidRPr="003409C9">
        <w:rPr>
          <w:noProof/>
        </w:rPr>
        <w:t> </w:t>
      </w:r>
      <w:r w:rsidRPr="003409C9">
        <w:rPr>
          <w:noProof/>
        </w:rPr>
        <w:t>16 TFUE. Jak podkreślił Trybunał Sprawiedliwości UE (TSUE)</w:t>
      </w:r>
      <w:r w:rsidRPr="003409C9">
        <w:rPr>
          <w:rStyle w:val="FootnoteReference0"/>
          <w:noProof/>
        </w:rPr>
        <w:footnoteReference w:id="26"/>
      </w:r>
      <w:r w:rsidRPr="003409C9">
        <w:rPr>
          <w:noProof/>
        </w:rPr>
        <w:t>, prawo do ochrony danych osobowych nie stanowi prerogatywy</w:t>
      </w:r>
      <w:r w:rsidR="003409C9" w:rsidRPr="003409C9">
        <w:rPr>
          <w:noProof/>
        </w:rPr>
        <w:t xml:space="preserve"> o cha</w:t>
      </w:r>
      <w:r w:rsidRPr="003409C9">
        <w:rPr>
          <w:noProof/>
        </w:rPr>
        <w:t>rakterze absolutnym, ale wszelkie ograniczenia powinny być oceniane</w:t>
      </w:r>
      <w:r w:rsidR="003409C9" w:rsidRPr="003409C9">
        <w:rPr>
          <w:noProof/>
        </w:rPr>
        <w:t xml:space="preserve"> w świ</w:t>
      </w:r>
      <w:r w:rsidRPr="003409C9">
        <w:rPr>
          <w:noProof/>
        </w:rPr>
        <w:t>etle jego funkcji społecznej</w:t>
      </w:r>
      <w:r w:rsidR="003409C9" w:rsidRPr="003409C9">
        <w:rPr>
          <w:noProof/>
        </w:rPr>
        <w:t xml:space="preserve"> i spe</w:t>
      </w:r>
      <w:r w:rsidRPr="003409C9">
        <w:rPr>
          <w:noProof/>
        </w:rPr>
        <w:t>łniać kryteria określone</w:t>
      </w:r>
      <w:r w:rsidR="003409C9" w:rsidRPr="003409C9">
        <w:rPr>
          <w:noProof/>
        </w:rPr>
        <w:t xml:space="preserve"> w art</w:t>
      </w:r>
      <w:r w:rsidRPr="003409C9">
        <w:rPr>
          <w:noProof/>
        </w:rPr>
        <w:t>.</w:t>
      </w:r>
      <w:r w:rsidR="003409C9" w:rsidRPr="003409C9">
        <w:rPr>
          <w:noProof/>
        </w:rPr>
        <w:t> </w:t>
      </w:r>
      <w:r w:rsidRPr="003409C9">
        <w:rPr>
          <w:noProof/>
        </w:rPr>
        <w:t>52 ust.</w:t>
      </w:r>
      <w:r w:rsidR="003409C9" w:rsidRPr="003409C9">
        <w:rPr>
          <w:noProof/>
        </w:rPr>
        <w:t> </w:t>
      </w:r>
      <w:r w:rsidRPr="003409C9">
        <w:rPr>
          <w:noProof/>
        </w:rPr>
        <w:t>1 Karty</w:t>
      </w:r>
      <w:r w:rsidRPr="003409C9">
        <w:rPr>
          <w:rStyle w:val="FootnoteReference0"/>
          <w:noProof/>
        </w:rPr>
        <w:footnoteReference w:id="27"/>
      </w:r>
      <w:r w:rsidRPr="003409C9">
        <w:rPr>
          <w:noProof/>
        </w:rPr>
        <w:t>. Ochrona danych osobowych jest również ściśle powiązana</w:t>
      </w:r>
      <w:r w:rsidR="003409C9" w:rsidRPr="003409C9">
        <w:rPr>
          <w:noProof/>
        </w:rPr>
        <w:t xml:space="preserve"> z pos</w:t>
      </w:r>
      <w:r w:rsidRPr="003409C9">
        <w:rPr>
          <w:noProof/>
        </w:rPr>
        <w:t>zanowaniem prawa do prywatności, które jest jednym</w:t>
      </w:r>
      <w:r w:rsidR="003409C9" w:rsidRPr="003409C9">
        <w:rPr>
          <w:noProof/>
        </w:rPr>
        <w:t xml:space="preserve"> z ele</w:t>
      </w:r>
      <w:r w:rsidRPr="003409C9">
        <w:rPr>
          <w:noProof/>
        </w:rPr>
        <w:t>mentów prawa do życia prywatnego</w:t>
      </w:r>
      <w:r w:rsidR="003409C9" w:rsidRPr="003409C9">
        <w:rPr>
          <w:noProof/>
        </w:rPr>
        <w:t xml:space="preserve"> i rod</w:t>
      </w:r>
      <w:r w:rsidRPr="003409C9">
        <w:rPr>
          <w:noProof/>
        </w:rPr>
        <w:t>zinnego objętego ochroną na podstawie art.</w:t>
      </w:r>
      <w:r w:rsidR="003409C9" w:rsidRPr="003409C9">
        <w:rPr>
          <w:noProof/>
        </w:rPr>
        <w:t> </w:t>
      </w:r>
      <w:r w:rsidRPr="003409C9">
        <w:rPr>
          <w:noProof/>
        </w:rPr>
        <w:t xml:space="preserve">7 Karty. </w:t>
      </w:r>
    </w:p>
    <w:p w:rsidR="00832116" w:rsidRPr="003409C9" w:rsidRDefault="00A31C74" w:rsidP="00A31C74">
      <w:pPr>
        <w:pBdr>
          <w:top w:val="nil"/>
          <w:left w:val="nil"/>
          <w:bottom w:val="nil"/>
          <w:right w:val="nil"/>
          <w:between w:val="nil"/>
          <w:bar w:val="nil"/>
        </w:pBdr>
        <w:spacing w:before="0" w:after="240"/>
        <w:rPr>
          <w:noProof/>
        </w:rPr>
      </w:pPr>
      <w:r w:rsidRPr="003409C9">
        <w:rPr>
          <w:noProof/>
        </w:rPr>
        <w:t>Zobowiązanie przewoźników lotniczych do gromadzenia danych API</w:t>
      </w:r>
      <w:r w:rsidR="003409C9" w:rsidRPr="003409C9">
        <w:rPr>
          <w:noProof/>
        </w:rPr>
        <w:t xml:space="preserve"> w prz</w:t>
      </w:r>
      <w:r w:rsidRPr="003409C9">
        <w:rPr>
          <w:noProof/>
        </w:rPr>
        <w:t>ypadku wszystkich podróżnych przekraczających granice zewnętrzne,</w:t>
      </w:r>
      <w:r w:rsidR="003409C9" w:rsidRPr="003409C9">
        <w:rPr>
          <w:noProof/>
        </w:rPr>
        <w:t xml:space="preserve"> a nas</w:t>
      </w:r>
      <w:r w:rsidRPr="003409C9">
        <w:rPr>
          <w:noProof/>
        </w:rPr>
        <w:t>tępnie przekazywania tych danych – za pośrednictwem routera – właściwym służbom granicznym, odpowiada celowi, jakim jest pomoc</w:t>
      </w:r>
      <w:r w:rsidR="003409C9" w:rsidRPr="003409C9">
        <w:rPr>
          <w:noProof/>
        </w:rPr>
        <w:t xml:space="preserve"> w zap</w:t>
      </w:r>
      <w:r w:rsidRPr="003409C9">
        <w:rPr>
          <w:noProof/>
        </w:rPr>
        <w:t>ewnieniu, aby wstępne kontrole na granicach zewnętrznych były przeprowadzane skutecznie</w:t>
      </w:r>
      <w:r w:rsidR="003409C9" w:rsidRPr="003409C9">
        <w:rPr>
          <w:noProof/>
        </w:rPr>
        <w:t xml:space="preserve"> i wyd</w:t>
      </w:r>
      <w:r w:rsidRPr="003409C9">
        <w:rPr>
          <w:noProof/>
        </w:rPr>
        <w:t>ajnie</w:t>
      </w:r>
      <w:r w:rsidR="003409C9" w:rsidRPr="003409C9">
        <w:rPr>
          <w:noProof/>
        </w:rPr>
        <w:t xml:space="preserve"> w odn</w:t>
      </w:r>
      <w:r w:rsidRPr="003409C9">
        <w:rPr>
          <w:noProof/>
        </w:rPr>
        <w:t>iesieniu do wszystkich podróżnych wjeżdżających do państw członkowskich, co</w:t>
      </w:r>
      <w:r w:rsidR="003409C9" w:rsidRPr="003409C9">
        <w:rPr>
          <w:noProof/>
        </w:rPr>
        <w:t xml:space="preserve"> z kol</w:t>
      </w:r>
      <w:r w:rsidRPr="003409C9">
        <w:rPr>
          <w:noProof/>
        </w:rPr>
        <w:t>ei przyczyni się również do zwalczania nielegalnej imigracji. Mimo że właściwe służby graniczne nie będą podejmować żadnych decyzji wyłącznie na podstawie danych API, niniejszy wniosek umożliwi służbom granicznym wcześniejsze zorganizowanie ich działań</w:t>
      </w:r>
      <w:r w:rsidR="003409C9" w:rsidRPr="003409C9">
        <w:rPr>
          <w:noProof/>
        </w:rPr>
        <w:t xml:space="preserve"> i uła</w:t>
      </w:r>
      <w:r w:rsidRPr="003409C9">
        <w:rPr>
          <w:noProof/>
        </w:rPr>
        <w:t>twi wjazd pasażerom podróżującym</w:t>
      </w:r>
      <w:r w:rsidR="003409C9" w:rsidRPr="003409C9">
        <w:rPr>
          <w:noProof/>
        </w:rPr>
        <w:t xml:space="preserve"> w dob</w:t>
      </w:r>
      <w:r w:rsidRPr="003409C9">
        <w:rPr>
          <w:noProof/>
        </w:rPr>
        <w:t>rej wierze oraz wykrywanie innego rodzaju pasażerów. Ingerencja</w:t>
      </w:r>
      <w:r w:rsidR="003409C9" w:rsidRPr="003409C9">
        <w:rPr>
          <w:noProof/>
        </w:rPr>
        <w:t xml:space="preserve"> w wyż</w:t>
      </w:r>
      <w:r w:rsidRPr="003409C9">
        <w:rPr>
          <w:noProof/>
        </w:rPr>
        <w:t>ej wymienione prawa podstawowe ogranicza się do tego, co jest ściśle niezbędne do osiągnięcia wymienionych celów,</w:t>
      </w:r>
      <w:r w:rsidR="003409C9" w:rsidRPr="003409C9">
        <w:rPr>
          <w:noProof/>
        </w:rPr>
        <w:t xml:space="preserve"> w szc</w:t>
      </w:r>
      <w:r w:rsidRPr="003409C9">
        <w:rPr>
          <w:noProof/>
        </w:rPr>
        <w:t>zególności poprzez ograniczenie zakresu gromadzonych danych dotyczących tożsamości do informacji zawartych</w:t>
      </w:r>
      <w:r w:rsidR="003409C9" w:rsidRPr="003409C9">
        <w:rPr>
          <w:noProof/>
        </w:rPr>
        <w:t xml:space="preserve"> w dok</w:t>
      </w:r>
      <w:r w:rsidRPr="003409C9">
        <w:rPr>
          <w:noProof/>
        </w:rPr>
        <w:t>umencie podróży podróżnego oraz ograniczenie zakresu przetwarzania do niezbędnego minimum,</w:t>
      </w:r>
      <w:r w:rsidR="003409C9" w:rsidRPr="003409C9">
        <w:rPr>
          <w:noProof/>
        </w:rPr>
        <w:t xml:space="preserve"> w tym w odn</w:t>
      </w:r>
      <w:r w:rsidRPr="003409C9">
        <w:rPr>
          <w:noProof/>
        </w:rPr>
        <w:t xml:space="preserve">iesieniu do okresu przechowywania danych osobowych. </w:t>
      </w:r>
    </w:p>
    <w:p w:rsidR="00A31C74" w:rsidRPr="003409C9" w:rsidRDefault="00832116" w:rsidP="00832116">
      <w:pPr>
        <w:pBdr>
          <w:top w:val="nil"/>
          <w:left w:val="nil"/>
          <w:bottom w:val="nil"/>
          <w:right w:val="nil"/>
          <w:between w:val="nil"/>
          <w:bar w:val="nil"/>
        </w:pBdr>
        <w:spacing w:before="0" w:after="240"/>
        <w:rPr>
          <w:noProof/>
        </w:rPr>
      </w:pPr>
      <w:bookmarkStart w:id="13" w:name="_Hlk117698190"/>
      <w:r w:rsidRPr="003409C9">
        <w:rPr>
          <w:noProof/>
        </w:rPr>
        <w:t>Obowiązkowe stosowanie automatyzacji przez przewoźników lotniczych do gromadzenia danych API od podróżnych może prowadzić do powstania dodatkowych zagrożeń</w:t>
      </w:r>
      <w:r w:rsidR="003409C9" w:rsidRPr="003409C9">
        <w:rPr>
          <w:noProof/>
        </w:rPr>
        <w:t xml:space="preserve"> z pun</w:t>
      </w:r>
      <w:r w:rsidRPr="003409C9">
        <w:rPr>
          <w:noProof/>
        </w:rPr>
        <w:t>ktu widzenia ochrony danych osobowych. Zagrożenia takie zostały jednak ograniczone</w:t>
      </w:r>
      <w:r w:rsidR="003409C9" w:rsidRPr="003409C9">
        <w:rPr>
          <w:noProof/>
        </w:rPr>
        <w:t xml:space="preserve"> i zła</w:t>
      </w:r>
      <w:r w:rsidRPr="003409C9">
        <w:rPr>
          <w:noProof/>
        </w:rPr>
        <w:t>godzone. Po pierwsze, wymóg ten ma zastosowanie jedynie</w:t>
      </w:r>
      <w:r w:rsidR="003409C9" w:rsidRPr="003409C9">
        <w:rPr>
          <w:noProof/>
        </w:rPr>
        <w:t xml:space="preserve"> w odn</w:t>
      </w:r>
      <w:r w:rsidRPr="003409C9">
        <w:rPr>
          <w:noProof/>
        </w:rPr>
        <w:t>iesieniu do niektórych danych API,</w:t>
      </w:r>
      <w:r w:rsidR="003409C9" w:rsidRPr="003409C9">
        <w:rPr>
          <w:noProof/>
        </w:rPr>
        <w:t xml:space="preserve"> w prz</w:t>
      </w:r>
      <w:r w:rsidRPr="003409C9">
        <w:rPr>
          <w:noProof/>
        </w:rPr>
        <w:t>ypadku których korzystanie</w:t>
      </w:r>
      <w:r w:rsidR="003409C9" w:rsidRPr="003409C9">
        <w:rPr>
          <w:noProof/>
        </w:rPr>
        <w:t xml:space="preserve"> z aut</w:t>
      </w:r>
      <w:r w:rsidRPr="003409C9">
        <w:rPr>
          <w:noProof/>
        </w:rPr>
        <w:t>omatyzacji ma odbywać się</w:t>
      </w:r>
      <w:r w:rsidR="003409C9" w:rsidRPr="003409C9">
        <w:rPr>
          <w:noProof/>
        </w:rPr>
        <w:t xml:space="preserve"> w spo</w:t>
      </w:r>
      <w:r w:rsidRPr="003409C9">
        <w:rPr>
          <w:noProof/>
        </w:rPr>
        <w:t>sób odpowiedzialny</w:t>
      </w:r>
      <w:r w:rsidR="003409C9" w:rsidRPr="003409C9">
        <w:rPr>
          <w:noProof/>
        </w:rPr>
        <w:t xml:space="preserve"> w odn</w:t>
      </w:r>
      <w:r w:rsidRPr="003409C9">
        <w:rPr>
          <w:noProof/>
        </w:rPr>
        <w:t>iesieniu do danych nadających się do odczytu maszynowego</w:t>
      </w:r>
      <w:r w:rsidR="003409C9" w:rsidRPr="003409C9">
        <w:rPr>
          <w:noProof/>
        </w:rPr>
        <w:t xml:space="preserve"> w dok</w:t>
      </w:r>
      <w:r w:rsidRPr="003409C9">
        <w:rPr>
          <w:noProof/>
        </w:rPr>
        <w:t>umentach podróżnych. Po drugie, proponowane rozporządzenie zawiera wymogi dotyczące automatyzacji, które mają zostać doprecyzowane</w:t>
      </w:r>
      <w:r w:rsidR="003409C9" w:rsidRPr="003409C9">
        <w:rPr>
          <w:noProof/>
        </w:rPr>
        <w:t xml:space="preserve"> w akc</w:t>
      </w:r>
      <w:r w:rsidRPr="003409C9">
        <w:rPr>
          <w:noProof/>
        </w:rPr>
        <w:t>ie delegowanym. Ponadto przewidziano kilka zabezpieczeń, takich jak rejestrowanie, przepisy szczegółowe dotyczące ochrony danych osobowych</w:t>
      </w:r>
      <w:r w:rsidR="003409C9" w:rsidRPr="003409C9">
        <w:rPr>
          <w:noProof/>
        </w:rPr>
        <w:t xml:space="preserve"> i sku</w:t>
      </w:r>
      <w:r w:rsidRPr="003409C9">
        <w:rPr>
          <w:noProof/>
        </w:rPr>
        <w:t xml:space="preserve">teczny nadzór. </w:t>
      </w:r>
    </w:p>
    <w:p w:rsidR="00832116" w:rsidRPr="003409C9" w:rsidRDefault="00832116" w:rsidP="00832116">
      <w:pPr>
        <w:pBdr>
          <w:top w:val="nil"/>
          <w:left w:val="nil"/>
          <w:bottom w:val="nil"/>
          <w:right w:val="nil"/>
          <w:between w:val="nil"/>
          <w:bar w:val="nil"/>
        </w:pBdr>
        <w:spacing w:before="0" w:after="240"/>
        <w:rPr>
          <w:noProof/>
        </w:rPr>
      </w:pPr>
      <w:r w:rsidRPr="003409C9">
        <w:rPr>
          <w:noProof/>
        </w:rPr>
        <w:t>Niniejszy wniosek zawiera również dodatkowe</w:t>
      </w:r>
      <w:r w:rsidR="003409C9" w:rsidRPr="003409C9">
        <w:rPr>
          <w:noProof/>
        </w:rPr>
        <w:t xml:space="preserve"> i szc</w:t>
      </w:r>
      <w:r w:rsidRPr="003409C9">
        <w:rPr>
          <w:noProof/>
        </w:rPr>
        <w:t>zegółowe zabezpieczenia mające na celu zapewnienie zgodności</w:t>
      </w:r>
      <w:r w:rsidR="003409C9" w:rsidRPr="003409C9">
        <w:rPr>
          <w:noProof/>
        </w:rPr>
        <w:t xml:space="preserve"> z pos</w:t>
      </w:r>
      <w:r w:rsidRPr="003409C9">
        <w:rPr>
          <w:noProof/>
        </w:rPr>
        <w:t>tanowieniami Karty,</w:t>
      </w:r>
      <w:r w:rsidR="003409C9" w:rsidRPr="003409C9">
        <w:rPr>
          <w:noProof/>
        </w:rPr>
        <w:t xml:space="preserve"> w tym w odn</w:t>
      </w:r>
      <w:r w:rsidRPr="003409C9">
        <w:rPr>
          <w:noProof/>
        </w:rPr>
        <w:t>iesieniu do bezpieczeństwa przetwarzania danych osobowych, usuwania</w:t>
      </w:r>
      <w:r w:rsidR="003409C9" w:rsidRPr="003409C9">
        <w:rPr>
          <w:noProof/>
        </w:rPr>
        <w:t xml:space="preserve"> i ogr</w:t>
      </w:r>
      <w:r w:rsidRPr="003409C9">
        <w:rPr>
          <w:noProof/>
        </w:rPr>
        <w:t>aniczenia celu oraz prawa podróżnych do informacji.</w:t>
      </w:r>
    </w:p>
    <w:p w:rsidR="007B3117" w:rsidRPr="003409C9" w:rsidRDefault="007B3117" w:rsidP="007B3117">
      <w:pPr>
        <w:pBdr>
          <w:top w:val="nil"/>
          <w:left w:val="nil"/>
          <w:bottom w:val="nil"/>
          <w:right w:val="nil"/>
          <w:between w:val="nil"/>
          <w:bar w:val="nil"/>
        </w:pBdr>
        <w:spacing w:before="0" w:after="240"/>
        <w:rPr>
          <w:noProof/>
        </w:rPr>
      </w:pPr>
      <w:bookmarkStart w:id="14" w:name="_Hlk120527176"/>
      <w:r w:rsidRPr="003409C9">
        <w:rPr>
          <w:noProof/>
        </w:rPr>
        <w:t>Ponadto, mimo że –</w:t>
      </w:r>
      <w:r w:rsidR="003409C9" w:rsidRPr="003409C9">
        <w:rPr>
          <w:noProof/>
        </w:rPr>
        <w:t xml:space="preserve"> z wyj</w:t>
      </w:r>
      <w:r w:rsidRPr="003409C9">
        <w:rPr>
          <w:noProof/>
        </w:rPr>
        <w:t>ątkiem przepisu zapewniającego zgodność</w:t>
      </w:r>
      <w:r w:rsidR="003409C9" w:rsidRPr="003409C9">
        <w:rPr>
          <w:noProof/>
        </w:rPr>
        <w:t xml:space="preserve"> z zas</w:t>
      </w:r>
      <w:r w:rsidRPr="003409C9">
        <w:rPr>
          <w:noProof/>
        </w:rPr>
        <w:t>adą ograniczenia celu –</w:t>
      </w:r>
      <w:r w:rsidR="003409C9" w:rsidRPr="003409C9">
        <w:rPr>
          <w:noProof/>
        </w:rPr>
        <w:t xml:space="preserve"> w pro</w:t>
      </w:r>
      <w:r w:rsidRPr="003409C9">
        <w:rPr>
          <w:noProof/>
        </w:rPr>
        <w:t>ponowanym rozporządzeniu nie uregulowano by kwestii korzystania przez właściwe służby graniczne</w:t>
      </w:r>
      <w:r w:rsidR="003409C9" w:rsidRPr="003409C9">
        <w:rPr>
          <w:noProof/>
        </w:rPr>
        <w:t xml:space="preserve"> z dan</w:t>
      </w:r>
      <w:r w:rsidRPr="003409C9">
        <w:rPr>
          <w:noProof/>
        </w:rPr>
        <w:t>ych API, które otrzymują na podstawie niniejszego rozporządzenia, jako że kwestię tę uregulowano już innymi przepisami (kodeks graniczny Schengen, prawo</w:t>
      </w:r>
      <w:r w:rsidR="003409C9" w:rsidRPr="003409C9">
        <w:rPr>
          <w:noProof/>
        </w:rPr>
        <w:t xml:space="preserve"> o och</w:t>
      </w:r>
      <w:r w:rsidRPr="003409C9">
        <w:rPr>
          <w:noProof/>
        </w:rPr>
        <w:t>ronie danych osobowych, Karta), dla zachowania przejrzystości</w:t>
      </w:r>
      <w:r w:rsidR="003409C9" w:rsidRPr="003409C9">
        <w:rPr>
          <w:noProof/>
        </w:rPr>
        <w:t xml:space="preserve"> w mot</w:t>
      </w:r>
      <w:r w:rsidRPr="003409C9">
        <w:rPr>
          <w:noProof/>
        </w:rPr>
        <w:t>ywach przypomniano, że takie wykorzystanie nie może prowadzić do dyskryminacji wykluczonej na mocy art.</w:t>
      </w:r>
      <w:r w:rsidR="003409C9" w:rsidRPr="003409C9">
        <w:rPr>
          <w:noProof/>
        </w:rPr>
        <w:t> </w:t>
      </w:r>
      <w:r w:rsidRPr="003409C9">
        <w:rPr>
          <w:noProof/>
        </w:rPr>
        <w:t>21 karty.</w:t>
      </w:r>
      <w:bookmarkEnd w:id="14"/>
      <w:r w:rsidRPr="003409C9">
        <w:rPr>
          <w:noProof/>
        </w:rPr>
        <w:t xml:space="preserve"> </w:t>
      </w:r>
    </w:p>
    <w:bookmarkEnd w:id="13"/>
    <w:p w:rsidR="00832116" w:rsidRPr="00BB07AF" w:rsidRDefault="00832116" w:rsidP="00832116">
      <w:pPr>
        <w:pStyle w:val="ManualHeading1"/>
        <w:rPr>
          <w:noProof/>
        </w:rPr>
      </w:pPr>
      <w:r w:rsidRPr="00BB07AF">
        <w:rPr>
          <w:noProof/>
        </w:rPr>
        <w:t>4.</w:t>
      </w:r>
      <w:r w:rsidRPr="00BB07AF">
        <w:rPr>
          <w:noProof/>
        </w:rPr>
        <w:tab/>
        <w:t>WPŁYW NA BUDŻET</w:t>
      </w:r>
    </w:p>
    <w:p w:rsidR="00D71F7E" w:rsidRPr="003409C9" w:rsidRDefault="00832116" w:rsidP="00D71F7E">
      <w:pPr>
        <w:pBdr>
          <w:top w:val="nil"/>
          <w:left w:val="nil"/>
          <w:bottom w:val="nil"/>
          <w:right w:val="nil"/>
          <w:between w:val="nil"/>
          <w:bar w:val="nil"/>
        </w:pBdr>
        <w:spacing w:before="0" w:after="240"/>
        <w:rPr>
          <w:noProof/>
          <w:sz w:val="23"/>
          <w:szCs w:val="23"/>
        </w:rPr>
      </w:pPr>
      <w:r w:rsidRPr="003409C9">
        <w:rPr>
          <w:noProof/>
          <w:sz w:val="23"/>
        </w:rPr>
        <w:t>Niniejsza inicjatywa ustawodawcza dotycząca gromadzenia</w:t>
      </w:r>
      <w:r w:rsidR="003409C9" w:rsidRPr="003409C9">
        <w:rPr>
          <w:noProof/>
          <w:sz w:val="23"/>
        </w:rPr>
        <w:t xml:space="preserve"> i prz</w:t>
      </w:r>
      <w:r w:rsidRPr="003409C9">
        <w:rPr>
          <w:noProof/>
          <w:sz w:val="23"/>
        </w:rPr>
        <w:t>ekazywania danych API</w:t>
      </w:r>
      <w:r w:rsidR="003409C9" w:rsidRPr="003409C9">
        <w:rPr>
          <w:noProof/>
          <w:sz w:val="23"/>
        </w:rPr>
        <w:t xml:space="preserve"> w cel</w:t>
      </w:r>
      <w:r w:rsidRPr="003409C9">
        <w:rPr>
          <w:noProof/>
          <w:sz w:val="23"/>
        </w:rPr>
        <w:t>u ułatwienia kontroli na granicach zewnętrznych miałaby wpływ na budżet</w:t>
      </w:r>
      <w:r w:rsidR="003409C9" w:rsidRPr="003409C9">
        <w:rPr>
          <w:noProof/>
          <w:sz w:val="23"/>
        </w:rPr>
        <w:t xml:space="preserve"> i pot</w:t>
      </w:r>
      <w:r w:rsidRPr="003409C9">
        <w:rPr>
          <w:noProof/>
          <w:sz w:val="23"/>
        </w:rPr>
        <w:t>rzeby kadrowe eu-LISA</w:t>
      </w:r>
      <w:r w:rsidR="003409C9" w:rsidRPr="003409C9">
        <w:rPr>
          <w:noProof/>
          <w:sz w:val="23"/>
        </w:rPr>
        <w:t xml:space="preserve"> i wła</w:t>
      </w:r>
      <w:r w:rsidRPr="003409C9">
        <w:rPr>
          <w:noProof/>
          <w:sz w:val="23"/>
        </w:rPr>
        <w:t xml:space="preserve">ściwych służb granicznych państw członkowskich. </w:t>
      </w:r>
    </w:p>
    <w:p w:rsidR="00D71F7E" w:rsidRPr="003409C9" w:rsidRDefault="00D71F7E" w:rsidP="00D71F7E">
      <w:pPr>
        <w:pBdr>
          <w:top w:val="nil"/>
          <w:left w:val="nil"/>
          <w:bottom w:val="nil"/>
          <w:right w:val="nil"/>
          <w:between w:val="nil"/>
          <w:bar w:val="nil"/>
        </w:pBdr>
        <w:spacing w:before="0" w:after="240"/>
        <w:rPr>
          <w:noProof/>
          <w:sz w:val="23"/>
          <w:szCs w:val="23"/>
        </w:rPr>
      </w:pPr>
      <w:r w:rsidRPr="003409C9">
        <w:rPr>
          <w:noProof/>
          <w:sz w:val="23"/>
        </w:rPr>
        <w:t>W przypadku eu-LISA szacuje się, że potrzebny będzie dodatkowy budżet</w:t>
      </w:r>
      <w:r w:rsidR="003409C9" w:rsidRPr="003409C9">
        <w:rPr>
          <w:noProof/>
          <w:sz w:val="23"/>
        </w:rPr>
        <w:t xml:space="preserve"> w wys</w:t>
      </w:r>
      <w:r w:rsidRPr="003409C9">
        <w:rPr>
          <w:noProof/>
          <w:sz w:val="23"/>
        </w:rPr>
        <w:t>okości około 45 mln EUR (33 mln</w:t>
      </w:r>
      <w:r w:rsidR="003409C9" w:rsidRPr="003409C9">
        <w:rPr>
          <w:noProof/>
          <w:sz w:val="23"/>
        </w:rPr>
        <w:t xml:space="preserve"> z bie</w:t>
      </w:r>
      <w:r w:rsidRPr="003409C9">
        <w:rPr>
          <w:noProof/>
          <w:sz w:val="23"/>
        </w:rPr>
        <w:t>żących wieloletnich ram finansowych) na ustanowienie routera oraz 9 mln EUR rocznie, począwszy od</w:t>
      </w:r>
      <w:r w:rsidR="003409C9" w:rsidRPr="003409C9">
        <w:rPr>
          <w:noProof/>
          <w:sz w:val="23"/>
        </w:rPr>
        <w:t> </w:t>
      </w:r>
      <w:r w:rsidRPr="003409C9">
        <w:rPr>
          <w:noProof/>
          <w:sz w:val="23"/>
        </w:rPr>
        <w:t>2029</w:t>
      </w:r>
      <w:r w:rsidR="003409C9" w:rsidRPr="003409C9">
        <w:rPr>
          <w:noProof/>
          <w:sz w:val="23"/>
        </w:rPr>
        <w:t> </w:t>
      </w:r>
      <w:r w:rsidRPr="003409C9">
        <w:rPr>
          <w:noProof/>
          <w:sz w:val="23"/>
        </w:rPr>
        <w:t>r., na zarządzanie techniczne routerem,</w:t>
      </w:r>
      <w:r w:rsidR="003409C9" w:rsidRPr="003409C9">
        <w:rPr>
          <w:noProof/>
          <w:sz w:val="23"/>
        </w:rPr>
        <w:t xml:space="preserve"> a tak</w:t>
      </w:r>
      <w:r w:rsidRPr="003409C9">
        <w:rPr>
          <w:noProof/>
          <w:sz w:val="23"/>
        </w:rPr>
        <w:t>że około 27 dodatkowych stanowisk, aby zagwarantować, aby eu-LISA dysponowała zasobami niezbędnymi do wykonywania zadań powierzonych jej</w:t>
      </w:r>
      <w:r w:rsidR="003409C9" w:rsidRPr="003409C9">
        <w:rPr>
          <w:noProof/>
          <w:sz w:val="23"/>
        </w:rPr>
        <w:t xml:space="preserve"> w nin</w:t>
      </w:r>
      <w:r w:rsidRPr="003409C9">
        <w:rPr>
          <w:noProof/>
          <w:sz w:val="23"/>
        </w:rPr>
        <w:t>iejszym proponowanym rozporządzeniu oraz we wniosku dotyczącym rozporządzenia</w:t>
      </w:r>
      <w:r w:rsidR="003409C9" w:rsidRPr="003409C9">
        <w:rPr>
          <w:noProof/>
          <w:sz w:val="23"/>
        </w:rPr>
        <w:t xml:space="preserve"> w spr</w:t>
      </w:r>
      <w:r w:rsidRPr="003409C9">
        <w:rPr>
          <w:noProof/>
          <w:sz w:val="23"/>
        </w:rPr>
        <w:t>awie gromadzenia</w:t>
      </w:r>
      <w:r w:rsidR="003409C9" w:rsidRPr="003409C9">
        <w:rPr>
          <w:noProof/>
          <w:sz w:val="23"/>
        </w:rPr>
        <w:t xml:space="preserve"> i prz</w:t>
      </w:r>
      <w:r w:rsidRPr="003409C9">
        <w:rPr>
          <w:noProof/>
          <w:sz w:val="23"/>
        </w:rPr>
        <w:t>ekazywania danych API</w:t>
      </w:r>
      <w:r w:rsidR="003409C9" w:rsidRPr="003409C9">
        <w:rPr>
          <w:noProof/>
          <w:sz w:val="23"/>
        </w:rPr>
        <w:t xml:space="preserve"> w cel</w:t>
      </w:r>
      <w:r w:rsidRPr="003409C9">
        <w:rPr>
          <w:noProof/>
          <w:sz w:val="23"/>
        </w:rPr>
        <w:t>u zapobiegania przestępstwom terrorystycznym</w:t>
      </w:r>
      <w:r w:rsidR="003409C9" w:rsidRPr="003409C9">
        <w:rPr>
          <w:noProof/>
          <w:sz w:val="23"/>
        </w:rPr>
        <w:t xml:space="preserve"> i pow</w:t>
      </w:r>
      <w:r w:rsidRPr="003409C9">
        <w:rPr>
          <w:noProof/>
          <w:sz w:val="23"/>
        </w:rPr>
        <w:t>ażnej przestępczości, ich wykrywania, prowadzenia postępowań przygotowawczych</w:t>
      </w:r>
      <w:r w:rsidR="003409C9" w:rsidRPr="003409C9">
        <w:rPr>
          <w:noProof/>
          <w:sz w:val="23"/>
        </w:rPr>
        <w:t xml:space="preserve"> w ich</w:t>
      </w:r>
      <w:r w:rsidRPr="003409C9">
        <w:rPr>
          <w:noProof/>
          <w:sz w:val="23"/>
        </w:rPr>
        <w:t xml:space="preserve"> sprawie</w:t>
      </w:r>
      <w:r w:rsidR="003409C9" w:rsidRPr="003409C9">
        <w:rPr>
          <w:noProof/>
          <w:sz w:val="23"/>
        </w:rPr>
        <w:t xml:space="preserve"> i ich</w:t>
      </w:r>
      <w:r w:rsidRPr="003409C9">
        <w:rPr>
          <w:noProof/>
          <w:sz w:val="23"/>
        </w:rPr>
        <w:t xml:space="preserve"> ścigania.</w:t>
      </w:r>
    </w:p>
    <w:p w:rsidR="00342C10" w:rsidRPr="003409C9" w:rsidRDefault="00D71F7E" w:rsidP="00342C10">
      <w:pPr>
        <w:pBdr>
          <w:top w:val="nil"/>
          <w:left w:val="nil"/>
          <w:bottom w:val="nil"/>
          <w:right w:val="nil"/>
          <w:between w:val="nil"/>
          <w:bar w:val="nil"/>
        </w:pBdr>
        <w:spacing w:before="0" w:after="240"/>
        <w:rPr>
          <w:noProof/>
          <w:sz w:val="23"/>
          <w:szCs w:val="23"/>
        </w:rPr>
      </w:pPr>
      <w:r w:rsidRPr="003409C9">
        <w:rPr>
          <w:noProof/>
          <w:sz w:val="23"/>
        </w:rPr>
        <w:t>W przypadku państw członkowskich szacuje się, że kwota 27 mln EUR (8 mln EUR</w:t>
      </w:r>
      <w:r w:rsidR="003409C9" w:rsidRPr="003409C9">
        <w:rPr>
          <w:noProof/>
          <w:sz w:val="23"/>
        </w:rPr>
        <w:t xml:space="preserve"> z bie</w:t>
      </w:r>
      <w:r w:rsidRPr="003409C9">
        <w:rPr>
          <w:noProof/>
          <w:sz w:val="23"/>
        </w:rPr>
        <w:t>żących wieloletnich ram finansowych) przeznaczona na modernizację niezbędnych krajowych systemów</w:t>
      </w:r>
      <w:r w:rsidR="003409C9" w:rsidRPr="003409C9">
        <w:rPr>
          <w:noProof/>
          <w:sz w:val="23"/>
        </w:rPr>
        <w:t xml:space="preserve"> i inf</w:t>
      </w:r>
      <w:r w:rsidRPr="003409C9">
        <w:rPr>
          <w:noProof/>
          <w:sz w:val="23"/>
        </w:rPr>
        <w:t>rastruktury na potrzeby organów zarządzania granicami,</w:t>
      </w:r>
      <w:r w:rsidR="003409C9" w:rsidRPr="003409C9">
        <w:rPr>
          <w:noProof/>
          <w:sz w:val="23"/>
        </w:rPr>
        <w:t xml:space="preserve"> a poc</w:t>
      </w:r>
      <w:r w:rsidRPr="003409C9">
        <w:rPr>
          <w:noProof/>
          <w:sz w:val="23"/>
        </w:rPr>
        <w:t>ząwszy od</w:t>
      </w:r>
      <w:r w:rsidR="003409C9" w:rsidRPr="003409C9">
        <w:rPr>
          <w:noProof/>
          <w:sz w:val="23"/>
        </w:rPr>
        <w:t> </w:t>
      </w:r>
      <w:r w:rsidRPr="003409C9">
        <w:rPr>
          <w:noProof/>
          <w:sz w:val="23"/>
        </w:rPr>
        <w:t>2028</w:t>
      </w:r>
      <w:r w:rsidR="003409C9" w:rsidRPr="003409C9">
        <w:rPr>
          <w:noProof/>
          <w:sz w:val="23"/>
        </w:rPr>
        <w:t> </w:t>
      </w:r>
      <w:r w:rsidRPr="003409C9">
        <w:rPr>
          <w:noProof/>
          <w:sz w:val="23"/>
        </w:rPr>
        <w:t>r. stopniowo do</w:t>
      </w:r>
      <w:r w:rsidR="003409C9" w:rsidRPr="003409C9">
        <w:rPr>
          <w:noProof/>
          <w:sz w:val="23"/>
        </w:rPr>
        <w:t> </w:t>
      </w:r>
      <w:r w:rsidRPr="003409C9">
        <w:rPr>
          <w:noProof/>
          <w:sz w:val="23"/>
        </w:rPr>
        <w:t>5 mln EUR rocznie na utrzymanie tych systemów, może podlegać zwrotowi</w:t>
      </w:r>
      <w:r w:rsidR="003409C9" w:rsidRPr="003409C9">
        <w:rPr>
          <w:noProof/>
          <w:sz w:val="23"/>
        </w:rPr>
        <w:t xml:space="preserve"> z fun</w:t>
      </w:r>
      <w:r w:rsidRPr="003409C9">
        <w:rPr>
          <w:noProof/>
          <w:sz w:val="23"/>
        </w:rPr>
        <w:t>duszu Instrumentu Wsparcia Finansowego na rzecz Zarządzania Granicami</w:t>
      </w:r>
      <w:r w:rsidR="003409C9" w:rsidRPr="003409C9">
        <w:rPr>
          <w:noProof/>
          <w:sz w:val="23"/>
        </w:rPr>
        <w:t xml:space="preserve"> i Pol</w:t>
      </w:r>
      <w:r w:rsidRPr="003409C9">
        <w:rPr>
          <w:noProof/>
          <w:sz w:val="23"/>
        </w:rPr>
        <w:t>ityki Wizowej</w:t>
      </w:r>
      <w:r w:rsidRPr="003409C9">
        <w:rPr>
          <w:rStyle w:val="FootnoteReference0"/>
          <w:noProof/>
          <w:sz w:val="23"/>
          <w:szCs w:val="23"/>
        </w:rPr>
        <w:footnoteReference w:id="28"/>
      </w:r>
      <w:r w:rsidRPr="003409C9">
        <w:rPr>
          <w:noProof/>
          <w:sz w:val="23"/>
        </w:rPr>
        <w:t>. Wszelkie takie uprawnienia będzie należało ostatecznie określić zgodnie</w:t>
      </w:r>
      <w:r w:rsidR="003409C9" w:rsidRPr="003409C9">
        <w:rPr>
          <w:noProof/>
          <w:sz w:val="23"/>
        </w:rPr>
        <w:t xml:space="preserve"> z prz</w:t>
      </w:r>
      <w:r w:rsidRPr="003409C9">
        <w:rPr>
          <w:noProof/>
          <w:sz w:val="23"/>
        </w:rPr>
        <w:t>episami regulującymi dysponowanie tymi środkami, jak również zgodnie</w:t>
      </w:r>
      <w:r w:rsidR="003409C9" w:rsidRPr="003409C9">
        <w:rPr>
          <w:noProof/>
          <w:sz w:val="23"/>
        </w:rPr>
        <w:t xml:space="preserve"> z prz</w:t>
      </w:r>
      <w:r w:rsidRPr="003409C9">
        <w:rPr>
          <w:noProof/>
          <w:sz w:val="23"/>
        </w:rPr>
        <w:t>episami dotyczącymi kosztów zawartymi</w:t>
      </w:r>
      <w:r w:rsidR="003409C9" w:rsidRPr="003409C9">
        <w:rPr>
          <w:noProof/>
          <w:sz w:val="23"/>
        </w:rPr>
        <w:t xml:space="preserve"> w pro</w:t>
      </w:r>
      <w:r w:rsidRPr="003409C9">
        <w:rPr>
          <w:noProof/>
          <w:sz w:val="23"/>
        </w:rPr>
        <w:t>ponowanym rozporządzeniu.</w:t>
      </w:r>
    </w:p>
    <w:p w:rsidR="00342C10" w:rsidRPr="003409C9" w:rsidRDefault="00342C10" w:rsidP="00342C10">
      <w:pPr>
        <w:pBdr>
          <w:top w:val="nil"/>
          <w:left w:val="nil"/>
          <w:bottom w:val="nil"/>
          <w:right w:val="nil"/>
          <w:between w:val="nil"/>
          <w:bar w:val="nil"/>
        </w:pBdr>
        <w:spacing w:before="0" w:after="240"/>
        <w:rPr>
          <w:rFonts w:eastAsia="Arial Unicode MS"/>
          <w:noProof/>
        </w:rPr>
      </w:pPr>
      <w:r w:rsidRPr="003409C9">
        <w:rPr>
          <w:noProof/>
          <w:sz w:val="23"/>
        </w:rPr>
        <w:t>Ze względu na ścisły związek pomiędzy niniejszym proponowanym rozporządzeniem</w:t>
      </w:r>
      <w:r w:rsidR="003409C9" w:rsidRPr="003409C9">
        <w:rPr>
          <w:noProof/>
          <w:sz w:val="23"/>
        </w:rPr>
        <w:t xml:space="preserve"> a pro</w:t>
      </w:r>
      <w:r w:rsidRPr="003409C9">
        <w:rPr>
          <w:noProof/>
          <w:sz w:val="23"/>
        </w:rPr>
        <w:t>ponowanym rozporządzeniem</w:t>
      </w:r>
      <w:r w:rsidR="003409C9" w:rsidRPr="003409C9">
        <w:rPr>
          <w:noProof/>
          <w:sz w:val="23"/>
        </w:rPr>
        <w:t xml:space="preserve"> w spr</w:t>
      </w:r>
      <w:r w:rsidRPr="003409C9">
        <w:rPr>
          <w:noProof/>
          <w:sz w:val="23"/>
        </w:rPr>
        <w:t>awie gromadzenia</w:t>
      </w:r>
      <w:r w:rsidR="003409C9" w:rsidRPr="003409C9">
        <w:rPr>
          <w:noProof/>
          <w:sz w:val="23"/>
        </w:rPr>
        <w:t xml:space="preserve"> i prz</w:t>
      </w:r>
      <w:r w:rsidRPr="003409C9">
        <w:rPr>
          <w:noProof/>
          <w:sz w:val="23"/>
        </w:rPr>
        <w:t>ekazywania danych API</w:t>
      </w:r>
      <w:r w:rsidR="003409C9" w:rsidRPr="003409C9">
        <w:rPr>
          <w:noProof/>
          <w:sz w:val="23"/>
        </w:rPr>
        <w:t xml:space="preserve"> w cel</w:t>
      </w:r>
      <w:r w:rsidRPr="003409C9">
        <w:rPr>
          <w:noProof/>
          <w:sz w:val="23"/>
        </w:rPr>
        <w:t>u zapobiegania przestępstwom terrorystycznym</w:t>
      </w:r>
      <w:r w:rsidR="003409C9" w:rsidRPr="003409C9">
        <w:rPr>
          <w:noProof/>
          <w:sz w:val="23"/>
        </w:rPr>
        <w:t xml:space="preserve"> i pow</w:t>
      </w:r>
      <w:r w:rsidRPr="003409C9">
        <w:rPr>
          <w:noProof/>
          <w:sz w:val="23"/>
        </w:rPr>
        <w:t>ażnej przestępczości, ich wykrywania, prowadzenia dochodzeń</w:t>
      </w:r>
      <w:r w:rsidR="003409C9" w:rsidRPr="003409C9">
        <w:rPr>
          <w:noProof/>
          <w:sz w:val="23"/>
        </w:rPr>
        <w:t xml:space="preserve"> w ich</w:t>
      </w:r>
      <w:r w:rsidRPr="003409C9">
        <w:rPr>
          <w:noProof/>
          <w:sz w:val="23"/>
        </w:rPr>
        <w:t xml:space="preserve"> sprawie</w:t>
      </w:r>
      <w:r w:rsidR="003409C9" w:rsidRPr="003409C9">
        <w:rPr>
          <w:noProof/>
          <w:sz w:val="23"/>
        </w:rPr>
        <w:t xml:space="preserve"> i ich</w:t>
      </w:r>
      <w:r w:rsidRPr="003409C9">
        <w:rPr>
          <w:noProof/>
          <w:sz w:val="23"/>
        </w:rPr>
        <w:t xml:space="preserve"> ścigania,</w:t>
      </w:r>
      <w:r w:rsidR="003409C9" w:rsidRPr="003409C9">
        <w:rPr>
          <w:noProof/>
          <w:sz w:val="23"/>
        </w:rPr>
        <w:t xml:space="preserve"> w szc</w:t>
      </w:r>
      <w:r w:rsidRPr="003409C9">
        <w:rPr>
          <w:noProof/>
          <w:sz w:val="23"/>
        </w:rPr>
        <w:t>zególności</w:t>
      </w:r>
      <w:r w:rsidR="003409C9" w:rsidRPr="003409C9">
        <w:rPr>
          <w:noProof/>
          <w:sz w:val="23"/>
        </w:rPr>
        <w:t xml:space="preserve"> w odn</w:t>
      </w:r>
      <w:r w:rsidRPr="003409C9">
        <w:rPr>
          <w:noProof/>
          <w:sz w:val="23"/>
        </w:rPr>
        <w:t>iesieniu do przekazywania danych API do routera, ocena skutków finansowych regulacji, znajdująca się</w:t>
      </w:r>
      <w:r w:rsidR="003409C9" w:rsidRPr="003409C9">
        <w:rPr>
          <w:noProof/>
          <w:sz w:val="23"/>
        </w:rPr>
        <w:t xml:space="preserve"> w zał</w:t>
      </w:r>
      <w:r w:rsidRPr="003409C9">
        <w:rPr>
          <w:noProof/>
          <w:sz w:val="23"/>
        </w:rPr>
        <w:t>ączniku do niniejszego proponowanego rozporządzenia, jest identyczna dla obu wniosków.</w:t>
      </w:r>
    </w:p>
    <w:p w:rsidR="00832116" w:rsidRPr="00BB07AF" w:rsidRDefault="00832116" w:rsidP="00832116">
      <w:pPr>
        <w:pStyle w:val="ManualHeading1"/>
        <w:rPr>
          <w:noProof/>
        </w:rPr>
      </w:pPr>
      <w:r w:rsidRPr="00BB07AF">
        <w:rPr>
          <w:noProof/>
        </w:rPr>
        <w:t>5.</w:t>
      </w:r>
      <w:r w:rsidRPr="00BB07AF">
        <w:rPr>
          <w:noProof/>
        </w:rPr>
        <w:tab/>
        <w:t>ELEMENTY FAKULTATYWNE</w:t>
      </w:r>
    </w:p>
    <w:p w:rsidR="00832116" w:rsidRPr="00BB07AF" w:rsidRDefault="00832116" w:rsidP="00832116">
      <w:pPr>
        <w:pStyle w:val="ManualHeading2"/>
        <w:rPr>
          <w:rFonts w:eastAsia="Arial Unicode MS"/>
          <w:noProof/>
          <w:u w:color="000000"/>
          <w:bdr w:val="nil"/>
        </w:rPr>
      </w:pPr>
      <w:r w:rsidRPr="00BB07AF">
        <w:rPr>
          <w:noProof/>
          <w:u w:color="000000"/>
          <w:bdr w:val="nil"/>
        </w:rPr>
        <w:t>•</w:t>
      </w:r>
      <w:r w:rsidRPr="00BB07AF">
        <w:rPr>
          <w:noProof/>
        </w:rPr>
        <w:tab/>
      </w:r>
      <w:r w:rsidRPr="00BB07AF">
        <w:rPr>
          <w:noProof/>
          <w:u w:color="000000"/>
          <w:bdr w:val="nil"/>
        </w:rPr>
        <w:t>Plany wdrożenia</w:t>
      </w:r>
      <w:r w:rsidR="003409C9" w:rsidRPr="00BB07AF">
        <w:rPr>
          <w:noProof/>
          <w:u w:color="000000"/>
          <w:bdr w:val="nil"/>
        </w:rPr>
        <w:t xml:space="preserve"> i mon</w:t>
      </w:r>
      <w:r w:rsidRPr="00BB07AF">
        <w:rPr>
          <w:noProof/>
          <w:u w:color="000000"/>
          <w:bdr w:val="nil"/>
        </w:rPr>
        <w:t>itorowanie, ocena</w:t>
      </w:r>
      <w:r w:rsidR="003409C9" w:rsidRPr="00BB07AF">
        <w:rPr>
          <w:noProof/>
          <w:u w:color="000000"/>
          <w:bdr w:val="nil"/>
        </w:rPr>
        <w:t xml:space="preserve"> i spr</w:t>
      </w:r>
      <w:r w:rsidRPr="00BB07AF">
        <w:rPr>
          <w:noProof/>
          <w:u w:color="000000"/>
          <w:bdr w:val="nil"/>
        </w:rPr>
        <w:t>awozdania</w:t>
      </w:r>
    </w:p>
    <w:p w:rsidR="00832116" w:rsidRPr="003409C9" w:rsidRDefault="00832116" w:rsidP="00832116">
      <w:pPr>
        <w:rPr>
          <w:noProof/>
        </w:rPr>
      </w:pPr>
      <w:bookmarkStart w:id="15" w:name="_Hlk117164815"/>
      <w:r w:rsidRPr="003409C9">
        <w:rPr>
          <w:noProof/>
        </w:rPr>
        <w:t>Komisja zapewni wprowadzenie niezbędnych ustaleń dotyczących monitorowania funkcjonowania proponowanych środków</w:t>
      </w:r>
      <w:r w:rsidR="003409C9" w:rsidRPr="003409C9">
        <w:rPr>
          <w:noProof/>
        </w:rPr>
        <w:t xml:space="preserve"> i ich</w:t>
      </w:r>
      <w:r w:rsidRPr="003409C9">
        <w:rPr>
          <w:noProof/>
        </w:rPr>
        <w:t xml:space="preserve"> oceny</w:t>
      </w:r>
      <w:r w:rsidR="003409C9" w:rsidRPr="003409C9">
        <w:rPr>
          <w:noProof/>
        </w:rPr>
        <w:t xml:space="preserve"> w odn</w:t>
      </w:r>
      <w:r w:rsidRPr="003409C9">
        <w:rPr>
          <w:noProof/>
        </w:rPr>
        <w:t>iesieniu do głównych celów polityki. Cztery lata po rozpoczęciu stosowania proponowanego rozporządzenia,</w:t>
      </w:r>
      <w:r w:rsidR="003409C9" w:rsidRPr="003409C9">
        <w:rPr>
          <w:noProof/>
        </w:rPr>
        <w:t xml:space="preserve"> a nas</w:t>
      </w:r>
      <w:r w:rsidRPr="003409C9">
        <w:rPr>
          <w:noProof/>
        </w:rPr>
        <w:t>tępnie co cztery lata, Komisja przedłoży Parlamentowi Europejskiemu</w:t>
      </w:r>
      <w:r w:rsidR="003409C9" w:rsidRPr="003409C9">
        <w:rPr>
          <w:noProof/>
        </w:rPr>
        <w:t xml:space="preserve"> i Rad</w:t>
      </w:r>
      <w:r w:rsidRPr="003409C9">
        <w:rPr>
          <w:noProof/>
        </w:rPr>
        <w:t>zie sprawozdanie oceniające wdrożenie rozporządzenia</w:t>
      </w:r>
      <w:r w:rsidR="003409C9" w:rsidRPr="003409C9">
        <w:rPr>
          <w:noProof/>
        </w:rPr>
        <w:t xml:space="preserve"> i jeg</w:t>
      </w:r>
      <w:r w:rsidRPr="003409C9">
        <w:rPr>
          <w:noProof/>
        </w:rPr>
        <w:t>o wartość dodaną. Sprawozdanie to będzie zawierać również informacje</w:t>
      </w:r>
      <w:r w:rsidR="003409C9" w:rsidRPr="003409C9">
        <w:rPr>
          <w:noProof/>
        </w:rPr>
        <w:t xml:space="preserve"> o wsz</w:t>
      </w:r>
      <w:r w:rsidRPr="003409C9">
        <w:rPr>
          <w:noProof/>
        </w:rPr>
        <w:t>elkich bezpośrednich lub pośrednich skutkach dla odpowiednich praw podstawowych. Będzie ono zawierać analizę osiągniętych rezultatów pod kątem przyjętych uprzednio celów</w:t>
      </w:r>
      <w:r w:rsidR="003409C9" w:rsidRPr="003409C9">
        <w:rPr>
          <w:noProof/>
        </w:rPr>
        <w:t xml:space="preserve"> i oce</w:t>
      </w:r>
      <w:r w:rsidRPr="003409C9">
        <w:rPr>
          <w:noProof/>
        </w:rPr>
        <w:t>nę aktualności przesłanek dla wprowadzenia tych komponentów oraz wszelkich konsekwencji</w:t>
      </w:r>
      <w:r w:rsidR="003409C9" w:rsidRPr="003409C9">
        <w:rPr>
          <w:noProof/>
        </w:rPr>
        <w:t xml:space="preserve"> w kon</w:t>
      </w:r>
      <w:r w:rsidRPr="003409C9">
        <w:rPr>
          <w:noProof/>
        </w:rPr>
        <w:t>tekście przyszłych wariantów.</w:t>
      </w:r>
    </w:p>
    <w:p w:rsidR="00832116" w:rsidRPr="003409C9" w:rsidRDefault="00832116" w:rsidP="00832116">
      <w:pPr>
        <w:rPr>
          <w:noProof/>
        </w:rPr>
      </w:pPr>
      <w:r w:rsidRPr="003409C9">
        <w:rPr>
          <w:noProof/>
        </w:rPr>
        <w:t>Obowiązkowy charakter zobowiązania do gromadzenia danych API oraz wprowadzenie routera pozwoli na uzyskanie bardziej przejrzystego obrazu zarówno</w:t>
      </w:r>
      <w:r w:rsidR="003409C9" w:rsidRPr="003409C9">
        <w:rPr>
          <w:noProof/>
        </w:rPr>
        <w:t xml:space="preserve"> w zak</w:t>
      </w:r>
      <w:r w:rsidRPr="003409C9">
        <w:rPr>
          <w:noProof/>
        </w:rPr>
        <w:t>resie gromadzenia</w:t>
      </w:r>
      <w:r w:rsidR="003409C9" w:rsidRPr="003409C9">
        <w:rPr>
          <w:noProof/>
        </w:rPr>
        <w:t xml:space="preserve"> i prz</w:t>
      </w:r>
      <w:r w:rsidRPr="003409C9">
        <w:rPr>
          <w:noProof/>
        </w:rPr>
        <w:t>ekazywania danych API przez przewoźników lotniczych, jak</w:t>
      </w:r>
      <w:r w:rsidR="003409C9" w:rsidRPr="003409C9">
        <w:rPr>
          <w:noProof/>
        </w:rPr>
        <w:t xml:space="preserve"> i w kon</w:t>
      </w:r>
      <w:r w:rsidRPr="003409C9">
        <w:rPr>
          <w:noProof/>
        </w:rPr>
        <w:t>tekście późniejszego wykorzystania tych danych przez państwa członkowskie zgodnie</w:t>
      </w:r>
      <w:r w:rsidR="003409C9" w:rsidRPr="003409C9">
        <w:rPr>
          <w:noProof/>
        </w:rPr>
        <w:t xml:space="preserve"> z obo</w:t>
      </w:r>
      <w:r w:rsidRPr="003409C9">
        <w:rPr>
          <w:noProof/>
        </w:rPr>
        <w:t>wiązującymi przepisami krajowymi</w:t>
      </w:r>
      <w:r w:rsidR="003409C9" w:rsidRPr="003409C9">
        <w:rPr>
          <w:noProof/>
        </w:rPr>
        <w:t xml:space="preserve"> i prz</w:t>
      </w:r>
      <w:r w:rsidRPr="003409C9">
        <w:rPr>
          <w:noProof/>
        </w:rPr>
        <w:t>episami Unii. Ułatwi to Komisji Europejskiej wykonywanie jej zadań związanych</w:t>
      </w:r>
      <w:r w:rsidR="003409C9" w:rsidRPr="003409C9">
        <w:rPr>
          <w:noProof/>
        </w:rPr>
        <w:t xml:space="preserve"> z oce</w:t>
      </w:r>
      <w:r w:rsidRPr="003409C9">
        <w:rPr>
          <w:noProof/>
        </w:rPr>
        <w:t>ną</w:t>
      </w:r>
      <w:r w:rsidR="003409C9" w:rsidRPr="003409C9">
        <w:rPr>
          <w:noProof/>
        </w:rPr>
        <w:t xml:space="preserve"> i egz</w:t>
      </w:r>
      <w:r w:rsidRPr="003409C9">
        <w:rPr>
          <w:noProof/>
        </w:rPr>
        <w:t>ekwowaniem prawa poprzez dostarczenie jej wiarygodnych statystyk dotyczących ilości przekazywanych danych oraz lotów,</w:t>
      </w:r>
      <w:r w:rsidR="003409C9" w:rsidRPr="003409C9">
        <w:rPr>
          <w:noProof/>
        </w:rPr>
        <w:t xml:space="preserve"> w odn</w:t>
      </w:r>
      <w:r w:rsidRPr="003409C9">
        <w:rPr>
          <w:noProof/>
        </w:rPr>
        <w:t>iesieniu do których dane API będą wymagane.</w:t>
      </w:r>
    </w:p>
    <w:bookmarkEnd w:id="15"/>
    <w:p w:rsidR="00832116" w:rsidRPr="00BB07AF" w:rsidRDefault="00832116" w:rsidP="00832116">
      <w:pPr>
        <w:pStyle w:val="ManualHeading2"/>
        <w:rPr>
          <w:rFonts w:eastAsia="Arial Unicode MS"/>
          <w:noProof/>
          <w:u w:color="000000"/>
          <w:bdr w:val="nil"/>
        </w:rPr>
      </w:pPr>
      <w:r w:rsidRPr="00BB07AF">
        <w:rPr>
          <w:noProof/>
          <w:u w:color="000000"/>
          <w:bdr w:val="nil"/>
        </w:rPr>
        <w:t>•</w:t>
      </w:r>
      <w:r w:rsidRPr="00BB07AF">
        <w:rPr>
          <w:noProof/>
        </w:rPr>
        <w:tab/>
      </w:r>
      <w:r w:rsidRPr="00BB07AF">
        <w:rPr>
          <w:noProof/>
          <w:u w:color="000000"/>
          <w:bdr w:val="nil"/>
        </w:rPr>
        <w:t>Zmienna geometria</w:t>
      </w:r>
    </w:p>
    <w:p w:rsidR="007B3117" w:rsidRPr="003409C9" w:rsidRDefault="007B3117" w:rsidP="007B3117">
      <w:pPr>
        <w:pStyle w:val="Text1"/>
        <w:ind w:left="0"/>
        <w:rPr>
          <w:noProof/>
        </w:rPr>
      </w:pPr>
      <w:r w:rsidRPr="003409C9">
        <w:rPr>
          <w:noProof/>
        </w:rPr>
        <w:t>Niniejszy wniosek stanowi rozwinięcie dorobku Schengen</w:t>
      </w:r>
      <w:r w:rsidR="003409C9" w:rsidRPr="003409C9">
        <w:rPr>
          <w:noProof/>
        </w:rPr>
        <w:t xml:space="preserve"> w dzi</w:t>
      </w:r>
      <w:r w:rsidRPr="003409C9">
        <w:rPr>
          <w:noProof/>
        </w:rPr>
        <w:t>edzinie granic zewnętrznych, ponieważ dotyczy przekraczania granic zewnętrznych. Należy zatem rozważyć następujące konsekwencje</w:t>
      </w:r>
      <w:r w:rsidR="003409C9" w:rsidRPr="003409C9">
        <w:rPr>
          <w:noProof/>
        </w:rPr>
        <w:t xml:space="preserve"> w odn</w:t>
      </w:r>
      <w:r w:rsidRPr="003409C9">
        <w:rPr>
          <w:noProof/>
        </w:rPr>
        <w:t>iesieniu do Protokołu (nr</w:t>
      </w:r>
      <w:r w:rsidR="003409C9" w:rsidRPr="003409C9">
        <w:rPr>
          <w:noProof/>
        </w:rPr>
        <w:t> </w:t>
      </w:r>
      <w:r w:rsidRPr="003409C9">
        <w:rPr>
          <w:noProof/>
        </w:rPr>
        <w:t>19)</w:t>
      </w:r>
      <w:r w:rsidR="003409C9" w:rsidRPr="003409C9">
        <w:rPr>
          <w:noProof/>
        </w:rPr>
        <w:t xml:space="preserve"> w spr</w:t>
      </w:r>
      <w:r w:rsidRPr="003409C9">
        <w:rPr>
          <w:noProof/>
        </w:rPr>
        <w:t>awie dorobku Schengen włączonego</w:t>
      </w:r>
      <w:r w:rsidR="003409C9" w:rsidRPr="003409C9">
        <w:rPr>
          <w:noProof/>
        </w:rPr>
        <w:t xml:space="preserve"> w ram</w:t>
      </w:r>
      <w:r w:rsidRPr="003409C9">
        <w:rPr>
          <w:noProof/>
        </w:rPr>
        <w:t>y Unii Europejskiej, załączonego do TUE i TFUE, oraz Protokołu (nr</w:t>
      </w:r>
      <w:r w:rsidR="003409C9" w:rsidRPr="003409C9">
        <w:rPr>
          <w:noProof/>
        </w:rPr>
        <w:t> </w:t>
      </w:r>
      <w:r w:rsidRPr="003409C9">
        <w:rPr>
          <w:noProof/>
        </w:rPr>
        <w:t>22)</w:t>
      </w:r>
      <w:r w:rsidR="003409C9" w:rsidRPr="003409C9">
        <w:rPr>
          <w:noProof/>
        </w:rPr>
        <w:t xml:space="preserve"> w spr</w:t>
      </w:r>
      <w:r w:rsidRPr="003409C9">
        <w:rPr>
          <w:noProof/>
        </w:rPr>
        <w:t xml:space="preserve">awie stanowiska Danii, załączonego do TUE i TFUE. </w:t>
      </w:r>
    </w:p>
    <w:p w:rsidR="007B3117" w:rsidRPr="003409C9" w:rsidRDefault="007B3117" w:rsidP="007B3117">
      <w:pPr>
        <w:pStyle w:val="Text1"/>
        <w:ind w:left="0"/>
        <w:rPr>
          <w:noProof/>
        </w:rPr>
      </w:pPr>
      <w:r w:rsidRPr="003409C9">
        <w:rPr>
          <w:noProof/>
        </w:rPr>
        <w:t>Wniosek jest objęty środkami</w:t>
      </w:r>
      <w:r w:rsidR="003409C9" w:rsidRPr="003409C9">
        <w:rPr>
          <w:noProof/>
        </w:rPr>
        <w:t xml:space="preserve"> w ram</w:t>
      </w:r>
      <w:r w:rsidRPr="003409C9">
        <w:rPr>
          <w:noProof/>
        </w:rPr>
        <w:t>ach dorobku Schengen,</w:t>
      </w:r>
      <w:r w:rsidR="003409C9" w:rsidRPr="003409C9">
        <w:rPr>
          <w:noProof/>
        </w:rPr>
        <w:t xml:space="preserve"> w któ</w:t>
      </w:r>
      <w:r w:rsidRPr="003409C9">
        <w:rPr>
          <w:noProof/>
        </w:rPr>
        <w:t>rym Irlandia uczestniczy zgodnie</w:t>
      </w:r>
      <w:r w:rsidR="003409C9" w:rsidRPr="003409C9">
        <w:rPr>
          <w:noProof/>
        </w:rPr>
        <w:t xml:space="preserve"> z art</w:t>
      </w:r>
      <w:r w:rsidRPr="003409C9">
        <w:rPr>
          <w:noProof/>
        </w:rPr>
        <w:t>.</w:t>
      </w:r>
      <w:r w:rsidR="003409C9" w:rsidRPr="003409C9">
        <w:rPr>
          <w:noProof/>
        </w:rPr>
        <w:t> </w:t>
      </w:r>
      <w:r w:rsidRPr="003409C9">
        <w:rPr>
          <w:noProof/>
        </w:rPr>
        <w:t>6 ust.</w:t>
      </w:r>
      <w:r w:rsidR="003409C9" w:rsidRPr="003409C9">
        <w:rPr>
          <w:noProof/>
        </w:rPr>
        <w:t> </w:t>
      </w:r>
      <w:r w:rsidRPr="003409C9">
        <w:rPr>
          <w:noProof/>
        </w:rPr>
        <w:t>2 decyzji Rady 2002/192/WE</w:t>
      </w:r>
      <w:r w:rsidR="003409C9" w:rsidRPr="003409C9">
        <w:rPr>
          <w:noProof/>
        </w:rPr>
        <w:t xml:space="preserve"> z dni</w:t>
      </w:r>
      <w:r w:rsidRPr="003409C9">
        <w:rPr>
          <w:noProof/>
        </w:rPr>
        <w:t>a 28 lutego 2002</w:t>
      </w:r>
      <w:r w:rsidR="003409C9" w:rsidRPr="003409C9">
        <w:rPr>
          <w:noProof/>
        </w:rPr>
        <w:t> </w:t>
      </w:r>
      <w:r w:rsidRPr="003409C9">
        <w:rPr>
          <w:noProof/>
        </w:rPr>
        <w:t>r. dotyczącej wniosku Irlandii</w:t>
      </w:r>
      <w:r w:rsidR="003409C9" w:rsidRPr="003409C9">
        <w:rPr>
          <w:noProof/>
        </w:rPr>
        <w:t xml:space="preserve"> o zas</w:t>
      </w:r>
      <w:r w:rsidRPr="003409C9">
        <w:rPr>
          <w:noProof/>
        </w:rPr>
        <w:t>tosowanie wobec niej niektórych przepisów dorobku Schengen</w:t>
      </w:r>
      <w:r w:rsidRPr="00BB07AF">
        <w:rPr>
          <w:rStyle w:val="FootnoteReference0"/>
          <w:b/>
          <w:iCs/>
          <w:noProof/>
        </w:rPr>
        <w:footnoteReference w:id="29"/>
      </w:r>
      <w:r w:rsidR="003409C9" w:rsidRPr="003409C9">
        <w:rPr>
          <w:noProof/>
        </w:rPr>
        <w:t>. W szc</w:t>
      </w:r>
      <w:r w:rsidRPr="003409C9">
        <w:rPr>
          <w:noProof/>
        </w:rPr>
        <w:t>zególności uczestnictwo Irlandii</w:t>
      </w:r>
      <w:r w:rsidR="003409C9" w:rsidRPr="003409C9">
        <w:rPr>
          <w:noProof/>
        </w:rPr>
        <w:t xml:space="preserve"> w nin</w:t>
      </w:r>
      <w:r w:rsidRPr="003409C9">
        <w:rPr>
          <w:noProof/>
        </w:rPr>
        <w:t>iejszym wniosku związane jest</w:t>
      </w:r>
      <w:r w:rsidR="003409C9" w:rsidRPr="003409C9">
        <w:rPr>
          <w:noProof/>
        </w:rPr>
        <w:t xml:space="preserve"> z obo</w:t>
      </w:r>
      <w:r w:rsidRPr="003409C9">
        <w:rPr>
          <w:noProof/>
        </w:rPr>
        <w:t>wiązkami Unii</w:t>
      </w:r>
      <w:r w:rsidR="003409C9" w:rsidRPr="003409C9">
        <w:rPr>
          <w:noProof/>
        </w:rPr>
        <w:t xml:space="preserve"> w zak</w:t>
      </w:r>
      <w:r w:rsidRPr="003409C9">
        <w:rPr>
          <w:noProof/>
        </w:rPr>
        <w:t>resie wprowadzenia środków rozwijających przepisy dorobku Schengen mające na celu zwalczanie nielegalnej imigracji,</w:t>
      </w:r>
      <w:r w:rsidR="003409C9" w:rsidRPr="003409C9">
        <w:rPr>
          <w:noProof/>
        </w:rPr>
        <w:t xml:space="preserve"> w któ</w:t>
      </w:r>
      <w:r w:rsidRPr="003409C9">
        <w:rPr>
          <w:noProof/>
        </w:rPr>
        <w:t>rych uczestniczy Irlandia. Irlandia uczestniczy</w:t>
      </w:r>
      <w:r w:rsidR="003409C9" w:rsidRPr="003409C9">
        <w:rPr>
          <w:noProof/>
        </w:rPr>
        <w:t xml:space="preserve"> w szc</w:t>
      </w:r>
      <w:r w:rsidRPr="003409C9">
        <w:rPr>
          <w:noProof/>
        </w:rPr>
        <w:t>zególności ze względu na włączenie do art.</w:t>
      </w:r>
      <w:r w:rsidR="003409C9" w:rsidRPr="003409C9">
        <w:rPr>
          <w:noProof/>
        </w:rPr>
        <w:t> </w:t>
      </w:r>
      <w:r w:rsidRPr="003409C9">
        <w:rPr>
          <w:noProof/>
        </w:rPr>
        <w:t>1 ust.</w:t>
      </w:r>
      <w:r w:rsidR="003409C9" w:rsidRPr="003409C9">
        <w:rPr>
          <w:noProof/>
        </w:rPr>
        <w:t> </w:t>
      </w:r>
      <w:r w:rsidRPr="003409C9">
        <w:rPr>
          <w:noProof/>
        </w:rPr>
        <w:t>1 wspomnianej decyzji Rady odniesienia do art.</w:t>
      </w:r>
      <w:r w:rsidR="003409C9" w:rsidRPr="003409C9">
        <w:rPr>
          <w:noProof/>
        </w:rPr>
        <w:t> </w:t>
      </w:r>
      <w:r w:rsidRPr="003409C9">
        <w:rPr>
          <w:noProof/>
        </w:rPr>
        <w:t>26 konwencji</w:t>
      </w:r>
      <w:r w:rsidR="003409C9" w:rsidRPr="003409C9">
        <w:rPr>
          <w:noProof/>
        </w:rPr>
        <w:t xml:space="preserve"> z Sch</w:t>
      </w:r>
      <w:r w:rsidRPr="003409C9">
        <w:rPr>
          <w:noProof/>
        </w:rPr>
        <w:t>engen dotyczącego obowiązków przewoźników lotniczych</w:t>
      </w:r>
      <w:r w:rsidR="003409C9" w:rsidRPr="003409C9">
        <w:rPr>
          <w:noProof/>
        </w:rPr>
        <w:t xml:space="preserve"> w odn</w:t>
      </w:r>
      <w:r w:rsidRPr="003409C9">
        <w:rPr>
          <w:noProof/>
        </w:rPr>
        <w:t>iesieniu do cudzoziemców, którym odmówiono wjazdu, oraz posiadania przez cudzoziemców niezbędnych dokumentów podróży. Irlandia uczestniczy</w:t>
      </w:r>
      <w:r w:rsidR="003409C9" w:rsidRPr="003409C9">
        <w:rPr>
          <w:noProof/>
        </w:rPr>
        <w:t xml:space="preserve"> w cał</w:t>
      </w:r>
      <w:r w:rsidRPr="003409C9">
        <w:rPr>
          <w:noProof/>
        </w:rPr>
        <w:t>ym proponowanym rozporządzeniu.</w:t>
      </w:r>
    </w:p>
    <w:p w:rsidR="007B3117" w:rsidRPr="003409C9" w:rsidRDefault="007B3117" w:rsidP="007B3117">
      <w:pPr>
        <w:pStyle w:val="Text1"/>
        <w:ind w:left="0"/>
        <w:rPr>
          <w:noProof/>
        </w:rPr>
      </w:pPr>
      <w:r w:rsidRPr="003409C9">
        <w:rPr>
          <w:noProof/>
        </w:rPr>
        <w:t>Zgodnie</w:t>
      </w:r>
      <w:r w:rsidR="003409C9" w:rsidRPr="003409C9">
        <w:rPr>
          <w:noProof/>
        </w:rPr>
        <w:t xml:space="preserve"> z art</w:t>
      </w:r>
      <w:r w:rsidRPr="003409C9">
        <w:rPr>
          <w:noProof/>
        </w:rPr>
        <w:t>.</w:t>
      </w:r>
      <w:r w:rsidR="003409C9" w:rsidRPr="003409C9">
        <w:rPr>
          <w:noProof/>
        </w:rPr>
        <w:t> </w:t>
      </w:r>
      <w:r w:rsidRPr="003409C9">
        <w:rPr>
          <w:noProof/>
        </w:rPr>
        <w:t>1</w:t>
      </w:r>
      <w:r w:rsidR="003409C9" w:rsidRPr="003409C9">
        <w:rPr>
          <w:noProof/>
        </w:rPr>
        <w:t xml:space="preserve"> i 2</w:t>
      </w:r>
      <w:r w:rsidRPr="003409C9">
        <w:rPr>
          <w:noProof/>
        </w:rPr>
        <w:t xml:space="preserve"> Protokołu nr</w:t>
      </w:r>
      <w:r w:rsidR="003409C9" w:rsidRPr="003409C9">
        <w:rPr>
          <w:noProof/>
        </w:rPr>
        <w:t> </w:t>
      </w:r>
      <w:r w:rsidRPr="003409C9">
        <w:rPr>
          <w:noProof/>
        </w:rPr>
        <w:t>22</w:t>
      </w:r>
      <w:r w:rsidR="003409C9" w:rsidRPr="003409C9">
        <w:rPr>
          <w:noProof/>
        </w:rPr>
        <w:t xml:space="preserve"> w spr</w:t>
      </w:r>
      <w:r w:rsidRPr="003409C9">
        <w:rPr>
          <w:noProof/>
        </w:rPr>
        <w:t>awie stanowiska Danii, załączonego do Traktatu UE (TUE) i TFUE, Dania nie będzie uczestniczyć</w:t>
      </w:r>
      <w:r w:rsidR="003409C9" w:rsidRPr="003409C9">
        <w:rPr>
          <w:noProof/>
        </w:rPr>
        <w:t xml:space="preserve"> w prz</w:t>
      </w:r>
      <w:r w:rsidRPr="003409C9">
        <w:rPr>
          <w:noProof/>
        </w:rPr>
        <w:t>yjęciu niniejszego wniosku, nie jest nim związana ani go nie stosuje po jego przyjęciu. Ponieważ rozporządzenie, którego dotyczy wniosek, będzie stanowić rozwinięcie przepisów dorobku Schengen, zgodnie</w:t>
      </w:r>
      <w:r w:rsidR="003409C9" w:rsidRPr="003409C9">
        <w:rPr>
          <w:noProof/>
        </w:rPr>
        <w:t xml:space="preserve"> z art</w:t>
      </w:r>
      <w:r w:rsidRPr="003409C9">
        <w:rPr>
          <w:noProof/>
        </w:rPr>
        <w:t>.</w:t>
      </w:r>
      <w:r w:rsidR="003409C9" w:rsidRPr="003409C9">
        <w:rPr>
          <w:noProof/>
        </w:rPr>
        <w:t> </w:t>
      </w:r>
      <w:r w:rsidRPr="003409C9">
        <w:rPr>
          <w:noProof/>
        </w:rPr>
        <w:t>4 tego protokołu Dania –</w:t>
      </w:r>
      <w:r w:rsidR="003409C9" w:rsidRPr="003409C9">
        <w:rPr>
          <w:noProof/>
        </w:rPr>
        <w:t xml:space="preserve"> w ter</w:t>
      </w:r>
      <w:r w:rsidRPr="003409C9">
        <w:rPr>
          <w:noProof/>
        </w:rPr>
        <w:t>minie sześciu miesięcy po przyjęciu przez Radę niniejszego wniosku – podejmuje decyzję, czy dokona jego transpozycji do swego prawa krajowego.</w:t>
      </w:r>
    </w:p>
    <w:p w:rsidR="007B3117" w:rsidRPr="003409C9" w:rsidRDefault="007B3117" w:rsidP="007B3117">
      <w:pPr>
        <w:pStyle w:val="Text1"/>
        <w:ind w:left="0"/>
        <w:rPr>
          <w:noProof/>
        </w:rPr>
      </w:pPr>
      <w:r w:rsidRPr="003409C9">
        <w:rPr>
          <w:noProof/>
        </w:rPr>
        <w:t>W odniesieniu do Cypru, Bułgarii, Rumunii</w:t>
      </w:r>
      <w:r w:rsidR="003409C9" w:rsidRPr="003409C9">
        <w:rPr>
          <w:noProof/>
        </w:rPr>
        <w:t xml:space="preserve"> i Cho</w:t>
      </w:r>
      <w:r w:rsidRPr="003409C9">
        <w:rPr>
          <w:noProof/>
        </w:rPr>
        <w:t>rwacji proponowane rozporządzenie będzie aktem stanowiącym rozwinięcie dorobku Schengen lub</w:t>
      </w:r>
      <w:r w:rsidR="003409C9" w:rsidRPr="003409C9">
        <w:rPr>
          <w:noProof/>
        </w:rPr>
        <w:t xml:space="preserve"> w inn</w:t>
      </w:r>
      <w:r w:rsidRPr="003409C9">
        <w:rPr>
          <w:noProof/>
        </w:rPr>
        <w:t>y sposób</w:t>
      </w:r>
      <w:r w:rsidR="003409C9" w:rsidRPr="003409C9">
        <w:rPr>
          <w:noProof/>
        </w:rPr>
        <w:t xml:space="preserve"> z nim</w:t>
      </w:r>
      <w:r w:rsidRPr="003409C9">
        <w:rPr>
          <w:noProof/>
        </w:rPr>
        <w:t xml:space="preserve"> związanym</w:t>
      </w:r>
      <w:r w:rsidR="003409C9" w:rsidRPr="003409C9">
        <w:rPr>
          <w:noProof/>
        </w:rPr>
        <w:t xml:space="preserve"> w roz</w:t>
      </w:r>
      <w:r w:rsidRPr="003409C9">
        <w:rPr>
          <w:noProof/>
        </w:rPr>
        <w:t>umieniu, odpowiednio, art. 3 ust. 1 Aktu przystąpienia</w:t>
      </w:r>
      <w:r w:rsidR="003409C9" w:rsidRPr="003409C9">
        <w:rPr>
          <w:noProof/>
        </w:rPr>
        <w:t xml:space="preserve"> z 2</w:t>
      </w:r>
      <w:r w:rsidRPr="003409C9">
        <w:rPr>
          <w:noProof/>
        </w:rPr>
        <w:t>003</w:t>
      </w:r>
      <w:r w:rsidR="003409C9" w:rsidRPr="003409C9">
        <w:rPr>
          <w:noProof/>
        </w:rPr>
        <w:t> </w:t>
      </w:r>
      <w:r w:rsidRPr="003409C9">
        <w:rPr>
          <w:noProof/>
        </w:rPr>
        <w:t>r., art. 4 ust. 1 Aktu przystąpienia</w:t>
      </w:r>
      <w:r w:rsidR="003409C9" w:rsidRPr="003409C9">
        <w:rPr>
          <w:noProof/>
        </w:rPr>
        <w:t xml:space="preserve"> z 2</w:t>
      </w:r>
      <w:r w:rsidRPr="003409C9">
        <w:rPr>
          <w:noProof/>
        </w:rPr>
        <w:t>005</w:t>
      </w:r>
      <w:r w:rsidR="003409C9" w:rsidRPr="003409C9">
        <w:rPr>
          <w:noProof/>
        </w:rPr>
        <w:t> </w:t>
      </w:r>
      <w:r w:rsidRPr="003409C9">
        <w:rPr>
          <w:noProof/>
        </w:rPr>
        <w:t>r. oraz art. 4 ust. 1 Aktu przystąpienia</w:t>
      </w:r>
      <w:r w:rsidR="003409C9" w:rsidRPr="003409C9">
        <w:rPr>
          <w:noProof/>
        </w:rPr>
        <w:t xml:space="preserve"> z 2</w:t>
      </w:r>
      <w:r w:rsidRPr="003409C9">
        <w:rPr>
          <w:noProof/>
        </w:rPr>
        <w:t>011</w:t>
      </w:r>
      <w:r w:rsidR="003409C9" w:rsidRPr="003409C9">
        <w:rPr>
          <w:noProof/>
        </w:rPr>
        <w:t> </w:t>
      </w:r>
      <w:r w:rsidRPr="003409C9">
        <w:rPr>
          <w:noProof/>
        </w:rPr>
        <w:t>r.</w:t>
      </w:r>
    </w:p>
    <w:p w:rsidR="00832116" w:rsidRPr="003409C9" w:rsidRDefault="007B3117" w:rsidP="007B3117">
      <w:pPr>
        <w:pStyle w:val="Text11"/>
        <w:ind w:left="0"/>
        <w:rPr>
          <w:noProof/>
        </w:rPr>
      </w:pPr>
      <w:r w:rsidRPr="003409C9">
        <w:rPr>
          <w:noProof/>
        </w:rPr>
        <w:t>W przypadku Islandii, Norwegii, Szwajcarii</w:t>
      </w:r>
      <w:r w:rsidR="003409C9" w:rsidRPr="003409C9">
        <w:rPr>
          <w:noProof/>
        </w:rPr>
        <w:t xml:space="preserve"> i Lie</w:t>
      </w:r>
      <w:r w:rsidRPr="003409C9">
        <w:rPr>
          <w:noProof/>
        </w:rPr>
        <w:t>chtensteinu proponowane rozporządzenie będzie stanowiło rozwinięcie przepisów dorobku Schengen</w:t>
      </w:r>
      <w:r w:rsidR="003409C9" w:rsidRPr="003409C9">
        <w:rPr>
          <w:noProof/>
        </w:rPr>
        <w:t xml:space="preserve"> w roz</w:t>
      </w:r>
      <w:r w:rsidRPr="003409C9">
        <w:rPr>
          <w:noProof/>
        </w:rPr>
        <w:t>umieniu umów</w:t>
      </w:r>
      <w:r w:rsidR="003409C9" w:rsidRPr="003409C9">
        <w:rPr>
          <w:noProof/>
        </w:rPr>
        <w:t xml:space="preserve"> o ucz</w:t>
      </w:r>
      <w:r w:rsidRPr="003409C9">
        <w:rPr>
          <w:noProof/>
        </w:rPr>
        <w:t>estnictwie tych krajów</w:t>
      </w:r>
      <w:r w:rsidR="003409C9" w:rsidRPr="003409C9">
        <w:rPr>
          <w:noProof/>
        </w:rPr>
        <w:t xml:space="preserve"> w dor</w:t>
      </w:r>
      <w:r w:rsidRPr="003409C9">
        <w:rPr>
          <w:noProof/>
        </w:rPr>
        <w:t xml:space="preserve">obku prawnym. </w:t>
      </w:r>
    </w:p>
    <w:p w:rsidR="00832116" w:rsidRPr="00BB07AF" w:rsidRDefault="00832116" w:rsidP="00832116">
      <w:pPr>
        <w:pStyle w:val="ManualHeading2"/>
        <w:rPr>
          <w:rFonts w:eastAsia="Arial Unicode MS"/>
          <w:noProof/>
          <w:u w:color="000000"/>
          <w:bdr w:val="nil"/>
        </w:rPr>
      </w:pPr>
      <w:r w:rsidRPr="00BB07AF">
        <w:rPr>
          <w:noProof/>
          <w:u w:color="000000"/>
          <w:bdr w:val="nil"/>
        </w:rPr>
        <w:t>•</w:t>
      </w:r>
      <w:r w:rsidRPr="00BB07AF">
        <w:rPr>
          <w:noProof/>
        </w:rPr>
        <w:tab/>
      </w:r>
      <w:r w:rsidRPr="00BB07AF">
        <w:rPr>
          <w:noProof/>
          <w:u w:color="000000"/>
          <w:bdr w:val="nil"/>
        </w:rPr>
        <w:t xml:space="preserve">Szczegółowe objaśnienia poszczególnych przepisów wniosku </w:t>
      </w:r>
    </w:p>
    <w:p w:rsidR="003B1C87" w:rsidRPr="003409C9" w:rsidRDefault="003B1C87" w:rsidP="003B1C87">
      <w:pPr>
        <w:rPr>
          <w:noProof/>
        </w:rPr>
      </w:pPr>
      <w:r w:rsidRPr="003409C9">
        <w:rPr>
          <w:noProof/>
        </w:rPr>
        <w:t>W rozdziale 1 określono przepisy ogólne niniejszego rozporządzenia, począwszy od przepisów dotyczących jego przedmiotu</w:t>
      </w:r>
      <w:r w:rsidR="003409C9" w:rsidRPr="003409C9">
        <w:rPr>
          <w:noProof/>
        </w:rPr>
        <w:t xml:space="preserve"> i zak</w:t>
      </w:r>
      <w:r w:rsidRPr="003409C9">
        <w:rPr>
          <w:noProof/>
        </w:rPr>
        <w:t>resu stosowania. Zawarto</w:t>
      </w:r>
      <w:r w:rsidR="003409C9" w:rsidRPr="003409C9">
        <w:rPr>
          <w:noProof/>
        </w:rPr>
        <w:t xml:space="preserve"> w nim</w:t>
      </w:r>
      <w:r w:rsidRPr="003409C9">
        <w:rPr>
          <w:noProof/>
        </w:rPr>
        <w:t xml:space="preserve"> również wykaz definicji. </w:t>
      </w:r>
    </w:p>
    <w:p w:rsidR="003B1C87" w:rsidRPr="003409C9" w:rsidRDefault="003B1C87" w:rsidP="003B1C87">
      <w:pPr>
        <w:rPr>
          <w:noProof/>
        </w:rPr>
      </w:pPr>
      <w:r w:rsidRPr="003409C9">
        <w:rPr>
          <w:noProof/>
        </w:rPr>
        <w:t>W rozdziale 2 określono przepisy dotyczące gromadzenia</w:t>
      </w:r>
      <w:r w:rsidR="003409C9" w:rsidRPr="003409C9">
        <w:rPr>
          <w:noProof/>
        </w:rPr>
        <w:t xml:space="preserve"> i prz</w:t>
      </w:r>
      <w:r w:rsidRPr="003409C9">
        <w:rPr>
          <w:noProof/>
        </w:rPr>
        <w:t>ekazywania danych API,</w:t>
      </w:r>
      <w:r w:rsidR="003409C9" w:rsidRPr="003409C9">
        <w:rPr>
          <w:noProof/>
        </w:rPr>
        <w:t xml:space="preserve"> a mia</w:t>
      </w:r>
      <w:r w:rsidRPr="003409C9">
        <w:rPr>
          <w:noProof/>
        </w:rPr>
        <w:t>nowicie jasny zestaw zasad dotyczących gromadzenia danych API przez przewoźników lotniczych, zasad dotyczących przekazywania danych API do routera, przetwarzania danych API przez właściwe służby graniczne oraz przechowywania</w:t>
      </w:r>
      <w:r w:rsidR="003409C9" w:rsidRPr="003409C9">
        <w:rPr>
          <w:noProof/>
        </w:rPr>
        <w:t xml:space="preserve"> i usu</w:t>
      </w:r>
      <w:r w:rsidRPr="003409C9">
        <w:rPr>
          <w:noProof/>
        </w:rPr>
        <w:t>wania danych API przez przewoźników lotniczych i te służby.</w:t>
      </w:r>
    </w:p>
    <w:p w:rsidR="003B1C87" w:rsidRPr="003409C9" w:rsidRDefault="003B1C87" w:rsidP="003B1C87">
      <w:pPr>
        <w:rPr>
          <w:bCs/>
          <w:noProof/>
          <w:szCs w:val="24"/>
        </w:rPr>
      </w:pPr>
      <w:r w:rsidRPr="003409C9">
        <w:rPr>
          <w:noProof/>
        </w:rPr>
        <w:t>Rozdział 3 zawiera przepisy dotyczące przesyłania danych API przez router</w:t>
      </w:r>
      <w:r w:rsidR="003409C9" w:rsidRPr="003409C9">
        <w:rPr>
          <w:noProof/>
        </w:rPr>
        <w:t>. W szc</w:t>
      </w:r>
      <w:r w:rsidRPr="003409C9">
        <w:rPr>
          <w:noProof/>
        </w:rPr>
        <w:t>zególności zawiera on przepisy opisujące główne cechy routera,</w:t>
      </w:r>
      <w:r w:rsidR="003409C9" w:rsidRPr="003409C9">
        <w:rPr>
          <w:noProof/>
        </w:rPr>
        <w:t xml:space="preserve"> a tak</w:t>
      </w:r>
      <w:r w:rsidRPr="003409C9">
        <w:rPr>
          <w:noProof/>
        </w:rPr>
        <w:t>że zasady dotyczące korzystania</w:t>
      </w:r>
      <w:r w:rsidR="003409C9" w:rsidRPr="003409C9">
        <w:rPr>
          <w:noProof/>
        </w:rPr>
        <w:t xml:space="preserve"> z rou</w:t>
      </w:r>
      <w:r w:rsidRPr="003409C9">
        <w:rPr>
          <w:noProof/>
        </w:rPr>
        <w:t>tera, procedury przekazywania danych API</w:t>
      </w:r>
      <w:r w:rsidR="003409C9" w:rsidRPr="003409C9">
        <w:rPr>
          <w:noProof/>
        </w:rPr>
        <w:t xml:space="preserve"> z rou</w:t>
      </w:r>
      <w:r w:rsidRPr="003409C9">
        <w:rPr>
          <w:noProof/>
        </w:rPr>
        <w:t>tera do właściwych służb granicznych, usuwania danych API</w:t>
      </w:r>
      <w:r w:rsidR="003409C9" w:rsidRPr="003409C9">
        <w:rPr>
          <w:noProof/>
        </w:rPr>
        <w:t xml:space="preserve"> z rou</w:t>
      </w:r>
      <w:r w:rsidRPr="003409C9">
        <w:rPr>
          <w:noProof/>
        </w:rPr>
        <w:t>tera, prowadzenia rejestrów oraz procedur</w:t>
      </w:r>
      <w:r w:rsidR="003409C9" w:rsidRPr="003409C9">
        <w:rPr>
          <w:noProof/>
        </w:rPr>
        <w:t xml:space="preserve"> w prz</w:t>
      </w:r>
      <w:r w:rsidRPr="003409C9">
        <w:rPr>
          <w:noProof/>
        </w:rPr>
        <w:t>ypadku częściowego lub całkowitego braku technicznej możliwości korzystania</w:t>
      </w:r>
      <w:r w:rsidR="003409C9" w:rsidRPr="003409C9">
        <w:rPr>
          <w:noProof/>
        </w:rPr>
        <w:t xml:space="preserve"> z rou</w:t>
      </w:r>
      <w:r w:rsidRPr="003409C9">
        <w:rPr>
          <w:noProof/>
        </w:rPr>
        <w:t>tera.</w:t>
      </w:r>
      <w:r w:rsidRPr="003409C9">
        <w:rPr>
          <w:noProof/>
          <w:sz w:val="23"/>
        </w:rPr>
        <w:t xml:space="preserve"> </w:t>
      </w:r>
    </w:p>
    <w:p w:rsidR="003B1C87" w:rsidRPr="003409C9" w:rsidRDefault="003B1C87" w:rsidP="003B1C87">
      <w:pPr>
        <w:rPr>
          <w:noProof/>
        </w:rPr>
      </w:pPr>
      <w:r w:rsidRPr="003409C9">
        <w:rPr>
          <w:noProof/>
        </w:rPr>
        <w:t>Rozdział 4 zawiera zestaw przepisów szczegółowych dotyczących ochrony danych osobowych</w:t>
      </w:r>
      <w:r w:rsidR="003409C9" w:rsidRPr="003409C9">
        <w:rPr>
          <w:noProof/>
        </w:rPr>
        <w:t>. W szc</w:t>
      </w:r>
      <w:r w:rsidRPr="003409C9">
        <w:rPr>
          <w:noProof/>
        </w:rPr>
        <w:t>zególności określono</w:t>
      </w:r>
      <w:r w:rsidR="003409C9" w:rsidRPr="003409C9">
        <w:rPr>
          <w:noProof/>
        </w:rPr>
        <w:t xml:space="preserve"> w nim</w:t>
      </w:r>
      <w:r w:rsidRPr="003409C9">
        <w:rPr>
          <w:noProof/>
        </w:rPr>
        <w:t>, kim są administratorzy danych</w:t>
      </w:r>
      <w:r w:rsidR="003409C9" w:rsidRPr="003409C9">
        <w:rPr>
          <w:noProof/>
        </w:rPr>
        <w:t xml:space="preserve"> i pod</w:t>
      </w:r>
      <w:r w:rsidRPr="003409C9">
        <w:rPr>
          <w:noProof/>
        </w:rPr>
        <w:t>miot przetwarzający dane do celów przetwarzania danych API stanowiących dane osobowe na podstawie niniejszego rozporządzeniem. Określono</w:t>
      </w:r>
      <w:r w:rsidR="003409C9" w:rsidRPr="003409C9">
        <w:rPr>
          <w:noProof/>
        </w:rPr>
        <w:t xml:space="preserve"> w nim</w:t>
      </w:r>
      <w:r w:rsidRPr="003409C9">
        <w:rPr>
          <w:noProof/>
        </w:rPr>
        <w:t xml:space="preserve"> również środki wymagane od eu-LISA</w:t>
      </w:r>
      <w:r w:rsidR="003409C9" w:rsidRPr="003409C9">
        <w:rPr>
          <w:noProof/>
        </w:rPr>
        <w:t xml:space="preserve"> w cel</w:t>
      </w:r>
      <w:r w:rsidRPr="003409C9">
        <w:rPr>
          <w:noProof/>
        </w:rPr>
        <w:t>u zapewnienia bezpieczeństwa przetwarzania danych zgodnie</w:t>
      </w:r>
      <w:r w:rsidR="003409C9" w:rsidRPr="003409C9">
        <w:rPr>
          <w:noProof/>
        </w:rPr>
        <w:t xml:space="preserve"> z prz</w:t>
      </w:r>
      <w:r w:rsidRPr="003409C9">
        <w:rPr>
          <w:noProof/>
        </w:rPr>
        <w:t>episami rozporządzenia (UE) 2018/1725</w:t>
      </w:r>
      <w:r w:rsidR="003409C9" w:rsidRPr="003409C9">
        <w:rPr>
          <w:noProof/>
        </w:rPr>
        <w:t>. W roz</w:t>
      </w:r>
      <w:r w:rsidRPr="003409C9">
        <w:rPr>
          <w:noProof/>
        </w:rPr>
        <w:t>dziale tym określono środki wymagane od przewoźników lotniczych</w:t>
      </w:r>
      <w:r w:rsidR="003409C9" w:rsidRPr="003409C9">
        <w:rPr>
          <w:noProof/>
        </w:rPr>
        <w:t xml:space="preserve"> i wła</w:t>
      </w:r>
      <w:r w:rsidRPr="003409C9">
        <w:rPr>
          <w:noProof/>
        </w:rPr>
        <w:t>ściwych służb granicznych</w:t>
      </w:r>
      <w:r w:rsidR="003409C9" w:rsidRPr="003409C9">
        <w:rPr>
          <w:noProof/>
        </w:rPr>
        <w:t xml:space="preserve"> w cel</w:t>
      </w:r>
      <w:r w:rsidRPr="003409C9">
        <w:rPr>
          <w:noProof/>
        </w:rPr>
        <w:t>u zapewnienia monitorowania przez nie własnej działalności</w:t>
      </w:r>
      <w:r w:rsidR="003409C9" w:rsidRPr="003409C9">
        <w:rPr>
          <w:noProof/>
        </w:rPr>
        <w:t xml:space="preserve"> w zak</w:t>
      </w:r>
      <w:r w:rsidRPr="003409C9">
        <w:rPr>
          <w:noProof/>
        </w:rPr>
        <w:t>resie zgodności</w:t>
      </w:r>
      <w:r w:rsidR="003409C9" w:rsidRPr="003409C9">
        <w:rPr>
          <w:noProof/>
        </w:rPr>
        <w:t xml:space="preserve"> z odp</w:t>
      </w:r>
      <w:r w:rsidRPr="003409C9">
        <w:rPr>
          <w:noProof/>
        </w:rPr>
        <w:t>owiednimi przepisami określonymi</w:t>
      </w:r>
      <w:r w:rsidR="003409C9" w:rsidRPr="003409C9">
        <w:rPr>
          <w:noProof/>
        </w:rPr>
        <w:t xml:space="preserve"> w nin</w:t>
      </w:r>
      <w:r w:rsidRPr="003409C9">
        <w:rPr>
          <w:noProof/>
        </w:rPr>
        <w:t>iejszym rozporządzeniu oraz zasady dotyczące kontroli.</w:t>
      </w:r>
    </w:p>
    <w:p w:rsidR="003B1C87" w:rsidRPr="003409C9" w:rsidRDefault="003B1C87" w:rsidP="003B1C87">
      <w:pPr>
        <w:rPr>
          <w:noProof/>
        </w:rPr>
      </w:pPr>
      <w:r w:rsidRPr="003409C9">
        <w:rPr>
          <w:noProof/>
        </w:rPr>
        <w:t>W rozdziale 5 uregulowano niektóre szczególne kwestie dotyczące routera. Zawiera on wymogi dotyczące podłączenia właściwych służb granicznych</w:t>
      </w:r>
      <w:r w:rsidR="003409C9" w:rsidRPr="003409C9">
        <w:rPr>
          <w:noProof/>
        </w:rPr>
        <w:t xml:space="preserve"> i prz</w:t>
      </w:r>
      <w:r w:rsidRPr="003409C9">
        <w:rPr>
          <w:noProof/>
        </w:rPr>
        <w:t>ewoźników lotniczych do routera. Określono</w:t>
      </w:r>
      <w:r w:rsidR="003409C9" w:rsidRPr="003409C9">
        <w:rPr>
          <w:noProof/>
        </w:rPr>
        <w:t xml:space="preserve"> w nim</w:t>
      </w:r>
      <w:r w:rsidRPr="003409C9">
        <w:rPr>
          <w:noProof/>
        </w:rPr>
        <w:t xml:space="preserve"> również zadania eu-LISA związane</w:t>
      </w:r>
      <w:r w:rsidR="003409C9" w:rsidRPr="003409C9">
        <w:rPr>
          <w:noProof/>
        </w:rPr>
        <w:t xml:space="preserve"> z pro</w:t>
      </w:r>
      <w:r w:rsidRPr="003409C9">
        <w:rPr>
          <w:noProof/>
        </w:rPr>
        <w:t>jektowaniem, opracowaniem</w:t>
      </w:r>
      <w:r w:rsidR="003409C9" w:rsidRPr="003409C9">
        <w:rPr>
          <w:noProof/>
        </w:rPr>
        <w:t xml:space="preserve"> i obs</w:t>
      </w:r>
      <w:r w:rsidRPr="003409C9">
        <w:rPr>
          <w:noProof/>
        </w:rPr>
        <w:t>ługą routera oraz zarządzaniem technicznym tym routerem oraz innymi zadaniami pomocniczymi związanymi</w:t>
      </w:r>
      <w:r w:rsidR="003409C9" w:rsidRPr="003409C9">
        <w:rPr>
          <w:noProof/>
        </w:rPr>
        <w:t xml:space="preserve"> z rou</w:t>
      </w:r>
      <w:r w:rsidRPr="003409C9">
        <w:rPr>
          <w:noProof/>
        </w:rPr>
        <w:t>terem. Rozdział ten zawiera ponadto przepisy dotyczące kosztów ponoszonych przez eu-LISA</w:t>
      </w:r>
      <w:r w:rsidR="003409C9" w:rsidRPr="003409C9">
        <w:rPr>
          <w:noProof/>
        </w:rPr>
        <w:t xml:space="preserve"> i pań</w:t>
      </w:r>
      <w:r w:rsidRPr="003409C9">
        <w:rPr>
          <w:noProof/>
        </w:rPr>
        <w:t>stwa członkowskie na podstawie niniejszego rozporządzenia,</w:t>
      </w:r>
      <w:r w:rsidR="003409C9" w:rsidRPr="003409C9">
        <w:rPr>
          <w:noProof/>
        </w:rPr>
        <w:t xml:space="preserve"> w szc</w:t>
      </w:r>
      <w:r w:rsidRPr="003409C9">
        <w:rPr>
          <w:noProof/>
        </w:rPr>
        <w:t>zególności</w:t>
      </w:r>
      <w:r w:rsidR="003409C9" w:rsidRPr="003409C9">
        <w:rPr>
          <w:noProof/>
        </w:rPr>
        <w:t xml:space="preserve"> w zwi</w:t>
      </w:r>
      <w:r w:rsidRPr="003409C9">
        <w:rPr>
          <w:noProof/>
        </w:rPr>
        <w:t>ązku</w:t>
      </w:r>
      <w:r w:rsidR="003409C9" w:rsidRPr="003409C9">
        <w:rPr>
          <w:noProof/>
        </w:rPr>
        <w:t xml:space="preserve"> z pod</w:t>
      </w:r>
      <w:r w:rsidRPr="003409C9">
        <w:rPr>
          <w:noProof/>
        </w:rPr>
        <w:t>łączeniem państw członkowskich do routera</w:t>
      </w:r>
      <w:r w:rsidR="003409C9" w:rsidRPr="003409C9">
        <w:rPr>
          <w:noProof/>
        </w:rPr>
        <w:t xml:space="preserve"> i int</w:t>
      </w:r>
      <w:r w:rsidRPr="003409C9">
        <w:rPr>
          <w:noProof/>
        </w:rPr>
        <w:t>egracją</w:t>
      </w:r>
      <w:r w:rsidR="003409C9" w:rsidRPr="003409C9">
        <w:rPr>
          <w:noProof/>
        </w:rPr>
        <w:t xml:space="preserve"> z rou</w:t>
      </w:r>
      <w:r w:rsidRPr="003409C9">
        <w:rPr>
          <w:noProof/>
        </w:rPr>
        <w:t>terem. Określono</w:t>
      </w:r>
      <w:r w:rsidR="003409C9" w:rsidRPr="003409C9">
        <w:rPr>
          <w:noProof/>
        </w:rPr>
        <w:t xml:space="preserve"> w nim</w:t>
      </w:r>
      <w:r w:rsidRPr="003409C9">
        <w:rPr>
          <w:noProof/>
        </w:rPr>
        <w:t xml:space="preserve"> również przepisy dotyczące odpowiedzialności za uszkodzenie routera, rozpoczęcia funkcjonowania routera oraz możliwości dobrowolnego korzystania</w:t>
      </w:r>
      <w:r w:rsidR="003409C9" w:rsidRPr="003409C9">
        <w:rPr>
          <w:noProof/>
        </w:rPr>
        <w:t xml:space="preserve"> z rou</w:t>
      </w:r>
      <w:r w:rsidRPr="003409C9">
        <w:rPr>
          <w:noProof/>
        </w:rPr>
        <w:t>tera przez przewoźników lotniczych pod pewnymi warunkami.</w:t>
      </w:r>
    </w:p>
    <w:p w:rsidR="003B1C87" w:rsidRPr="003409C9" w:rsidRDefault="003B1C87" w:rsidP="003B1C87">
      <w:pPr>
        <w:rPr>
          <w:noProof/>
        </w:rPr>
      </w:pPr>
      <w:r w:rsidRPr="003409C9">
        <w:rPr>
          <w:noProof/>
        </w:rPr>
        <w:t>Rozdział 6 zawiera przepisy dotyczące nadzoru, ewentualnych kar mających zastosowanie do przewoźników lotniczych za niewywiązywanie się</w:t>
      </w:r>
      <w:r w:rsidR="003409C9" w:rsidRPr="003409C9">
        <w:rPr>
          <w:noProof/>
        </w:rPr>
        <w:t xml:space="preserve"> z obo</w:t>
      </w:r>
      <w:r w:rsidRPr="003409C9">
        <w:rPr>
          <w:noProof/>
        </w:rPr>
        <w:t>wiązków określonych</w:t>
      </w:r>
      <w:r w:rsidR="003409C9" w:rsidRPr="003409C9">
        <w:rPr>
          <w:noProof/>
        </w:rPr>
        <w:t xml:space="preserve"> w nin</w:t>
      </w:r>
      <w:r w:rsidRPr="003409C9">
        <w:rPr>
          <w:noProof/>
        </w:rPr>
        <w:t>iejszym rozporządzeniu, przepisy dotyczące sprawozdawczości statystycznej prowadzonej przez eu-LISA oraz opracowania przez Komisję praktycznego podręcznika.</w:t>
      </w:r>
    </w:p>
    <w:p w:rsidR="003B1C87" w:rsidRPr="003409C9" w:rsidRDefault="003B1C87" w:rsidP="003B1C87">
      <w:pPr>
        <w:rPr>
          <w:noProof/>
        </w:rPr>
      </w:pPr>
      <w:r w:rsidRPr="003409C9">
        <w:rPr>
          <w:noProof/>
        </w:rPr>
        <w:t>W rozdziale 7 uregulowano wpływ na inne akty prawa UE. Rozdział ten zawiera</w:t>
      </w:r>
      <w:r w:rsidR="003409C9" w:rsidRPr="003409C9">
        <w:rPr>
          <w:noProof/>
        </w:rPr>
        <w:t xml:space="preserve"> w szc</w:t>
      </w:r>
      <w:r w:rsidRPr="003409C9">
        <w:rPr>
          <w:noProof/>
        </w:rPr>
        <w:t>zególności przepisy dotyczące uchylenia dyrektywy 2004/82/WE oraz niezbędnych zmian</w:t>
      </w:r>
      <w:r w:rsidR="003409C9" w:rsidRPr="003409C9">
        <w:rPr>
          <w:noProof/>
        </w:rPr>
        <w:t xml:space="preserve"> w inn</w:t>
      </w:r>
      <w:r w:rsidRPr="003409C9">
        <w:rPr>
          <w:noProof/>
        </w:rPr>
        <w:t>ych obowiązujących aktach, mianowicie</w:t>
      </w:r>
      <w:r w:rsidR="003409C9" w:rsidRPr="003409C9">
        <w:rPr>
          <w:noProof/>
        </w:rPr>
        <w:t xml:space="preserve"> w roz</w:t>
      </w:r>
      <w:r w:rsidRPr="003409C9">
        <w:rPr>
          <w:noProof/>
        </w:rPr>
        <w:t>porządzeniu (UE) 2018/1726</w:t>
      </w:r>
      <w:r w:rsidRPr="003409C9">
        <w:rPr>
          <w:rStyle w:val="FootnoteReference0"/>
          <w:noProof/>
        </w:rPr>
        <w:footnoteReference w:id="30"/>
      </w:r>
      <w:r w:rsidR="003409C9" w:rsidRPr="003409C9">
        <w:rPr>
          <w:noProof/>
        </w:rPr>
        <w:t xml:space="preserve"> i roz</w:t>
      </w:r>
      <w:r w:rsidRPr="003409C9">
        <w:rPr>
          <w:noProof/>
        </w:rPr>
        <w:t>porządzeniu (UE) 2019/817</w:t>
      </w:r>
      <w:r w:rsidRPr="003409C9">
        <w:rPr>
          <w:rStyle w:val="FootnoteReference0"/>
          <w:noProof/>
        </w:rPr>
        <w:footnoteReference w:id="31"/>
      </w:r>
      <w:r w:rsidRPr="003409C9">
        <w:rPr>
          <w:noProof/>
        </w:rPr>
        <w:t>.</w:t>
      </w:r>
    </w:p>
    <w:p w:rsidR="00B718B3" w:rsidRPr="003409C9" w:rsidRDefault="003B1C87" w:rsidP="003B1C87">
      <w:pPr>
        <w:rPr>
          <w:noProof/>
        </w:rPr>
      </w:pPr>
      <w:r w:rsidRPr="003409C9">
        <w:rPr>
          <w:noProof/>
        </w:rPr>
        <w:t>Rozdział 8 zawiera przepisy końcowe niniejszego rozporządzenia, które dotyczą przyjęcia aktów delegowanych</w:t>
      </w:r>
      <w:r w:rsidR="003409C9" w:rsidRPr="003409C9">
        <w:rPr>
          <w:noProof/>
        </w:rPr>
        <w:t xml:space="preserve"> i wyk</w:t>
      </w:r>
      <w:r w:rsidRPr="003409C9">
        <w:rPr>
          <w:noProof/>
        </w:rPr>
        <w:t>onawczych, monitorowania</w:t>
      </w:r>
      <w:r w:rsidR="003409C9" w:rsidRPr="003409C9">
        <w:rPr>
          <w:noProof/>
        </w:rPr>
        <w:t xml:space="preserve"> i oce</w:t>
      </w:r>
      <w:r w:rsidRPr="003409C9">
        <w:rPr>
          <w:noProof/>
        </w:rPr>
        <w:t>ny niniejszego rozporządzenia oraz jego wejścia</w:t>
      </w:r>
      <w:r w:rsidR="003409C9" w:rsidRPr="003409C9">
        <w:rPr>
          <w:noProof/>
        </w:rPr>
        <w:t xml:space="preserve"> w życ</w:t>
      </w:r>
      <w:r w:rsidRPr="003409C9">
        <w:rPr>
          <w:noProof/>
        </w:rPr>
        <w:t>ie</w:t>
      </w:r>
      <w:r w:rsidR="003409C9" w:rsidRPr="003409C9">
        <w:rPr>
          <w:noProof/>
        </w:rPr>
        <w:t xml:space="preserve"> i sto</w:t>
      </w:r>
      <w:r w:rsidRPr="003409C9">
        <w:rPr>
          <w:noProof/>
        </w:rPr>
        <w:t>sowania.</w:t>
      </w:r>
    </w:p>
    <w:p w:rsidR="00B718B3" w:rsidRPr="003409C9" w:rsidRDefault="00B718B3" w:rsidP="00B718B3">
      <w:pPr>
        <w:rPr>
          <w:noProof/>
        </w:rPr>
        <w:sectPr w:rsidR="00B718B3" w:rsidRPr="003409C9" w:rsidSect="00883BC7">
          <w:footerReference w:type="default" r:id="rId13"/>
          <w:footerReference w:type="first" r:id="rId14"/>
          <w:pgSz w:w="11907" w:h="16839"/>
          <w:pgMar w:top="1134" w:right="1417" w:bottom="1134" w:left="1417" w:header="709" w:footer="709" w:gutter="0"/>
          <w:cols w:space="708"/>
          <w:docGrid w:linePitch="360"/>
        </w:sectPr>
      </w:pPr>
    </w:p>
    <w:p w:rsidR="000F26AE" w:rsidRPr="003409C9" w:rsidRDefault="000367B6" w:rsidP="000367B6">
      <w:pPr>
        <w:pStyle w:val="Rfrenceinterinstitutionnelle"/>
        <w:rPr>
          <w:noProof/>
        </w:rPr>
      </w:pPr>
      <w:r w:rsidRPr="000367B6">
        <w:t>2022/0424 (COD)</w:t>
      </w:r>
    </w:p>
    <w:p w:rsidR="00832116" w:rsidRPr="003409C9" w:rsidRDefault="008F4650" w:rsidP="008F4650">
      <w:pPr>
        <w:pStyle w:val="Statut"/>
        <w:rPr>
          <w:noProof/>
        </w:rPr>
      </w:pPr>
      <w:r w:rsidRPr="008F4650">
        <w:rPr>
          <w:noProof/>
        </w:rPr>
        <w:t>Wniosek</w:t>
      </w:r>
    </w:p>
    <w:p w:rsidR="00832116" w:rsidRPr="00BB07AF" w:rsidRDefault="008F4650" w:rsidP="008F4650">
      <w:pPr>
        <w:pStyle w:val="Typedudocument"/>
        <w:rPr>
          <w:noProof/>
        </w:rPr>
      </w:pPr>
      <w:r w:rsidRPr="008F4650">
        <w:rPr>
          <w:noProof/>
        </w:rPr>
        <w:t>ROZPORZĄDZENIE PARLAMENTU EUROPEJSKIEGO I RADY</w:t>
      </w:r>
    </w:p>
    <w:p w:rsidR="00832116" w:rsidRPr="00BB07AF" w:rsidRDefault="008F4650" w:rsidP="008F4650">
      <w:pPr>
        <w:pStyle w:val="Titreobjet"/>
        <w:rPr>
          <w:noProof/>
        </w:rPr>
      </w:pPr>
      <w:r w:rsidRPr="008F4650">
        <w:rPr>
          <w:noProof/>
        </w:rPr>
        <w:t>w sprawie gromadzenia i przekazywania danych pasażera przekazywanych przed podróżą (API) w celu usprawnienia i ułatwienia kontroli na granicach zewnętrznych, zmieniające rozporządzenie (UE) 2019/817 i rozporządzenie (UE) 2018/1726 oraz uchylające dyrektywę Rady 2004/82/WE</w:t>
      </w:r>
    </w:p>
    <w:p w:rsidR="00250117" w:rsidRPr="003409C9" w:rsidRDefault="00250117" w:rsidP="00250117">
      <w:pPr>
        <w:pStyle w:val="Institutionquiagit"/>
        <w:rPr>
          <w:noProof/>
        </w:rPr>
      </w:pPr>
      <w:r w:rsidRPr="003409C9">
        <w:rPr>
          <w:noProof/>
        </w:rPr>
        <w:t>PARLAMENT EUROPEJSKI I RADA UNII EUROPEJSKIEJ,</w:t>
      </w:r>
    </w:p>
    <w:p w:rsidR="00250117" w:rsidRPr="003409C9" w:rsidRDefault="00250117" w:rsidP="00250117">
      <w:pPr>
        <w:rPr>
          <w:noProof/>
        </w:rPr>
      </w:pPr>
      <w:r w:rsidRPr="003409C9">
        <w:rPr>
          <w:noProof/>
        </w:rPr>
        <w:t>uwzględniając Traktat</w:t>
      </w:r>
      <w:r w:rsidR="003409C9" w:rsidRPr="003409C9">
        <w:rPr>
          <w:noProof/>
        </w:rPr>
        <w:t xml:space="preserve"> o fun</w:t>
      </w:r>
      <w:r w:rsidRPr="003409C9">
        <w:rPr>
          <w:noProof/>
        </w:rPr>
        <w:t>kcjonowaniu Unii Europejskiej,</w:t>
      </w:r>
      <w:r w:rsidR="003409C9" w:rsidRPr="003409C9">
        <w:rPr>
          <w:noProof/>
        </w:rPr>
        <w:t xml:space="preserve"> w szc</w:t>
      </w:r>
      <w:r w:rsidRPr="003409C9">
        <w:rPr>
          <w:noProof/>
        </w:rPr>
        <w:t>zególności jego art.</w:t>
      </w:r>
      <w:r w:rsidR="003409C9" w:rsidRPr="003409C9">
        <w:rPr>
          <w:noProof/>
        </w:rPr>
        <w:t> </w:t>
      </w:r>
      <w:r w:rsidRPr="003409C9">
        <w:rPr>
          <w:noProof/>
        </w:rPr>
        <w:t>77 ust.</w:t>
      </w:r>
      <w:r w:rsidR="003409C9" w:rsidRPr="003409C9">
        <w:rPr>
          <w:noProof/>
        </w:rPr>
        <w:t> </w:t>
      </w:r>
      <w:r w:rsidRPr="003409C9">
        <w:rPr>
          <w:noProof/>
        </w:rPr>
        <w:t>2 lit.</w:t>
      </w:r>
      <w:r w:rsidR="003409C9" w:rsidRPr="003409C9">
        <w:rPr>
          <w:noProof/>
        </w:rPr>
        <w:t> </w:t>
      </w:r>
      <w:r w:rsidRPr="003409C9">
        <w:rPr>
          <w:noProof/>
        </w:rPr>
        <w:t>b) i d) oraz art.</w:t>
      </w:r>
      <w:r w:rsidR="003409C9" w:rsidRPr="003409C9">
        <w:rPr>
          <w:noProof/>
        </w:rPr>
        <w:t> </w:t>
      </w:r>
      <w:r w:rsidRPr="003409C9">
        <w:rPr>
          <w:noProof/>
        </w:rPr>
        <w:t>79 ust.</w:t>
      </w:r>
      <w:r w:rsidR="003409C9" w:rsidRPr="003409C9">
        <w:rPr>
          <w:noProof/>
        </w:rPr>
        <w:t> </w:t>
      </w:r>
      <w:r w:rsidRPr="003409C9">
        <w:rPr>
          <w:noProof/>
        </w:rPr>
        <w:t>2 lit.</w:t>
      </w:r>
      <w:r w:rsidR="003409C9" w:rsidRPr="003409C9">
        <w:rPr>
          <w:noProof/>
        </w:rPr>
        <w:t> </w:t>
      </w:r>
      <w:r w:rsidRPr="003409C9">
        <w:rPr>
          <w:noProof/>
        </w:rPr>
        <w:t>c),</w:t>
      </w:r>
    </w:p>
    <w:p w:rsidR="00250117" w:rsidRPr="003409C9" w:rsidRDefault="00250117" w:rsidP="00250117">
      <w:pPr>
        <w:rPr>
          <w:noProof/>
        </w:rPr>
      </w:pPr>
      <w:r w:rsidRPr="003409C9">
        <w:rPr>
          <w:noProof/>
        </w:rPr>
        <w:t>uwzględniając wniosek Komisji Europejskiej,</w:t>
      </w:r>
    </w:p>
    <w:p w:rsidR="00250117" w:rsidRPr="003409C9" w:rsidRDefault="00250117" w:rsidP="00250117">
      <w:pPr>
        <w:rPr>
          <w:noProof/>
        </w:rPr>
      </w:pPr>
      <w:r w:rsidRPr="003409C9">
        <w:rPr>
          <w:noProof/>
        </w:rPr>
        <w:t>po przekazaniu projektu aktu ustawodawczego parlamentom narodowym,</w:t>
      </w:r>
    </w:p>
    <w:p w:rsidR="00250117" w:rsidRPr="003409C9" w:rsidRDefault="00250117" w:rsidP="00250117">
      <w:pPr>
        <w:rPr>
          <w:noProof/>
        </w:rPr>
      </w:pPr>
      <w:r w:rsidRPr="003409C9">
        <w:rPr>
          <w:noProof/>
        </w:rPr>
        <w:t>uwzględniając opinię Europejskiego Komitetu Ekonomiczno-Społecznego</w:t>
      </w:r>
      <w:r w:rsidRPr="003409C9">
        <w:rPr>
          <w:rStyle w:val="FootnoteReference0"/>
          <w:noProof/>
        </w:rPr>
        <w:footnoteReference w:id="32"/>
      </w:r>
      <w:r w:rsidRPr="003409C9">
        <w:rPr>
          <w:noProof/>
        </w:rPr>
        <w:t xml:space="preserve">, </w:t>
      </w:r>
    </w:p>
    <w:p w:rsidR="00250117" w:rsidRPr="003409C9" w:rsidRDefault="00250117" w:rsidP="00250117">
      <w:pPr>
        <w:rPr>
          <w:noProof/>
        </w:rPr>
      </w:pPr>
      <w:r w:rsidRPr="003409C9">
        <w:rPr>
          <w:noProof/>
        </w:rPr>
        <w:t>stanowiąc zgodnie ze zwykłą procedurą ustawodawczą,</w:t>
      </w:r>
    </w:p>
    <w:p w:rsidR="00250117" w:rsidRPr="003409C9" w:rsidRDefault="00250117" w:rsidP="00250117">
      <w:pPr>
        <w:rPr>
          <w:noProof/>
        </w:rPr>
      </w:pPr>
      <w:r w:rsidRPr="003409C9">
        <w:rPr>
          <w:noProof/>
        </w:rPr>
        <w:t>a także mając na uwadze, co następuje:</w:t>
      </w:r>
    </w:p>
    <w:p w:rsidR="00250117" w:rsidRPr="003409C9" w:rsidRDefault="009475BC" w:rsidP="009475BC">
      <w:pPr>
        <w:pStyle w:val="ManualConsidrant"/>
        <w:rPr>
          <w:noProof/>
        </w:rPr>
      </w:pPr>
      <w:r w:rsidRPr="003409C9">
        <w:rPr>
          <w:noProof/>
        </w:rPr>
        <w:t>(1)</w:t>
      </w:r>
      <w:r w:rsidRPr="003409C9">
        <w:rPr>
          <w:noProof/>
        </w:rPr>
        <w:tab/>
        <w:t>Przeprowadzanie odprawy osób na granicach zewnętrznych znacząco przyczynia się do zagwarantowania długoterminowego bezpieczeństwa Unii, państw członkowskich</w:t>
      </w:r>
      <w:r w:rsidR="003409C9" w:rsidRPr="003409C9">
        <w:rPr>
          <w:noProof/>
        </w:rPr>
        <w:t xml:space="preserve"> i jej</w:t>
      </w:r>
      <w:r w:rsidRPr="003409C9">
        <w:rPr>
          <w:noProof/>
        </w:rPr>
        <w:t xml:space="preserve"> obywateli</w:t>
      </w:r>
      <w:r w:rsidR="003409C9" w:rsidRPr="003409C9">
        <w:rPr>
          <w:noProof/>
        </w:rPr>
        <w:t xml:space="preserve"> i jak</w:t>
      </w:r>
      <w:r w:rsidRPr="003409C9">
        <w:rPr>
          <w:noProof/>
        </w:rPr>
        <w:t>o takie pozostaje ważnym zabezpieczeniem,</w:t>
      </w:r>
      <w:r w:rsidR="003409C9" w:rsidRPr="003409C9">
        <w:rPr>
          <w:noProof/>
        </w:rPr>
        <w:t xml:space="preserve"> w szc</w:t>
      </w:r>
      <w:r w:rsidRPr="003409C9">
        <w:rPr>
          <w:noProof/>
        </w:rPr>
        <w:t>zególności na obszarze bez kontroli na granicach wewnętrznych („strefa Schengen”). Wydajne</w:t>
      </w:r>
      <w:r w:rsidR="003409C9" w:rsidRPr="003409C9">
        <w:rPr>
          <w:noProof/>
        </w:rPr>
        <w:t xml:space="preserve"> i sku</w:t>
      </w:r>
      <w:r w:rsidRPr="003409C9">
        <w:rPr>
          <w:noProof/>
        </w:rPr>
        <w:t>teczne kontrole na granicach zewnętrznych, przeprowadzane</w:t>
      </w:r>
      <w:r w:rsidR="003409C9" w:rsidRPr="003409C9">
        <w:rPr>
          <w:noProof/>
        </w:rPr>
        <w:t xml:space="preserve"> w szc</w:t>
      </w:r>
      <w:r w:rsidRPr="003409C9">
        <w:rPr>
          <w:noProof/>
        </w:rPr>
        <w:t>zególności</w:t>
      </w:r>
      <w:r w:rsidR="003409C9" w:rsidRPr="003409C9">
        <w:rPr>
          <w:noProof/>
        </w:rPr>
        <w:t xml:space="preserve"> i w sto</w:t>
      </w:r>
      <w:r w:rsidRPr="003409C9">
        <w:rPr>
          <w:noProof/>
        </w:rPr>
        <w:t>sownych przypadkach zgodnie</w:t>
      </w:r>
      <w:r w:rsidR="003409C9" w:rsidRPr="003409C9">
        <w:rPr>
          <w:noProof/>
        </w:rPr>
        <w:t xml:space="preserve"> z roz</w:t>
      </w:r>
      <w:r w:rsidRPr="003409C9">
        <w:rPr>
          <w:noProof/>
        </w:rPr>
        <w:t>porządzeniem Parlamentu Europejskiego</w:t>
      </w:r>
      <w:r w:rsidR="003409C9" w:rsidRPr="003409C9">
        <w:rPr>
          <w:noProof/>
        </w:rPr>
        <w:t xml:space="preserve"> i Rad</w:t>
      </w:r>
      <w:r w:rsidRPr="003409C9">
        <w:rPr>
          <w:noProof/>
        </w:rPr>
        <w:t>y (UE) 2016/399</w:t>
      </w:r>
      <w:r w:rsidRPr="003409C9">
        <w:rPr>
          <w:rStyle w:val="FootnoteReference0"/>
          <w:noProof/>
        </w:rPr>
        <w:footnoteReference w:id="33"/>
      </w:r>
      <w:r w:rsidRPr="003409C9">
        <w:rPr>
          <w:noProof/>
        </w:rPr>
        <w:t>, przyczyniają się do zwalczania nielegalnej imigracji</w:t>
      </w:r>
      <w:r w:rsidR="003409C9" w:rsidRPr="003409C9">
        <w:rPr>
          <w:noProof/>
        </w:rPr>
        <w:t xml:space="preserve"> i zap</w:t>
      </w:r>
      <w:r w:rsidRPr="003409C9">
        <w:rPr>
          <w:noProof/>
        </w:rPr>
        <w:t>obiegania zagrożeniom dla bezpieczeństwa wewnętrznego, porządku publicznego, zdrowia publicznego</w:t>
      </w:r>
      <w:r w:rsidR="003409C9" w:rsidRPr="003409C9">
        <w:rPr>
          <w:noProof/>
        </w:rPr>
        <w:t xml:space="preserve"> i sto</w:t>
      </w:r>
      <w:r w:rsidRPr="003409C9">
        <w:rPr>
          <w:noProof/>
        </w:rPr>
        <w:t>sunków międzynarodowych państw członkowskich.</w:t>
      </w:r>
    </w:p>
    <w:p w:rsidR="00250117" w:rsidRPr="003409C9" w:rsidRDefault="009475BC" w:rsidP="009475BC">
      <w:pPr>
        <w:pStyle w:val="ManualConsidrant"/>
        <w:rPr>
          <w:noProof/>
        </w:rPr>
      </w:pPr>
      <w:r w:rsidRPr="003409C9">
        <w:rPr>
          <w:noProof/>
        </w:rPr>
        <w:t>(2)</w:t>
      </w:r>
      <w:r w:rsidRPr="003409C9">
        <w:rPr>
          <w:noProof/>
        </w:rPr>
        <w:tab/>
        <w:t>Wykorzystywanie danych podróżnych</w:t>
      </w:r>
      <w:r w:rsidR="003409C9" w:rsidRPr="003409C9">
        <w:rPr>
          <w:noProof/>
        </w:rPr>
        <w:t xml:space="preserve"> i inf</w:t>
      </w:r>
      <w:r w:rsidRPr="003409C9">
        <w:rPr>
          <w:noProof/>
        </w:rPr>
        <w:t>ormacji</w:t>
      </w:r>
      <w:r w:rsidR="003409C9" w:rsidRPr="003409C9">
        <w:rPr>
          <w:noProof/>
        </w:rPr>
        <w:t xml:space="preserve"> o loc</w:t>
      </w:r>
      <w:r w:rsidRPr="003409C9">
        <w:rPr>
          <w:noProof/>
        </w:rPr>
        <w:t>ie, przekazywanych przed przybyciem podróżnych, zwanych danymi pasażera przekazywanymi przed podróżą („API”), przyczynia się do przyspieszenia procesu wymaganej odprawy podczas przekraczania granic. Do celów niniejszego rozporządzenia proces ten dotyczy</w:t>
      </w:r>
      <w:r w:rsidR="003409C9" w:rsidRPr="003409C9">
        <w:rPr>
          <w:noProof/>
        </w:rPr>
        <w:t xml:space="preserve"> w szc</w:t>
      </w:r>
      <w:r w:rsidRPr="003409C9">
        <w:rPr>
          <w:noProof/>
        </w:rPr>
        <w:t>zególności przekraczania granic między państwem trzecim lub państwem członkowskim nieobjętym niniejszym rozporządzeniem,</w:t>
      </w:r>
      <w:r w:rsidR="003409C9" w:rsidRPr="003409C9">
        <w:rPr>
          <w:noProof/>
        </w:rPr>
        <w:t xml:space="preserve"> z jed</w:t>
      </w:r>
      <w:r w:rsidRPr="003409C9">
        <w:rPr>
          <w:noProof/>
        </w:rPr>
        <w:t>nej strony,</w:t>
      </w:r>
      <w:r w:rsidR="003409C9" w:rsidRPr="003409C9">
        <w:rPr>
          <w:noProof/>
        </w:rPr>
        <w:t xml:space="preserve"> a pań</w:t>
      </w:r>
      <w:r w:rsidRPr="003409C9">
        <w:rPr>
          <w:noProof/>
        </w:rPr>
        <w:t>stwem członkowskim objętym niniejszym rozporządzeniem,</w:t>
      </w:r>
      <w:r w:rsidR="003409C9" w:rsidRPr="003409C9">
        <w:rPr>
          <w:noProof/>
        </w:rPr>
        <w:t xml:space="preserve"> z dru</w:t>
      </w:r>
      <w:r w:rsidRPr="003409C9">
        <w:rPr>
          <w:noProof/>
        </w:rPr>
        <w:t>giej strony. Takie wykorzystywanie danych usprawnia kontrole na tych granicach zewnętrznych dzięki zapewnieniu wystarczającego czasu na przeprowadzenie szczegółowych</w:t>
      </w:r>
      <w:r w:rsidR="003409C9" w:rsidRPr="003409C9">
        <w:rPr>
          <w:noProof/>
        </w:rPr>
        <w:t xml:space="preserve"> i kom</w:t>
      </w:r>
      <w:r w:rsidRPr="003409C9">
        <w:rPr>
          <w:noProof/>
        </w:rPr>
        <w:t>pleksowych kontroli wszystkich podróżnych, nie powodując przy tym nieproporcjonalnych negatywnych skutków dla osób podróżujących</w:t>
      </w:r>
      <w:r w:rsidR="003409C9" w:rsidRPr="003409C9">
        <w:rPr>
          <w:noProof/>
        </w:rPr>
        <w:t xml:space="preserve"> w dob</w:t>
      </w:r>
      <w:r w:rsidRPr="003409C9">
        <w:rPr>
          <w:noProof/>
        </w:rPr>
        <w:t>rej wierze</w:t>
      </w:r>
      <w:r w:rsidR="003409C9" w:rsidRPr="003409C9">
        <w:rPr>
          <w:noProof/>
        </w:rPr>
        <w:t>. W zwi</w:t>
      </w:r>
      <w:r w:rsidRPr="003409C9">
        <w:rPr>
          <w:noProof/>
        </w:rPr>
        <w:t>ązku</w:t>
      </w:r>
      <w:r w:rsidR="003409C9" w:rsidRPr="003409C9">
        <w:rPr>
          <w:noProof/>
        </w:rPr>
        <w:t xml:space="preserve"> z tym w cel</w:t>
      </w:r>
      <w:r w:rsidRPr="003409C9">
        <w:rPr>
          <w:noProof/>
        </w:rPr>
        <w:t>u zagwarantowania skuteczności</w:t>
      </w:r>
      <w:r w:rsidR="003409C9" w:rsidRPr="003409C9">
        <w:rPr>
          <w:noProof/>
        </w:rPr>
        <w:t xml:space="preserve"> i wyd</w:t>
      </w:r>
      <w:r w:rsidRPr="003409C9">
        <w:rPr>
          <w:noProof/>
        </w:rPr>
        <w:t xml:space="preserve">ajności kontroli na granicach zewnętrznych należy ustanowić odpowiednie ramy prawne, aby zapewnić właściwym służbom granicznym państw członkowskich na takich przejściach granicznych na granicach zewnętrznych dostęp do danych API przed przybyciem podróżnych. </w:t>
      </w:r>
    </w:p>
    <w:p w:rsidR="00144546" w:rsidRPr="003409C9" w:rsidRDefault="009475BC" w:rsidP="009475BC">
      <w:pPr>
        <w:pStyle w:val="ManualConsidrant"/>
        <w:rPr>
          <w:noProof/>
        </w:rPr>
      </w:pPr>
      <w:r w:rsidRPr="003409C9">
        <w:rPr>
          <w:noProof/>
        </w:rPr>
        <w:t>(3)</w:t>
      </w:r>
      <w:r w:rsidRPr="003409C9">
        <w:rPr>
          <w:noProof/>
        </w:rPr>
        <w:tab/>
        <w:t>Obowiązujące ramy prawne dotyczące danych API, na które składa się dyrektywa Rady 2004/82/WE</w:t>
      </w:r>
      <w:r w:rsidRPr="003409C9">
        <w:rPr>
          <w:rStyle w:val="FootnoteReference0"/>
          <w:noProof/>
        </w:rPr>
        <w:footnoteReference w:id="34"/>
      </w:r>
      <w:r w:rsidRPr="003409C9">
        <w:rPr>
          <w:noProof/>
        </w:rPr>
        <w:t xml:space="preserve"> oraz przepisy krajowe transponujące tę dyrektywę, okazały się znaczące</w:t>
      </w:r>
      <w:r w:rsidR="003409C9" w:rsidRPr="003409C9">
        <w:rPr>
          <w:noProof/>
        </w:rPr>
        <w:t xml:space="preserve"> w kon</w:t>
      </w:r>
      <w:r w:rsidRPr="003409C9">
        <w:rPr>
          <w:noProof/>
        </w:rPr>
        <w:t>tekście usprawnienia kontroli granicznych, zwłaszcza dzięki zapewnieniu państwom członkowskim ram służących wprowadzeniu przepisów nakładających na przewoźników lotniczych obowiązki związane</w:t>
      </w:r>
      <w:r w:rsidR="003409C9" w:rsidRPr="003409C9">
        <w:rPr>
          <w:noProof/>
        </w:rPr>
        <w:t xml:space="preserve"> z prz</w:t>
      </w:r>
      <w:r w:rsidRPr="003409C9">
        <w:rPr>
          <w:noProof/>
        </w:rPr>
        <w:t>ekazywaniem danych API dotyczących pasażerów przybywających na ich terytorium. Na poziomie krajowym nadal utrzymują się jednak rozbieżności</w:t>
      </w:r>
      <w:r w:rsidR="003409C9" w:rsidRPr="003409C9">
        <w:rPr>
          <w:noProof/>
        </w:rPr>
        <w:t>. W szc</w:t>
      </w:r>
      <w:r w:rsidRPr="003409C9">
        <w:rPr>
          <w:noProof/>
        </w:rPr>
        <w:t>zególności od przewoźników lotniczych nie wymaga się systematycznego przekazywania danych API, natomiast muszą oni spełniać różne wymogi dotyczące rodzaju gromadzonych informacji oraz warunki, na jakich dane API muszą być przekazywane właściwym służbom granicznym. Rozbieżności te prowadzą nie tylko do niepotrzebnych kosztów</w:t>
      </w:r>
      <w:r w:rsidR="003409C9" w:rsidRPr="003409C9">
        <w:rPr>
          <w:noProof/>
        </w:rPr>
        <w:t xml:space="preserve"> i kom</w:t>
      </w:r>
      <w:r w:rsidRPr="003409C9">
        <w:rPr>
          <w:noProof/>
        </w:rPr>
        <w:t>plikacji dla przewoźników lotniczych, ale także mają negatywny wpływ na zapewnienie skutecznych</w:t>
      </w:r>
      <w:r w:rsidR="003409C9" w:rsidRPr="003409C9">
        <w:rPr>
          <w:noProof/>
        </w:rPr>
        <w:t xml:space="preserve"> i wyd</w:t>
      </w:r>
      <w:r w:rsidRPr="003409C9">
        <w:rPr>
          <w:noProof/>
        </w:rPr>
        <w:t xml:space="preserve">ajnych kontroli wstępnych osób przybywających na granice zewnętrzne. </w:t>
      </w:r>
    </w:p>
    <w:p w:rsidR="00250117" w:rsidRPr="003409C9" w:rsidRDefault="009475BC" w:rsidP="009475BC">
      <w:pPr>
        <w:pStyle w:val="ManualConsidrant"/>
        <w:rPr>
          <w:noProof/>
        </w:rPr>
      </w:pPr>
      <w:r w:rsidRPr="003409C9">
        <w:rPr>
          <w:noProof/>
        </w:rPr>
        <w:t>(4)</w:t>
      </w:r>
      <w:r w:rsidRPr="003409C9">
        <w:rPr>
          <w:noProof/>
        </w:rPr>
        <w:tab/>
        <w:t>Należy zatem zaktualizować</w:t>
      </w:r>
      <w:r w:rsidR="003409C9" w:rsidRPr="003409C9">
        <w:rPr>
          <w:noProof/>
        </w:rPr>
        <w:t xml:space="preserve"> i zas</w:t>
      </w:r>
      <w:r w:rsidRPr="003409C9">
        <w:rPr>
          <w:noProof/>
        </w:rPr>
        <w:t>tąpić istniejące ramy prawne, tak aby zapewnić jasne, zharmonizowane</w:t>
      </w:r>
      <w:r w:rsidR="003409C9" w:rsidRPr="003409C9">
        <w:rPr>
          <w:noProof/>
        </w:rPr>
        <w:t xml:space="preserve"> i sku</w:t>
      </w:r>
      <w:r w:rsidRPr="003409C9">
        <w:rPr>
          <w:noProof/>
        </w:rPr>
        <w:t>teczne przepisy dotyczące gromadzenia</w:t>
      </w:r>
      <w:r w:rsidR="003409C9" w:rsidRPr="003409C9">
        <w:rPr>
          <w:noProof/>
        </w:rPr>
        <w:t xml:space="preserve"> i prz</w:t>
      </w:r>
      <w:r w:rsidRPr="003409C9">
        <w:rPr>
          <w:noProof/>
        </w:rPr>
        <w:t>ekazywania danych API</w:t>
      </w:r>
      <w:r w:rsidR="003409C9" w:rsidRPr="003409C9">
        <w:rPr>
          <w:noProof/>
        </w:rPr>
        <w:t xml:space="preserve"> w cel</w:t>
      </w:r>
      <w:r w:rsidRPr="003409C9">
        <w:rPr>
          <w:noProof/>
        </w:rPr>
        <w:t>u usprawnienia</w:t>
      </w:r>
      <w:r w:rsidR="003409C9" w:rsidRPr="003409C9">
        <w:rPr>
          <w:noProof/>
        </w:rPr>
        <w:t xml:space="preserve"> i uła</w:t>
      </w:r>
      <w:r w:rsidRPr="003409C9">
        <w:rPr>
          <w:noProof/>
        </w:rPr>
        <w:t>twienia skutecznej</w:t>
      </w:r>
      <w:r w:rsidR="003409C9" w:rsidRPr="003409C9">
        <w:rPr>
          <w:noProof/>
        </w:rPr>
        <w:t xml:space="preserve"> i wyd</w:t>
      </w:r>
      <w:r w:rsidRPr="003409C9">
        <w:rPr>
          <w:noProof/>
        </w:rPr>
        <w:t xml:space="preserve">ajnej odprawy granicznej na granicach zewnętrznych oraz zwalczania nielegalnej imigracji. </w:t>
      </w:r>
    </w:p>
    <w:p w:rsidR="00250117" w:rsidRPr="003409C9" w:rsidRDefault="009475BC" w:rsidP="009475BC">
      <w:pPr>
        <w:pStyle w:val="ManualConsidrant"/>
        <w:rPr>
          <w:noProof/>
        </w:rPr>
      </w:pPr>
      <w:r w:rsidRPr="003409C9">
        <w:rPr>
          <w:noProof/>
        </w:rPr>
        <w:t>(5)</w:t>
      </w:r>
      <w:r w:rsidRPr="003409C9">
        <w:rPr>
          <w:noProof/>
        </w:rPr>
        <w:tab/>
        <w:t>W celu zapewnienia</w:t>
      </w:r>
      <w:r w:rsidR="003409C9" w:rsidRPr="003409C9">
        <w:rPr>
          <w:noProof/>
        </w:rPr>
        <w:t xml:space="preserve"> w jak</w:t>
      </w:r>
      <w:r w:rsidRPr="003409C9">
        <w:rPr>
          <w:noProof/>
        </w:rPr>
        <w:t xml:space="preserve"> największym stopniu spójnego podejścia na poziomie międzynarodowym oraz</w:t>
      </w:r>
      <w:r w:rsidR="003409C9" w:rsidRPr="003409C9">
        <w:rPr>
          <w:noProof/>
        </w:rPr>
        <w:t xml:space="preserve"> w świ</w:t>
      </w:r>
      <w:r w:rsidRPr="003409C9">
        <w:rPr>
          <w:noProof/>
        </w:rPr>
        <w:t>etle obowiązujących na tym poziomie przepisów dotyczących gromadzenia danych API</w:t>
      </w:r>
      <w:r w:rsidR="003409C9" w:rsidRPr="003409C9">
        <w:rPr>
          <w:noProof/>
        </w:rPr>
        <w:t xml:space="preserve"> w zak</w:t>
      </w:r>
      <w:r w:rsidRPr="003409C9">
        <w:rPr>
          <w:noProof/>
        </w:rPr>
        <w:t>tualizowanych ramach prawnych ustanowionych niniejszym rozporządzeniem należy uwzględnić odpowiednie praktyki uzgodnione na poziomie międzynarodowym</w:t>
      </w:r>
      <w:r w:rsidR="003409C9" w:rsidRPr="003409C9">
        <w:rPr>
          <w:noProof/>
        </w:rPr>
        <w:t xml:space="preserve"> z bra</w:t>
      </w:r>
      <w:r w:rsidRPr="003409C9">
        <w:rPr>
          <w:noProof/>
        </w:rPr>
        <w:t>nżą lotniczą oraz</w:t>
      </w:r>
      <w:r w:rsidR="003409C9" w:rsidRPr="003409C9">
        <w:rPr>
          <w:noProof/>
        </w:rPr>
        <w:t xml:space="preserve"> w kon</w:t>
      </w:r>
      <w:r w:rsidRPr="003409C9">
        <w:rPr>
          <w:noProof/>
        </w:rPr>
        <w:t>tekście wytycznych Światowej Organizacji Celnej, Zrzeszenia Międzynarodowego Transportu Lotniczego</w:t>
      </w:r>
      <w:r w:rsidR="003409C9" w:rsidRPr="003409C9">
        <w:rPr>
          <w:noProof/>
        </w:rPr>
        <w:t xml:space="preserve"> i Org</w:t>
      </w:r>
      <w:r w:rsidRPr="003409C9">
        <w:rPr>
          <w:noProof/>
        </w:rPr>
        <w:t>anizacji Międzynarodowego Lotnictwa Cywilnego</w:t>
      </w:r>
      <w:r w:rsidR="003409C9" w:rsidRPr="003409C9">
        <w:rPr>
          <w:noProof/>
        </w:rPr>
        <w:t xml:space="preserve"> w spr</w:t>
      </w:r>
      <w:r w:rsidRPr="003409C9">
        <w:rPr>
          <w:noProof/>
        </w:rPr>
        <w:t>awie danych pasażera przekazywanych przed podróżą.</w:t>
      </w:r>
      <w:r w:rsidR="003B5A1D" w:rsidRPr="003409C9">
        <w:rPr>
          <w:noProof/>
        </w:rPr>
        <w:t xml:space="preserve"> </w:t>
      </w:r>
    </w:p>
    <w:p w:rsidR="00144546" w:rsidRPr="003409C9" w:rsidRDefault="009475BC" w:rsidP="009475BC">
      <w:pPr>
        <w:pStyle w:val="ManualConsidrant"/>
        <w:rPr>
          <w:noProof/>
        </w:rPr>
      </w:pPr>
      <w:r w:rsidRPr="003409C9">
        <w:rPr>
          <w:noProof/>
        </w:rPr>
        <w:t>(6)</w:t>
      </w:r>
      <w:r w:rsidRPr="003409C9">
        <w:rPr>
          <w:noProof/>
        </w:rPr>
        <w:tab/>
        <w:t>Gromadzenie</w:t>
      </w:r>
      <w:r w:rsidR="003409C9" w:rsidRPr="003409C9">
        <w:rPr>
          <w:noProof/>
        </w:rPr>
        <w:t xml:space="preserve"> i prz</w:t>
      </w:r>
      <w:r w:rsidRPr="003409C9">
        <w:rPr>
          <w:noProof/>
        </w:rPr>
        <w:t>ekazywanie danych API ma wpływ na prywatność osób</w:t>
      </w:r>
      <w:r w:rsidR="003409C9" w:rsidRPr="003409C9">
        <w:rPr>
          <w:noProof/>
        </w:rPr>
        <w:t xml:space="preserve"> i wią</w:t>
      </w:r>
      <w:r w:rsidRPr="003409C9">
        <w:rPr>
          <w:noProof/>
        </w:rPr>
        <w:t>że się</w:t>
      </w:r>
      <w:r w:rsidR="003409C9" w:rsidRPr="003409C9">
        <w:rPr>
          <w:noProof/>
        </w:rPr>
        <w:t xml:space="preserve"> z prz</w:t>
      </w:r>
      <w:r w:rsidRPr="003409C9">
        <w:rPr>
          <w:noProof/>
        </w:rPr>
        <w:t>etwarzaniem danych osobowych. Aby zapewnić pełne przestrzeganie praw podstawowych,</w:t>
      </w:r>
      <w:r w:rsidR="003409C9" w:rsidRPr="003409C9">
        <w:rPr>
          <w:noProof/>
        </w:rPr>
        <w:t xml:space="preserve"> w szc</w:t>
      </w:r>
      <w:r w:rsidRPr="003409C9">
        <w:rPr>
          <w:noProof/>
        </w:rPr>
        <w:t>zególności prawa do poszanowania życia prywatnego</w:t>
      </w:r>
      <w:r w:rsidR="003409C9" w:rsidRPr="003409C9">
        <w:rPr>
          <w:noProof/>
        </w:rPr>
        <w:t xml:space="preserve"> i pra</w:t>
      </w:r>
      <w:r w:rsidRPr="003409C9">
        <w:rPr>
          <w:noProof/>
        </w:rPr>
        <w:t>wa do ochrony danych osobowych, zgodnie</w:t>
      </w:r>
      <w:r w:rsidR="003409C9" w:rsidRPr="003409C9">
        <w:rPr>
          <w:noProof/>
        </w:rPr>
        <w:t xml:space="preserve"> z Kar</w:t>
      </w:r>
      <w:r w:rsidRPr="003409C9">
        <w:rPr>
          <w:noProof/>
        </w:rPr>
        <w:t>tą praw podstawowych Unii Europejskiej („Karta”), należy przewidzieć odpowiednie ograniczenia</w:t>
      </w:r>
      <w:r w:rsidR="003409C9" w:rsidRPr="003409C9">
        <w:rPr>
          <w:noProof/>
        </w:rPr>
        <w:t xml:space="preserve"> i zab</w:t>
      </w:r>
      <w:r w:rsidRPr="003409C9">
        <w:rPr>
          <w:noProof/>
        </w:rPr>
        <w:t>ezpieczenia</w:t>
      </w:r>
      <w:r w:rsidR="003409C9" w:rsidRPr="003409C9">
        <w:rPr>
          <w:noProof/>
        </w:rPr>
        <w:t>. W szc</w:t>
      </w:r>
      <w:r w:rsidRPr="003409C9">
        <w:rPr>
          <w:noProof/>
        </w:rPr>
        <w:t>zególności wszelkie przetwarzanie danych API,</w:t>
      </w:r>
      <w:r w:rsidR="003409C9" w:rsidRPr="003409C9">
        <w:rPr>
          <w:noProof/>
        </w:rPr>
        <w:t xml:space="preserve"> w szc</w:t>
      </w:r>
      <w:r w:rsidRPr="003409C9">
        <w:rPr>
          <w:noProof/>
        </w:rPr>
        <w:t>zególności danych API stanowiących dane osobowe, powinno ograniczać się do tego, co jest konieczne</w:t>
      </w:r>
      <w:r w:rsidR="003409C9" w:rsidRPr="003409C9">
        <w:rPr>
          <w:noProof/>
        </w:rPr>
        <w:t xml:space="preserve"> i pro</w:t>
      </w:r>
      <w:r w:rsidRPr="003409C9">
        <w:rPr>
          <w:noProof/>
        </w:rPr>
        <w:t>porcjonalne do osiągnięcia celów niniejszego rozporządzenia. Ponadto należy zapewnić, aby API gromadzone</w:t>
      </w:r>
      <w:r w:rsidR="003409C9" w:rsidRPr="003409C9">
        <w:rPr>
          <w:noProof/>
        </w:rPr>
        <w:t xml:space="preserve"> i prz</w:t>
      </w:r>
      <w:r w:rsidRPr="003409C9">
        <w:rPr>
          <w:noProof/>
        </w:rPr>
        <w:t>ekazywane na podstawie niniejszego rozporządzenia nie prowadziły do jakiejkolwiek formy dyskryminacji wymienionej</w:t>
      </w:r>
      <w:r w:rsidR="003409C9" w:rsidRPr="003409C9">
        <w:rPr>
          <w:noProof/>
        </w:rPr>
        <w:t xml:space="preserve"> w Kar</w:t>
      </w:r>
      <w:r w:rsidRPr="003409C9">
        <w:rPr>
          <w:noProof/>
        </w:rPr>
        <w:t xml:space="preserve">cie. </w:t>
      </w:r>
    </w:p>
    <w:p w:rsidR="00250117" w:rsidRPr="003409C9" w:rsidRDefault="009475BC" w:rsidP="009475BC">
      <w:pPr>
        <w:pStyle w:val="ManualConsidrant"/>
        <w:rPr>
          <w:noProof/>
        </w:rPr>
      </w:pPr>
      <w:r w:rsidRPr="003409C9">
        <w:rPr>
          <w:noProof/>
        </w:rPr>
        <w:t>(7)</w:t>
      </w:r>
      <w:r w:rsidRPr="003409C9">
        <w:rPr>
          <w:noProof/>
        </w:rPr>
        <w:tab/>
        <w:t>Aby osiągnąć swoje cele, niniejsze rozporządzenie powinno mieć zastosowanie do wszystkich przewoźników wykonujących loty do Unii, zgodnie</w:t>
      </w:r>
      <w:r w:rsidR="003409C9" w:rsidRPr="003409C9">
        <w:rPr>
          <w:noProof/>
        </w:rPr>
        <w:t xml:space="preserve"> z def</w:t>
      </w:r>
      <w:r w:rsidRPr="003409C9">
        <w:rPr>
          <w:noProof/>
        </w:rPr>
        <w:t>inicją zawartą</w:t>
      </w:r>
      <w:r w:rsidR="003409C9" w:rsidRPr="003409C9">
        <w:rPr>
          <w:noProof/>
        </w:rPr>
        <w:t xml:space="preserve"> w nin</w:t>
      </w:r>
      <w:r w:rsidRPr="003409C9">
        <w:rPr>
          <w:noProof/>
        </w:rPr>
        <w:t>iejszym rozporządzeniu, obejmujące zarówno loty regularne, jak</w:t>
      </w:r>
      <w:r w:rsidR="003409C9" w:rsidRPr="003409C9">
        <w:rPr>
          <w:noProof/>
        </w:rPr>
        <w:t xml:space="preserve"> i nie</w:t>
      </w:r>
      <w:r w:rsidRPr="003409C9">
        <w:rPr>
          <w:noProof/>
        </w:rPr>
        <w:t>regularne, niezależnie od siedziby przewoźników lotniczych wykonujących te loty.</w:t>
      </w:r>
      <w:r w:rsidR="003B5A1D" w:rsidRPr="003409C9">
        <w:rPr>
          <w:noProof/>
        </w:rPr>
        <w:t xml:space="preserve"> </w:t>
      </w:r>
    </w:p>
    <w:p w:rsidR="003B1C87" w:rsidRPr="003409C9" w:rsidRDefault="009475BC" w:rsidP="009475BC">
      <w:pPr>
        <w:pStyle w:val="ManualConsidrant"/>
        <w:rPr>
          <w:noProof/>
        </w:rPr>
      </w:pPr>
      <w:r w:rsidRPr="003409C9">
        <w:rPr>
          <w:noProof/>
        </w:rPr>
        <w:t>(8)</w:t>
      </w:r>
      <w:r w:rsidRPr="003409C9">
        <w:rPr>
          <w:noProof/>
        </w:rPr>
        <w:tab/>
        <w:t>W celu zagwarantowania efektywności</w:t>
      </w:r>
      <w:r w:rsidR="003409C9" w:rsidRPr="003409C9">
        <w:rPr>
          <w:noProof/>
        </w:rPr>
        <w:t xml:space="preserve"> i pew</w:t>
      </w:r>
      <w:r w:rsidRPr="003409C9">
        <w:rPr>
          <w:noProof/>
        </w:rPr>
        <w:t>ności prawa należy sporządzić jasny</w:t>
      </w:r>
      <w:r w:rsidR="003409C9" w:rsidRPr="003409C9">
        <w:rPr>
          <w:noProof/>
        </w:rPr>
        <w:t xml:space="preserve"> i wyc</w:t>
      </w:r>
      <w:r w:rsidRPr="003409C9">
        <w:rPr>
          <w:noProof/>
        </w:rPr>
        <w:t>zerpujący wykaz informacji stanowiących łącznie dane API – które mają być gromadzone,</w:t>
      </w:r>
      <w:r w:rsidR="003409C9" w:rsidRPr="003409C9">
        <w:rPr>
          <w:noProof/>
        </w:rPr>
        <w:t xml:space="preserve"> a nas</w:t>
      </w:r>
      <w:r w:rsidRPr="003409C9">
        <w:rPr>
          <w:noProof/>
        </w:rPr>
        <w:t>tępnie przekazywane na podstawie niniejszego rozporządzenia – obejmujący zarówno informacje dotyczące każdego podróżnego, jak</w:t>
      </w:r>
      <w:r w:rsidR="003409C9" w:rsidRPr="003409C9">
        <w:rPr>
          <w:noProof/>
        </w:rPr>
        <w:t xml:space="preserve"> i inf</w:t>
      </w:r>
      <w:r w:rsidRPr="003409C9">
        <w:rPr>
          <w:noProof/>
        </w:rPr>
        <w:t>ormacje</w:t>
      </w:r>
      <w:r w:rsidR="003409C9" w:rsidRPr="003409C9">
        <w:rPr>
          <w:noProof/>
        </w:rPr>
        <w:t xml:space="preserve"> o jeg</w:t>
      </w:r>
      <w:r w:rsidRPr="003409C9">
        <w:rPr>
          <w:noProof/>
        </w:rPr>
        <w:t>o locie. Takie informacje</w:t>
      </w:r>
      <w:r w:rsidR="003409C9" w:rsidRPr="003409C9">
        <w:rPr>
          <w:noProof/>
        </w:rPr>
        <w:t xml:space="preserve"> o lot</w:t>
      </w:r>
      <w:r w:rsidRPr="003409C9">
        <w:rPr>
          <w:noProof/>
        </w:rPr>
        <w:t>ach powinny obejmować informacje na temat przejścia granicznego przylotu na terytorium danego państwa członkowskiego we wszystkich przypadkach objętych niniejszym rozporządzeniem, przy czym informacje te należy gromadzić wyłącznie</w:t>
      </w:r>
      <w:r w:rsidR="003409C9" w:rsidRPr="003409C9">
        <w:rPr>
          <w:noProof/>
        </w:rPr>
        <w:t xml:space="preserve"> w sto</w:t>
      </w:r>
      <w:r w:rsidRPr="003409C9">
        <w:rPr>
          <w:noProof/>
        </w:rPr>
        <w:t>sownych przypadkach na podstawie rozporządzenia (UE) [w sprawie egzekwowania przepisów dotyczących API], tj. nie</w:t>
      </w:r>
      <w:r w:rsidR="003409C9" w:rsidRPr="003409C9">
        <w:rPr>
          <w:noProof/>
        </w:rPr>
        <w:t xml:space="preserve"> w prz</w:t>
      </w:r>
      <w:r w:rsidRPr="003409C9">
        <w:rPr>
          <w:noProof/>
        </w:rPr>
        <w:t>ypadku, gdy dane API dotyczą lotów wewnątrzunijnych.</w:t>
      </w:r>
      <w:r w:rsidR="003B5A1D" w:rsidRPr="003409C9">
        <w:rPr>
          <w:noProof/>
        </w:rPr>
        <w:t xml:space="preserve"> </w:t>
      </w:r>
    </w:p>
    <w:p w:rsidR="00410953" w:rsidRPr="003409C9" w:rsidRDefault="009475BC" w:rsidP="009475BC">
      <w:pPr>
        <w:pStyle w:val="ManualConsidrant"/>
        <w:rPr>
          <w:noProof/>
        </w:rPr>
      </w:pPr>
      <w:r w:rsidRPr="003409C9">
        <w:rPr>
          <w:noProof/>
        </w:rPr>
        <w:t>(9)</w:t>
      </w:r>
      <w:r w:rsidRPr="003409C9">
        <w:rPr>
          <w:noProof/>
        </w:rPr>
        <w:tab/>
        <w:t>Aby zapewnić elastyczność</w:t>
      </w:r>
      <w:r w:rsidR="003409C9" w:rsidRPr="003409C9">
        <w:rPr>
          <w:noProof/>
        </w:rPr>
        <w:t xml:space="preserve"> i inn</w:t>
      </w:r>
      <w:r w:rsidRPr="003409C9">
        <w:rPr>
          <w:noProof/>
        </w:rPr>
        <w:t>owacyjność, każdy przewoźnik lotniczy powinien zasadniczo mieć możliwość określenia,</w:t>
      </w:r>
      <w:r w:rsidR="003409C9" w:rsidRPr="003409C9">
        <w:rPr>
          <w:noProof/>
        </w:rPr>
        <w:t xml:space="preserve"> w jak</w:t>
      </w:r>
      <w:r w:rsidRPr="003409C9">
        <w:rPr>
          <w:noProof/>
        </w:rPr>
        <w:t>i sposób będzie wypełniał swoje obowiązki dotyczące gromadzenia danych API przewidziane</w:t>
      </w:r>
      <w:r w:rsidR="003409C9" w:rsidRPr="003409C9">
        <w:rPr>
          <w:noProof/>
        </w:rPr>
        <w:t xml:space="preserve"> w nin</w:t>
      </w:r>
      <w:r w:rsidRPr="003409C9">
        <w:rPr>
          <w:noProof/>
        </w:rPr>
        <w:t>iejszym rozporządzeniu. Mając jednak na uwadze fakt, że istnieją odpowiednie rozwiązania technologiczne umożliwiające automatyczne gromadzenie niektórych danych API przy jednoczesnym zagwarantowaniu, że dane te są dokładne, kompletne</w:t>
      </w:r>
      <w:r w:rsidR="003409C9" w:rsidRPr="003409C9">
        <w:rPr>
          <w:noProof/>
        </w:rPr>
        <w:t xml:space="preserve"> i akt</w:t>
      </w:r>
      <w:r w:rsidRPr="003409C9">
        <w:rPr>
          <w:noProof/>
        </w:rPr>
        <w:t>ualne,</w:t>
      </w:r>
      <w:r w:rsidR="003409C9" w:rsidRPr="003409C9">
        <w:rPr>
          <w:noProof/>
        </w:rPr>
        <w:t xml:space="preserve"> a tak</w:t>
      </w:r>
      <w:r w:rsidRPr="003409C9">
        <w:rPr>
          <w:noProof/>
        </w:rPr>
        <w:t>że uwzględniając korzyści wynikające</w:t>
      </w:r>
      <w:r w:rsidR="003409C9" w:rsidRPr="003409C9">
        <w:rPr>
          <w:noProof/>
        </w:rPr>
        <w:t xml:space="preserve"> z zas</w:t>
      </w:r>
      <w:r w:rsidRPr="003409C9">
        <w:rPr>
          <w:noProof/>
        </w:rPr>
        <w:t>tosowania takiej technologii pod względem skuteczności</w:t>
      </w:r>
      <w:r w:rsidR="003409C9" w:rsidRPr="003409C9">
        <w:rPr>
          <w:noProof/>
        </w:rPr>
        <w:t xml:space="preserve"> i wyd</w:t>
      </w:r>
      <w:r w:rsidRPr="003409C9">
        <w:rPr>
          <w:noProof/>
        </w:rPr>
        <w:t>ajności, przewoźnicy lotniczy powinni być zobowiązani do gromadzenia tych danych API</w:t>
      </w:r>
      <w:r w:rsidR="003409C9" w:rsidRPr="003409C9">
        <w:rPr>
          <w:noProof/>
        </w:rPr>
        <w:t xml:space="preserve"> w spo</w:t>
      </w:r>
      <w:r w:rsidRPr="003409C9">
        <w:rPr>
          <w:noProof/>
        </w:rPr>
        <w:t>sób zautomatyzowany przez odczytywanie informacji</w:t>
      </w:r>
      <w:r w:rsidR="003409C9" w:rsidRPr="003409C9">
        <w:rPr>
          <w:noProof/>
        </w:rPr>
        <w:t xml:space="preserve"> z dan</w:t>
      </w:r>
      <w:r w:rsidRPr="003409C9">
        <w:rPr>
          <w:noProof/>
        </w:rPr>
        <w:t>ych nadających się do odczytu maszynowego</w:t>
      </w:r>
      <w:r w:rsidR="003409C9" w:rsidRPr="003409C9">
        <w:rPr>
          <w:noProof/>
        </w:rPr>
        <w:t xml:space="preserve"> w dok</w:t>
      </w:r>
      <w:r w:rsidRPr="003409C9">
        <w:rPr>
          <w:noProof/>
        </w:rPr>
        <w:t xml:space="preserve">umencie podróży. </w:t>
      </w:r>
    </w:p>
    <w:p w:rsidR="00581883" w:rsidRPr="003409C9" w:rsidRDefault="00410953" w:rsidP="009475BC">
      <w:pPr>
        <w:pStyle w:val="ManualConsidrant"/>
        <w:rPr>
          <w:noProof/>
        </w:rPr>
      </w:pPr>
      <w:r w:rsidRPr="003409C9">
        <w:rPr>
          <w:noProof/>
        </w:rPr>
        <w:t>(10)</w:t>
      </w:r>
      <w:r w:rsidRPr="003409C9">
        <w:rPr>
          <w:noProof/>
        </w:rPr>
        <w:tab/>
        <w:t>Dzięki automatyzacji podróżni mogą samodzielne podawać niektóre dane API podczas procesu odprawy przez internet. Takie rozwiązanie mogłoby na przykład obejmować bezpieczną aplikację na smartfonie, komputerze lub kamerze internetowej podróżnego, umożliwiającą odczytanie danych nadających się do odczytu maszynowego</w:t>
      </w:r>
      <w:r w:rsidR="003409C9" w:rsidRPr="003409C9">
        <w:rPr>
          <w:noProof/>
        </w:rPr>
        <w:t xml:space="preserve"> w dok</w:t>
      </w:r>
      <w:r w:rsidRPr="003409C9">
        <w:rPr>
          <w:noProof/>
        </w:rPr>
        <w:t>umencie podróży</w:t>
      </w:r>
      <w:r w:rsidR="003409C9" w:rsidRPr="003409C9">
        <w:rPr>
          <w:noProof/>
        </w:rPr>
        <w:t>. W prz</w:t>
      </w:r>
      <w:r w:rsidRPr="003409C9">
        <w:rPr>
          <w:noProof/>
        </w:rPr>
        <w:t>ypadku gdy podróżni nie dokonali odprawy przez internet, przewoźnicy lotniczy powinni</w:t>
      </w:r>
      <w:r w:rsidR="003409C9" w:rsidRPr="003409C9">
        <w:rPr>
          <w:noProof/>
        </w:rPr>
        <w:t xml:space="preserve"> w pra</w:t>
      </w:r>
      <w:r w:rsidRPr="003409C9">
        <w:rPr>
          <w:noProof/>
        </w:rPr>
        <w:t>ktyce zapewnić im możliwość podania danych API nadających się do odczytu maszynowego podczas odprawy</w:t>
      </w:r>
      <w:r w:rsidR="003409C9" w:rsidRPr="003409C9">
        <w:rPr>
          <w:noProof/>
        </w:rPr>
        <w:t xml:space="preserve"> w por</w:t>
      </w:r>
      <w:r w:rsidRPr="003409C9">
        <w:rPr>
          <w:noProof/>
        </w:rPr>
        <w:t xml:space="preserve">cie lotniczym za pomocą punktu samoobsługi lub przy wsparciu personelu linii lotniczych przy stanowisku odprawy. </w:t>
      </w:r>
    </w:p>
    <w:p w:rsidR="00F13A4F" w:rsidRPr="003409C9" w:rsidRDefault="009475BC" w:rsidP="009475BC">
      <w:pPr>
        <w:pStyle w:val="ManualConsidrant"/>
        <w:rPr>
          <w:noProof/>
        </w:rPr>
      </w:pPr>
      <w:r w:rsidRPr="003409C9">
        <w:rPr>
          <w:noProof/>
        </w:rPr>
        <w:t>(11)</w:t>
      </w:r>
      <w:r w:rsidRPr="003409C9">
        <w:rPr>
          <w:noProof/>
        </w:rPr>
        <w:tab/>
        <w:t>Komisja powinna być uprawniona do przyjmowania wymogów technicznych</w:t>
      </w:r>
      <w:r w:rsidR="003409C9" w:rsidRPr="003409C9">
        <w:rPr>
          <w:noProof/>
        </w:rPr>
        <w:t xml:space="preserve"> i zas</w:t>
      </w:r>
      <w:r w:rsidRPr="003409C9">
        <w:rPr>
          <w:noProof/>
        </w:rPr>
        <w:t>ad proceduralnych, których przewoźnicy lotniczy muszą przestrzegać</w:t>
      </w:r>
      <w:r w:rsidR="003409C9" w:rsidRPr="003409C9">
        <w:rPr>
          <w:noProof/>
        </w:rPr>
        <w:t xml:space="preserve"> w zwi</w:t>
      </w:r>
      <w:r w:rsidRPr="003409C9">
        <w:rPr>
          <w:noProof/>
        </w:rPr>
        <w:t>ązku</w:t>
      </w:r>
      <w:r w:rsidR="003409C9" w:rsidRPr="003409C9">
        <w:rPr>
          <w:noProof/>
        </w:rPr>
        <w:t xml:space="preserve"> z gro</w:t>
      </w:r>
      <w:r w:rsidRPr="003409C9">
        <w:rPr>
          <w:noProof/>
        </w:rPr>
        <w:t>madzeniem</w:t>
      </w:r>
      <w:r w:rsidR="003409C9" w:rsidRPr="003409C9">
        <w:rPr>
          <w:noProof/>
        </w:rPr>
        <w:t xml:space="preserve"> w spo</w:t>
      </w:r>
      <w:r w:rsidRPr="003409C9">
        <w:rPr>
          <w:noProof/>
        </w:rPr>
        <w:t>sób zautomatyzowany danych API nadających się do odczytu maszynowego na podstawie niniejszego rozporządzenia, tak aby zwiększyć przejrzystość</w:t>
      </w:r>
      <w:r w:rsidR="003409C9" w:rsidRPr="003409C9">
        <w:rPr>
          <w:noProof/>
        </w:rPr>
        <w:t xml:space="preserve"> i pew</w:t>
      </w:r>
      <w:r w:rsidRPr="003409C9">
        <w:rPr>
          <w:noProof/>
        </w:rPr>
        <w:t>ność prawa oraz przyczynić się do zapewnienia wysokiej jakości danych</w:t>
      </w:r>
      <w:r w:rsidR="003409C9" w:rsidRPr="003409C9">
        <w:rPr>
          <w:noProof/>
        </w:rPr>
        <w:t xml:space="preserve"> i odp</w:t>
      </w:r>
      <w:r w:rsidRPr="003409C9">
        <w:rPr>
          <w:noProof/>
        </w:rPr>
        <w:t>owiedzialnego wykorzystania automatyzacji.</w:t>
      </w:r>
    </w:p>
    <w:p w:rsidR="00581883" w:rsidRPr="003409C9" w:rsidRDefault="009475BC" w:rsidP="009475BC">
      <w:pPr>
        <w:pStyle w:val="ManualConsidrant"/>
        <w:rPr>
          <w:noProof/>
        </w:rPr>
      </w:pPr>
      <w:r w:rsidRPr="003409C9">
        <w:rPr>
          <w:noProof/>
        </w:rPr>
        <w:t>(12)</w:t>
      </w:r>
      <w:r w:rsidRPr="003409C9">
        <w:rPr>
          <w:noProof/>
        </w:rPr>
        <w:tab/>
        <w:t>Mając na uwadze na korzyści płynące</w:t>
      </w:r>
      <w:r w:rsidR="003409C9" w:rsidRPr="003409C9">
        <w:rPr>
          <w:noProof/>
        </w:rPr>
        <w:t xml:space="preserve"> z gro</w:t>
      </w:r>
      <w:r w:rsidRPr="003409C9">
        <w:rPr>
          <w:noProof/>
        </w:rPr>
        <w:t>madzenia</w:t>
      </w:r>
      <w:r w:rsidR="003409C9" w:rsidRPr="003409C9">
        <w:rPr>
          <w:noProof/>
        </w:rPr>
        <w:t xml:space="preserve"> w spo</w:t>
      </w:r>
      <w:r w:rsidRPr="003409C9">
        <w:rPr>
          <w:noProof/>
        </w:rPr>
        <w:t>sób zautomatyzowany danych API nadających się do odczytu maszynowego oraz przejrzystość wynikającą</w:t>
      </w:r>
      <w:r w:rsidR="003409C9" w:rsidRPr="003409C9">
        <w:rPr>
          <w:noProof/>
        </w:rPr>
        <w:t xml:space="preserve"> z wym</w:t>
      </w:r>
      <w:r w:rsidRPr="003409C9">
        <w:rPr>
          <w:noProof/>
        </w:rPr>
        <w:t>ogów technicznych</w:t>
      </w:r>
      <w:r w:rsidR="003409C9" w:rsidRPr="003409C9">
        <w:rPr>
          <w:noProof/>
        </w:rPr>
        <w:t xml:space="preserve"> w tym</w:t>
      </w:r>
      <w:r w:rsidRPr="003409C9">
        <w:rPr>
          <w:noProof/>
        </w:rPr>
        <w:t xml:space="preserve"> zakresie, które mają zostać przyjęte na podstawie niniejszego rozporządzenia, należy doprecyzować, że przewoźnicy lotniczy, którzy zdecydują się na gromadzenie</w:t>
      </w:r>
      <w:r w:rsidR="003409C9" w:rsidRPr="003409C9">
        <w:rPr>
          <w:noProof/>
        </w:rPr>
        <w:t xml:space="preserve"> w spo</w:t>
      </w:r>
      <w:r w:rsidRPr="003409C9">
        <w:rPr>
          <w:noProof/>
        </w:rPr>
        <w:t>sób zautomatyzowany informacji, które są zobowiązani przekazywać na podstawie dyrektywy 2004/82/WE, mają możliwość, ale nie obowiązek, stosowania tych wymogów, po ich przyjęciu,</w:t>
      </w:r>
      <w:r w:rsidR="003409C9" w:rsidRPr="003409C9">
        <w:rPr>
          <w:noProof/>
        </w:rPr>
        <w:t xml:space="preserve"> w zwi</w:t>
      </w:r>
      <w:r w:rsidRPr="003409C9">
        <w:rPr>
          <w:noProof/>
        </w:rPr>
        <w:t>ązku</w:t>
      </w:r>
      <w:r w:rsidR="003409C9" w:rsidRPr="003409C9">
        <w:rPr>
          <w:noProof/>
        </w:rPr>
        <w:t xml:space="preserve"> z tak</w:t>
      </w:r>
      <w:r w:rsidRPr="003409C9">
        <w:rPr>
          <w:noProof/>
        </w:rPr>
        <w:t>im stosowaniem automatyzacji,</w:t>
      </w:r>
      <w:r w:rsidR="003409C9" w:rsidRPr="003409C9">
        <w:rPr>
          <w:noProof/>
        </w:rPr>
        <w:t xml:space="preserve"> w zak</w:t>
      </w:r>
      <w:r w:rsidRPr="003409C9">
        <w:rPr>
          <w:noProof/>
        </w:rPr>
        <w:t>resie,</w:t>
      </w:r>
      <w:r w:rsidR="003409C9" w:rsidRPr="003409C9">
        <w:rPr>
          <w:noProof/>
        </w:rPr>
        <w:t xml:space="preserve"> w jak</w:t>
      </w:r>
      <w:r w:rsidRPr="003409C9">
        <w:rPr>
          <w:noProof/>
        </w:rPr>
        <w:t>im jest to dozwolone na podstawie tej dyrektywy. Wszelkie takie dobrowolne stosowanie tych specyfikacji</w:t>
      </w:r>
      <w:r w:rsidR="003409C9" w:rsidRPr="003409C9">
        <w:rPr>
          <w:noProof/>
        </w:rPr>
        <w:t xml:space="preserve"> w ram</w:t>
      </w:r>
      <w:r w:rsidRPr="003409C9">
        <w:rPr>
          <w:noProof/>
        </w:rPr>
        <w:t>ach wykonywania dyrektywy 2004/82/WE nie powinno być rozumiane jako naruszanie</w:t>
      </w:r>
      <w:r w:rsidR="003409C9" w:rsidRPr="003409C9">
        <w:rPr>
          <w:noProof/>
        </w:rPr>
        <w:t xml:space="preserve"> w jak</w:t>
      </w:r>
      <w:r w:rsidRPr="003409C9">
        <w:rPr>
          <w:noProof/>
        </w:rPr>
        <w:t>ikolwiek sposób obowiązków przewoźników lotniczych</w:t>
      </w:r>
      <w:r w:rsidR="003409C9" w:rsidRPr="003409C9">
        <w:rPr>
          <w:noProof/>
        </w:rPr>
        <w:t xml:space="preserve"> i pań</w:t>
      </w:r>
      <w:r w:rsidRPr="003409C9">
        <w:rPr>
          <w:noProof/>
        </w:rPr>
        <w:t>stw członkowskich na podstawie tej dyrektywy.</w:t>
      </w:r>
    </w:p>
    <w:p w:rsidR="00927143" w:rsidRPr="003409C9" w:rsidRDefault="009475BC" w:rsidP="009475BC">
      <w:pPr>
        <w:pStyle w:val="ManualConsidrant"/>
        <w:rPr>
          <w:noProof/>
        </w:rPr>
      </w:pPr>
      <w:r w:rsidRPr="003409C9">
        <w:rPr>
          <w:noProof/>
        </w:rPr>
        <w:t>(13)</w:t>
      </w:r>
      <w:r w:rsidRPr="003409C9">
        <w:rPr>
          <w:noProof/>
        </w:rPr>
        <w:tab/>
        <w:t>W celu zapewnienia skutecznych</w:t>
      </w:r>
      <w:r w:rsidR="003409C9" w:rsidRPr="003409C9">
        <w:rPr>
          <w:noProof/>
        </w:rPr>
        <w:t xml:space="preserve"> i wyd</w:t>
      </w:r>
      <w:r w:rsidRPr="003409C9">
        <w:rPr>
          <w:noProof/>
        </w:rPr>
        <w:t>ajnych wstępnych kontroli przeprowadzanych</w:t>
      </w:r>
      <w:r w:rsidR="003409C9" w:rsidRPr="003409C9">
        <w:rPr>
          <w:noProof/>
        </w:rPr>
        <w:t xml:space="preserve"> z wyp</w:t>
      </w:r>
      <w:r w:rsidRPr="003409C9">
        <w:rPr>
          <w:noProof/>
        </w:rPr>
        <w:t>rzedzeniem przez właściwe służby graniczne dane API przekazywane tym służbom powinny zawierać dane podróżnych, którzy faktycznie mają przekroczyć granice zewnętrzne, tj. dane podróżnych, którzy faktycznie znajdują się na pokładzie samolotu</w:t>
      </w:r>
      <w:r w:rsidR="003409C9" w:rsidRPr="003409C9">
        <w:rPr>
          <w:noProof/>
        </w:rPr>
        <w:t>. W zwi</w:t>
      </w:r>
      <w:r w:rsidRPr="003409C9">
        <w:rPr>
          <w:noProof/>
        </w:rPr>
        <w:t>ązku</w:t>
      </w:r>
      <w:r w:rsidR="003409C9" w:rsidRPr="003409C9">
        <w:rPr>
          <w:noProof/>
        </w:rPr>
        <w:t xml:space="preserve"> z tym</w:t>
      </w:r>
      <w:r w:rsidRPr="003409C9">
        <w:rPr>
          <w:noProof/>
        </w:rPr>
        <w:t xml:space="preserve"> przewoźnicy lotniczy powinni przekazywać dane API bezpośrednio po zakończeniu odprawy. Ponadto dane API umożliwiają właściwym służbom granicznym odróżnienie osób podróżujących legalnie od podróżnych, którzy mogą być przedmiotem zainteresowania</w:t>
      </w:r>
      <w:r w:rsidR="003409C9" w:rsidRPr="003409C9">
        <w:rPr>
          <w:noProof/>
        </w:rPr>
        <w:t xml:space="preserve"> i w zwi</w:t>
      </w:r>
      <w:r w:rsidRPr="003409C9">
        <w:rPr>
          <w:noProof/>
        </w:rPr>
        <w:t>ązku</w:t>
      </w:r>
      <w:r w:rsidR="003409C9" w:rsidRPr="003409C9">
        <w:rPr>
          <w:noProof/>
        </w:rPr>
        <w:t xml:space="preserve"> z tym</w:t>
      </w:r>
      <w:r w:rsidRPr="003409C9">
        <w:rPr>
          <w:noProof/>
        </w:rPr>
        <w:t xml:space="preserve"> mogą wymagać dodatkowych weryfikacji, co wiązałoby się</w:t>
      </w:r>
      <w:r w:rsidR="003409C9" w:rsidRPr="003409C9">
        <w:rPr>
          <w:noProof/>
        </w:rPr>
        <w:t xml:space="preserve"> z kon</w:t>
      </w:r>
      <w:r w:rsidRPr="003409C9">
        <w:rPr>
          <w:noProof/>
        </w:rPr>
        <w:t>iecznością zapewnienia większej koordynacji</w:t>
      </w:r>
      <w:r w:rsidR="003409C9" w:rsidRPr="003409C9">
        <w:rPr>
          <w:noProof/>
        </w:rPr>
        <w:t xml:space="preserve"> i prz</w:t>
      </w:r>
      <w:r w:rsidRPr="003409C9">
        <w:rPr>
          <w:noProof/>
        </w:rPr>
        <w:t>ygotowania środków następczych, które powinny zostać zastosowane po przylocie. Mogłoby się tak zdarzyć, na przykład,</w:t>
      </w:r>
      <w:r w:rsidR="003409C9" w:rsidRPr="003409C9">
        <w:rPr>
          <w:noProof/>
        </w:rPr>
        <w:t xml:space="preserve"> w prz</w:t>
      </w:r>
      <w:r w:rsidRPr="003409C9">
        <w:rPr>
          <w:noProof/>
        </w:rPr>
        <w:t>ypadku niespodziewanej liczby podróżnych będących przedmiotem zainteresowania, których kontrole fizyczne na granicach mogłyby niekorzystnie wpłynąć na odprawę graniczną</w:t>
      </w:r>
      <w:r w:rsidR="003409C9" w:rsidRPr="003409C9">
        <w:rPr>
          <w:noProof/>
        </w:rPr>
        <w:t xml:space="preserve"> i cza</w:t>
      </w:r>
      <w:r w:rsidRPr="003409C9">
        <w:rPr>
          <w:noProof/>
        </w:rPr>
        <w:t>s oczekiwania na granicach innych osób podróżujących legalnie. Aby zapewnić właściwym służbom granicznym możliwość przygotowania odpowiednich</w:t>
      </w:r>
      <w:r w:rsidR="003409C9" w:rsidRPr="003409C9">
        <w:rPr>
          <w:noProof/>
        </w:rPr>
        <w:t xml:space="preserve"> i pro</w:t>
      </w:r>
      <w:r w:rsidRPr="003409C9">
        <w:rPr>
          <w:noProof/>
        </w:rPr>
        <w:t>porcjonalnych środków na granicy, takich jak tymczasowe zwiększenie liczby lub przesunięcie pracowników, zwłaszcza</w:t>
      </w:r>
      <w:r w:rsidR="003409C9" w:rsidRPr="003409C9">
        <w:rPr>
          <w:noProof/>
        </w:rPr>
        <w:t xml:space="preserve"> w odn</w:t>
      </w:r>
      <w:r w:rsidRPr="003409C9">
        <w:rPr>
          <w:noProof/>
        </w:rPr>
        <w:t>iesieniu do lotów,</w:t>
      </w:r>
      <w:r w:rsidR="003409C9" w:rsidRPr="003409C9">
        <w:rPr>
          <w:noProof/>
        </w:rPr>
        <w:t xml:space="preserve"> w prz</w:t>
      </w:r>
      <w:r w:rsidRPr="003409C9">
        <w:rPr>
          <w:noProof/>
        </w:rPr>
        <w:t>ypadku których czas pomiędzy zakończeniem odprawy</w:t>
      </w:r>
      <w:r w:rsidR="003409C9" w:rsidRPr="003409C9">
        <w:rPr>
          <w:noProof/>
        </w:rPr>
        <w:t xml:space="preserve"> a prz</w:t>
      </w:r>
      <w:r w:rsidRPr="003409C9">
        <w:rPr>
          <w:noProof/>
        </w:rPr>
        <w:t>ybyciem na granicę zewnętrzną jest niewystarczający, aby umożliwić właściwym służbom granicznym przygotowanie najbardziej odpowiedniej reakcji, dane API powinny być również przekazywane przed wejściem na pokład</w:t>
      </w:r>
      <w:r w:rsidR="003409C9" w:rsidRPr="003409C9">
        <w:rPr>
          <w:noProof/>
        </w:rPr>
        <w:t xml:space="preserve"> w mom</w:t>
      </w:r>
      <w:r w:rsidRPr="003409C9">
        <w:rPr>
          <w:noProof/>
        </w:rPr>
        <w:t>encie odprawy każdego podróżnego.</w:t>
      </w:r>
    </w:p>
    <w:p w:rsidR="00410953" w:rsidRPr="003409C9" w:rsidRDefault="00410953" w:rsidP="002C31A3">
      <w:pPr>
        <w:pStyle w:val="ManualConsidrant"/>
        <w:rPr>
          <w:noProof/>
        </w:rPr>
      </w:pPr>
      <w:r w:rsidRPr="003409C9">
        <w:rPr>
          <w:noProof/>
        </w:rPr>
        <w:t>(14)</w:t>
      </w:r>
      <w:r w:rsidRPr="003409C9">
        <w:rPr>
          <w:noProof/>
        </w:rPr>
        <w:tab/>
        <w:t>W celu zapewnienia jasności co do wymogów technicznych, które mają zastosowanie do przewoźników lotniczych</w:t>
      </w:r>
      <w:r w:rsidR="003409C9" w:rsidRPr="003409C9">
        <w:rPr>
          <w:noProof/>
        </w:rPr>
        <w:t xml:space="preserve"> i któ</w:t>
      </w:r>
      <w:r w:rsidRPr="003409C9">
        <w:rPr>
          <w:noProof/>
        </w:rPr>
        <w:t>re są potrzebne, aby zapewnić bezpieczne, skuteczne</w:t>
      </w:r>
      <w:r w:rsidR="003409C9" w:rsidRPr="003409C9">
        <w:rPr>
          <w:noProof/>
        </w:rPr>
        <w:t xml:space="preserve"> i spr</w:t>
      </w:r>
      <w:r w:rsidRPr="003409C9">
        <w:rPr>
          <w:noProof/>
        </w:rPr>
        <w:t>awne przekazywane do routera danych API gromadzonych przez przewoźników lotniczych na podstawie niniejszego rozporządzenia, Komisja powinna być uprawniona do określenia specyfikacji wspólnych protokołów</w:t>
      </w:r>
      <w:r w:rsidR="003409C9" w:rsidRPr="003409C9">
        <w:rPr>
          <w:noProof/>
        </w:rPr>
        <w:t xml:space="preserve"> i obs</w:t>
      </w:r>
      <w:r w:rsidRPr="003409C9">
        <w:rPr>
          <w:noProof/>
        </w:rPr>
        <w:t>ługiwanych formatów danych, które mają być wykorzystywane do przekazywania tych danych.</w:t>
      </w:r>
      <w:r w:rsidRPr="00BB07AF">
        <w:rPr>
          <w:b/>
          <w:noProof/>
        </w:rPr>
        <w:t xml:space="preserve"> </w:t>
      </w:r>
    </w:p>
    <w:p w:rsidR="003B1C87" w:rsidRPr="003409C9" w:rsidRDefault="009475BC" w:rsidP="009475BC">
      <w:pPr>
        <w:pStyle w:val="ManualConsidrant"/>
        <w:rPr>
          <w:noProof/>
        </w:rPr>
      </w:pPr>
      <w:r w:rsidRPr="003409C9">
        <w:rPr>
          <w:noProof/>
        </w:rPr>
        <w:t>(15)</w:t>
      </w:r>
      <w:r w:rsidRPr="003409C9">
        <w:rPr>
          <w:noProof/>
        </w:rPr>
        <w:tab/>
        <w:t>Aby uniknąć ryzyka niewłaściwego wykorzystania oraz zgodnie</w:t>
      </w:r>
      <w:r w:rsidR="003409C9" w:rsidRPr="003409C9">
        <w:rPr>
          <w:noProof/>
        </w:rPr>
        <w:t xml:space="preserve"> z zas</w:t>
      </w:r>
      <w:r w:rsidRPr="003409C9">
        <w:rPr>
          <w:noProof/>
        </w:rPr>
        <w:t>adą celowości, właściwym służbom granicznym należy wyraźnie zabronić przetwarzania danych API, które otrzymują na podstawie niniejszego rozporządzenia, do celów innych niż usprawnienie</w:t>
      </w:r>
      <w:r w:rsidR="003409C9" w:rsidRPr="003409C9">
        <w:rPr>
          <w:noProof/>
        </w:rPr>
        <w:t xml:space="preserve"> i uła</w:t>
      </w:r>
      <w:r w:rsidRPr="003409C9">
        <w:rPr>
          <w:noProof/>
        </w:rPr>
        <w:t>twienie skutecznej</w:t>
      </w:r>
      <w:r w:rsidR="003409C9" w:rsidRPr="003409C9">
        <w:rPr>
          <w:noProof/>
        </w:rPr>
        <w:t xml:space="preserve"> i wyd</w:t>
      </w:r>
      <w:r w:rsidRPr="003409C9">
        <w:rPr>
          <w:noProof/>
        </w:rPr>
        <w:t xml:space="preserve">ajnej odprawy granicznej na granicach zewnętrznych oraz zwalczanie nielegalnej imigracji. </w:t>
      </w:r>
    </w:p>
    <w:p w:rsidR="00927143" w:rsidRPr="003409C9" w:rsidRDefault="009475BC" w:rsidP="009475BC">
      <w:pPr>
        <w:pStyle w:val="ManualConsidrant"/>
        <w:rPr>
          <w:noProof/>
        </w:rPr>
      </w:pPr>
      <w:r w:rsidRPr="003409C9">
        <w:rPr>
          <w:noProof/>
        </w:rPr>
        <w:t>(16)</w:t>
      </w:r>
      <w:r w:rsidRPr="003409C9">
        <w:rPr>
          <w:noProof/>
        </w:rPr>
        <w:tab/>
        <w:t>Aby zapewnić właściwym służbom granicznym wystarczający czas na skuteczne przeprowadzenie wstępnych kontroli wszystkich podróżnych,</w:t>
      </w:r>
      <w:r w:rsidR="003409C9" w:rsidRPr="003409C9">
        <w:rPr>
          <w:noProof/>
        </w:rPr>
        <w:t xml:space="preserve"> w tym</w:t>
      </w:r>
      <w:r w:rsidRPr="003409C9">
        <w:rPr>
          <w:noProof/>
        </w:rPr>
        <w:t xml:space="preserve"> osób podróżujących lotami długodystansowymi oraz osób podróżujących lotami łączącymi, jak również wystarczający czas na zapewnienie, aby dane API gromadzone</w:t>
      </w:r>
      <w:r w:rsidR="003409C9" w:rsidRPr="003409C9">
        <w:rPr>
          <w:noProof/>
        </w:rPr>
        <w:t xml:space="preserve"> i prz</w:t>
      </w:r>
      <w:r w:rsidRPr="003409C9">
        <w:rPr>
          <w:noProof/>
        </w:rPr>
        <w:t>ekazywane przez przewoźników lotniczych były kompletne, dokładne</w:t>
      </w:r>
      <w:r w:rsidR="003409C9" w:rsidRPr="003409C9">
        <w:rPr>
          <w:noProof/>
        </w:rPr>
        <w:t xml:space="preserve"> i akt</w:t>
      </w:r>
      <w:r w:rsidRPr="003409C9">
        <w:rPr>
          <w:noProof/>
        </w:rPr>
        <w:t>ualne,</w:t>
      </w:r>
      <w:r w:rsidR="003409C9" w:rsidRPr="003409C9">
        <w:rPr>
          <w:noProof/>
        </w:rPr>
        <w:t xml:space="preserve"> a w raz</w:t>
      </w:r>
      <w:r w:rsidRPr="003409C9">
        <w:rPr>
          <w:noProof/>
        </w:rPr>
        <w:t>ie potrzeby na zwrócenie się do przewoźników lotniczych</w:t>
      </w:r>
      <w:r w:rsidR="003409C9" w:rsidRPr="003409C9">
        <w:rPr>
          <w:noProof/>
        </w:rPr>
        <w:t xml:space="preserve"> z wni</w:t>
      </w:r>
      <w:r w:rsidRPr="003409C9">
        <w:rPr>
          <w:noProof/>
        </w:rPr>
        <w:t>oskiem</w:t>
      </w:r>
      <w:r w:rsidR="003409C9" w:rsidRPr="003409C9">
        <w:rPr>
          <w:noProof/>
        </w:rPr>
        <w:t xml:space="preserve"> o prz</w:t>
      </w:r>
      <w:r w:rsidRPr="003409C9">
        <w:rPr>
          <w:noProof/>
        </w:rPr>
        <w:t xml:space="preserve">edstawienie dodatkowych wyjaśnień, wprowadzenie korekt lub uzupełnienie informacji, </w:t>
      </w:r>
      <w:bookmarkStart w:id="16" w:name="_Hlk121052281"/>
      <w:r w:rsidRPr="003409C9">
        <w:rPr>
          <w:noProof/>
        </w:rPr>
        <w:t>właściwe służby graniczne powinny przechowywać dane API, które otrzymały na podstawie niniejszego rozporządzenia, przez ustalony czas, ograniczony do okresu bezwzględnie koniecznego do tych celów. Podobnie, aby móc odpowiedzieć na takie wnioski, przewoźnicy lotniczy powinni przechowywać dane API, które przekazali na podstawie niniejszego rozporządzenia, przez taki sam ustalony</w:t>
      </w:r>
      <w:r w:rsidR="003409C9" w:rsidRPr="003409C9">
        <w:rPr>
          <w:noProof/>
        </w:rPr>
        <w:t xml:space="preserve"> i bez</w:t>
      </w:r>
      <w:r w:rsidRPr="003409C9">
        <w:rPr>
          <w:noProof/>
        </w:rPr>
        <w:t>względnie niezbędny okres</w:t>
      </w:r>
      <w:bookmarkEnd w:id="16"/>
      <w:r w:rsidRPr="003409C9">
        <w:rPr>
          <w:noProof/>
        </w:rPr>
        <w:t xml:space="preserve">. </w:t>
      </w:r>
    </w:p>
    <w:p w:rsidR="00250117" w:rsidRPr="003409C9" w:rsidRDefault="009475BC" w:rsidP="009475BC">
      <w:pPr>
        <w:pStyle w:val="ManualConsidrant"/>
        <w:rPr>
          <w:noProof/>
        </w:rPr>
      </w:pPr>
      <w:r w:rsidRPr="003409C9">
        <w:rPr>
          <w:noProof/>
        </w:rPr>
        <w:t>(17)</w:t>
      </w:r>
      <w:r w:rsidRPr="003409C9">
        <w:rPr>
          <w:noProof/>
        </w:rPr>
        <w:tab/>
        <w:t>Aby uniknąć konieczności nawiązywania</w:t>
      </w:r>
      <w:r w:rsidR="003409C9" w:rsidRPr="003409C9">
        <w:rPr>
          <w:noProof/>
        </w:rPr>
        <w:t xml:space="preserve"> i utr</w:t>
      </w:r>
      <w:r w:rsidRPr="003409C9">
        <w:rPr>
          <w:noProof/>
        </w:rPr>
        <w:t>zymywania przez przewoźników lotniczych wielu połączeń</w:t>
      </w:r>
      <w:r w:rsidR="003409C9" w:rsidRPr="003409C9">
        <w:rPr>
          <w:noProof/>
        </w:rPr>
        <w:t xml:space="preserve"> z wła</w:t>
      </w:r>
      <w:r w:rsidRPr="003409C9">
        <w:rPr>
          <w:noProof/>
        </w:rPr>
        <w:t>ściwymi służbami granicznymi państw członkowskich</w:t>
      </w:r>
      <w:r w:rsidR="003409C9" w:rsidRPr="003409C9">
        <w:rPr>
          <w:noProof/>
        </w:rPr>
        <w:t xml:space="preserve"> w cel</w:t>
      </w:r>
      <w:r w:rsidRPr="003409C9">
        <w:rPr>
          <w:noProof/>
        </w:rPr>
        <w:t>u przekazywania danych API gromadzonych na podstawie niniejszego rozporządzenia oraz związanego</w:t>
      </w:r>
      <w:r w:rsidR="003409C9" w:rsidRPr="003409C9">
        <w:rPr>
          <w:noProof/>
        </w:rPr>
        <w:t xml:space="preserve"> z tym</w:t>
      </w:r>
      <w:r w:rsidRPr="003409C9">
        <w:rPr>
          <w:noProof/>
        </w:rPr>
        <w:t xml:space="preserve"> braku efektywności</w:t>
      </w:r>
      <w:r w:rsidR="003409C9" w:rsidRPr="003409C9">
        <w:rPr>
          <w:noProof/>
        </w:rPr>
        <w:t xml:space="preserve"> i ryz</w:t>
      </w:r>
      <w:r w:rsidRPr="003409C9">
        <w:rPr>
          <w:noProof/>
        </w:rPr>
        <w:t>yka dla bezpieczeństwa, należy ustanowić jeden router, opracowany</w:t>
      </w:r>
      <w:r w:rsidR="003409C9" w:rsidRPr="003409C9">
        <w:rPr>
          <w:noProof/>
        </w:rPr>
        <w:t xml:space="preserve"> i obs</w:t>
      </w:r>
      <w:r w:rsidRPr="003409C9">
        <w:rPr>
          <w:noProof/>
        </w:rPr>
        <w:t>ługiwany na poziomie Unii, który służy jako punkt podłączenia</w:t>
      </w:r>
      <w:r w:rsidR="003409C9" w:rsidRPr="003409C9">
        <w:rPr>
          <w:noProof/>
        </w:rPr>
        <w:t xml:space="preserve"> i dys</w:t>
      </w:r>
      <w:r w:rsidRPr="003409C9">
        <w:rPr>
          <w:noProof/>
        </w:rPr>
        <w:t>trybucji do celów przekazywania danych API</w:t>
      </w:r>
      <w:r w:rsidR="003409C9" w:rsidRPr="003409C9">
        <w:rPr>
          <w:noProof/>
        </w:rPr>
        <w:t>. W cel</w:t>
      </w:r>
      <w:r w:rsidRPr="003409C9">
        <w:rPr>
          <w:noProof/>
        </w:rPr>
        <w:t>u zagwarantowania wydajności</w:t>
      </w:r>
      <w:r w:rsidR="003409C9" w:rsidRPr="003409C9">
        <w:rPr>
          <w:noProof/>
        </w:rPr>
        <w:t xml:space="preserve"> i efe</w:t>
      </w:r>
      <w:r w:rsidRPr="003409C9">
        <w:rPr>
          <w:noProof/>
        </w:rPr>
        <w:t>ktywności kosztowej router powinien,</w:t>
      </w:r>
      <w:r w:rsidR="003409C9" w:rsidRPr="003409C9">
        <w:rPr>
          <w:noProof/>
        </w:rPr>
        <w:t xml:space="preserve"> w zak</w:t>
      </w:r>
      <w:r w:rsidRPr="003409C9">
        <w:rPr>
          <w:noProof/>
        </w:rPr>
        <w:t>resie,</w:t>
      </w:r>
      <w:r w:rsidR="003409C9" w:rsidRPr="003409C9">
        <w:rPr>
          <w:noProof/>
        </w:rPr>
        <w:t xml:space="preserve"> w jak</w:t>
      </w:r>
      <w:r w:rsidRPr="003409C9">
        <w:rPr>
          <w:noProof/>
        </w:rPr>
        <w:t>im jest to technicznie możliwe</w:t>
      </w:r>
      <w:r w:rsidR="003409C9" w:rsidRPr="003409C9">
        <w:rPr>
          <w:noProof/>
        </w:rPr>
        <w:t xml:space="preserve"> i z peł</w:t>
      </w:r>
      <w:r w:rsidRPr="003409C9">
        <w:rPr>
          <w:noProof/>
        </w:rPr>
        <w:t>nym poszanowaniem przepisów niniejszego rozporządzenia</w:t>
      </w:r>
      <w:r w:rsidR="003409C9" w:rsidRPr="003409C9">
        <w:rPr>
          <w:noProof/>
        </w:rPr>
        <w:t xml:space="preserve"> i roz</w:t>
      </w:r>
      <w:r w:rsidRPr="003409C9">
        <w:rPr>
          <w:noProof/>
        </w:rPr>
        <w:t>porządzenia (UE) [w sprawie egzekwowania przepisów dotyczących API], opierać się na elementach technicznych pochodzących</w:t>
      </w:r>
      <w:r w:rsidR="003409C9" w:rsidRPr="003409C9">
        <w:rPr>
          <w:noProof/>
        </w:rPr>
        <w:t xml:space="preserve"> z inn</w:t>
      </w:r>
      <w:r w:rsidRPr="003409C9">
        <w:rPr>
          <w:noProof/>
        </w:rPr>
        <w:t>ych odpowiednich systemów utworzonych na mocy prawa Unii.</w:t>
      </w:r>
    </w:p>
    <w:p w:rsidR="00B6351F" w:rsidRPr="003409C9" w:rsidRDefault="009475BC" w:rsidP="009475BC">
      <w:pPr>
        <w:pStyle w:val="ManualConsidrant"/>
        <w:rPr>
          <w:noProof/>
        </w:rPr>
      </w:pPr>
      <w:r w:rsidRPr="003409C9">
        <w:rPr>
          <w:noProof/>
        </w:rPr>
        <w:t>(18)</w:t>
      </w:r>
      <w:r w:rsidRPr="003409C9">
        <w:rPr>
          <w:noProof/>
        </w:rPr>
        <w:tab/>
        <w:t>Router powinien przekazywać dane API</w:t>
      </w:r>
      <w:r w:rsidR="003409C9" w:rsidRPr="003409C9">
        <w:rPr>
          <w:noProof/>
        </w:rPr>
        <w:t xml:space="preserve"> w spo</w:t>
      </w:r>
      <w:r w:rsidRPr="003409C9">
        <w:rPr>
          <w:noProof/>
        </w:rPr>
        <w:t>sób zautomatyzowany odpowiednim właściwym służbom granicznym, określonym na podstawie przejścia granicznego przylotu na terytorium państwa członkowskiego wskazanego</w:t>
      </w:r>
      <w:r w:rsidR="003409C9" w:rsidRPr="003409C9">
        <w:rPr>
          <w:noProof/>
        </w:rPr>
        <w:t xml:space="preserve"> w odp</w:t>
      </w:r>
      <w:r w:rsidRPr="003409C9">
        <w:rPr>
          <w:noProof/>
        </w:rPr>
        <w:t>owiednich danych API</w:t>
      </w:r>
      <w:r w:rsidR="003409C9" w:rsidRPr="003409C9">
        <w:rPr>
          <w:noProof/>
        </w:rPr>
        <w:t>. W cel</w:t>
      </w:r>
      <w:r w:rsidRPr="003409C9">
        <w:rPr>
          <w:noProof/>
        </w:rPr>
        <w:t>u ułatwienia procesu dystrybucji każde państwo członkowskie powinno wskazać, które służby graniczne są właściwe do otrzymywania danych API przekazywanych</w:t>
      </w:r>
      <w:r w:rsidR="003409C9" w:rsidRPr="003409C9">
        <w:rPr>
          <w:noProof/>
        </w:rPr>
        <w:t xml:space="preserve"> z rou</w:t>
      </w:r>
      <w:r w:rsidRPr="003409C9">
        <w:rPr>
          <w:noProof/>
        </w:rPr>
        <w:t>tera</w:t>
      </w:r>
      <w:r w:rsidR="003409C9" w:rsidRPr="003409C9">
        <w:rPr>
          <w:noProof/>
        </w:rPr>
        <w:t>. W cel</w:t>
      </w:r>
      <w:r w:rsidRPr="003409C9">
        <w:rPr>
          <w:noProof/>
        </w:rPr>
        <w:t xml:space="preserve">u zapewnienia właściwego funkcjonowania niniejszego rozporządzenia oraz zachowania przejrzystości informacje te należy podawać do wiadomości publicznej. </w:t>
      </w:r>
    </w:p>
    <w:p w:rsidR="00B022C7" w:rsidRPr="003409C9" w:rsidRDefault="009475BC" w:rsidP="009475BC">
      <w:pPr>
        <w:pStyle w:val="ManualConsidrant"/>
        <w:rPr>
          <w:noProof/>
        </w:rPr>
      </w:pPr>
      <w:r w:rsidRPr="003409C9">
        <w:rPr>
          <w:noProof/>
        </w:rPr>
        <w:t>(19)</w:t>
      </w:r>
      <w:r w:rsidRPr="003409C9">
        <w:rPr>
          <w:noProof/>
        </w:rPr>
        <w:tab/>
        <w:t>Router powinien służyć wyłącznie ułatwieniu przekazywania danych API przez przewoźników lotniczych właściwym służbom granicznym zgodnie</w:t>
      </w:r>
      <w:r w:rsidR="003409C9" w:rsidRPr="003409C9">
        <w:rPr>
          <w:noProof/>
        </w:rPr>
        <w:t xml:space="preserve"> z nin</w:t>
      </w:r>
      <w:r w:rsidRPr="003409C9">
        <w:rPr>
          <w:noProof/>
        </w:rPr>
        <w:t>iejszym rozporządzeniem oraz JIP zgodnie</w:t>
      </w:r>
      <w:r w:rsidR="003409C9" w:rsidRPr="003409C9">
        <w:rPr>
          <w:noProof/>
        </w:rPr>
        <w:t xml:space="preserve"> z roz</w:t>
      </w:r>
      <w:r w:rsidRPr="003409C9">
        <w:rPr>
          <w:noProof/>
        </w:rPr>
        <w:t>porządzeniem (UE) [w sprawie egzekwowania przepisów dotyczących API]</w:t>
      </w:r>
      <w:r w:rsidR="003409C9" w:rsidRPr="003409C9">
        <w:rPr>
          <w:noProof/>
        </w:rPr>
        <w:t xml:space="preserve"> i nie</w:t>
      </w:r>
      <w:r w:rsidRPr="003409C9">
        <w:rPr>
          <w:noProof/>
        </w:rPr>
        <w:t xml:space="preserve"> powinien pełnić funkcji repozytorium danych API</w:t>
      </w:r>
      <w:r w:rsidR="003409C9" w:rsidRPr="003409C9">
        <w:rPr>
          <w:noProof/>
        </w:rPr>
        <w:t>. W zwi</w:t>
      </w:r>
      <w:r w:rsidRPr="003409C9">
        <w:rPr>
          <w:noProof/>
        </w:rPr>
        <w:t>ązku</w:t>
      </w:r>
      <w:r w:rsidR="003409C9" w:rsidRPr="003409C9">
        <w:rPr>
          <w:noProof/>
        </w:rPr>
        <w:t xml:space="preserve"> z tym</w:t>
      </w:r>
      <w:r w:rsidRPr="003409C9">
        <w:rPr>
          <w:noProof/>
        </w:rPr>
        <w:t>,</w:t>
      </w:r>
      <w:r w:rsidR="003409C9" w:rsidRPr="003409C9">
        <w:rPr>
          <w:noProof/>
        </w:rPr>
        <w:t xml:space="preserve"> a tak</w:t>
      </w:r>
      <w:r w:rsidRPr="003409C9">
        <w:rPr>
          <w:noProof/>
        </w:rPr>
        <w:t>że</w:t>
      </w:r>
      <w:r w:rsidR="003409C9" w:rsidRPr="003409C9">
        <w:rPr>
          <w:noProof/>
        </w:rPr>
        <w:t xml:space="preserve"> w cel</w:t>
      </w:r>
      <w:r w:rsidRPr="003409C9">
        <w:rPr>
          <w:noProof/>
        </w:rPr>
        <w:t>u zminimalizowania ryzyka nieuprawnionego dostępu lub innego niewłaściwego wykorzystania oraz zgodnie</w:t>
      </w:r>
      <w:r w:rsidR="003409C9" w:rsidRPr="003409C9">
        <w:rPr>
          <w:noProof/>
        </w:rPr>
        <w:t xml:space="preserve"> z zas</w:t>
      </w:r>
      <w:r w:rsidRPr="003409C9">
        <w:rPr>
          <w:noProof/>
        </w:rPr>
        <w:t>adą minimalizacji danych wszelkie przechowywanie danych API</w:t>
      </w:r>
      <w:r w:rsidR="003409C9" w:rsidRPr="003409C9">
        <w:rPr>
          <w:noProof/>
        </w:rPr>
        <w:t xml:space="preserve"> w rou</w:t>
      </w:r>
      <w:r w:rsidRPr="003409C9">
        <w:rPr>
          <w:noProof/>
        </w:rPr>
        <w:t>terze należy ograniczyć do tego, co jest absolutnie niezbędne do celów technicznych związanych</w:t>
      </w:r>
      <w:r w:rsidR="003409C9" w:rsidRPr="003409C9">
        <w:rPr>
          <w:noProof/>
        </w:rPr>
        <w:t xml:space="preserve"> z prz</w:t>
      </w:r>
      <w:r w:rsidRPr="003409C9">
        <w:rPr>
          <w:noProof/>
        </w:rPr>
        <w:t>ekazywaniem,</w:t>
      </w:r>
      <w:r w:rsidR="003409C9" w:rsidRPr="003409C9">
        <w:rPr>
          <w:noProof/>
        </w:rPr>
        <w:t xml:space="preserve"> a dan</w:t>
      </w:r>
      <w:r w:rsidRPr="003409C9">
        <w:rPr>
          <w:noProof/>
        </w:rPr>
        <w:t>e API należy usuwać</w:t>
      </w:r>
      <w:r w:rsidR="003409C9" w:rsidRPr="003409C9">
        <w:rPr>
          <w:noProof/>
        </w:rPr>
        <w:t xml:space="preserve"> z rou</w:t>
      </w:r>
      <w:r w:rsidRPr="003409C9">
        <w:rPr>
          <w:noProof/>
        </w:rPr>
        <w:t>tera natychmiast, trwale</w:t>
      </w:r>
      <w:r w:rsidR="003409C9" w:rsidRPr="003409C9">
        <w:rPr>
          <w:noProof/>
        </w:rPr>
        <w:t xml:space="preserve"> i w spo</w:t>
      </w:r>
      <w:r w:rsidRPr="003409C9">
        <w:rPr>
          <w:noProof/>
        </w:rPr>
        <w:t>sób zautomatyzowany</w:t>
      </w:r>
      <w:r w:rsidR="003409C9" w:rsidRPr="003409C9">
        <w:rPr>
          <w:noProof/>
        </w:rPr>
        <w:t xml:space="preserve"> z chw</w:t>
      </w:r>
      <w:r w:rsidRPr="003409C9">
        <w:rPr>
          <w:noProof/>
        </w:rPr>
        <w:t>ilą zakończenia przekazywania, bądź też</w:t>
      </w:r>
      <w:r w:rsidR="003409C9" w:rsidRPr="003409C9">
        <w:rPr>
          <w:noProof/>
        </w:rPr>
        <w:t xml:space="preserve"> w sto</w:t>
      </w:r>
      <w:r w:rsidRPr="003409C9">
        <w:rPr>
          <w:noProof/>
        </w:rPr>
        <w:t>sownych przypadkach na podstawie rozporządzenia (UE) [w sprawie egzekwowania przepisów dotyczących API] danych API nie należy przekazywać</w:t>
      </w:r>
      <w:r w:rsidR="003409C9" w:rsidRPr="003409C9">
        <w:rPr>
          <w:noProof/>
        </w:rPr>
        <w:t xml:space="preserve"> w ogó</w:t>
      </w:r>
      <w:r w:rsidRPr="003409C9">
        <w:rPr>
          <w:noProof/>
        </w:rPr>
        <w:t>le.</w:t>
      </w:r>
    </w:p>
    <w:p w:rsidR="002946D9" w:rsidRPr="003409C9" w:rsidRDefault="009475BC" w:rsidP="009475BC">
      <w:pPr>
        <w:pStyle w:val="ManualConsidrant"/>
        <w:rPr>
          <w:noProof/>
        </w:rPr>
      </w:pPr>
      <w:r w:rsidRPr="003409C9">
        <w:rPr>
          <w:noProof/>
        </w:rPr>
        <w:t>(20)</w:t>
      </w:r>
      <w:r w:rsidRPr="003409C9">
        <w:rPr>
          <w:noProof/>
        </w:rPr>
        <w:tab/>
        <w:t>W celu zapewnienia właściwego funkcjonowania procesu przekazywania danych API</w:t>
      </w:r>
      <w:r w:rsidR="003409C9" w:rsidRPr="003409C9">
        <w:rPr>
          <w:noProof/>
        </w:rPr>
        <w:t xml:space="preserve"> z rou</w:t>
      </w:r>
      <w:r w:rsidRPr="003409C9">
        <w:rPr>
          <w:noProof/>
        </w:rPr>
        <w:t>tera Komisja powinna być uprawniona do określania szczegółowych przepisów technicznych</w:t>
      </w:r>
      <w:r w:rsidR="003409C9" w:rsidRPr="003409C9">
        <w:rPr>
          <w:noProof/>
        </w:rPr>
        <w:t xml:space="preserve"> i pro</w:t>
      </w:r>
      <w:r w:rsidRPr="003409C9">
        <w:rPr>
          <w:noProof/>
        </w:rPr>
        <w:t>ceduralnych dotyczących tego przekazywania. Przepisy te powinny zapewniać, aby przekazywanie było bezpieczne, skuteczne</w:t>
      </w:r>
      <w:r w:rsidR="003409C9" w:rsidRPr="003409C9">
        <w:rPr>
          <w:noProof/>
        </w:rPr>
        <w:t xml:space="preserve"> i spr</w:t>
      </w:r>
      <w:r w:rsidRPr="003409C9">
        <w:rPr>
          <w:noProof/>
        </w:rPr>
        <w:t>awne oraz aby nie miało wpływu na podróże pasażerów i na przewoźników lotniczych</w:t>
      </w:r>
      <w:r w:rsidR="003409C9" w:rsidRPr="003409C9">
        <w:rPr>
          <w:noProof/>
        </w:rPr>
        <w:t xml:space="preserve"> w wię</w:t>
      </w:r>
      <w:r w:rsidRPr="003409C9">
        <w:rPr>
          <w:noProof/>
        </w:rPr>
        <w:t>kszym stopniu, niż to konieczne.</w:t>
      </w:r>
    </w:p>
    <w:p w:rsidR="006C08A2" w:rsidRPr="003409C9" w:rsidRDefault="009475BC" w:rsidP="009475BC">
      <w:pPr>
        <w:pStyle w:val="ManualConsidrant"/>
        <w:rPr>
          <w:noProof/>
        </w:rPr>
      </w:pPr>
      <w:r w:rsidRPr="003409C9">
        <w:rPr>
          <w:noProof/>
        </w:rPr>
        <w:t>(21)</w:t>
      </w:r>
      <w:r w:rsidRPr="003409C9">
        <w:rPr>
          <w:noProof/>
        </w:rPr>
        <w:tab/>
        <w:t>Aby przewoźnicy lotniczy mogli jak najszybciej odnieść korzyści wynikające</w:t>
      </w:r>
      <w:r w:rsidR="003409C9" w:rsidRPr="003409C9">
        <w:rPr>
          <w:noProof/>
        </w:rPr>
        <w:t xml:space="preserve"> z zas</w:t>
      </w:r>
      <w:r w:rsidRPr="003409C9">
        <w:rPr>
          <w:noProof/>
        </w:rPr>
        <w:t>tosowania routera opracowanego przez eu-LISA zgodnie</w:t>
      </w:r>
      <w:r w:rsidR="003409C9" w:rsidRPr="003409C9">
        <w:rPr>
          <w:noProof/>
        </w:rPr>
        <w:t xml:space="preserve"> z nin</w:t>
      </w:r>
      <w:r w:rsidRPr="003409C9">
        <w:rPr>
          <w:noProof/>
        </w:rPr>
        <w:t>iejszym rozporządzeniem oraz zdobyć doświadczenie</w:t>
      </w:r>
      <w:r w:rsidR="003409C9" w:rsidRPr="003409C9">
        <w:rPr>
          <w:noProof/>
        </w:rPr>
        <w:t xml:space="preserve"> w zak</w:t>
      </w:r>
      <w:r w:rsidRPr="003409C9">
        <w:rPr>
          <w:noProof/>
        </w:rPr>
        <w:t>resie jego użytkowania, należy im zapewnić możliwość, ale nie obowiązek, korzystania</w:t>
      </w:r>
      <w:r w:rsidR="003409C9" w:rsidRPr="003409C9">
        <w:rPr>
          <w:noProof/>
        </w:rPr>
        <w:t xml:space="preserve"> z rou</w:t>
      </w:r>
      <w:r w:rsidRPr="003409C9">
        <w:rPr>
          <w:noProof/>
        </w:rPr>
        <w:t>tera</w:t>
      </w:r>
      <w:r w:rsidR="003409C9" w:rsidRPr="003409C9">
        <w:rPr>
          <w:noProof/>
        </w:rPr>
        <w:t xml:space="preserve"> w cel</w:t>
      </w:r>
      <w:r w:rsidRPr="003409C9">
        <w:rPr>
          <w:noProof/>
        </w:rPr>
        <w:t>u przekazywania informacji, które są zobowiązani przekazywać na podstawie dyrektywy 2004/82/WE</w:t>
      </w:r>
      <w:r w:rsidR="003409C9" w:rsidRPr="003409C9">
        <w:rPr>
          <w:noProof/>
        </w:rPr>
        <w:t xml:space="preserve"> w okr</w:t>
      </w:r>
      <w:r w:rsidRPr="003409C9">
        <w:rPr>
          <w:noProof/>
        </w:rPr>
        <w:t>esie przejściowym. Ten okres przejściowy powinien rozpocząć się</w:t>
      </w:r>
      <w:r w:rsidR="003409C9" w:rsidRPr="003409C9">
        <w:rPr>
          <w:noProof/>
        </w:rPr>
        <w:t xml:space="preserve"> z chw</w:t>
      </w:r>
      <w:r w:rsidRPr="003409C9">
        <w:rPr>
          <w:noProof/>
        </w:rPr>
        <w:t>ilą uruchomienia routera</w:t>
      </w:r>
      <w:r w:rsidR="003409C9" w:rsidRPr="003409C9">
        <w:rPr>
          <w:noProof/>
        </w:rPr>
        <w:t xml:space="preserve"> i zak</w:t>
      </w:r>
      <w:r w:rsidRPr="003409C9">
        <w:rPr>
          <w:noProof/>
        </w:rPr>
        <w:t>ończyć się</w:t>
      </w:r>
      <w:r w:rsidR="003409C9" w:rsidRPr="003409C9">
        <w:rPr>
          <w:noProof/>
        </w:rPr>
        <w:t xml:space="preserve"> z chw</w:t>
      </w:r>
      <w:r w:rsidRPr="003409C9">
        <w:rPr>
          <w:noProof/>
        </w:rPr>
        <w:t>ilą, gdy obowiązki wynikające</w:t>
      </w:r>
      <w:r w:rsidR="003409C9" w:rsidRPr="003409C9">
        <w:rPr>
          <w:noProof/>
        </w:rPr>
        <w:t xml:space="preserve"> z tej</w:t>
      </w:r>
      <w:r w:rsidRPr="003409C9">
        <w:rPr>
          <w:noProof/>
        </w:rPr>
        <w:t xml:space="preserve"> dyrektywy przestaną mieć zastosowanie</w:t>
      </w:r>
      <w:r w:rsidR="003409C9" w:rsidRPr="003409C9">
        <w:rPr>
          <w:noProof/>
        </w:rPr>
        <w:t>. W cel</w:t>
      </w:r>
      <w:r w:rsidRPr="003409C9">
        <w:rPr>
          <w:noProof/>
        </w:rPr>
        <w:t>u zapewnienia, aby wszelkie takie dobrowolne korzystanie</w:t>
      </w:r>
      <w:r w:rsidR="003409C9" w:rsidRPr="003409C9">
        <w:rPr>
          <w:noProof/>
        </w:rPr>
        <w:t xml:space="preserve"> z rou</w:t>
      </w:r>
      <w:r w:rsidRPr="003409C9">
        <w:rPr>
          <w:noProof/>
        </w:rPr>
        <w:t>tera odbywało się</w:t>
      </w:r>
      <w:r w:rsidR="003409C9" w:rsidRPr="003409C9">
        <w:rPr>
          <w:noProof/>
        </w:rPr>
        <w:t xml:space="preserve"> w spo</w:t>
      </w:r>
      <w:r w:rsidRPr="003409C9">
        <w:rPr>
          <w:noProof/>
        </w:rPr>
        <w:t>sób odpowiedzialny, należy wymagać uprzedniej pisemnej zgody odpowiedzialnego organu, który ma otrzymać informacje, na wniosek przewoźnika lotniczego oraz</w:t>
      </w:r>
      <w:r w:rsidR="003409C9" w:rsidRPr="003409C9">
        <w:rPr>
          <w:noProof/>
        </w:rPr>
        <w:t xml:space="preserve"> w raz</w:t>
      </w:r>
      <w:r w:rsidRPr="003409C9">
        <w:rPr>
          <w:noProof/>
        </w:rPr>
        <w:t>ie potrzeby po przeprowadzeniu przez ten organ weryfikacji</w:t>
      </w:r>
      <w:r w:rsidR="003409C9" w:rsidRPr="003409C9">
        <w:rPr>
          <w:noProof/>
        </w:rPr>
        <w:t xml:space="preserve"> i uzy</w:t>
      </w:r>
      <w:r w:rsidRPr="003409C9">
        <w:rPr>
          <w:noProof/>
        </w:rPr>
        <w:t>skaniu zapewnień. Podobnie</w:t>
      </w:r>
      <w:r w:rsidR="003409C9" w:rsidRPr="003409C9">
        <w:rPr>
          <w:noProof/>
        </w:rPr>
        <w:t xml:space="preserve"> w cel</w:t>
      </w:r>
      <w:r w:rsidRPr="003409C9">
        <w:rPr>
          <w:noProof/>
        </w:rPr>
        <w:t>u uniknięcia sytuacji,</w:t>
      </w:r>
      <w:r w:rsidR="003409C9" w:rsidRPr="003409C9">
        <w:rPr>
          <w:noProof/>
        </w:rPr>
        <w:t xml:space="preserve"> w któ</w:t>
      </w:r>
      <w:r w:rsidRPr="003409C9">
        <w:rPr>
          <w:noProof/>
        </w:rPr>
        <w:t>rej przewoźnicy lotniczy wielokrotnie rozpoczynają korzystanie</w:t>
      </w:r>
      <w:r w:rsidR="003409C9" w:rsidRPr="003409C9">
        <w:rPr>
          <w:noProof/>
        </w:rPr>
        <w:t xml:space="preserve"> z rou</w:t>
      </w:r>
      <w:r w:rsidRPr="003409C9">
        <w:rPr>
          <w:noProof/>
        </w:rPr>
        <w:t>tera</w:t>
      </w:r>
      <w:r w:rsidR="003409C9" w:rsidRPr="003409C9">
        <w:rPr>
          <w:noProof/>
        </w:rPr>
        <w:t xml:space="preserve"> i zap</w:t>
      </w:r>
      <w:r w:rsidRPr="003409C9">
        <w:rPr>
          <w:noProof/>
        </w:rPr>
        <w:t>rzestają takiego korzystania,</w:t>
      </w:r>
      <w:r w:rsidR="003409C9" w:rsidRPr="003409C9">
        <w:rPr>
          <w:noProof/>
        </w:rPr>
        <w:t xml:space="preserve"> w prz</w:t>
      </w:r>
      <w:r w:rsidRPr="003409C9">
        <w:rPr>
          <w:noProof/>
        </w:rPr>
        <w:t>ypadku gdy przewoźnik lotniczy rozpoczyna takie dobrowolne korzystanie</w:t>
      </w:r>
      <w:r w:rsidR="003409C9" w:rsidRPr="003409C9">
        <w:rPr>
          <w:noProof/>
        </w:rPr>
        <w:t xml:space="preserve"> z rou</w:t>
      </w:r>
      <w:r w:rsidRPr="003409C9">
        <w:rPr>
          <w:noProof/>
        </w:rPr>
        <w:t>tera, powinien być zobowiązany do kontynuowania takiego korzystania, chyba że istnieją obiektywne powody do zaprzestania korzystania</w:t>
      </w:r>
      <w:r w:rsidR="003409C9" w:rsidRPr="003409C9">
        <w:rPr>
          <w:noProof/>
        </w:rPr>
        <w:t xml:space="preserve"> z rou</w:t>
      </w:r>
      <w:r w:rsidRPr="003409C9">
        <w:rPr>
          <w:noProof/>
        </w:rPr>
        <w:t>tera</w:t>
      </w:r>
      <w:r w:rsidR="003409C9" w:rsidRPr="003409C9">
        <w:rPr>
          <w:noProof/>
        </w:rPr>
        <w:t xml:space="preserve"> w cel</w:t>
      </w:r>
      <w:r w:rsidRPr="003409C9">
        <w:rPr>
          <w:noProof/>
        </w:rPr>
        <w:t>u przekazywania informacji danemu odpowiedzialnemu organowi, na przykład jeżeli okaże się, że informacje nie są przekazywane</w:t>
      </w:r>
      <w:r w:rsidR="003409C9" w:rsidRPr="003409C9">
        <w:rPr>
          <w:noProof/>
        </w:rPr>
        <w:t xml:space="preserve"> w spo</w:t>
      </w:r>
      <w:r w:rsidRPr="003409C9">
        <w:rPr>
          <w:noProof/>
        </w:rPr>
        <w:t>sób zgodny</w:t>
      </w:r>
      <w:r w:rsidR="003409C9" w:rsidRPr="003409C9">
        <w:rPr>
          <w:noProof/>
        </w:rPr>
        <w:t xml:space="preserve"> z pra</w:t>
      </w:r>
      <w:r w:rsidRPr="003409C9">
        <w:rPr>
          <w:noProof/>
        </w:rPr>
        <w:t>wem, bezpieczny, skuteczny</w:t>
      </w:r>
      <w:r w:rsidR="003409C9" w:rsidRPr="003409C9">
        <w:rPr>
          <w:noProof/>
        </w:rPr>
        <w:t xml:space="preserve"> i spr</w:t>
      </w:r>
      <w:r w:rsidRPr="003409C9">
        <w:rPr>
          <w:noProof/>
        </w:rPr>
        <w:t>awny</w:t>
      </w:r>
      <w:r w:rsidR="003409C9" w:rsidRPr="003409C9">
        <w:rPr>
          <w:noProof/>
        </w:rPr>
        <w:t>. W cel</w:t>
      </w:r>
      <w:r w:rsidRPr="003409C9">
        <w:rPr>
          <w:noProof/>
        </w:rPr>
        <w:t>u właściwego stosowania możliwości dobrowolnego korzystania</w:t>
      </w:r>
      <w:r w:rsidR="003409C9" w:rsidRPr="003409C9">
        <w:rPr>
          <w:noProof/>
        </w:rPr>
        <w:t xml:space="preserve"> z rou</w:t>
      </w:r>
      <w:r w:rsidRPr="003409C9">
        <w:rPr>
          <w:noProof/>
        </w:rPr>
        <w:t>tera,</w:t>
      </w:r>
      <w:r w:rsidR="003409C9" w:rsidRPr="003409C9">
        <w:rPr>
          <w:noProof/>
        </w:rPr>
        <w:t xml:space="preserve"> z nal</w:t>
      </w:r>
      <w:r w:rsidRPr="003409C9">
        <w:rPr>
          <w:noProof/>
        </w:rPr>
        <w:t>eżytym uwzględnieniem praw</w:t>
      </w:r>
      <w:r w:rsidR="003409C9" w:rsidRPr="003409C9">
        <w:rPr>
          <w:noProof/>
        </w:rPr>
        <w:t xml:space="preserve"> i int</w:t>
      </w:r>
      <w:r w:rsidRPr="003409C9">
        <w:rPr>
          <w:noProof/>
        </w:rPr>
        <w:t>eresów wszystkich zainteresowanych stron, należy ustanowić niezbędne przepisy dotyczące konsultacji</w:t>
      </w:r>
      <w:r w:rsidR="003409C9" w:rsidRPr="003409C9">
        <w:rPr>
          <w:noProof/>
        </w:rPr>
        <w:t xml:space="preserve"> i prz</w:t>
      </w:r>
      <w:r w:rsidRPr="003409C9">
        <w:rPr>
          <w:noProof/>
        </w:rPr>
        <w:t>ekazywania informacji. Wszelkie takie dobrowolne korzystanie</w:t>
      </w:r>
      <w:r w:rsidR="003409C9" w:rsidRPr="003409C9">
        <w:rPr>
          <w:noProof/>
        </w:rPr>
        <w:t xml:space="preserve"> z rou</w:t>
      </w:r>
      <w:r w:rsidRPr="003409C9">
        <w:rPr>
          <w:noProof/>
        </w:rPr>
        <w:t>tera</w:t>
      </w:r>
      <w:r w:rsidR="003409C9" w:rsidRPr="003409C9">
        <w:rPr>
          <w:noProof/>
        </w:rPr>
        <w:t xml:space="preserve"> w ram</w:t>
      </w:r>
      <w:r w:rsidRPr="003409C9">
        <w:rPr>
          <w:noProof/>
        </w:rPr>
        <w:t>ach wykonywania dyrektywy 2004/82/WE zgodnie</w:t>
      </w:r>
      <w:r w:rsidR="003409C9" w:rsidRPr="003409C9">
        <w:rPr>
          <w:noProof/>
        </w:rPr>
        <w:t xml:space="preserve"> z nin</w:t>
      </w:r>
      <w:r w:rsidRPr="003409C9">
        <w:rPr>
          <w:noProof/>
        </w:rPr>
        <w:t>iejszym rozporządzeniem nie powinno być rozumiane jako naruszanie</w:t>
      </w:r>
      <w:r w:rsidR="003409C9" w:rsidRPr="003409C9">
        <w:rPr>
          <w:noProof/>
        </w:rPr>
        <w:t xml:space="preserve"> w jak</w:t>
      </w:r>
      <w:r w:rsidRPr="003409C9">
        <w:rPr>
          <w:noProof/>
        </w:rPr>
        <w:t>ikolwiek sposób obowiązków przewoźników lotniczych</w:t>
      </w:r>
      <w:r w:rsidR="003409C9" w:rsidRPr="003409C9">
        <w:rPr>
          <w:noProof/>
        </w:rPr>
        <w:t xml:space="preserve"> i pań</w:t>
      </w:r>
      <w:r w:rsidRPr="003409C9">
        <w:rPr>
          <w:noProof/>
        </w:rPr>
        <w:t xml:space="preserve">stw członkowskich na podstawie tej dyrektywy. </w:t>
      </w:r>
    </w:p>
    <w:p w:rsidR="003B1C87" w:rsidRPr="003409C9" w:rsidRDefault="009475BC" w:rsidP="009475BC">
      <w:pPr>
        <w:pStyle w:val="ManualConsidrant"/>
        <w:rPr>
          <w:noProof/>
        </w:rPr>
      </w:pPr>
      <w:bookmarkStart w:id="17" w:name="_Hlk121147451"/>
      <w:r w:rsidRPr="003409C9">
        <w:rPr>
          <w:noProof/>
        </w:rPr>
        <w:t>(22)</w:t>
      </w:r>
      <w:r w:rsidRPr="003409C9">
        <w:rPr>
          <w:noProof/>
        </w:rPr>
        <w:tab/>
        <w:t>Router, który ma zostać opracowany</w:t>
      </w:r>
      <w:r w:rsidR="003409C9" w:rsidRPr="003409C9">
        <w:rPr>
          <w:noProof/>
        </w:rPr>
        <w:t xml:space="preserve"> i obs</w:t>
      </w:r>
      <w:r w:rsidRPr="003409C9">
        <w:rPr>
          <w:noProof/>
        </w:rPr>
        <w:t>ługiwany na podstawie niniejszego rozporządzenia, powinien ograniczyć</w:t>
      </w:r>
      <w:r w:rsidR="003409C9" w:rsidRPr="003409C9">
        <w:rPr>
          <w:noProof/>
        </w:rPr>
        <w:t xml:space="preserve"> i upr</w:t>
      </w:r>
      <w:r w:rsidRPr="003409C9">
        <w:rPr>
          <w:noProof/>
        </w:rPr>
        <w:t>ościć podłączenia techniczne potrzebne do przekazywania danych API</w:t>
      </w:r>
      <w:r w:rsidR="003409C9" w:rsidRPr="003409C9">
        <w:rPr>
          <w:noProof/>
        </w:rPr>
        <w:t xml:space="preserve"> i ogr</w:t>
      </w:r>
      <w:r w:rsidRPr="003409C9">
        <w:rPr>
          <w:noProof/>
        </w:rPr>
        <w:t>aniczyć je do jednego podłączenia na przewoźnika lotniczego</w:t>
      </w:r>
      <w:r w:rsidR="003409C9" w:rsidRPr="003409C9">
        <w:rPr>
          <w:noProof/>
        </w:rPr>
        <w:t xml:space="preserve"> i jed</w:t>
      </w:r>
      <w:r w:rsidRPr="003409C9">
        <w:rPr>
          <w:noProof/>
        </w:rPr>
        <w:t>ną właściwą służbę graniczną</w:t>
      </w:r>
      <w:r w:rsidR="003409C9" w:rsidRPr="003409C9">
        <w:rPr>
          <w:noProof/>
        </w:rPr>
        <w:t>. W zwi</w:t>
      </w:r>
      <w:r w:rsidRPr="003409C9">
        <w:rPr>
          <w:noProof/>
        </w:rPr>
        <w:t>ązku</w:t>
      </w:r>
      <w:r w:rsidR="003409C9" w:rsidRPr="003409C9">
        <w:rPr>
          <w:noProof/>
        </w:rPr>
        <w:t xml:space="preserve"> z tym w nin</w:t>
      </w:r>
      <w:r w:rsidRPr="003409C9">
        <w:rPr>
          <w:noProof/>
        </w:rPr>
        <w:t>iejszym rozporządzeniu przewidziano obowiązek ustanowienia przez właściwe służby graniczne</w:t>
      </w:r>
      <w:r w:rsidR="003409C9" w:rsidRPr="003409C9">
        <w:rPr>
          <w:noProof/>
        </w:rPr>
        <w:t xml:space="preserve"> i prz</w:t>
      </w:r>
      <w:r w:rsidRPr="003409C9">
        <w:rPr>
          <w:noProof/>
        </w:rPr>
        <w:t>ewoźników lotniczych takiego podłączenia do routera</w:t>
      </w:r>
      <w:r w:rsidR="003409C9" w:rsidRPr="003409C9">
        <w:rPr>
          <w:noProof/>
        </w:rPr>
        <w:t xml:space="preserve"> i osi</w:t>
      </w:r>
      <w:r w:rsidRPr="003409C9">
        <w:rPr>
          <w:noProof/>
        </w:rPr>
        <w:t>ągnięcia wymaganej integracji</w:t>
      </w:r>
      <w:r w:rsidR="003409C9" w:rsidRPr="003409C9">
        <w:rPr>
          <w:noProof/>
        </w:rPr>
        <w:t xml:space="preserve"> z nim</w:t>
      </w:r>
      <w:r w:rsidRPr="003409C9">
        <w:rPr>
          <w:noProof/>
        </w:rPr>
        <w:t>, aby zapewnić prawidłowe funkcjonowanie systemu przekazywania danych API ustanowionego niniejszym rozporządzeniem. Aby zapewnić skuteczność tych obowiązków</w:t>
      </w:r>
      <w:r w:rsidR="003409C9" w:rsidRPr="003409C9">
        <w:rPr>
          <w:noProof/>
        </w:rPr>
        <w:t xml:space="preserve"> i pra</w:t>
      </w:r>
      <w:r w:rsidRPr="003409C9">
        <w:rPr>
          <w:noProof/>
        </w:rPr>
        <w:t>widłowe funkcjonowanie systemu ustanowionego niniejszym rozporządzeniem, obowiązki te należy uzupełnić poprzez określenie szczegółowych zasad.</w:t>
      </w:r>
      <w:r w:rsidR="003B5A1D" w:rsidRPr="003409C9">
        <w:rPr>
          <w:noProof/>
        </w:rPr>
        <w:t xml:space="preserve"> </w:t>
      </w:r>
    </w:p>
    <w:p w:rsidR="002B73E2" w:rsidRPr="003409C9" w:rsidRDefault="009475BC" w:rsidP="009475BC">
      <w:pPr>
        <w:pStyle w:val="ManualConsidrant"/>
        <w:rPr>
          <w:noProof/>
        </w:rPr>
      </w:pPr>
      <w:r w:rsidRPr="003409C9">
        <w:rPr>
          <w:noProof/>
        </w:rPr>
        <w:t>(23)</w:t>
      </w:r>
      <w:r w:rsidRPr="003409C9">
        <w:rPr>
          <w:noProof/>
        </w:rPr>
        <w:tab/>
        <w:t>Mając na uwadze interesy Unii, koszty ponoszone przez eu-LISA</w:t>
      </w:r>
      <w:r w:rsidR="003409C9" w:rsidRPr="003409C9">
        <w:rPr>
          <w:noProof/>
        </w:rPr>
        <w:t xml:space="preserve"> w zwi</w:t>
      </w:r>
      <w:r w:rsidRPr="003409C9">
        <w:rPr>
          <w:noProof/>
        </w:rPr>
        <w:t>ązku</w:t>
      </w:r>
      <w:r w:rsidR="003409C9" w:rsidRPr="003409C9">
        <w:rPr>
          <w:noProof/>
        </w:rPr>
        <w:t xml:space="preserve"> z rea</w:t>
      </w:r>
      <w:r w:rsidRPr="003409C9">
        <w:rPr>
          <w:noProof/>
        </w:rPr>
        <w:t>lizacją zadań dotyczących routera powierzonych jej</w:t>
      </w:r>
      <w:r w:rsidR="003409C9" w:rsidRPr="003409C9">
        <w:rPr>
          <w:noProof/>
        </w:rPr>
        <w:t xml:space="preserve"> w ram</w:t>
      </w:r>
      <w:r w:rsidRPr="003409C9">
        <w:rPr>
          <w:noProof/>
        </w:rPr>
        <w:t>ach niniejszego rozporządzenia</w:t>
      </w:r>
      <w:r w:rsidR="003409C9" w:rsidRPr="003409C9">
        <w:rPr>
          <w:noProof/>
        </w:rPr>
        <w:t xml:space="preserve"> i roz</w:t>
      </w:r>
      <w:r w:rsidRPr="003409C9">
        <w:rPr>
          <w:noProof/>
        </w:rPr>
        <w:t>porządzenia (UE) [w sprawie egzekwowania przepisów dotyczących API] należy pokrywać</w:t>
      </w:r>
      <w:r w:rsidR="003409C9" w:rsidRPr="003409C9">
        <w:rPr>
          <w:noProof/>
        </w:rPr>
        <w:t xml:space="preserve"> z bud</w:t>
      </w:r>
      <w:r w:rsidRPr="003409C9">
        <w:rPr>
          <w:noProof/>
        </w:rPr>
        <w:t>żetu Unii. Ta sama zasada powinna dotyczyć odpowiednich kosztów poniesionych przez państwa członkowskie</w:t>
      </w:r>
      <w:r w:rsidR="003409C9" w:rsidRPr="003409C9">
        <w:rPr>
          <w:noProof/>
        </w:rPr>
        <w:t xml:space="preserve"> w zwi</w:t>
      </w:r>
      <w:r w:rsidRPr="003409C9">
        <w:rPr>
          <w:noProof/>
        </w:rPr>
        <w:t>ązku</w:t>
      </w:r>
      <w:r w:rsidR="003409C9" w:rsidRPr="003409C9">
        <w:rPr>
          <w:noProof/>
        </w:rPr>
        <w:t xml:space="preserve"> z ich</w:t>
      </w:r>
      <w:r w:rsidRPr="003409C9">
        <w:rPr>
          <w:noProof/>
        </w:rPr>
        <w:t xml:space="preserve"> podłączeniem do routera</w:t>
      </w:r>
      <w:r w:rsidR="003409C9" w:rsidRPr="003409C9">
        <w:rPr>
          <w:noProof/>
        </w:rPr>
        <w:t xml:space="preserve"> i int</w:t>
      </w:r>
      <w:r w:rsidRPr="003409C9">
        <w:rPr>
          <w:noProof/>
        </w:rPr>
        <w:t>egracją</w:t>
      </w:r>
      <w:r w:rsidR="003409C9" w:rsidRPr="003409C9">
        <w:rPr>
          <w:noProof/>
        </w:rPr>
        <w:t xml:space="preserve"> z rou</w:t>
      </w:r>
      <w:r w:rsidRPr="003409C9">
        <w:rPr>
          <w:noProof/>
        </w:rPr>
        <w:t>terem, zgodnie</w:t>
      </w:r>
      <w:r w:rsidR="003409C9" w:rsidRPr="003409C9">
        <w:rPr>
          <w:noProof/>
        </w:rPr>
        <w:t xml:space="preserve"> z wym</w:t>
      </w:r>
      <w:r w:rsidRPr="003409C9">
        <w:rPr>
          <w:noProof/>
        </w:rPr>
        <w:t>ogami niniejszego rozporządzenia</w:t>
      </w:r>
      <w:r w:rsidR="003409C9" w:rsidRPr="003409C9">
        <w:rPr>
          <w:noProof/>
        </w:rPr>
        <w:t xml:space="preserve"> i odp</w:t>
      </w:r>
      <w:r w:rsidRPr="003409C9">
        <w:rPr>
          <w:noProof/>
        </w:rPr>
        <w:t>owiednich przepisów, przy czym mają tu zastosowanie określone wyjątki. Koszty poniesione</w:t>
      </w:r>
      <w:r w:rsidR="003409C9" w:rsidRPr="003409C9">
        <w:rPr>
          <w:noProof/>
        </w:rPr>
        <w:t xml:space="preserve"> w zwi</w:t>
      </w:r>
      <w:r w:rsidRPr="003409C9">
        <w:rPr>
          <w:noProof/>
        </w:rPr>
        <w:t>ązku</w:t>
      </w:r>
      <w:r w:rsidR="003409C9" w:rsidRPr="003409C9">
        <w:rPr>
          <w:noProof/>
        </w:rPr>
        <w:t xml:space="preserve"> z tak</w:t>
      </w:r>
      <w:r w:rsidRPr="003409C9">
        <w:rPr>
          <w:noProof/>
        </w:rPr>
        <w:t xml:space="preserve">imi wyjątkami powinny pokrywać poszczególne zainteresowane państwa członkowskie. </w:t>
      </w:r>
      <w:bookmarkEnd w:id="17"/>
    </w:p>
    <w:p w:rsidR="002022F4" w:rsidRPr="003409C9" w:rsidRDefault="009475BC" w:rsidP="009475BC">
      <w:pPr>
        <w:pStyle w:val="ManualConsidrant"/>
        <w:rPr>
          <w:noProof/>
        </w:rPr>
      </w:pPr>
      <w:r w:rsidRPr="003409C9">
        <w:rPr>
          <w:noProof/>
        </w:rPr>
        <w:t>(24)</w:t>
      </w:r>
      <w:r w:rsidRPr="003409C9">
        <w:rPr>
          <w:noProof/>
        </w:rPr>
        <w:tab/>
        <w:t>Nie można wykluczyć, że ze względu na szczególne okoliczności</w:t>
      </w:r>
      <w:r w:rsidR="003409C9" w:rsidRPr="003409C9">
        <w:rPr>
          <w:noProof/>
        </w:rPr>
        <w:t xml:space="preserve"> i pom</w:t>
      </w:r>
      <w:r w:rsidRPr="003409C9">
        <w:rPr>
          <w:noProof/>
        </w:rPr>
        <w:t>imo wszystkich uzasadnionych środków wprowadzonych zgodnie</w:t>
      </w:r>
      <w:r w:rsidR="003409C9" w:rsidRPr="003409C9">
        <w:rPr>
          <w:noProof/>
        </w:rPr>
        <w:t xml:space="preserve"> z nin</w:t>
      </w:r>
      <w:r w:rsidRPr="003409C9">
        <w:rPr>
          <w:noProof/>
        </w:rPr>
        <w:t>iejszym rozporządzeniem router, lub też systemy lub infrastruktura zapewniające połączenie właściwych służb granicznych</w:t>
      </w:r>
      <w:r w:rsidR="003409C9" w:rsidRPr="003409C9">
        <w:rPr>
          <w:noProof/>
        </w:rPr>
        <w:t xml:space="preserve"> i prz</w:t>
      </w:r>
      <w:r w:rsidRPr="003409C9">
        <w:rPr>
          <w:noProof/>
        </w:rPr>
        <w:t>ewoźników lotniczych</w:t>
      </w:r>
      <w:r w:rsidR="003409C9" w:rsidRPr="003409C9">
        <w:rPr>
          <w:noProof/>
        </w:rPr>
        <w:t xml:space="preserve"> z rou</w:t>
      </w:r>
      <w:r w:rsidRPr="003409C9">
        <w:rPr>
          <w:noProof/>
        </w:rPr>
        <w:t>terem będą działały nieprawidłowo, co sprawi, że korzystanie</w:t>
      </w:r>
      <w:r w:rsidR="003409C9" w:rsidRPr="003409C9">
        <w:rPr>
          <w:noProof/>
        </w:rPr>
        <w:t xml:space="preserve"> z rou</w:t>
      </w:r>
      <w:r w:rsidRPr="003409C9">
        <w:rPr>
          <w:noProof/>
        </w:rPr>
        <w:t>tera do przekazywania danych API będzie technicznie niemożliwe. Ze względu na niedostępność routera</w:t>
      </w:r>
      <w:r w:rsidR="003409C9" w:rsidRPr="003409C9">
        <w:rPr>
          <w:noProof/>
        </w:rPr>
        <w:t xml:space="preserve"> i fak</w:t>
      </w:r>
      <w:r w:rsidRPr="003409C9">
        <w:rPr>
          <w:noProof/>
        </w:rPr>
        <w:t>t, że zasadniczo przewoźnicy lotniczy nie będą mogli</w:t>
      </w:r>
      <w:r w:rsidR="003409C9" w:rsidRPr="003409C9">
        <w:rPr>
          <w:noProof/>
        </w:rPr>
        <w:t xml:space="preserve"> w inn</w:t>
      </w:r>
      <w:r w:rsidRPr="003409C9">
        <w:rPr>
          <w:noProof/>
        </w:rPr>
        <w:t>y zgodny</w:t>
      </w:r>
      <w:r w:rsidR="003409C9" w:rsidRPr="003409C9">
        <w:rPr>
          <w:noProof/>
        </w:rPr>
        <w:t xml:space="preserve"> z pra</w:t>
      </w:r>
      <w:r w:rsidRPr="003409C9">
        <w:rPr>
          <w:noProof/>
        </w:rPr>
        <w:t>wem, bezpieczny, skuteczny</w:t>
      </w:r>
      <w:r w:rsidR="003409C9" w:rsidRPr="003409C9">
        <w:rPr>
          <w:noProof/>
        </w:rPr>
        <w:t xml:space="preserve"> i spr</w:t>
      </w:r>
      <w:r w:rsidRPr="003409C9">
        <w:rPr>
          <w:noProof/>
        </w:rPr>
        <w:t>awny sposób przekazywać danych API, których nie można przekazać ze względu na awarię routera, obowiązek przewoźników lotniczych dotyczący przekazywania tych danych API do routera nie powinien mieć zastosowania przez cały okres,</w:t>
      </w:r>
      <w:r w:rsidR="003409C9" w:rsidRPr="003409C9">
        <w:rPr>
          <w:noProof/>
        </w:rPr>
        <w:t xml:space="preserve"> w któ</w:t>
      </w:r>
      <w:r w:rsidRPr="003409C9">
        <w:rPr>
          <w:noProof/>
        </w:rPr>
        <w:t>rym takie przekazywanie danych jest technicznie niemożliwe</w:t>
      </w:r>
      <w:r w:rsidR="003409C9" w:rsidRPr="003409C9">
        <w:rPr>
          <w:noProof/>
        </w:rPr>
        <w:t>. W cel</w:t>
      </w:r>
      <w:r w:rsidRPr="003409C9">
        <w:rPr>
          <w:noProof/>
        </w:rPr>
        <w:t>u zminimalizowania czasu trwania</w:t>
      </w:r>
      <w:r w:rsidR="003409C9" w:rsidRPr="003409C9">
        <w:rPr>
          <w:noProof/>
        </w:rPr>
        <w:t xml:space="preserve"> i neg</w:t>
      </w:r>
      <w:r w:rsidRPr="003409C9">
        <w:rPr>
          <w:noProof/>
        </w:rPr>
        <w:t>atywnych konsekwencji, zainteresowane strony powinny</w:t>
      </w:r>
      <w:r w:rsidR="003409C9" w:rsidRPr="003409C9">
        <w:rPr>
          <w:noProof/>
        </w:rPr>
        <w:t xml:space="preserve"> w tak</w:t>
      </w:r>
      <w:r w:rsidRPr="003409C9">
        <w:rPr>
          <w:noProof/>
        </w:rPr>
        <w:t>im przypadku niezwłocznie poinformować się wzajemnie</w:t>
      </w:r>
      <w:r w:rsidR="003409C9" w:rsidRPr="003409C9">
        <w:rPr>
          <w:noProof/>
        </w:rPr>
        <w:t xml:space="preserve"> i nat</w:t>
      </w:r>
      <w:r w:rsidRPr="003409C9">
        <w:rPr>
          <w:noProof/>
        </w:rPr>
        <w:t>ychmiast wprowadzić wszelkie niezbędne środki</w:t>
      </w:r>
      <w:r w:rsidR="003409C9" w:rsidRPr="003409C9">
        <w:rPr>
          <w:noProof/>
        </w:rPr>
        <w:t xml:space="preserve"> w cel</w:t>
      </w:r>
      <w:r w:rsidRPr="003409C9">
        <w:rPr>
          <w:noProof/>
        </w:rPr>
        <w:t>u rozwiązania problemu braku technicznej możliwości przekazywania danych API. Ponieważ dane API dotyczące lotów, które zostały już wykonane, nie są użyteczne do celów odprawy granicznej,</w:t>
      </w:r>
      <w:r w:rsidR="003409C9" w:rsidRPr="003409C9">
        <w:rPr>
          <w:noProof/>
        </w:rPr>
        <w:t xml:space="preserve"> w tak</w:t>
      </w:r>
      <w:r w:rsidRPr="003409C9">
        <w:rPr>
          <w:noProof/>
        </w:rPr>
        <w:t>im przypadku wymaganie od przewoźników lotniczych gromadzenia</w:t>
      </w:r>
      <w:r w:rsidR="003409C9" w:rsidRPr="003409C9">
        <w:rPr>
          <w:noProof/>
        </w:rPr>
        <w:t xml:space="preserve"> i prz</w:t>
      </w:r>
      <w:r w:rsidRPr="003409C9">
        <w:rPr>
          <w:noProof/>
        </w:rPr>
        <w:t>echowywania takich danych API jest bezzasadne. Ustalenie to powinno pozostawać bez uszczerbku dla obowiązków wszystkich zainteresowanych stron wynikających</w:t>
      </w:r>
      <w:r w:rsidR="003409C9" w:rsidRPr="003409C9">
        <w:rPr>
          <w:noProof/>
        </w:rPr>
        <w:t xml:space="preserve"> z nin</w:t>
      </w:r>
      <w:r w:rsidRPr="003409C9">
        <w:rPr>
          <w:noProof/>
        </w:rPr>
        <w:t>iejszego rozporządzenia, dotyczących zapewnienia prawidłowego funkcjonowania routera oraz ich odpowiednich systemów</w:t>
      </w:r>
      <w:r w:rsidR="003409C9" w:rsidRPr="003409C9">
        <w:rPr>
          <w:noProof/>
        </w:rPr>
        <w:t xml:space="preserve"> i ele</w:t>
      </w:r>
      <w:r w:rsidRPr="003409C9">
        <w:rPr>
          <w:noProof/>
        </w:rPr>
        <w:t>mentów infrastruktury,</w:t>
      </w:r>
      <w:r w:rsidR="003409C9" w:rsidRPr="003409C9">
        <w:rPr>
          <w:noProof/>
        </w:rPr>
        <w:t xml:space="preserve"> a tak</w:t>
      </w:r>
      <w:r w:rsidRPr="003409C9">
        <w:rPr>
          <w:noProof/>
        </w:rPr>
        <w:t>że dla faktu, że przewoźnicy lotniczy podlegają karom</w:t>
      </w:r>
      <w:r w:rsidR="003409C9" w:rsidRPr="003409C9">
        <w:rPr>
          <w:noProof/>
        </w:rPr>
        <w:t xml:space="preserve"> w prz</w:t>
      </w:r>
      <w:r w:rsidRPr="003409C9">
        <w:rPr>
          <w:noProof/>
        </w:rPr>
        <w:t>ypadku niewywiązania się</w:t>
      </w:r>
      <w:r w:rsidR="003409C9" w:rsidRPr="003409C9">
        <w:rPr>
          <w:noProof/>
        </w:rPr>
        <w:t xml:space="preserve"> z tyc</w:t>
      </w:r>
      <w:r w:rsidRPr="003409C9">
        <w:rPr>
          <w:noProof/>
        </w:rPr>
        <w:t>h obowiązków,</w:t>
      </w:r>
      <w:r w:rsidR="003409C9" w:rsidRPr="003409C9">
        <w:rPr>
          <w:noProof/>
        </w:rPr>
        <w:t xml:space="preserve"> w tym w prz</w:t>
      </w:r>
      <w:r w:rsidRPr="003409C9">
        <w:rPr>
          <w:noProof/>
        </w:rPr>
        <w:t>ypadku, gdy powołują się na to ustalenie</w:t>
      </w:r>
      <w:r w:rsidR="003409C9" w:rsidRPr="003409C9">
        <w:rPr>
          <w:noProof/>
        </w:rPr>
        <w:t xml:space="preserve"> w syt</w:t>
      </w:r>
      <w:r w:rsidRPr="003409C9">
        <w:rPr>
          <w:noProof/>
        </w:rPr>
        <w:t>uacji, gdy nie jest to uzasadnione. Aby zniechęcić do takich nadużyć oraz ułatwić sprawowanie nadzoru</w:t>
      </w:r>
      <w:r w:rsidR="003409C9" w:rsidRPr="003409C9">
        <w:rPr>
          <w:noProof/>
        </w:rPr>
        <w:t xml:space="preserve"> i w sto</w:t>
      </w:r>
      <w:r w:rsidRPr="003409C9">
        <w:rPr>
          <w:noProof/>
        </w:rPr>
        <w:t>sownych przypadkach nakładanie kar, przewoźnicy lotniczy, którzy powołują się na to ustalenie</w:t>
      </w:r>
      <w:r w:rsidR="003409C9" w:rsidRPr="003409C9">
        <w:rPr>
          <w:noProof/>
        </w:rPr>
        <w:t xml:space="preserve"> w zwi</w:t>
      </w:r>
      <w:r w:rsidRPr="003409C9">
        <w:rPr>
          <w:noProof/>
        </w:rPr>
        <w:t>ązku</w:t>
      </w:r>
      <w:r w:rsidR="003409C9" w:rsidRPr="003409C9">
        <w:rPr>
          <w:noProof/>
        </w:rPr>
        <w:t xml:space="preserve"> z awa</w:t>
      </w:r>
      <w:r w:rsidRPr="003409C9">
        <w:rPr>
          <w:noProof/>
        </w:rPr>
        <w:t>rią ich systemu</w:t>
      </w:r>
      <w:r w:rsidR="003409C9" w:rsidRPr="003409C9">
        <w:rPr>
          <w:noProof/>
        </w:rPr>
        <w:t xml:space="preserve"> i inf</w:t>
      </w:r>
      <w:r w:rsidRPr="003409C9">
        <w:rPr>
          <w:noProof/>
        </w:rPr>
        <w:t>rastruktury, powinni zgłaszać ten fakt właściwemu organowi nadzorczemu.</w:t>
      </w:r>
    </w:p>
    <w:p w:rsidR="003B1C87" w:rsidRPr="003409C9" w:rsidRDefault="009475BC" w:rsidP="009475BC">
      <w:pPr>
        <w:pStyle w:val="ManualConsidrant"/>
        <w:rPr>
          <w:noProof/>
        </w:rPr>
      </w:pPr>
      <w:r w:rsidRPr="003409C9">
        <w:rPr>
          <w:noProof/>
        </w:rPr>
        <w:t>(25)</w:t>
      </w:r>
      <w:r w:rsidRPr="003409C9">
        <w:rPr>
          <w:noProof/>
        </w:rPr>
        <w:tab/>
        <w:t>W celu zapewnienia przestrzegania podstawowego prawa do ochrony danych osobowych</w:t>
      </w:r>
      <w:r w:rsidR="003409C9" w:rsidRPr="003409C9">
        <w:rPr>
          <w:noProof/>
        </w:rPr>
        <w:t xml:space="preserve"> w nin</w:t>
      </w:r>
      <w:r w:rsidRPr="003409C9">
        <w:rPr>
          <w:noProof/>
        </w:rPr>
        <w:t>iejszym rozporządzeniu należy określić administratora</w:t>
      </w:r>
      <w:r w:rsidR="003409C9" w:rsidRPr="003409C9">
        <w:rPr>
          <w:noProof/>
        </w:rPr>
        <w:t xml:space="preserve"> i pod</w:t>
      </w:r>
      <w:r w:rsidRPr="003409C9">
        <w:rPr>
          <w:noProof/>
        </w:rPr>
        <w:t>miot przetwarzający oraz przepisy dotyczące kontroli</w:t>
      </w:r>
      <w:r w:rsidR="003409C9" w:rsidRPr="003409C9">
        <w:rPr>
          <w:noProof/>
        </w:rPr>
        <w:t>. W cel</w:t>
      </w:r>
      <w:r w:rsidRPr="003409C9">
        <w:rPr>
          <w:noProof/>
        </w:rPr>
        <w:t>u zapewnienia skutecznego monitorowania, odpowiedniej ochrony danych osobowych</w:t>
      </w:r>
      <w:r w:rsidR="003409C9" w:rsidRPr="003409C9">
        <w:rPr>
          <w:noProof/>
        </w:rPr>
        <w:t xml:space="preserve"> i ogr</w:t>
      </w:r>
      <w:r w:rsidRPr="003409C9">
        <w:rPr>
          <w:noProof/>
        </w:rPr>
        <w:t>aniczenia do minimum ryzyka dla bezpieczeństwa należy również ustanowić przepisy dotyczące rejestrowania, bezpieczeństwa przetwarzania</w:t>
      </w:r>
      <w:r w:rsidR="003409C9" w:rsidRPr="003409C9">
        <w:rPr>
          <w:noProof/>
        </w:rPr>
        <w:t xml:space="preserve"> i mon</w:t>
      </w:r>
      <w:r w:rsidRPr="003409C9">
        <w:rPr>
          <w:noProof/>
        </w:rPr>
        <w:t>itorowania własnej działalności. Przepisy te,</w:t>
      </w:r>
      <w:r w:rsidR="003409C9" w:rsidRPr="003409C9">
        <w:rPr>
          <w:noProof/>
        </w:rPr>
        <w:t xml:space="preserve"> w prz</w:t>
      </w:r>
      <w:r w:rsidRPr="003409C9">
        <w:rPr>
          <w:noProof/>
        </w:rPr>
        <w:t>ypadku gdy dotyczą przetwarzania danych osobowych, należy traktować jako uzupełnienie ogólnie obowiązujących aktów prawnych UE dotyczących ochrony danych osobowych,</w:t>
      </w:r>
      <w:r w:rsidR="003409C9" w:rsidRPr="003409C9">
        <w:rPr>
          <w:noProof/>
        </w:rPr>
        <w:t xml:space="preserve"> w szc</w:t>
      </w:r>
      <w:r w:rsidRPr="003409C9">
        <w:rPr>
          <w:noProof/>
        </w:rPr>
        <w:t>zególności rozporządzenia Parlamentu Europejskiego</w:t>
      </w:r>
      <w:r w:rsidR="003409C9" w:rsidRPr="003409C9">
        <w:rPr>
          <w:noProof/>
        </w:rPr>
        <w:t xml:space="preserve"> i Rad</w:t>
      </w:r>
      <w:r w:rsidRPr="003409C9">
        <w:rPr>
          <w:noProof/>
        </w:rPr>
        <w:t>y (UE) 2016/679</w:t>
      </w:r>
      <w:r w:rsidRPr="003409C9">
        <w:rPr>
          <w:rStyle w:val="FootnoteReference0"/>
          <w:noProof/>
        </w:rPr>
        <w:footnoteReference w:id="35"/>
      </w:r>
      <w:r w:rsidR="003409C9" w:rsidRPr="003409C9">
        <w:rPr>
          <w:noProof/>
        </w:rPr>
        <w:t xml:space="preserve"> i roz</w:t>
      </w:r>
      <w:r w:rsidRPr="003409C9">
        <w:rPr>
          <w:noProof/>
        </w:rPr>
        <w:t>porządzenia Parlamentu Europejskiego</w:t>
      </w:r>
      <w:r w:rsidR="003409C9" w:rsidRPr="003409C9">
        <w:rPr>
          <w:noProof/>
        </w:rPr>
        <w:t xml:space="preserve"> i Rad</w:t>
      </w:r>
      <w:r w:rsidRPr="003409C9">
        <w:rPr>
          <w:noProof/>
        </w:rPr>
        <w:t>y (UE) 2018/1725</w:t>
      </w:r>
      <w:r w:rsidRPr="003409C9">
        <w:rPr>
          <w:rStyle w:val="FootnoteReference0"/>
          <w:noProof/>
        </w:rPr>
        <w:footnoteReference w:id="36"/>
      </w:r>
      <w:r w:rsidRPr="003409C9">
        <w:rPr>
          <w:noProof/>
        </w:rPr>
        <w:t>. Niniejsze rozporządzenie powinno pozostać bez wpływu na te akty, które mają również zastosowanie do przetwarzania danych osobowych na podstawie niniejszego rozporządzenia zgodnie</w:t>
      </w:r>
      <w:r w:rsidR="003409C9" w:rsidRPr="003409C9">
        <w:rPr>
          <w:noProof/>
        </w:rPr>
        <w:t xml:space="preserve"> z jeg</w:t>
      </w:r>
      <w:r w:rsidRPr="003409C9">
        <w:rPr>
          <w:noProof/>
        </w:rPr>
        <w:t xml:space="preserve">o przepisami. </w:t>
      </w:r>
    </w:p>
    <w:p w:rsidR="003B1C87" w:rsidRPr="003409C9" w:rsidRDefault="009475BC" w:rsidP="009475BC">
      <w:pPr>
        <w:pStyle w:val="ManualConsidrant"/>
        <w:rPr>
          <w:noProof/>
        </w:rPr>
      </w:pPr>
      <w:r w:rsidRPr="003409C9">
        <w:rPr>
          <w:noProof/>
        </w:rPr>
        <w:t>(26)</w:t>
      </w:r>
      <w:r w:rsidRPr="003409C9">
        <w:rPr>
          <w:noProof/>
        </w:rPr>
        <w:tab/>
        <w:t>W szczególności celem operacji przetwarzania danych na podstawie niniejszego rozporządzenia,</w:t>
      </w:r>
      <w:r w:rsidR="003409C9" w:rsidRPr="003409C9">
        <w:rPr>
          <w:noProof/>
        </w:rPr>
        <w:t xml:space="preserve"> a mia</w:t>
      </w:r>
      <w:r w:rsidRPr="003409C9">
        <w:rPr>
          <w:noProof/>
        </w:rPr>
        <w:t>nowicie przekazywania danych API przez przewoźników lotniczych za pośrednictwem routera właściwym służbom granicznym państw członkowskich, jest wspieranie tych organów</w:t>
      </w:r>
      <w:r w:rsidR="003409C9" w:rsidRPr="003409C9">
        <w:rPr>
          <w:noProof/>
        </w:rPr>
        <w:t xml:space="preserve"> w wyk</w:t>
      </w:r>
      <w:r w:rsidRPr="003409C9">
        <w:rPr>
          <w:noProof/>
        </w:rPr>
        <w:t>onywaniu ich obowiązków</w:t>
      </w:r>
      <w:r w:rsidR="003409C9" w:rsidRPr="003409C9">
        <w:rPr>
          <w:noProof/>
        </w:rPr>
        <w:t xml:space="preserve"> w zak</w:t>
      </w:r>
      <w:r w:rsidRPr="003409C9">
        <w:rPr>
          <w:noProof/>
        </w:rPr>
        <w:t>resie zarządzania granicami oraz zadań związanych ze zwalczaniem nielegalnej imigracji</w:t>
      </w:r>
      <w:r w:rsidR="003409C9" w:rsidRPr="003409C9">
        <w:rPr>
          <w:noProof/>
        </w:rPr>
        <w:t>. W zwi</w:t>
      </w:r>
      <w:r w:rsidRPr="003409C9">
        <w:rPr>
          <w:noProof/>
        </w:rPr>
        <w:t>ązku</w:t>
      </w:r>
      <w:r w:rsidR="003409C9" w:rsidRPr="003409C9">
        <w:rPr>
          <w:noProof/>
        </w:rPr>
        <w:t xml:space="preserve"> z tym</w:t>
      </w:r>
      <w:r w:rsidRPr="003409C9">
        <w:rPr>
          <w:noProof/>
        </w:rPr>
        <w:t xml:space="preserve"> właściwe służby graniczne otrzymujące dane API powinny pełnić rolę administratora na potrzeby przekazywania danych API stanowiących dane osobowe za pośrednictwem routera oraz przechowywania tych danych</w:t>
      </w:r>
      <w:r w:rsidR="003409C9" w:rsidRPr="003409C9">
        <w:rPr>
          <w:noProof/>
        </w:rPr>
        <w:t xml:space="preserve"> w rou</w:t>
      </w:r>
      <w:r w:rsidRPr="003409C9">
        <w:rPr>
          <w:noProof/>
        </w:rPr>
        <w:t>terze</w:t>
      </w:r>
      <w:r w:rsidR="003409C9" w:rsidRPr="003409C9">
        <w:rPr>
          <w:noProof/>
        </w:rPr>
        <w:t xml:space="preserve"> w zak</w:t>
      </w:r>
      <w:r w:rsidRPr="003409C9">
        <w:rPr>
          <w:noProof/>
        </w:rPr>
        <w:t>resie,</w:t>
      </w:r>
      <w:r w:rsidR="003409C9" w:rsidRPr="003409C9">
        <w:rPr>
          <w:noProof/>
        </w:rPr>
        <w:t xml:space="preserve"> w jak</w:t>
      </w:r>
      <w:r w:rsidRPr="003409C9">
        <w:rPr>
          <w:noProof/>
        </w:rPr>
        <w:t>im przechowywanie to jest niezbędne do celów technicznych,</w:t>
      </w:r>
      <w:r w:rsidR="003409C9" w:rsidRPr="003409C9">
        <w:rPr>
          <w:noProof/>
        </w:rPr>
        <w:t xml:space="preserve"> a tak</w:t>
      </w:r>
      <w:r w:rsidRPr="003409C9">
        <w:rPr>
          <w:noProof/>
        </w:rPr>
        <w:t>że</w:t>
      </w:r>
      <w:r w:rsidR="003409C9" w:rsidRPr="003409C9">
        <w:rPr>
          <w:noProof/>
        </w:rPr>
        <w:t xml:space="preserve"> w prz</w:t>
      </w:r>
      <w:r w:rsidRPr="003409C9">
        <w:rPr>
          <w:noProof/>
        </w:rPr>
        <w:t>ypadku wszelkiego późniejszego przetwarzania tych danych</w:t>
      </w:r>
      <w:r w:rsidR="003409C9" w:rsidRPr="003409C9">
        <w:rPr>
          <w:noProof/>
        </w:rPr>
        <w:t xml:space="preserve"> w cel</w:t>
      </w:r>
      <w:r w:rsidRPr="003409C9">
        <w:rPr>
          <w:noProof/>
        </w:rPr>
        <w:t>u usprawnienia</w:t>
      </w:r>
      <w:r w:rsidR="003409C9" w:rsidRPr="003409C9">
        <w:rPr>
          <w:noProof/>
        </w:rPr>
        <w:t xml:space="preserve"> i uła</w:t>
      </w:r>
      <w:r w:rsidRPr="003409C9">
        <w:rPr>
          <w:noProof/>
        </w:rPr>
        <w:t>twienia odprawy granicznej na granicach zewnętrznych</w:t>
      </w:r>
      <w:r w:rsidR="003409C9" w:rsidRPr="003409C9">
        <w:rPr>
          <w:noProof/>
        </w:rPr>
        <w:t>. Z kol</w:t>
      </w:r>
      <w:r w:rsidRPr="003409C9">
        <w:rPr>
          <w:noProof/>
        </w:rPr>
        <w:t>ei przewoźnicy lotniczy powinni pełnić rolę odrębnego administratora</w:t>
      </w:r>
      <w:r w:rsidR="003409C9" w:rsidRPr="003409C9">
        <w:rPr>
          <w:noProof/>
        </w:rPr>
        <w:t xml:space="preserve"> w zak</w:t>
      </w:r>
      <w:r w:rsidRPr="003409C9">
        <w:rPr>
          <w:noProof/>
        </w:rPr>
        <w:t>resie przetwarzania danych API stanowiących dane osobowe, do czego są zobowiązani na podstawie niniejszego rozporządzenia</w:t>
      </w:r>
      <w:r w:rsidR="003409C9" w:rsidRPr="003409C9">
        <w:rPr>
          <w:noProof/>
        </w:rPr>
        <w:t>. W zwi</w:t>
      </w:r>
      <w:r w:rsidRPr="003409C9">
        <w:rPr>
          <w:noProof/>
        </w:rPr>
        <w:t>ązku</w:t>
      </w:r>
      <w:r w:rsidR="003409C9" w:rsidRPr="003409C9">
        <w:rPr>
          <w:noProof/>
        </w:rPr>
        <w:t xml:space="preserve"> z tym</w:t>
      </w:r>
      <w:r w:rsidRPr="003409C9">
        <w:rPr>
          <w:noProof/>
        </w:rPr>
        <w:t xml:space="preserve"> zarówno przewoźnicy lotniczy, jak</w:t>
      </w:r>
      <w:r w:rsidR="003409C9" w:rsidRPr="003409C9">
        <w:rPr>
          <w:noProof/>
        </w:rPr>
        <w:t xml:space="preserve"> i wła</w:t>
      </w:r>
      <w:r w:rsidRPr="003409C9">
        <w:rPr>
          <w:noProof/>
        </w:rPr>
        <w:t>ściwe służby graniczne powinni pełnić rolę odrębnego administratora</w:t>
      </w:r>
      <w:r w:rsidR="003409C9" w:rsidRPr="003409C9">
        <w:rPr>
          <w:noProof/>
        </w:rPr>
        <w:t xml:space="preserve"> w odn</w:t>
      </w:r>
      <w:r w:rsidRPr="003409C9">
        <w:rPr>
          <w:noProof/>
        </w:rPr>
        <w:t>iesieniu do przetwarzania przez nich danych API na podstawie niniejszego rozporządzenia.</w:t>
      </w:r>
      <w:r w:rsidR="003B5A1D" w:rsidRPr="003409C9">
        <w:rPr>
          <w:noProof/>
        </w:rPr>
        <w:t xml:space="preserve"> </w:t>
      </w:r>
    </w:p>
    <w:p w:rsidR="00E20FF9" w:rsidRPr="003409C9" w:rsidRDefault="009475BC" w:rsidP="009475BC">
      <w:pPr>
        <w:pStyle w:val="ManualConsidrant"/>
        <w:rPr>
          <w:noProof/>
        </w:rPr>
      </w:pPr>
      <w:r w:rsidRPr="003409C9">
        <w:rPr>
          <w:noProof/>
        </w:rPr>
        <w:t>(27)</w:t>
      </w:r>
      <w:r w:rsidRPr="003409C9">
        <w:rPr>
          <w:noProof/>
        </w:rPr>
        <w:tab/>
        <w:t>W celu zapewnienia skutecznego stosowania przepisów niniejszego rozporządzenia przez przewoźników lotniczych należy przewidzieć możliwość wyznaczenia organów krajowych pełniących nadzór nad przestrzeganiem tych przepisów oraz nadania tym organom odpowiednich uprawnień. Przepisy niniejszego rozporządzenia dotyczące takiego nadzoru,</w:t>
      </w:r>
      <w:r w:rsidR="003409C9" w:rsidRPr="003409C9">
        <w:rPr>
          <w:noProof/>
        </w:rPr>
        <w:t xml:space="preserve"> w tym</w:t>
      </w:r>
      <w:r w:rsidRPr="003409C9">
        <w:rPr>
          <w:noProof/>
        </w:rPr>
        <w:t>,</w:t>
      </w:r>
      <w:r w:rsidR="003409C9" w:rsidRPr="003409C9">
        <w:rPr>
          <w:noProof/>
        </w:rPr>
        <w:t xml:space="preserve"> w sto</w:t>
      </w:r>
      <w:r w:rsidRPr="003409C9">
        <w:rPr>
          <w:noProof/>
        </w:rPr>
        <w:t>sownych przypadkach,</w:t>
      </w:r>
      <w:r w:rsidR="003409C9" w:rsidRPr="003409C9">
        <w:rPr>
          <w:noProof/>
        </w:rPr>
        <w:t xml:space="preserve"> w zak</w:t>
      </w:r>
      <w:r w:rsidRPr="003409C9">
        <w:rPr>
          <w:noProof/>
        </w:rPr>
        <w:t>resie nakładania kar, nie powinny mieć wpływu na zadania</w:t>
      </w:r>
      <w:r w:rsidR="003409C9" w:rsidRPr="003409C9">
        <w:rPr>
          <w:noProof/>
        </w:rPr>
        <w:t xml:space="preserve"> i upr</w:t>
      </w:r>
      <w:r w:rsidRPr="003409C9">
        <w:rPr>
          <w:noProof/>
        </w:rPr>
        <w:t>awnienia organów nadzorczych ustanowionych na mocy rozporządzenia (UE) 2016/679, również</w:t>
      </w:r>
      <w:r w:rsidR="003409C9" w:rsidRPr="003409C9">
        <w:rPr>
          <w:noProof/>
        </w:rPr>
        <w:t xml:space="preserve"> w odn</w:t>
      </w:r>
      <w:r w:rsidRPr="003409C9">
        <w:rPr>
          <w:noProof/>
        </w:rPr>
        <w:t xml:space="preserve">iesieniu do przetwarzania danych osobowych na podstawie niniejszego rozporządzenia. </w:t>
      </w:r>
    </w:p>
    <w:p w:rsidR="00DA144D" w:rsidRPr="003409C9" w:rsidRDefault="009475BC" w:rsidP="009475BC">
      <w:pPr>
        <w:pStyle w:val="ManualConsidrant"/>
        <w:rPr>
          <w:noProof/>
        </w:rPr>
      </w:pPr>
      <w:r w:rsidRPr="003409C9">
        <w:rPr>
          <w:noProof/>
        </w:rPr>
        <w:t>(28)</w:t>
      </w:r>
      <w:r w:rsidRPr="003409C9">
        <w:rPr>
          <w:noProof/>
        </w:rPr>
        <w:tab/>
        <w:t>Państwa członkowskie powinny przewidzieć skuteczne, proporcjonalne</w:t>
      </w:r>
      <w:r w:rsidR="003409C9" w:rsidRPr="003409C9">
        <w:rPr>
          <w:noProof/>
        </w:rPr>
        <w:t xml:space="preserve"> i ods</w:t>
      </w:r>
      <w:r w:rsidRPr="003409C9">
        <w:rPr>
          <w:noProof/>
        </w:rPr>
        <w:t>traszające kary,</w:t>
      </w:r>
      <w:r w:rsidR="003409C9" w:rsidRPr="003409C9">
        <w:rPr>
          <w:noProof/>
        </w:rPr>
        <w:t xml:space="preserve"> w tym</w:t>
      </w:r>
      <w:r w:rsidRPr="003409C9">
        <w:rPr>
          <w:noProof/>
        </w:rPr>
        <w:t xml:space="preserve"> finansowe, wobec przewoźników lotniczych, którzy nie wypełniają swoich obowiązków dotyczących gromadzenia</w:t>
      </w:r>
      <w:r w:rsidR="003409C9" w:rsidRPr="003409C9">
        <w:rPr>
          <w:noProof/>
        </w:rPr>
        <w:t xml:space="preserve"> i prz</w:t>
      </w:r>
      <w:r w:rsidRPr="003409C9">
        <w:rPr>
          <w:noProof/>
        </w:rPr>
        <w:t>ekazywania danych API wynikających</w:t>
      </w:r>
      <w:r w:rsidR="003409C9" w:rsidRPr="003409C9">
        <w:rPr>
          <w:noProof/>
        </w:rPr>
        <w:t xml:space="preserve"> z nin</w:t>
      </w:r>
      <w:r w:rsidRPr="003409C9">
        <w:rPr>
          <w:noProof/>
        </w:rPr>
        <w:t>iejszego rozporządzenia.</w:t>
      </w:r>
    </w:p>
    <w:p w:rsidR="003B1C87" w:rsidRPr="003409C9" w:rsidRDefault="009475BC" w:rsidP="009B0093">
      <w:pPr>
        <w:pStyle w:val="ManualConsidrant"/>
        <w:rPr>
          <w:noProof/>
        </w:rPr>
      </w:pPr>
      <w:r w:rsidRPr="003409C9">
        <w:rPr>
          <w:noProof/>
        </w:rPr>
        <w:t>(29)</w:t>
      </w:r>
      <w:r w:rsidRPr="003409C9">
        <w:rPr>
          <w:noProof/>
        </w:rPr>
        <w:tab/>
        <w:t>Ponieważ niniejsze rozporządzenie przewiduje ustanowienie nowych zasad dotyczących gromadzenia</w:t>
      </w:r>
      <w:r w:rsidR="003409C9" w:rsidRPr="003409C9">
        <w:rPr>
          <w:noProof/>
        </w:rPr>
        <w:t xml:space="preserve"> i prz</w:t>
      </w:r>
      <w:r w:rsidRPr="003409C9">
        <w:rPr>
          <w:noProof/>
        </w:rPr>
        <w:t>ekazywania danych API przez właściwe służby graniczne</w:t>
      </w:r>
      <w:r w:rsidR="003409C9" w:rsidRPr="003409C9">
        <w:rPr>
          <w:noProof/>
        </w:rPr>
        <w:t xml:space="preserve"> w cel</w:t>
      </w:r>
      <w:r w:rsidRPr="003409C9">
        <w:rPr>
          <w:noProof/>
        </w:rPr>
        <w:t>u usprawnienia</w:t>
      </w:r>
      <w:r w:rsidR="003409C9" w:rsidRPr="003409C9">
        <w:rPr>
          <w:noProof/>
        </w:rPr>
        <w:t xml:space="preserve"> i uła</w:t>
      </w:r>
      <w:r w:rsidRPr="003409C9">
        <w:rPr>
          <w:noProof/>
        </w:rPr>
        <w:t>twienia skutecznej</w:t>
      </w:r>
      <w:r w:rsidR="003409C9" w:rsidRPr="003409C9">
        <w:rPr>
          <w:noProof/>
        </w:rPr>
        <w:t xml:space="preserve"> i wyd</w:t>
      </w:r>
      <w:r w:rsidRPr="003409C9">
        <w:rPr>
          <w:noProof/>
        </w:rPr>
        <w:t xml:space="preserve">ajnej odprawy granicznej na granicach zewnętrznych, należy uchylić dyrektywę 2004/82/WE. </w:t>
      </w:r>
    </w:p>
    <w:p w:rsidR="00250117" w:rsidRPr="003409C9" w:rsidRDefault="009475BC" w:rsidP="009475BC">
      <w:pPr>
        <w:pStyle w:val="ManualConsidrant"/>
        <w:rPr>
          <w:noProof/>
        </w:rPr>
      </w:pPr>
      <w:r w:rsidRPr="003409C9">
        <w:rPr>
          <w:noProof/>
        </w:rPr>
        <w:t>(30)</w:t>
      </w:r>
      <w:r w:rsidRPr="003409C9">
        <w:rPr>
          <w:noProof/>
        </w:rPr>
        <w:tab/>
        <w:t>Ponieważ router powinna zaprojektować, opracować</w:t>
      </w:r>
      <w:r w:rsidR="003409C9" w:rsidRPr="003409C9">
        <w:rPr>
          <w:noProof/>
        </w:rPr>
        <w:t xml:space="preserve"> i obs</w:t>
      </w:r>
      <w:r w:rsidRPr="003409C9">
        <w:rPr>
          <w:noProof/>
        </w:rPr>
        <w:t>ługiwać oraz zarządzać nim pod względem technicznym eu-LISA, ustanowiona rozporządzeniem Parlamentu Europejskiego</w:t>
      </w:r>
      <w:r w:rsidR="003409C9" w:rsidRPr="003409C9">
        <w:rPr>
          <w:noProof/>
        </w:rPr>
        <w:t xml:space="preserve"> i Rad</w:t>
      </w:r>
      <w:r w:rsidRPr="003409C9">
        <w:rPr>
          <w:noProof/>
        </w:rPr>
        <w:t>y (UE) 2018/1726</w:t>
      </w:r>
      <w:r w:rsidRPr="003409C9">
        <w:rPr>
          <w:rStyle w:val="FootnoteReference0"/>
          <w:noProof/>
        </w:rPr>
        <w:footnoteReference w:id="37"/>
      </w:r>
      <w:r w:rsidRPr="003409C9">
        <w:rPr>
          <w:noProof/>
        </w:rPr>
        <w:t>, konieczna jest zmiana tego rozporządzenia polegająca na dodaniu tego zadania do wykazu zadań eu-LISA.</w:t>
      </w:r>
      <w:r w:rsidRPr="003409C9">
        <w:rPr>
          <w:noProof/>
          <w:sz w:val="23"/>
        </w:rPr>
        <w:t xml:space="preserve"> Aby umożliwić przechowywanie sprawozdań</w:t>
      </w:r>
      <w:r w:rsidR="003409C9" w:rsidRPr="003409C9">
        <w:rPr>
          <w:noProof/>
          <w:sz w:val="23"/>
        </w:rPr>
        <w:t xml:space="preserve"> i sta</w:t>
      </w:r>
      <w:r w:rsidRPr="003409C9">
        <w:rPr>
          <w:noProof/>
          <w:sz w:val="23"/>
        </w:rPr>
        <w:t>tystyk dotyczących routera we wspólnym repozytorium sprawozdawczo-statystycznym, konieczna jest zmiana rozporządzenia Parlamentu Europejskiego</w:t>
      </w:r>
      <w:r w:rsidR="003409C9" w:rsidRPr="003409C9">
        <w:rPr>
          <w:noProof/>
          <w:sz w:val="23"/>
        </w:rPr>
        <w:t xml:space="preserve"> i Rad</w:t>
      </w:r>
      <w:r w:rsidRPr="003409C9">
        <w:rPr>
          <w:noProof/>
          <w:sz w:val="23"/>
        </w:rPr>
        <w:t>y (UE) 2019/817</w:t>
      </w:r>
      <w:r w:rsidRPr="003409C9">
        <w:rPr>
          <w:rStyle w:val="FootnoteReference0"/>
          <w:noProof/>
          <w:sz w:val="23"/>
          <w:szCs w:val="23"/>
        </w:rPr>
        <w:footnoteReference w:id="38"/>
      </w:r>
      <w:r w:rsidRPr="003409C9">
        <w:rPr>
          <w:noProof/>
          <w:sz w:val="23"/>
        </w:rPr>
        <w:t xml:space="preserve">. </w:t>
      </w:r>
    </w:p>
    <w:p w:rsidR="00B022C7" w:rsidRPr="003409C9" w:rsidRDefault="009475BC" w:rsidP="009475BC">
      <w:pPr>
        <w:pStyle w:val="ManualConsidrant"/>
        <w:rPr>
          <w:noProof/>
        </w:rPr>
      </w:pPr>
      <w:r w:rsidRPr="003409C9">
        <w:rPr>
          <w:noProof/>
        </w:rPr>
        <w:t>(31)</w:t>
      </w:r>
      <w:r w:rsidRPr="003409C9">
        <w:rPr>
          <w:noProof/>
        </w:rPr>
        <w:tab/>
        <w:t>W celu przyjęcia środków dotyczących wymogów technicznych</w:t>
      </w:r>
      <w:r w:rsidR="003409C9" w:rsidRPr="003409C9">
        <w:rPr>
          <w:noProof/>
        </w:rPr>
        <w:t xml:space="preserve"> i zas</w:t>
      </w:r>
      <w:r w:rsidRPr="003409C9">
        <w:rPr>
          <w:noProof/>
        </w:rPr>
        <w:t>ad postępowania</w:t>
      </w:r>
      <w:r w:rsidR="003409C9" w:rsidRPr="003409C9">
        <w:rPr>
          <w:noProof/>
        </w:rPr>
        <w:t xml:space="preserve"> w zak</w:t>
      </w:r>
      <w:r w:rsidRPr="003409C9">
        <w:rPr>
          <w:noProof/>
        </w:rPr>
        <w:t>resie gromadzenia</w:t>
      </w:r>
      <w:r w:rsidR="003409C9" w:rsidRPr="003409C9">
        <w:rPr>
          <w:noProof/>
        </w:rPr>
        <w:t xml:space="preserve"> w spo</w:t>
      </w:r>
      <w:r w:rsidRPr="003409C9">
        <w:rPr>
          <w:noProof/>
        </w:rPr>
        <w:t>sób zautomatyzowany danych API nadających się do odczytu maszynowego środków dotyczących wspólnych protokołów</w:t>
      </w:r>
      <w:r w:rsidR="003409C9" w:rsidRPr="003409C9">
        <w:rPr>
          <w:noProof/>
        </w:rPr>
        <w:t xml:space="preserve"> i for</w:t>
      </w:r>
      <w:r w:rsidRPr="003409C9">
        <w:rPr>
          <w:noProof/>
        </w:rPr>
        <w:t>matów wykorzystywanych przez przewoźników lotniczych do przekazywania danych API, środków dotyczących przepisów technicznych</w:t>
      </w:r>
      <w:r w:rsidR="003409C9" w:rsidRPr="003409C9">
        <w:rPr>
          <w:noProof/>
        </w:rPr>
        <w:t xml:space="preserve"> i pro</w:t>
      </w:r>
      <w:r w:rsidRPr="003409C9">
        <w:rPr>
          <w:noProof/>
        </w:rPr>
        <w:t>ceduralnych</w:t>
      </w:r>
      <w:r w:rsidR="003409C9" w:rsidRPr="003409C9">
        <w:rPr>
          <w:noProof/>
        </w:rPr>
        <w:t xml:space="preserve"> w zak</w:t>
      </w:r>
      <w:r w:rsidRPr="003409C9">
        <w:rPr>
          <w:noProof/>
        </w:rPr>
        <w:t>resie przekazywania danych API</w:t>
      </w:r>
      <w:r w:rsidR="003409C9" w:rsidRPr="003409C9">
        <w:rPr>
          <w:noProof/>
        </w:rPr>
        <w:t xml:space="preserve"> z rou</w:t>
      </w:r>
      <w:r w:rsidRPr="003409C9">
        <w:rPr>
          <w:noProof/>
        </w:rPr>
        <w:t>tera do właściwych służb granicznych oraz do JIP</w:t>
      </w:r>
      <w:r w:rsidR="003409C9" w:rsidRPr="003409C9">
        <w:rPr>
          <w:noProof/>
        </w:rPr>
        <w:t xml:space="preserve"> i w zak</w:t>
      </w:r>
      <w:r w:rsidRPr="003409C9">
        <w:rPr>
          <w:noProof/>
        </w:rPr>
        <w:t>resie podłączenia JIP</w:t>
      </w:r>
      <w:r w:rsidR="003409C9" w:rsidRPr="003409C9">
        <w:rPr>
          <w:noProof/>
        </w:rPr>
        <w:t xml:space="preserve"> i prz</w:t>
      </w:r>
      <w:r w:rsidRPr="003409C9">
        <w:rPr>
          <w:noProof/>
        </w:rPr>
        <w:t>ewoźników lotniczych do routera</w:t>
      </w:r>
      <w:r w:rsidR="003409C9" w:rsidRPr="003409C9">
        <w:rPr>
          <w:noProof/>
        </w:rPr>
        <w:t xml:space="preserve"> i ich</w:t>
      </w:r>
      <w:r w:rsidRPr="003409C9">
        <w:rPr>
          <w:noProof/>
        </w:rPr>
        <w:t xml:space="preserve"> integracji</w:t>
      </w:r>
      <w:r w:rsidR="003409C9" w:rsidRPr="003409C9">
        <w:rPr>
          <w:noProof/>
        </w:rPr>
        <w:t xml:space="preserve"> z rou</w:t>
      </w:r>
      <w:r w:rsidRPr="003409C9">
        <w:rPr>
          <w:noProof/>
        </w:rPr>
        <w:t>terem należy przekazać Komisji uprawnienia do przyjęcia aktów zgodnie</w:t>
      </w:r>
      <w:r w:rsidR="003409C9" w:rsidRPr="003409C9">
        <w:rPr>
          <w:noProof/>
        </w:rPr>
        <w:t xml:space="preserve"> z art</w:t>
      </w:r>
      <w:r w:rsidRPr="003409C9">
        <w:rPr>
          <w:noProof/>
        </w:rPr>
        <w:t>.</w:t>
      </w:r>
      <w:r w:rsidR="003409C9" w:rsidRPr="003409C9">
        <w:rPr>
          <w:noProof/>
        </w:rPr>
        <w:t> </w:t>
      </w:r>
      <w:r w:rsidRPr="003409C9">
        <w:rPr>
          <w:noProof/>
        </w:rPr>
        <w:t>290 Traktatu</w:t>
      </w:r>
      <w:r w:rsidR="003409C9" w:rsidRPr="003409C9">
        <w:rPr>
          <w:noProof/>
        </w:rPr>
        <w:t xml:space="preserve"> o fun</w:t>
      </w:r>
      <w:r w:rsidRPr="003409C9">
        <w:rPr>
          <w:noProof/>
        </w:rPr>
        <w:t>kcjonowaniu Unii Europejskiej odpowiednio</w:t>
      </w:r>
      <w:r w:rsidR="003409C9" w:rsidRPr="003409C9">
        <w:rPr>
          <w:noProof/>
        </w:rPr>
        <w:t xml:space="preserve"> w odn</w:t>
      </w:r>
      <w:r w:rsidRPr="003409C9">
        <w:rPr>
          <w:noProof/>
        </w:rPr>
        <w:t>iesieniu do art.</w:t>
      </w:r>
      <w:r w:rsidR="003409C9" w:rsidRPr="003409C9">
        <w:rPr>
          <w:noProof/>
        </w:rPr>
        <w:t> </w:t>
      </w:r>
      <w:r w:rsidRPr="003409C9">
        <w:rPr>
          <w:noProof/>
        </w:rPr>
        <w:t>5, 6, 11, 20</w:t>
      </w:r>
      <w:r w:rsidR="003409C9" w:rsidRPr="003409C9">
        <w:rPr>
          <w:noProof/>
        </w:rPr>
        <w:t xml:space="preserve"> i 2</w:t>
      </w:r>
      <w:r w:rsidRPr="003409C9">
        <w:rPr>
          <w:noProof/>
        </w:rPr>
        <w:t>1. Szczególnie ważne jest, aby</w:t>
      </w:r>
      <w:r w:rsidR="003409C9" w:rsidRPr="003409C9">
        <w:rPr>
          <w:noProof/>
        </w:rPr>
        <w:t xml:space="preserve"> w cza</w:t>
      </w:r>
      <w:r w:rsidRPr="003409C9">
        <w:rPr>
          <w:noProof/>
        </w:rPr>
        <w:t>sie prac przygotowawczych Komisja prowadziła stosowne konsultacje,</w:t>
      </w:r>
      <w:r w:rsidR="003409C9" w:rsidRPr="003409C9">
        <w:rPr>
          <w:noProof/>
        </w:rPr>
        <w:t xml:space="preserve"> w tym</w:t>
      </w:r>
      <w:r w:rsidRPr="003409C9">
        <w:rPr>
          <w:noProof/>
        </w:rPr>
        <w:t xml:space="preserve"> na poziomie ekspertów, oraz aby konsultacje te prowadzone były zgodnie</w:t>
      </w:r>
      <w:r w:rsidR="003409C9" w:rsidRPr="003409C9">
        <w:rPr>
          <w:noProof/>
        </w:rPr>
        <w:t xml:space="preserve"> z zas</w:t>
      </w:r>
      <w:r w:rsidRPr="003409C9">
        <w:rPr>
          <w:noProof/>
        </w:rPr>
        <w:t>adami określonymi</w:t>
      </w:r>
      <w:r w:rsidR="003409C9" w:rsidRPr="003409C9">
        <w:rPr>
          <w:noProof/>
        </w:rPr>
        <w:t xml:space="preserve"> w Por</w:t>
      </w:r>
      <w:r w:rsidRPr="003409C9">
        <w:rPr>
          <w:noProof/>
        </w:rPr>
        <w:t>ozumieniu międzyinstytucjonalnym</w:t>
      </w:r>
      <w:r w:rsidR="003409C9" w:rsidRPr="003409C9">
        <w:rPr>
          <w:noProof/>
        </w:rPr>
        <w:t xml:space="preserve"> z dni</w:t>
      </w:r>
      <w:r w:rsidRPr="003409C9">
        <w:rPr>
          <w:noProof/>
        </w:rPr>
        <w:t>a 13 kwietnia 2016</w:t>
      </w:r>
      <w:r w:rsidR="003409C9" w:rsidRPr="003409C9">
        <w:rPr>
          <w:noProof/>
        </w:rPr>
        <w:t> </w:t>
      </w:r>
      <w:r w:rsidRPr="003409C9">
        <w:rPr>
          <w:noProof/>
        </w:rPr>
        <w:t>r.</w:t>
      </w:r>
      <w:r w:rsidR="003409C9" w:rsidRPr="003409C9">
        <w:rPr>
          <w:noProof/>
        </w:rPr>
        <w:t xml:space="preserve"> w spr</w:t>
      </w:r>
      <w:r w:rsidRPr="003409C9">
        <w:rPr>
          <w:noProof/>
        </w:rPr>
        <w:t>awie lepszego stanowienia prawa</w:t>
      </w:r>
      <w:r w:rsidRPr="003409C9">
        <w:rPr>
          <w:rStyle w:val="FootnoteReference0"/>
          <w:noProof/>
        </w:rPr>
        <w:footnoteReference w:id="39"/>
      </w:r>
      <w:r w:rsidR="003409C9" w:rsidRPr="003409C9">
        <w:rPr>
          <w:noProof/>
        </w:rPr>
        <w:t>. W szc</w:t>
      </w:r>
      <w:r w:rsidRPr="003409C9">
        <w:rPr>
          <w:noProof/>
        </w:rPr>
        <w:t>zególności, aby zapewnić Parlamentowi Europejskiemu</w:t>
      </w:r>
      <w:r w:rsidR="003409C9" w:rsidRPr="003409C9">
        <w:rPr>
          <w:noProof/>
        </w:rPr>
        <w:t xml:space="preserve"> i Rad</w:t>
      </w:r>
      <w:r w:rsidRPr="003409C9">
        <w:rPr>
          <w:noProof/>
        </w:rPr>
        <w:t>zie udział na równych zasadach</w:t>
      </w:r>
      <w:r w:rsidR="003409C9" w:rsidRPr="003409C9">
        <w:rPr>
          <w:noProof/>
        </w:rPr>
        <w:t xml:space="preserve"> w prz</w:t>
      </w:r>
      <w:r w:rsidRPr="003409C9">
        <w:rPr>
          <w:noProof/>
        </w:rPr>
        <w:t>ygotowaniu aktów delegowanych, instytucje te otrzymują wszelkie dokumenty</w:t>
      </w:r>
      <w:r w:rsidR="003409C9" w:rsidRPr="003409C9">
        <w:rPr>
          <w:noProof/>
        </w:rPr>
        <w:t xml:space="preserve"> w tym</w:t>
      </w:r>
      <w:r w:rsidRPr="003409C9">
        <w:rPr>
          <w:noProof/>
        </w:rPr>
        <w:t xml:space="preserve"> samym czasie co eksperci państw członkowskich,</w:t>
      </w:r>
      <w:r w:rsidR="003409C9" w:rsidRPr="003409C9">
        <w:rPr>
          <w:noProof/>
        </w:rPr>
        <w:t xml:space="preserve"> a eks</w:t>
      </w:r>
      <w:r w:rsidRPr="003409C9">
        <w:rPr>
          <w:noProof/>
        </w:rPr>
        <w:t>perci tych instytucji mogą systematycznie brać udział</w:t>
      </w:r>
      <w:r w:rsidR="003409C9" w:rsidRPr="003409C9">
        <w:rPr>
          <w:noProof/>
        </w:rPr>
        <w:t xml:space="preserve"> w pos</w:t>
      </w:r>
      <w:r w:rsidRPr="003409C9">
        <w:rPr>
          <w:noProof/>
        </w:rPr>
        <w:t xml:space="preserve">iedzeniach grup eksperckich Komisji zajmujących się przygotowaniem aktów delegowanych. </w:t>
      </w:r>
    </w:p>
    <w:p w:rsidR="00250117" w:rsidRPr="003409C9" w:rsidRDefault="009475BC" w:rsidP="009475BC">
      <w:pPr>
        <w:pStyle w:val="ManualConsidrant"/>
        <w:rPr>
          <w:noProof/>
        </w:rPr>
      </w:pPr>
      <w:r w:rsidRPr="003409C9">
        <w:rPr>
          <w:noProof/>
        </w:rPr>
        <w:t>(32)</w:t>
      </w:r>
      <w:r w:rsidRPr="003409C9">
        <w:rPr>
          <w:noProof/>
        </w:rPr>
        <w:tab/>
        <w:t>W celu zapewnienia jednolitych warunków wykonywania niniejszego rozporządzenia, tj.</w:t>
      </w:r>
      <w:r w:rsidR="003409C9" w:rsidRPr="003409C9">
        <w:rPr>
          <w:noProof/>
        </w:rPr>
        <w:t xml:space="preserve"> w kwe</w:t>
      </w:r>
      <w:r w:rsidRPr="003409C9">
        <w:rPr>
          <w:noProof/>
        </w:rPr>
        <w:t>stii rozpoczęcia funkcjonowania routera, należy powierzyć Komisji uprawnienia wykonawcze. Uprawnienia te powinny być wykonywane zgodnie</w:t>
      </w:r>
      <w:r w:rsidR="003409C9" w:rsidRPr="003409C9">
        <w:rPr>
          <w:noProof/>
        </w:rPr>
        <w:t xml:space="preserve"> z roz</w:t>
      </w:r>
      <w:r w:rsidRPr="003409C9">
        <w:rPr>
          <w:noProof/>
        </w:rPr>
        <w:t>porządzeniem Parlamentu Europejskiego</w:t>
      </w:r>
      <w:r w:rsidR="003409C9" w:rsidRPr="003409C9">
        <w:rPr>
          <w:noProof/>
        </w:rPr>
        <w:t xml:space="preserve"> i Rad</w:t>
      </w:r>
      <w:r w:rsidRPr="003409C9">
        <w:rPr>
          <w:noProof/>
        </w:rPr>
        <w:t>y (UE) nr</w:t>
      </w:r>
      <w:r w:rsidR="003409C9" w:rsidRPr="003409C9">
        <w:rPr>
          <w:noProof/>
        </w:rPr>
        <w:t> </w:t>
      </w:r>
      <w:r w:rsidRPr="003409C9">
        <w:rPr>
          <w:noProof/>
        </w:rPr>
        <w:t>182/2011</w:t>
      </w:r>
      <w:r w:rsidRPr="003409C9">
        <w:rPr>
          <w:rStyle w:val="FootnoteReference0"/>
          <w:noProof/>
        </w:rPr>
        <w:footnoteReference w:id="40"/>
      </w:r>
      <w:r w:rsidRPr="003409C9">
        <w:rPr>
          <w:noProof/>
        </w:rPr>
        <w:t>.</w:t>
      </w:r>
      <w:r w:rsidR="003B5A1D" w:rsidRPr="003409C9">
        <w:rPr>
          <w:noProof/>
        </w:rPr>
        <w:t xml:space="preserve"> </w:t>
      </w:r>
    </w:p>
    <w:p w:rsidR="009B0093" w:rsidRPr="003409C9" w:rsidRDefault="009475BC" w:rsidP="009475BC">
      <w:pPr>
        <w:pStyle w:val="ManualConsidrant"/>
        <w:rPr>
          <w:noProof/>
        </w:rPr>
      </w:pPr>
      <w:r w:rsidRPr="003409C9">
        <w:rPr>
          <w:noProof/>
        </w:rPr>
        <w:t>(33)</w:t>
      </w:r>
      <w:r w:rsidRPr="003409C9">
        <w:rPr>
          <w:noProof/>
        </w:rPr>
        <w:tab/>
        <w:t>Wszystkim zainteresowanym stronom,</w:t>
      </w:r>
      <w:r w:rsidR="003409C9" w:rsidRPr="003409C9">
        <w:rPr>
          <w:noProof/>
        </w:rPr>
        <w:t xml:space="preserve"> a w szc</w:t>
      </w:r>
      <w:r w:rsidRPr="003409C9">
        <w:rPr>
          <w:noProof/>
        </w:rPr>
        <w:t>zególności przewoźnikom lotniczym</w:t>
      </w:r>
      <w:r w:rsidR="003409C9" w:rsidRPr="003409C9">
        <w:rPr>
          <w:noProof/>
        </w:rPr>
        <w:t xml:space="preserve"> i wła</w:t>
      </w:r>
      <w:r w:rsidRPr="003409C9">
        <w:rPr>
          <w:noProof/>
        </w:rPr>
        <w:t>ściwym służbom granicznym, należy zapewnić wystarczający czas na podjęcie niezbędnych działań</w:t>
      </w:r>
      <w:r w:rsidR="003409C9" w:rsidRPr="003409C9">
        <w:rPr>
          <w:noProof/>
        </w:rPr>
        <w:t xml:space="preserve"> w cel</w:t>
      </w:r>
      <w:r w:rsidRPr="003409C9">
        <w:rPr>
          <w:noProof/>
        </w:rPr>
        <w:t>u przygotowania się do wypełniania obowiązków wynikających</w:t>
      </w:r>
      <w:r w:rsidR="003409C9" w:rsidRPr="003409C9">
        <w:rPr>
          <w:noProof/>
        </w:rPr>
        <w:t xml:space="preserve"> z nin</w:t>
      </w:r>
      <w:r w:rsidRPr="003409C9">
        <w:rPr>
          <w:noProof/>
        </w:rPr>
        <w:t>iejszego rozporządzenia, biorąc pod uwagę fakt, że niektóre</w:t>
      </w:r>
      <w:r w:rsidR="003409C9" w:rsidRPr="003409C9">
        <w:rPr>
          <w:noProof/>
        </w:rPr>
        <w:t xml:space="preserve"> z tyc</w:t>
      </w:r>
      <w:r w:rsidRPr="003409C9">
        <w:rPr>
          <w:noProof/>
        </w:rPr>
        <w:t>h działań, np.</w:t>
      </w:r>
      <w:r w:rsidR="003409C9" w:rsidRPr="003409C9">
        <w:rPr>
          <w:noProof/>
        </w:rPr>
        <w:t xml:space="preserve"> w zak</w:t>
      </w:r>
      <w:r w:rsidRPr="003409C9">
        <w:rPr>
          <w:noProof/>
        </w:rPr>
        <w:t>resie obowiązków związanych</w:t>
      </w:r>
      <w:r w:rsidR="003409C9" w:rsidRPr="003409C9">
        <w:rPr>
          <w:noProof/>
        </w:rPr>
        <w:t xml:space="preserve"> z pod</w:t>
      </w:r>
      <w:r w:rsidRPr="003409C9">
        <w:rPr>
          <w:noProof/>
        </w:rPr>
        <w:t>łączeniem do routera</w:t>
      </w:r>
      <w:r w:rsidR="003409C9" w:rsidRPr="003409C9">
        <w:rPr>
          <w:noProof/>
        </w:rPr>
        <w:t xml:space="preserve"> i int</w:t>
      </w:r>
      <w:r w:rsidRPr="003409C9">
        <w:rPr>
          <w:noProof/>
        </w:rPr>
        <w:t>egracją</w:t>
      </w:r>
      <w:r w:rsidR="003409C9" w:rsidRPr="003409C9">
        <w:rPr>
          <w:noProof/>
        </w:rPr>
        <w:t xml:space="preserve"> z rou</w:t>
      </w:r>
      <w:r w:rsidRPr="003409C9">
        <w:rPr>
          <w:noProof/>
        </w:rPr>
        <w:t>terem, mogą zostać sfinalizowane dopiero po zakończeniu fazy prac projektowych</w:t>
      </w:r>
      <w:r w:rsidR="003409C9" w:rsidRPr="003409C9">
        <w:rPr>
          <w:noProof/>
        </w:rPr>
        <w:t xml:space="preserve"> i roz</w:t>
      </w:r>
      <w:r w:rsidRPr="003409C9">
        <w:rPr>
          <w:noProof/>
        </w:rPr>
        <w:t>wojowych nad routerem oraz po jego uruchomieniu</w:t>
      </w:r>
      <w:r w:rsidR="003409C9" w:rsidRPr="003409C9">
        <w:rPr>
          <w:noProof/>
        </w:rPr>
        <w:t>. W zwi</w:t>
      </w:r>
      <w:r w:rsidRPr="003409C9">
        <w:rPr>
          <w:noProof/>
        </w:rPr>
        <w:t>ązku</w:t>
      </w:r>
      <w:r w:rsidR="003409C9" w:rsidRPr="003409C9">
        <w:rPr>
          <w:noProof/>
        </w:rPr>
        <w:t xml:space="preserve"> z tym</w:t>
      </w:r>
      <w:r w:rsidRPr="003409C9">
        <w:rPr>
          <w:noProof/>
        </w:rPr>
        <w:t xml:space="preserve"> niniejsze rozporządzenie powinno mieć zastosowanie dopiero od odpowiedniej daty po dacie uruchomienia routera, określonej przez Komisję zgodnie</w:t>
      </w:r>
      <w:r w:rsidR="003409C9" w:rsidRPr="003409C9">
        <w:rPr>
          <w:noProof/>
        </w:rPr>
        <w:t xml:space="preserve"> z nin</w:t>
      </w:r>
      <w:r w:rsidRPr="003409C9">
        <w:rPr>
          <w:noProof/>
        </w:rPr>
        <w:t xml:space="preserve">iejszym rozporządzeniem. </w:t>
      </w:r>
    </w:p>
    <w:p w:rsidR="009B0093" w:rsidRPr="003409C9" w:rsidRDefault="009B0093" w:rsidP="009B0093">
      <w:pPr>
        <w:pStyle w:val="ManualConsidrant"/>
        <w:rPr>
          <w:noProof/>
        </w:rPr>
      </w:pPr>
      <w:r w:rsidRPr="003409C9">
        <w:rPr>
          <w:noProof/>
        </w:rPr>
        <w:t>(34)</w:t>
      </w:r>
      <w:r w:rsidRPr="003409C9">
        <w:rPr>
          <w:noProof/>
        </w:rPr>
        <w:tab/>
        <w:t>Fazę prac projektowych</w:t>
      </w:r>
      <w:r w:rsidR="003409C9" w:rsidRPr="003409C9">
        <w:rPr>
          <w:noProof/>
        </w:rPr>
        <w:t xml:space="preserve"> i roz</w:t>
      </w:r>
      <w:r w:rsidRPr="003409C9">
        <w:rPr>
          <w:noProof/>
        </w:rPr>
        <w:t>wojowych nad routerem należy rozpocząć</w:t>
      </w:r>
      <w:r w:rsidR="003409C9" w:rsidRPr="003409C9">
        <w:rPr>
          <w:noProof/>
        </w:rPr>
        <w:t xml:space="preserve"> i zak</w:t>
      </w:r>
      <w:r w:rsidRPr="003409C9">
        <w:rPr>
          <w:noProof/>
        </w:rPr>
        <w:t>ończyć jak najszybciej, tak aby można było go jak najszybciej uruchomić, co wymaga również przyjęcia odpowiednich aktów wykonawczych</w:t>
      </w:r>
      <w:r w:rsidR="003409C9" w:rsidRPr="003409C9">
        <w:rPr>
          <w:noProof/>
        </w:rPr>
        <w:t xml:space="preserve"> i del</w:t>
      </w:r>
      <w:r w:rsidRPr="003409C9">
        <w:rPr>
          <w:noProof/>
        </w:rPr>
        <w:t>egowanych przewidzianych</w:t>
      </w:r>
      <w:r w:rsidR="003409C9" w:rsidRPr="003409C9">
        <w:rPr>
          <w:noProof/>
        </w:rPr>
        <w:t xml:space="preserve"> w nin</w:t>
      </w:r>
      <w:r w:rsidRPr="003409C9">
        <w:rPr>
          <w:noProof/>
        </w:rPr>
        <w:t>iejszym rozporządzeniu. Należy również bezzwłocznie przedstawić przewidziane</w:t>
      </w:r>
      <w:r w:rsidR="003409C9" w:rsidRPr="003409C9">
        <w:rPr>
          <w:noProof/>
        </w:rPr>
        <w:t xml:space="preserve"> w nin</w:t>
      </w:r>
      <w:r w:rsidRPr="003409C9">
        <w:rPr>
          <w:noProof/>
        </w:rPr>
        <w:t>iejszym rozporządzeniu objaśnienie dotyczące stosowania specyfikacji</w:t>
      </w:r>
      <w:r w:rsidR="003409C9" w:rsidRPr="003409C9">
        <w:rPr>
          <w:noProof/>
        </w:rPr>
        <w:t xml:space="preserve"> w zak</w:t>
      </w:r>
      <w:r w:rsidRPr="003409C9">
        <w:rPr>
          <w:noProof/>
        </w:rPr>
        <w:t>resie stosowania automatyzacji</w:t>
      </w:r>
      <w:r w:rsidR="003409C9" w:rsidRPr="003409C9">
        <w:rPr>
          <w:noProof/>
        </w:rPr>
        <w:t xml:space="preserve"> w ram</w:t>
      </w:r>
      <w:r w:rsidRPr="003409C9">
        <w:rPr>
          <w:noProof/>
        </w:rPr>
        <w:t>ach wykonywania dyrektywy 2004/82/WE. Artykuły dotyczące tych kwestii powinny zatem obowiązywać od dnia wejścia</w:t>
      </w:r>
      <w:r w:rsidR="003409C9" w:rsidRPr="003409C9">
        <w:rPr>
          <w:noProof/>
        </w:rPr>
        <w:t xml:space="preserve"> w życ</w:t>
      </w:r>
      <w:r w:rsidRPr="003409C9">
        <w:rPr>
          <w:noProof/>
        </w:rPr>
        <w:t>ie niniejszego rozporządzenia. Ponadto, aby umożliwić jak najszybsze dobrowolne korzystanie</w:t>
      </w:r>
      <w:r w:rsidR="003409C9" w:rsidRPr="003409C9">
        <w:rPr>
          <w:noProof/>
        </w:rPr>
        <w:t xml:space="preserve"> z rou</w:t>
      </w:r>
      <w:r w:rsidRPr="003409C9">
        <w:rPr>
          <w:noProof/>
        </w:rPr>
        <w:t>tera, artykuł dotyczący takiego korzystania, jak również niektóre inne artykuły mające na celu zagwarantowanie, że takie korzystanie odbywa się</w:t>
      </w:r>
      <w:r w:rsidR="003409C9" w:rsidRPr="003409C9">
        <w:rPr>
          <w:noProof/>
        </w:rPr>
        <w:t xml:space="preserve"> w spo</w:t>
      </w:r>
      <w:r w:rsidRPr="003409C9">
        <w:rPr>
          <w:noProof/>
        </w:rPr>
        <w:t xml:space="preserve">sób odpowiedzialny, powinny mieć zastosowanie jak najwcześniej, tj. od chwili uruchomienia routera. </w:t>
      </w:r>
    </w:p>
    <w:p w:rsidR="001F0433" w:rsidRPr="003409C9" w:rsidRDefault="00410953" w:rsidP="009475BC">
      <w:pPr>
        <w:pStyle w:val="ManualConsidrant"/>
        <w:rPr>
          <w:noProof/>
        </w:rPr>
      </w:pPr>
      <w:r w:rsidRPr="003409C9">
        <w:rPr>
          <w:noProof/>
        </w:rPr>
        <w:t>(35)</w:t>
      </w:r>
      <w:r w:rsidRPr="003409C9">
        <w:rPr>
          <w:noProof/>
        </w:rPr>
        <w:tab/>
        <w:t>Niniejsze rozporządzenie nie powinno mieć wpływu na możliwość ustanowienia przez państwa członkowskie, na mocy ich prawa krajowego, systemu gromadzenia danych API od dostawców usług transportowych innych niż określone</w:t>
      </w:r>
      <w:r w:rsidR="003409C9" w:rsidRPr="003409C9">
        <w:rPr>
          <w:noProof/>
        </w:rPr>
        <w:t xml:space="preserve"> w nin</w:t>
      </w:r>
      <w:r w:rsidRPr="003409C9">
        <w:rPr>
          <w:noProof/>
        </w:rPr>
        <w:t>iejszym rozporządzeniu, pod warunkiem że takie prawo krajowe jest zgodne</w:t>
      </w:r>
      <w:r w:rsidR="003409C9" w:rsidRPr="003409C9">
        <w:rPr>
          <w:noProof/>
        </w:rPr>
        <w:t xml:space="preserve"> z pra</w:t>
      </w:r>
      <w:r w:rsidRPr="003409C9">
        <w:rPr>
          <w:noProof/>
        </w:rPr>
        <w:t xml:space="preserve">wem Unii. </w:t>
      </w:r>
    </w:p>
    <w:p w:rsidR="003B1C87" w:rsidRPr="003409C9" w:rsidRDefault="009475BC" w:rsidP="009475BC">
      <w:pPr>
        <w:pStyle w:val="ManualConsidrant"/>
        <w:rPr>
          <w:noProof/>
        </w:rPr>
      </w:pPr>
      <w:r w:rsidRPr="003409C9">
        <w:rPr>
          <w:noProof/>
        </w:rPr>
        <w:t>(36)</w:t>
      </w:r>
      <w:r w:rsidRPr="003409C9">
        <w:rPr>
          <w:noProof/>
        </w:rPr>
        <w:tab/>
        <w:t>Ponieważ cele niniejszego rozporządzenia,</w:t>
      </w:r>
      <w:r w:rsidR="003409C9" w:rsidRPr="003409C9">
        <w:rPr>
          <w:noProof/>
        </w:rPr>
        <w:t xml:space="preserve"> a mia</w:t>
      </w:r>
      <w:r w:rsidRPr="003409C9">
        <w:rPr>
          <w:noProof/>
        </w:rPr>
        <w:t>nowicie usprawnienie</w:t>
      </w:r>
      <w:r w:rsidR="003409C9" w:rsidRPr="003409C9">
        <w:rPr>
          <w:noProof/>
        </w:rPr>
        <w:t xml:space="preserve"> i uła</w:t>
      </w:r>
      <w:r w:rsidRPr="003409C9">
        <w:rPr>
          <w:noProof/>
        </w:rPr>
        <w:t>twienie skutecznej</w:t>
      </w:r>
      <w:r w:rsidR="003409C9" w:rsidRPr="003409C9">
        <w:rPr>
          <w:noProof/>
        </w:rPr>
        <w:t xml:space="preserve"> i wyd</w:t>
      </w:r>
      <w:r w:rsidRPr="003409C9">
        <w:rPr>
          <w:noProof/>
        </w:rPr>
        <w:t>ajnej odprawy granicznej na granicach zewnętrznych</w:t>
      </w:r>
      <w:r w:rsidR="003409C9" w:rsidRPr="003409C9">
        <w:rPr>
          <w:noProof/>
        </w:rPr>
        <w:t xml:space="preserve"> i zwa</w:t>
      </w:r>
      <w:r w:rsidRPr="003409C9">
        <w:rPr>
          <w:noProof/>
        </w:rPr>
        <w:t>lczania nielegalnej imigracji, dotyczą kwestii, które</w:t>
      </w:r>
      <w:r w:rsidR="003409C9" w:rsidRPr="003409C9">
        <w:rPr>
          <w:noProof/>
        </w:rPr>
        <w:t xml:space="preserve"> z nat</w:t>
      </w:r>
      <w:r w:rsidRPr="003409C9">
        <w:rPr>
          <w:noProof/>
        </w:rPr>
        <w:t>ury mają charakter transgraniczny, nie mogą zostać osiągnięte</w:t>
      </w:r>
      <w:r w:rsidR="003409C9" w:rsidRPr="003409C9">
        <w:rPr>
          <w:noProof/>
        </w:rPr>
        <w:t xml:space="preserve"> w spo</w:t>
      </w:r>
      <w:r w:rsidRPr="003409C9">
        <w:rPr>
          <w:noProof/>
        </w:rPr>
        <w:t>sób wystarczający przez państwa członkowskie działające indywidualnie, natomiast można je lepiej osiągnąć na poziomie Unii. Unia może zatem podjąć działania zgodnie</w:t>
      </w:r>
      <w:r w:rsidR="003409C9" w:rsidRPr="003409C9">
        <w:rPr>
          <w:noProof/>
        </w:rPr>
        <w:t xml:space="preserve"> z zas</w:t>
      </w:r>
      <w:r w:rsidRPr="003409C9">
        <w:rPr>
          <w:noProof/>
        </w:rPr>
        <w:t>adą pomocniczości określoną</w:t>
      </w:r>
      <w:r w:rsidR="003409C9" w:rsidRPr="003409C9">
        <w:rPr>
          <w:noProof/>
        </w:rPr>
        <w:t xml:space="preserve"> w art</w:t>
      </w:r>
      <w:r w:rsidRPr="003409C9">
        <w:rPr>
          <w:noProof/>
        </w:rPr>
        <w:t>.</w:t>
      </w:r>
      <w:r w:rsidR="003409C9" w:rsidRPr="003409C9">
        <w:rPr>
          <w:noProof/>
        </w:rPr>
        <w:t> </w:t>
      </w:r>
      <w:r w:rsidRPr="003409C9">
        <w:rPr>
          <w:noProof/>
        </w:rPr>
        <w:t>5 Traktatu</w:t>
      </w:r>
      <w:r w:rsidR="003409C9" w:rsidRPr="003409C9">
        <w:rPr>
          <w:noProof/>
        </w:rPr>
        <w:t xml:space="preserve"> o Uni</w:t>
      </w:r>
      <w:r w:rsidRPr="003409C9">
        <w:rPr>
          <w:noProof/>
        </w:rPr>
        <w:t>i Europejskiej. Zgodnie</w:t>
      </w:r>
      <w:r w:rsidR="003409C9" w:rsidRPr="003409C9">
        <w:rPr>
          <w:noProof/>
        </w:rPr>
        <w:t xml:space="preserve"> z zas</w:t>
      </w:r>
      <w:r w:rsidRPr="003409C9">
        <w:rPr>
          <w:noProof/>
        </w:rPr>
        <w:t>adą proporcjonalności określoną</w:t>
      </w:r>
      <w:r w:rsidR="003409C9" w:rsidRPr="003409C9">
        <w:rPr>
          <w:noProof/>
        </w:rPr>
        <w:t xml:space="preserve"> w tym</w:t>
      </w:r>
      <w:r w:rsidRPr="003409C9">
        <w:rPr>
          <w:noProof/>
        </w:rPr>
        <w:t xml:space="preserve"> artykule niniejsze rozporządzenie nie wykracza poza to, co jest konieczne do osiągnięcia tych celów.</w:t>
      </w:r>
    </w:p>
    <w:p w:rsidR="00250117" w:rsidRPr="003409C9" w:rsidRDefault="009475BC" w:rsidP="009475BC">
      <w:pPr>
        <w:pStyle w:val="ManualConsidrant"/>
        <w:rPr>
          <w:noProof/>
        </w:rPr>
      </w:pPr>
      <w:r w:rsidRPr="003409C9">
        <w:rPr>
          <w:noProof/>
        </w:rPr>
        <w:t>(37)</w:t>
      </w:r>
      <w:r w:rsidRPr="003409C9">
        <w:rPr>
          <w:noProof/>
        </w:rPr>
        <w:tab/>
        <w:t>Zgodnie</w:t>
      </w:r>
      <w:r w:rsidR="003409C9" w:rsidRPr="003409C9">
        <w:rPr>
          <w:noProof/>
        </w:rPr>
        <w:t xml:space="preserve"> z art</w:t>
      </w:r>
      <w:r w:rsidRPr="003409C9">
        <w:rPr>
          <w:noProof/>
        </w:rPr>
        <w:t>.</w:t>
      </w:r>
      <w:r w:rsidR="003409C9" w:rsidRPr="003409C9">
        <w:rPr>
          <w:noProof/>
        </w:rPr>
        <w:t> </w:t>
      </w:r>
      <w:r w:rsidRPr="003409C9">
        <w:rPr>
          <w:noProof/>
        </w:rPr>
        <w:t>1</w:t>
      </w:r>
      <w:r w:rsidR="003409C9" w:rsidRPr="003409C9">
        <w:rPr>
          <w:noProof/>
        </w:rPr>
        <w:t xml:space="preserve"> i 2</w:t>
      </w:r>
      <w:r w:rsidRPr="003409C9">
        <w:rPr>
          <w:noProof/>
        </w:rPr>
        <w:t xml:space="preserve"> Protokołu nr</w:t>
      </w:r>
      <w:r w:rsidR="003409C9" w:rsidRPr="003409C9">
        <w:rPr>
          <w:noProof/>
        </w:rPr>
        <w:t> </w:t>
      </w:r>
      <w:r w:rsidRPr="003409C9">
        <w:rPr>
          <w:noProof/>
        </w:rPr>
        <w:t>22</w:t>
      </w:r>
      <w:r w:rsidR="003409C9" w:rsidRPr="003409C9">
        <w:rPr>
          <w:noProof/>
        </w:rPr>
        <w:t xml:space="preserve"> w spr</w:t>
      </w:r>
      <w:r w:rsidRPr="003409C9">
        <w:rPr>
          <w:noProof/>
        </w:rPr>
        <w:t>awie stanowiska Danii, załączonego do TUE i do TFUE, Dania nie uczestniczy</w:t>
      </w:r>
      <w:r w:rsidR="003409C9" w:rsidRPr="003409C9">
        <w:rPr>
          <w:noProof/>
        </w:rPr>
        <w:t xml:space="preserve"> w prz</w:t>
      </w:r>
      <w:r w:rsidRPr="003409C9">
        <w:rPr>
          <w:noProof/>
        </w:rPr>
        <w:t>yjęciu niniejszego rozporządzenia</w:t>
      </w:r>
      <w:r w:rsidR="003409C9" w:rsidRPr="003409C9">
        <w:rPr>
          <w:noProof/>
        </w:rPr>
        <w:t xml:space="preserve"> i nie</w:t>
      </w:r>
      <w:r w:rsidRPr="003409C9">
        <w:rPr>
          <w:noProof/>
        </w:rPr>
        <w:t xml:space="preserve"> jest nim związana ani go nie stosuje. Ponieważ niniejsze rozporządzenie stanowi rozwinięcie przepisów dorobku Schengen, zgodnie</w:t>
      </w:r>
      <w:r w:rsidR="003409C9" w:rsidRPr="003409C9">
        <w:rPr>
          <w:noProof/>
        </w:rPr>
        <w:t xml:space="preserve"> z art</w:t>
      </w:r>
      <w:r w:rsidRPr="003409C9">
        <w:rPr>
          <w:noProof/>
        </w:rPr>
        <w:t>.</w:t>
      </w:r>
      <w:r w:rsidR="003409C9" w:rsidRPr="003409C9">
        <w:rPr>
          <w:noProof/>
        </w:rPr>
        <w:t> </w:t>
      </w:r>
      <w:r w:rsidRPr="003409C9">
        <w:rPr>
          <w:noProof/>
        </w:rPr>
        <w:t>4 tego protokołu Dania –</w:t>
      </w:r>
      <w:r w:rsidR="003409C9" w:rsidRPr="003409C9">
        <w:rPr>
          <w:noProof/>
        </w:rPr>
        <w:t xml:space="preserve"> w ter</w:t>
      </w:r>
      <w:r w:rsidRPr="003409C9">
        <w:rPr>
          <w:noProof/>
        </w:rPr>
        <w:t>minie sześciu miesięcy po przyjęciu przez Radę niniejszego rozporządzenia – podejmuje decyzję, czy dokona jego transpozycji do swego prawa krajowego.</w:t>
      </w:r>
    </w:p>
    <w:p w:rsidR="00250117" w:rsidRPr="003409C9" w:rsidRDefault="009475BC" w:rsidP="009475BC">
      <w:pPr>
        <w:pStyle w:val="ManualConsidrant"/>
        <w:rPr>
          <w:noProof/>
        </w:rPr>
      </w:pPr>
      <w:r w:rsidRPr="003409C9">
        <w:rPr>
          <w:noProof/>
        </w:rPr>
        <w:t>(38)</w:t>
      </w:r>
      <w:r w:rsidRPr="003409C9">
        <w:rPr>
          <w:noProof/>
        </w:rPr>
        <w:tab/>
        <w:t>Niniejsze rozporządzenie ma zastosowanie do Irlandii zgodnie</w:t>
      </w:r>
      <w:r w:rsidR="003409C9" w:rsidRPr="003409C9">
        <w:rPr>
          <w:noProof/>
        </w:rPr>
        <w:t xml:space="preserve"> z art</w:t>
      </w:r>
      <w:r w:rsidRPr="003409C9">
        <w:rPr>
          <w:noProof/>
        </w:rPr>
        <w:t>.</w:t>
      </w:r>
      <w:r w:rsidR="003409C9" w:rsidRPr="003409C9">
        <w:rPr>
          <w:noProof/>
        </w:rPr>
        <w:t> </w:t>
      </w:r>
      <w:r w:rsidRPr="003409C9">
        <w:rPr>
          <w:noProof/>
        </w:rPr>
        <w:t>5 ust.</w:t>
      </w:r>
      <w:r w:rsidR="003409C9" w:rsidRPr="003409C9">
        <w:rPr>
          <w:noProof/>
        </w:rPr>
        <w:t> </w:t>
      </w:r>
      <w:r w:rsidRPr="003409C9">
        <w:rPr>
          <w:noProof/>
        </w:rPr>
        <w:t>1 Protokołu nr</w:t>
      </w:r>
      <w:r w:rsidR="003409C9" w:rsidRPr="003409C9">
        <w:rPr>
          <w:noProof/>
        </w:rPr>
        <w:t> </w:t>
      </w:r>
      <w:r w:rsidRPr="003409C9">
        <w:rPr>
          <w:noProof/>
        </w:rPr>
        <w:t>19</w:t>
      </w:r>
      <w:r w:rsidR="003409C9" w:rsidRPr="003409C9">
        <w:rPr>
          <w:noProof/>
        </w:rPr>
        <w:t xml:space="preserve"> w spr</w:t>
      </w:r>
      <w:r w:rsidRPr="003409C9">
        <w:rPr>
          <w:noProof/>
        </w:rPr>
        <w:t>awie dorobku Schengen włączonego</w:t>
      </w:r>
      <w:r w:rsidR="003409C9" w:rsidRPr="003409C9">
        <w:rPr>
          <w:noProof/>
        </w:rPr>
        <w:t xml:space="preserve"> w ram</w:t>
      </w:r>
      <w:r w:rsidRPr="003409C9">
        <w:rPr>
          <w:noProof/>
        </w:rPr>
        <w:t>y Unii Europejskiej, który jest załączony do Traktatu</w:t>
      </w:r>
      <w:r w:rsidR="003409C9" w:rsidRPr="003409C9">
        <w:rPr>
          <w:noProof/>
        </w:rPr>
        <w:t xml:space="preserve"> o Uni</w:t>
      </w:r>
      <w:r w:rsidRPr="003409C9">
        <w:rPr>
          <w:noProof/>
        </w:rPr>
        <w:t>i Europejskiej i do Traktatu</w:t>
      </w:r>
      <w:r w:rsidR="003409C9" w:rsidRPr="003409C9">
        <w:rPr>
          <w:noProof/>
        </w:rPr>
        <w:t xml:space="preserve"> o fun</w:t>
      </w:r>
      <w:r w:rsidRPr="003409C9">
        <w:rPr>
          <w:noProof/>
        </w:rPr>
        <w:t>kcjonowaniu Unii Europejskiej, oraz art.</w:t>
      </w:r>
      <w:r w:rsidR="003409C9" w:rsidRPr="003409C9">
        <w:rPr>
          <w:noProof/>
        </w:rPr>
        <w:t> </w:t>
      </w:r>
      <w:r w:rsidRPr="003409C9">
        <w:rPr>
          <w:noProof/>
        </w:rPr>
        <w:t>6 ust.</w:t>
      </w:r>
      <w:r w:rsidR="003409C9" w:rsidRPr="003409C9">
        <w:rPr>
          <w:noProof/>
        </w:rPr>
        <w:t> </w:t>
      </w:r>
      <w:r w:rsidRPr="003409C9">
        <w:rPr>
          <w:noProof/>
        </w:rPr>
        <w:t>2 decyzji Rady 2002/192/WE</w:t>
      </w:r>
      <w:r w:rsidRPr="003409C9">
        <w:rPr>
          <w:rStyle w:val="FootnoteReference0"/>
          <w:noProof/>
        </w:rPr>
        <w:footnoteReference w:id="41"/>
      </w:r>
      <w:r w:rsidRPr="003409C9">
        <w:rPr>
          <w:noProof/>
        </w:rPr>
        <w:t>.</w:t>
      </w:r>
    </w:p>
    <w:p w:rsidR="00296522" w:rsidRPr="003409C9" w:rsidRDefault="002D382F" w:rsidP="002C31A3">
      <w:pPr>
        <w:pStyle w:val="ManualConsidrant"/>
        <w:rPr>
          <w:noProof/>
        </w:rPr>
      </w:pPr>
      <w:r w:rsidRPr="003409C9">
        <w:rPr>
          <w:noProof/>
        </w:rPr>
        <w:t xml:space="preserve">(39) </w:t>
      </w:r>
      <w:r w:rsidRPr="003409C9">
        <w:rPr>
          <w:noProof/>
        </w:rPr>
        <w:tab/>
        <w:t>Uczestnictwo Irlandii</w:t>
      </w:r>
      <w:r w:rsidR="003409C9" w:rsidRPr="003409C9">
        <w:rPr>
          <w:noProof/>
        </w:rPr>
        <w:t xml:space="preserve"> w nin</w:t>
      </w:r>
      <w:r w:rsidRPr="003409C9">
        <w:rPr>
          <w:noProof/>
        </w:rPr>
        <w:t>iejszym rozporządzeniu, zgodnie</w:t>
      </w:r>
      <w:r w:rsidR="003409C9" w:rsidRPr="003409C9">
        <w:rPr>
          <w:noProof/>
        </w:rPr>
        <w:t xml:space="preserve"> z art</w:t>
      </w:r>
      <w:r w:rsidRPr="003409C9">
        <w:rPr>
          <w:noProof/>
        </w:rPr>
        <w:t>.</w:t>
      </w:r>
      <w:r w:rsidR="003409C9" w:rsidRPr="003409C9">
        <w:rPr>
          <w:noProof/>
        </w:rPr>
        <w:t> </w:t>
      </w:r>
      <w:r w:rsidRPr="003409C9">
        <w:rPr>
          <w:noProof/>
        </w:rPr>
        <w:t>6 ust.</w:t>
      </w:r>
      <w:r w:rsidR="003409C9" w:rsidRPr="003409C9">
        <w:rPr>
          <w:noProof/>
        </w:rPr>
        <w:t> </w:t>
      </w:r>
      <w:r w:rsidRPr="003409C9">
        <w:rPr>
          <w:noProof/>
        </w:rPr>
        <w:t>2 decyzji 2002/192/WE, związane jest</w:t>
      </w:r>
      <w:r w:rsidR="003409C9" w:rsidRPr="003409C9">
        <w:rPr>
          <w:noProof/>
        </w:rPr>
        <w:t xml:space="preserve"> z obo</w:t>
      </w:r>
      <w:r w:rsidRPr="003409C9">
        <w:rPr>
          <w:noProof/>
        </w:rPr>
        <w:t>wiązkami Unii</w:t>
      </w:r>
      <w:r w:rsidR="003409C9" w:rsidRPr="003409C9">
        <w:rPr>
          <w:noProof/>
        </w:rPr>
        <w:t xml:space="preserve"> w zak</w:t>
      </w:r>
      <w:r w:rsidRPr="003409C9">
        <w:rPr>
          <w:noProof/>
        </w:rPr>
        <w:t>resie wprowadzenia środków rozwijających przepisy dorobku Schengen mające na celu przeciwdziałanie nielegalnej imigracji,</w:t>
      </w:r>
      <w:r w:rsidR="003409C9" w:rsidRPr="003409C9">
        <w:rPr>
          <w:noProof/>
        </w:rPr>
        <w:t xml:space="preserve"> w któ</w:t>
      </w:r>
      <w:r w:rsidRPr="003409C9">
        <w:rPr>
          <w:noProof/>
        </w:rPr>
        <w:t>rych uczestniczy Irlandia.</w:t>
      </w:r>
    </w:p>
    <w:p w:rsidR="00250117" w:rsidRPr="003409C9" w:rsidRDefault="009475BC" w:rsidP="009475BC">
      <w:pPr>
        <w:pStyle w:val="ManualConsidrant"/>
        <w:rPr>
          <w:noProof/>
        </w:rPr>
      </w:pPr>
      <w:r w:rsidRPr="003409C9">
        <w:rPr>
          <w:noProof/>
        </w:rPr>
        <w:t>(40)</w:t>
      </w:r>
      <w:r w:rsidRPr="003409C9">
        <w:rPr>
          <w:noProof/>
        </w:rPr>
        <w:tab/>
        <w:t>W odniesieniu do Islandii</w:t>
      </w:r>
      <w:r w:rsidR="003409C9" w:rsidRPr="003409C9">
        <w:rPr>
          <w:noProof/>
        </w:rPr>
        <w:t xml:space="preserve"> i Nor</w:t>
      </w:r>
      <w:r w:rsidRPr="003409C9">
        <w:rPr>
          <w:noProof/>
        </w:rPr>
        <w:t>wegii niniejsze rozporządzenie stanowi rozwinięcie przepisów dorobku Schengen</w:t>
      </w:r>
      <w:r w:rsidR="003409C9" w:rsidRPr="003409C9">
        <w:rPr>
          <w:noProof/>
        </w:rPr>
        <w:t xml:space="preserve"> w roz</w:t>
      </w:r>
      <w:r w:rsidRPr="003409C9">
        <w:rPr>
          <w:noProof/>
        </w:rPr>
        <w:t>umieniu Umowy zawartej przez Radę Unii Europejskiej</w:t>
      </w:r>
      <w:r w:rsidR="003409C9" w:rsidRPr="003409C9">
        <w:rPr>
          <w:noProof/>
        </w:rPr>
        <w:t xml:space="preserve"> i Rep</w:t>
      </w:r>
      <w:r w:rsidRPr="003409C9">
        <w:rPr>
          <w:noProof/>
        </w:rPr>
        <w:t>ublikę Islandii oraz Królestwo Norwegii dotyczącej włączenia tych dwóch państw we wprowadzanie</w:t>
      </w:r>
      <w:r w:rsidR="003409C9" w:rsidRPr="003409C9">
        <w:rPr>
          <w:noProof/>
        </w:rPr>
        <w:t xml:space="preserve"> w życ</w:t>
      </w:r>
      <w:r w:rsidRPr="003409C9">
        <w:rPr>
          <w:noProof/>
        </w:rPr>
        <w:t>ie, stosowanie</w:t>
      </w:r>
      <w:r w:rsidR="003409C9" w:rsidRPr="003409C9">
        <w:rPr>
          <w:noProof/>
        </w:rPr>
        <w:t xml:space="preserve"> i roz</w:t>
      </w:r>
      <w:r w:rsidRPr="003409C9">
        <w:rPr>
          <w:noProof/>
        </w:rPr>
        <w:t>wój dorobku Schengen</w:t>
      </w:r>
      <w:r w:rsidRPr="00BB07AF">
        <w:rPr>
          <w:rStyle w:val="FootnoteReference0"/>
          <w:b/>
          <w:iCs/>
          <w:noProof/>
        </w:rPr>
        <w:footnoteReference w:id="42"/>
      </w:r>
      <w:r w:rsidRPr="003409C9">
        <w:rPr>
          <w:noProof/>
        </w:rPr>
        <w:t>, które wchodzą</w:t>
      </w:r>
      <w:r w:rsidR="003409C9" w:rsidRPr="003409C9">
        <w:rPr>
          <w:noProof/>
        </w:rPr>
        <w:t xml:space="preserve"> w zak</w:t>
      </w:r>
      <w:r w:rsidRPr="003409C9">
        <w:rPr>
          <w:noProof/>
        </w:rPr>
        <w:t>res obszaru,</w:t>
      </w:r>
      <w:r w:rsidR="003409C9" w:rsidRPr="003409C9">
        <w:rPr>
          <w:noProof/>
        </w:rPr>
        <w:t xml:space="preserve"> o któ</w:t>
      </w:r>
      <w:r w:rsidRPr="003409C9">
        <w:rPr>
          <w:noProof/>
        </w:rPr>
        <w:t>rym mowa</w:t>
      </w:r>
      <w:r w:rsidR="003409C9" w:rsidRPr="003409C9">
        <w:rPr>
          <w:noProof/>
        </w:rPr>
        <w:t xml:space="preserve"> w art</w:t>
      </w:r>
      <w:r w:rsidRPr="003409C9">
        <w:rPr>
          <w:noProof/>
        </w:rPr>
        <w:t>.</w:t>
      </w:r>
      <w:r w:rsidR="003409C9" w:rsidRPr="003409C9">
        <w:rPr>
          <w:noProof/>
        </w:rPr>
        <w:t> </w:t>
      </w:r>
      <w:r w:rsidRPr="003409C9">
        <w:rPr>
          <w:noProof/>
        </w:rPr>
        <w:t>1 lit</w:t>
      </w:r>
      <w:r w:rsidR="003409C9" w:rsidRPr="003409C9">
        <w:rPr>
          <w:noProof/>
        </w:rPr>
        <w:t>. A dec</w:t>
      </w:r>
      <w:r w:rsidRPr="003409C9">
        <w:rPr>
          <w:noProof/>
        </w:rPr>
        <w:t>yzji Rady 1999/437/WE</w:t>
      </w:r>
      <w:r w:rsidRPr="003409C9">
        <w:rPr>
          <w:rStyle w:val="FootnoteReference0"/>
          <w:noProof/>
        </w:rPr>
        <w:footnoteReference w:id="43"/>
      </w:r>
      <w:r w:rsidRPr="003409C9">
        <w:rPr>
          <w:noProof/>
        </w:rPr>
        <w:t>.</w:t>
      </w:r>
    </w:p>
    <w:p w:rsidR="00250117" w:rsidRPr="003409C9" w:rsidRDefault="009475BC" w:rsidP="009475BC">
      <w:pPr>
        <w:pStyle w:val="ManualConsidrant"/>
        <w:rPr>
          <w:noProof/>
        </w:rPr>
      </w:pPr>
      <w:r w:rsidRPr="003409C9">
        <w:rPr>
          <w:noProof/>
        </w:rPr>
        <w:t>(41)</w:t>
      </w:r>
      <w:r w:rsidRPr="003409C9">
        <w:rPr>
          <w:noProof/>
        </w:rPr>
        <w:tab/>
        <w:t>W odniesieniu do Szwajcarii niniejsze rozporządzenie stanowi rozwinięcie przepisów dorobku Schengen</w:t>
      </w:r>
      <w:r w:rsidR="003409C9" w:rsidRPr="003409C9">
        <w:rPr>
          <w:noProof/>
        </w:rPr>
        <w:t xml:space="preserve"> w roz</w:t>
      </w:r>
      <w:r w:rsidRPr="003409C9">
        <w:rPr>
          <w:noProof/>
        </w:rPr>
        <w:t>umieniu Umowy między Unią Europejską, Wspólnotą Europejską</w:t>
      </w:r>
      <w:r w:rsidR="003409C9" w:rsidRPr="003409C9">
        <w:rPr>
          <w:noProof/>
        </w:rPr>
        <w:t xml:space="preserve"> a Kon</w:t>
      </w:r>
      <w:r w:rsidRPr="003409C9">
        <w:rPr>
          <w:noProof/>
        </w:rPr>
        <w:t>federacją Szwajcarską</w:t>
      </w:r>
      <w:r w:rsidR="003409C9" w:rsidRPr="003409C9">
        <w:rPr>
          <w:noProof/>
        </w:rPr>
        <w:t xml:space="preserve"> w spr</w:t>
      </w:r>
      <w:r w:rsidRPr="003409C9">
        <w:rPr>
          <w:noProof/>
        </w:rPr>
        <w:t>awie włączenia Konfederacji Szwajcarskiej we wprowadzanie</w:t>
      </w:r>
      <w:r w:rsidR="003409C9" w:rsidRPr="003409C9">
        <w:rPr>
          <w:noProof/>
        </w:rPr>
        <w:t xml:space="preserve"> w życ</w:t>
      </w:r>
      <w:r w:rsidRPr="003409C9">
        <w:rPr>
          <w:noProof/>
        </w:rPr>
        <w:t>ie, stosowanie</w:t>
      </w:r>
      <w:r w:rsidR="003409C9" w:rsidRPr="003409C9">
        <w:rPr>
          <w:noProof/>
        </w:rPr>
        <w:t xml:space="preserve"> i roz</w:t>
      </w:r>
      <w:r w:rsidRPr="003409C9">
        <w:rPr>
          <w:noProof/>
        </w:rPr>
        <w:t>wój dorobku Schengen</w:t>
      </w:r>
      <w:r w:rsidRPr="003409C9">
        <w:rPr>
          <w:rStyle w:val="FootnoteReference0"/>
          <w:noProof/>
        </w:rPr>
        <w:footnoteReference w:id="44"/>
      </w:r>
      <w:r w:rsidRPr="003409C9">
        <w:rPr>
          <w:noProof/>
        </w:rPr>
        <w:t>, które wchodzą</w:t>
      </w:r>
      <w:r w:rsidR="003409C9" w:rsidRPr="003409C9">
        <w:rPr>
          <w:noProof/>
        </w:rPr>
        <w:t xml:space="preserve"> w zak</w:t>
      </w:r>
      <w:r w:rsidRPr="003409C9">
        <w:rPr>
          <w:noProof/>
        </w:rPr>
        <w:t>res obszaru,</w:t>
      </w:r>
      <w:r w:rsidR="003409C9" w:rsidRPr="003409C9">
        <w:rPr>
          <w:noProof/>
        </w:rPr>
        <w:t xml:space="preserve"> o któ</w:t>
      </w:r>
      <w:r w:rsidRPr="003409C9">
        <w:rPr>
          <w:noProof/>
        </w:rPr>
        <w:t>rym mowa</w:t>
      </w:r>
      <w:r w:rsidR="003409C9" w:rsidRPr="003409C9">
        <w:rPr>
          <w:noProof/>
        </w:rPr>
        <w:t xml:space="preserve"> w art</w:t>
      </w:r>
      <w:r w:rsidRPr="003409C9">
        <w:rPr>
          <w:noProof/>
        </w:rPr>
        <w:t>.</w:t>
      </w:r>
      <w:r w:rsidR="003409C9" w:rsidRPr="003409C9">
        <w:rPr>
          <w:noProof/>
        </w:rPr>
        <w:t> </w:t>
      </w:r>
      <w:r w:rsidRPr="003409C9">
        <w:rPr>
          <w:noProof/>
        </w:rPr>
        <w:t>1 lit</w:t>
      </w:r>
      <w:r w:rsidR="003409C9" w:rsidRPr="003409C9">
        <w:rPr>
          <w:noProof/>
        </w:rPr>
        <w:t>. A dec</w:t>
      </w:r>
      <w:r w:rsidRPr="003409C9">
        <w:rPr>
          <w:noProof/>
        </w:rPr>
        <w:t>yzji 1999/437/WE</w:t>
      </w:r>
      <w:r w:rsidR="003409C9" w:rsidRPr="003409C9">
        <w:rPr>
          <w:noProof/>
        </w:rPr>
        <w:t xml:space="preserve"> w zwi</w:t>
      </w:r>
      <w:r w:rsidRPr="003409C9">
        <w:rPr>
          <w:noProof/>
        </w:rPr>
        <w:t>ązku</w:t>
      </w:r>
      <w:r w:rsidR="003409C9" w:rsidRPr="003409C9">
        <w:rPr>
          <w:noProof/>
        </w:rPr>
        <w:t xml:space="preserve"> z art</w:t>
      </w:r>
      <w:r w:rsidRPr="003409C9">
        <w:rPr>
          <w:noProof/>
        </w:rPr>
        <w:t>.</w:t>
      </w:r>
      <w:r w:rsidR="003409C9" w:rsidRPr="003409C9">
        <w:rPr>
          <w:noProof/>
        </w:rPr>
        <w:t> </w:t>
      </w:r>
      <w:r w:rsidRPr="003409C9">
        <w:rPr>
          <w:noProof/>
        </w:rPr>
        <w:t>3 decyzji Rady 2008/146/WE</w:t>
      </w:r>
      <w:r w:rsidRPr="003409C9">
        <w:rPr>
          <w:rStyle w:val="FootnoteReference0"/>
          <w:noProof/>
        </w:rPr>
        <w:footnoteReference w:id="45"/>
      </w:r>
      <w:r w:rsidRPr="003409C9">
        <w:rPr>
          <w:noProof/>
        </w:rPr>
        <w:t>.</w:t>
      </w:r>
    </w:p>
    <w:p w:rsidR="00250117" w:rsidRPr="003409C9" w:rsidRDefault="009475BC" w:rsidP="009475BC">
      <w:pPr>
        <w:pStyle w:val="ManualConsidrant"/>
        <w:rPr>
          <w:noProof/>
        </w:rPr>
      </w:pPr>
      <w:r w:rsidRPr="003409C9">
        <w:rPr>
          <w:noProof/>
        </w:rPr>
        <w:t>(42)</w:t>
      </w:r>
      <w:r w:rsidRPr="003409C9">
        <w:rPr>
          <w:noProof/>
        </w:rPr>
        <w:tab/>
        <w:t>W odniesieniu do Liechtensteinu niniejsze rozporządzenie stanowi rozwinięcie przepisów dorobku Schengen</w:t>
      </w:r>
      <w:r w:rsidR="003409C9" w:rsidRPr="003409C9">
        <w:rPr>
          <w:noProof/>
        </w:rPr>
        <w:t xml:space="preserve"> w roz</w:t>
      </w:r>
      <w:r w:rsidRPr="003409C9">
        <w:rPr>
          <w:noProof/>
        </w:rPr>
        <w:t>umieniu Protokołu między Unią Europejską, Wspólnotą Europejską, Konfederacją Szwajcarską</w:t>
      </w:r>
      <w:r w:rsidR="003409C9" w:rsidRPr="003409C9">
        <w:rPr>
          <w:noProof/>
        </w:rPr>
        <w:t xml:space="preserve"> i Ksi</w:t>
      </w:r>
      <w:r w:rsidRPr="003409C9">
        <w:rPr>
          <w:noProof/>
        </w:rPr>
        <w:t>ęstwem Liechtensteinu</w:t>
      </w:r>
      <w:r w:rsidR="003409C9" w:rsidRPr="003409C9">
        <w:rPr>
          <w:noProof/>
        </w:rPr>
        <w:t xml:space="preserve"> w spr</w:t>
      </w:r>
      <w:r w:rsidRPr="003409C9">
        <w:rPr>
          <w:noProof/>
        </w:rPr>
        <w:t>awie przystąpienia Księstwa Liechtensteinu do Umowy między Unią Europejską, Wspólnotą Europejską</w:t>
      </w:r>
      <w:r w:rsidR="003409C9" w:rsidRPr="003409C9">
        <w:rPr>
          <w:noProof/>
        </w:rPr>
        <w:t xml:space="preserve"> i Kon</w:t>
      </w:r>
      <w:r w:rsidRPr="003409C9">
        <w:rPr>
          <w:noProof/>
        </w:rPr>
        <w:t>federacją Szwajcarską dotyczącej włączenia Konfederacji Szwajcarskiej we wprowadzanie</w:t>
      </w:r>
      <w:r w:rsidR="003409C9" w:rsidRPr="003409C9">
        <w:rPr>
          <w:noProof/>
        </w:rPr>
        <w:t xml:space="preserve"> w życ</w:t>
      </w:r>
      <w:r w:rsidRPr="003409C9">
        <w:rPr>
          <w:noProof/>
        </w:rPr>
        <w:t>ie, stosowanie</w:t>
      </w:r>
      <w:r w:rsidR="003409C9" w:rsidRPr="003409C9">
        <w:rPr>
          <w:noProof/>
        </w:rPr>
        <w:t xml:space="preserve"> i roz</w:t>
      </w:r>
      <w:r w:rsidRPr="003409C9">
        <w:rPr>
          <w:noProof/>
        </w:rPr>
        <w:t>wój dorobku Schengen</w:t>
      </w:r>
      <w:r w:rsidRPr="00BB07AF">
        <w:rPr>
          <w:rStyle w:val="FootnoteReference0"/>
          <w:b/>
          <w:iCs/>
          <w:noProof/>
        </w:rPr>
        <w:footnoteReference w:id="46"/>
      </w:r>
      <w:r w:rsidRPr="003409C9">
        <w:rPr>
          <w:noProof/>
        </w:rPr>
        <w:t>, które wchodzą</w:t>
      </w:r>
      <w:r w:rsidR="003409C9" w:rsidRPr="003409C9">
        <w:rPr>
          <w:noProof/>
        </w:rPr>
        <w:t xml:space="preserve"> w zak</w:t>
      </w:r>
      <w:r w:rsidRPr="003409C9">
        <w:rPr>
          <w:noProof/>
        </w:rPr>
        <w:t>res obszaru,</w:t>
      </w:r>
      <w:r w:rsidR="003409C9" w:rsidRPr="003409C9">
        <w:rPr>
          <w:noProof/>
        </w:rPr>
        <w:t xml:space="preserve"> o któ</w:t>
      </w:r>
      <w:r w:rsidRPr="003409C9">
        <w:rPr>
          <w:noProof/>
        </w:rPr>
        <w:t>rym mowa</w:t>
      </w:r>
      <w:r w:rsidR="003409C9" w:rsidRPr="003409C9">
        <w:rPr>
          <w:noProof/>
        </w:rPr>
        <w:t xml:space="preserve"> w art</w:t>
      </w:r>
      <w:r w:rsidRPr="003409C9">
        <w:rPr>
          <w:noProof/>
        </w:rPr>
        <w:t>.</w:t>
      </w:r>
      <w:r w:rsidR="003409C9" w:rsidRPr="003409C9">
        <w:rPr>
          <w:noProof/>
        </w:rPr>
        <w:t> </w:t>
      </w:r>
      <w:r w:rsidRPr="003409C9">
        <w:rPr>
          <w:noProof/>
        </w:rPr>
        <w:t>1 lit</w:t>
      </w:r>
      <w:r w:rsidR="003409C9" w:rsidRPr="003409C9">
        <w:rPr>
          <w:noProof/>
        </w:rPr>
        <w:t>. A dec</w:t>
      </w:r>
      <w:r w:rsidRPr="003409C9">
        <w:rPr>
          <w:noProof/>
        </w:rPr>
        <w:t>yzji Rady 1999/437/WE</w:t>
      </w:r>
      <w:r w:rsidR="003409C9" w:rsidRPr="003409C9">
        <w:rPr>
          <w:noProof/>
        </w:rPr>
        <w:t xml:space="preserve"> w zwi</w:t>
      </w:r>
      <w:r w:rsidRPr="003409C9">
        <w:rPr>
          <w:noProof/>
        </w:rPr>
        <w:t>ązku</w:t>
      </w:r>
      <w:r w:rsidR="003409C9" w:rsidRPr="003409C9">
        <w:rPr>
          <w:noProof/>
        </w:rPr>
        <w:t xml:space="preserve"> z art</w:t>
      </w:r>
      <w:r w:rsidRPr="003409C9">
        <w:rPr>
          <w:noProof/>
        </w:rPr>
        <w:t>.</w:t>
      </w:r>
      <w:r w:rsidR="003409C9" w:rsidRPr="003409C9">
        <w:rPr>
          <w:noProof/>
        </w:rPr>
        <w:t> </w:t>
      </w:r>
      <w:r w:rsidRPr="003409C9">
        <w:rPr>
          <w:noProof/>
        </w:rPr>
        <w:t>3 decyzji Rady 2011/350/UE</w:t>
      </w:r>
      <w:r w:rsidRPr="003409C9">
        <w:rPr>
          <w:rStyle w:val="FootnoteReference0"/>
          <w:noProof/>
        </w:rPr>
        <w:footnoteReference w:id="47"/>
      </w:r>
      <w:r w:rsidRPr="003409C9">
        <w:rPr>
          <w:noProof/>
        </w:rPr>
        <w:t>.</w:t>
      </w:r>
    </w:p>
    <w:p w:rsidR="00250117" w:rsidRPr="003409C9" w:rsidRDefault="009475BC" w:rsidP="009475BC">
      <w:pPr>
        <w:pStyle w:val="ManualConsidrant"/>
        <w:rPr>
          <w:noProof/>
        </w:rPr>
      </w:pPr>
      <w:r w:rsidRPr="003409C9">
        <w:rPr>
          <w:noProof/>
        </w:rPr>
        <w:t>(43)</w:t>
      </w:r>
      <w:r w:rsidRPr="003409C9">
        <w:rPr>
          <w:noProof/>
        </w:rPr>
        <w:tab/>
        <w:t>W odniesieniu do Cypru, Bułgarii, Rumunii</w:t>
      </w:r>
      <w:r w:rsidR="003409C9" w:rsidRPr="003409C9">
        <w:rPr>
          <w:noProof/>
        </w:rPr>
        <w:t xml:space="preserve"> i Cho</w:t>
      </w:r>
      <w:r w:rsidRPr="003409C9">
        <w:rPr>
          <w:noProof/>
        </w:rPr>
        <w:t>rwacji niniejsze rozporządzenie jest aktem stanowiącym rozwinięcie dorobku Schengen lub</w:t>
      </w:r>
      <w:r w:rsidR="003409C9" w:rsidRPr="003409C9">
        <w:rPr>
          <w:noProof/>
        </w:rPr>
        <w:t xml:space="preserve"> w inn</w:t>
      </w:r>
      <w:r w:rsidRPr="003409C9">
        <w:rPr>
          <w:noProof/>
        </w:rPr>
        <w:t>y sposób</w:t>
      </w:r>
      <w:r w:rsidR="003409C9" w:rsidRPr="003409C9">
        <w:rPr>
          <w:noProof/>
        </w:rPr>
        <w:t xml:space="preserve"> z nim</w:t>
      </w:r>
      <w:r w:rsidRPr="003409C9">
        <w:rPr>
          <w:noProof/>
        </w:rPr>
        <w:t xml:space="preserve"> związanym</w:t>
      </w:r>
      <w:r w:rsidR="003409C9" w:rsidRPr="003409C9">
        <w:rPr>
          <w:noProof/>
        </w:rPr>
        <w:t xml:space="preserve"> w roz</w:t>
      </w:r>
      <w:r w:rsidRPr="003409C9">
        <w:rPr>
          <w:noProof/>
        </w:rPr>
        <w:t>umieniu, odpowiednio, art.</w:t>
      </w:r>
      <w:r w:rsidR="003409C9" w:rsidRPr="003409C9">
        <w:rPr>
          <w:noProof/>
        </w:rPr>
        <w:t> </w:t>
      </w:r>
      <w:r w:rsidRPr="003409C9">
        <w:rPr>
          <w:noProof/>
        </w:rPr>
        <w:t>3 ust.</w:t>
      </w:r>
      <w:r w:rsidR="003409C9" w:rsidRPr="003409C9">
        <w:rPr>
          <w:noProof/>
        </w:rPr>
        <w:t> </w:t>
      </w:r>
      <w:r w:rsidRPr="003409C9">
        <w:rPr>
          <w:noProof/>
        </w:rPr>
        <w:t>1 Aktu przystąpienia</w:t>
      </w:r>
      <w:r w:rsidR="003409C9" w:rsidRPr="003409C9">
        <w:rPr>
          <w:noProof/>
        </w:rPr>
        <w:t xml:space="preserve"> z 2</w:t>
      </w:r>
      <w:r w:rsidRPr="003409C9">
        <w:rPr>
          <w:noProof/>
        </w:rPr>
        <w:t>003</w:t>
      </w:r>
      <w:r w:rsidR="003409C9" w:rsidRPr="003409C9">
        <w:rPr>
          <w:noProof/>
        </w:rPr>
        <w:t> </w:t>
      </w:r>
      <w:r w:rsidRPr="003409C9">
        <w:rPr>
          <w:noProof/>
        </w:rPr>
        <w:t>r., art.</w:t>
      </w:r>
      <w:r w:rsidR="003409C9" w:rsidRPr="003409C9">
        <w:rPr>
          <w:noProof/>
        </w:rPr>
        <w:t> </w:t>
      </w:r>
      <w:r w:rsidRPr="003409C9">
        <w:rPr>
          <w:noProof/>
        </w:rPr>
        <w:t>4 ust.</w:t>
      </w:r>
      <w:r w:rsidR="003409C9" w:rsidRPr="003409C9">
        <w:rPr>
          <w:noProof/>
        </w:rPr>
        <w:t> </w:t>
      </w:r>
      <w:r w:rsidRPr="003409C9">
        <w:rPr>
          <w:noProof/>
        </w:rPr>
        <w:t>1 Aktu przystąpienia</w:t>
      </w:r>
      <w:r w:rsidR="003409C9" w:rsidRPr="003409C9">
        <w:rPr>
          <w:noProof/>
        </w:rPr>
        <w:t xml:space="preserve"> z 2</w:t>
      </w:r>
      <w:r w:rsidRPr="003409C9">
        <w:rPr>
          <w:noProof/>
        </w:rPr>
        <w:t>005</w:t>
      </w:r>
      <w:r w:rsidR="003409C9" w:rsidRPr="003409C9">
        <w:rPr>
          <w:noProof/>
        </w:rPr>
        <w:t> </w:t>
      </w:r>
      <w:r w:rsidRPr="003409C9">
        <w:rPr>
          <w:noProof/>
        </w:rPr>
        <w:t>r.</w:t>
      </w:r>
      <w:r w:rsidR="003409C9" w:rsidRPr="003409C9">
        <w:rPr>
          <w:noProof/>
        </w:rPr>
        <w:t xml:space="preserve"> i art</w:t>
      </w:r>
      <w:r w:rsidRPr="003409C9">
        <w:rPr>
          <w:noProof/>
        </w:rPr>
        <w:t>.</w:t>
      </w:r>
      <w:r w:rsidR="003409C9" w:rsidRPr="003409C9">
        <w:rPr>
          <w:noProof/>
        </w:rPr>
        <w:t> </w:t>
      </w:r>
      <w:r w:rsidRPr="003409C9">
        <w:rPr>
          <w:noProof/>
        </w:rPr>
        <w:t>4 ust.</w:t>
      </w:r>
      <w:r w:rsidR="003409C9" w:rsidRPr="003409C9">
        <w:rPr>
          <w:noProof/>
        </w:rPr>
        <w:t> </w:t>
      </w:r>
      <w:r w:rsidRPr="003409C9">
        <w:rPr>
          <w:noProof/>
        </w:rPr>
        <w:t>1 Aktu przystąpienia</w:t>
      </w:r>
      <w:r w:rsidR="003409C9" w:rsidRPr="003409C9">
        <w:rPr>
          <w:noProof/>
        </w:rPr>
        <w:t xml:space="preserve"> z 2</w:t>
      </w:r>
      <w:r w:rsidRPr="003409C9">
        <w:rPr>
          <w:noProof/>
        </w:rPr>
        <w:t>011</w:t>
      </w:r>
      <w:r w:rsidR="003409C9" w:rsidRPr="003409C9">
        <w:rPr>
          <w:noProof/>
        </w:rPr>
        <w:t> </w:t>
      </w:r>
      <w:r w:rsidRPr="003409C9">
        <w:rPr>
          <w:noProof/>
        </w:rPr>
        <w:t>r.</w:t>
      </w:r>
    </w:p>
    <w:p w:rsidR="00250117" w:rsidRPr="003409C9" w:rsidRDefault="009475BC" w:rsidP="00BB07AF">
      <w:pPr>
        <w:pStyle w:val="ManualConsidrant"/>
        <w:rPr>
          <w:noProof/>
        </w:rPr>
      </w:pPr>
      <w:bookmarkStart w:id="18" w:name="_Hlk117703818"/>
      <w:r w:rsidRPr="003409C9">
        <w:rPr>
          <w:noProof/>
        </w:rPr>
        <w:t>(44)</w:t>
      </w:r>
      <w:r w:rsidRPr="003409C9">
        <w:rPr>
          <w:noProof/>
        </w:rPr>
        <w:tab/>
        <w:t>Zgodnie</w:t>
      </w:r>
      <w:r w:rsidR="003409C9" w:rsidRPr="003409C9">
        <w:rPr>
          <w:noProof/>
        </w:rPr>
        <w:t xml:space="preserve"> z art</w:t>
      </w:r>
      <w:r w:rsidRPr="003409C9">
        <w:rPr>
          <w:noProof/>
        </w:rPr>
        <w:t>.</w:t>
      </w:r>
      <w:r w:rsidR="003409C9" w:rsidRPr="003409C9">
        <w:rPr>
          <w:noProof/>
        </w:rPr>
        <w:t> </w:t>
      </w:r>
      <w:r w:rsidRPr="003409C9">
        <w:rPr>
          <w:noProof/>
        </w:rPr>
        <w:t>42 ust.</w:t>
      </w:r>
      <w:r w:rsidR="003409C9" w:rsidRPr="003409C9">
        <w:rPr>
          <w:noProof/>
        </w:rPr>
        <w:t> </w:t>
      </w:r>
      <w:r w:rsidRPr="003409C9">
        <w:rPr>
          <w:noProof/>
        </w:rPr>
        <w:t>1 rozporządzenia (UE) 2018/1725 skonsultowano się</w:t>
      </w:r>
      <w:r w:rsidR="003409C9" w:rsidRPr="003409C9">
        <w:rPr>
          <w:noProof/>
        </w:rPr>
        <w:t xml:space="preserve"> z Eur</w:t>
      </w:r>
      <w:r w:rsidRPr="003409C9">
        <w:rPr>
          <w:noProof/>
        </w:rPr>
        <w:t>opejskim Inspektorem Ochrony Danych, który wydał opinię dnia [XX]</w:t>
      </w:r>
      <w:r w:rsidRPr="003409C9">
        <w:rPr>
          <w:rStyle w:val="FootnoteReference0"/>
          <w:noProof/>
        </w:rPr>
        <w:footnoteReference w:id="48"/>
      </w:r>
      <w:r w:rsidRPr="003409C9">
        <w:rPr>
          <w:noProof/>
        </w:rPr>
        <w:t>,</w:t>
      </w:r>
      <w:bookmarkEnd w:id="18"/>
    </w:p>
    <w:p w:rsidR="00250117" w:rsidRPr="003409C9" w:rsidRDefault="00250117" w:rsidP="00250117">
      <w:pPr>
        <w:pStyle w:val="Formuledadoption"/>
        <w:rPr>
          <w:noProof/>
        </w:rPr>
      </w:pPr>
      <w:r w:rsidRPr="003409C9">
        <w:rPr>
          <w:noProof/>
        </w:rPr>
        <w:t>PRZYJMUJĄ NINIEJSZE ROZPORZĄDZENIE:</w:t>
      </w:r>
    </w:p>
    <w:p w:rsidR="00250117" w:rsidRPr="003409C9" w:rsidRDefault="00250117" w:rsidP="00250117">
      <w:pPr>
        <w:pStyle w:val="Titrearticle"/>
        <w:rPr>
          <w:i w:val="0"/>
          <w:noProof/>
        </w:rPr>
      </w:pPr>
      <w:r w:rsidRPr="003409C9">
        <w:rPr>
          <w:i w:val="0"/>
          <w:noProof/>
        </w:rPr>
        <w:t>ROZDZIAŁ 1</w:t>
      </w:r>
    </w:p>
    <w:p w:rsidR="00250117" w:rsidRPr="00BB07AF" w:rsidRDefault="00250117" w:rsidP="00250117">
      <w:pPr>
        <w:jc w:val="center"/>
        <w:rPr>
          <w:b/>
          <w:noProof/>
        </w:rPr>
      </w:pPr>
      <w:r w:rsidRPr="00BB07AF">
        <w:rPr>
          <w:b/>
          <w:noProof/>
        </w:rPr>
        <w:t>PRZEPISY OGÓLNE</w:t>
      </w:r>
    </w:p>
    <w:p w:rsidR="00250117" w:rsidRPr="00BB07AF" w:rsidRDefault="00250117" w:rsidP="00250117">
      <w:pPr>
        <w:pStyle w:val="Titrearticle"/>
        <w:rPr>
          <w:noProof/>
        </w:rPr>
      </w:pPr>
      <w:r w:rsidRPr="00BB07AF">
        <w:rPr>
          <w:noProof/>
        </w:rPr>
        <w:t>Artykuł 1</w:t>
      </w:r>
    </w:p>
    <w:p w:rsidR="00250117" w:rsidRPr="00BB07AF" w:rsidRDefault="00250117" w:rsidP="00250117">
      <w:pPr>
        <w:jc w:val="center"/>
        <w:rPr>
          <w:b/>
          <w:noProof/>
        </w:rPr>
      </w:pPr>
      <w:r w:rsidRPr="00BB07AF">
        <w:rPr>
          <w:b/>
          <w:noProof/>
        </w:rPr>
        <w:t>Przedmiot</w:t>
      </w:r>
    </w:p>
    <w:p w:rsidR="00250117" w:rsidRPr="003409C9" w:rsidRDefault="00250117" w:rsidP="00250117">
      <w:pPr>
        <w:rPr>
          <w:noProof/>
        </w:rPr>
      </w:pPr>
      <w:r w:rsidRPr="003409C9">
        <w:rPr>
          <w:noProof/>
        </w:rPr>
        <w:t>W celu usprawnienia</w:t>
      </w:r>
      <w:r w:rsidR="003409C9" w:rsidRPr="003409C9">
        <w:rPr>
          <w:noProof/>
        </w:rPr>
        <w:t xml:space="preserve"> i uła</w:t>
      </w:r>
      <w:r w:rsidRPr="003409C9">
        <w:rPr>
          <w:noProof/>
        </w:rPr>
        <w:t>twienia skutecznej</w:t>
      </w:r>
      <w:r w:rsidR="003409C9" w:rsidRPr="003409C9">
        <w:rPr>
          <w:noProof/>
        </w:rPr>
        <w:t xml:space="preserve"> i wyd</w:t>
      </w:r>
      <w:r w:rsidRPr="003409C9">
        <w:rPr>
          <w:noProof/>
        </w:rPr>
        <w:t>ajnej odprawy granicznej na granicach zewnętrznych oraz zwalczania nielegalnej imigracji</w:t>
      </w:r>
      <w:r w:rsidR="003409C9" w:rsidRPr="003409C9">
        <w:rPr>
          <w:noProof/>
        </w:rPr>
        <w:t xml:space="preserve"> w nin</w:t>
      </w:r>
      <w:r w:rsidRPr="003409C9">
        <w:rPr>
          <w:noProof/>
        </w:rPr>
        <w:t>iejszym rozporządzeniu ustanawia się przepisy dotyczące:</w:t>
      </w:r>
    </w:p>
    <w:p w:rsidR="00250117" w:rsidRPr="003409C9" w:rsidRDefault="009475BC" w:rsidP="009475BC">
      <w:pPr>
        <w:pStyle w:val="Point1"/>
        <w:rPr>
          <w:noProof/>
        </w:rPr>
      </w:pPr>
      <w:r w:rsidRPr="003409C9">
        <w:rPr>
          <w:noProof/>
        </w:rPr>
        <w:t>a)</w:t>
      </w:r>
      <w:r w:rsidRPr="003409C9">
        <w:rPr>
          <w:noProof/>
        </w:rPr>
        <w:tab/>
        <w:t>gromadzenia przez przewoźników lotniczych danych pasażera przekazywanych przed podróżą („dane API”) dotyczących lotów do Unii;</w:t>
      </w:r>
    </w:p>
    <w:p w:rsidR="00250117" w:rsidRPr="003409C9" w:rsidRDefault="009475BC" w:rsidP="009475BC">
      <w:pPr>
        <w:pStyle w:val="Point1"/>
        <w:rPr>
          <w:noProof/>
        </w:rPr>
      </w:pPr>
      <w:r w:rsidRPr="003409C9">
        <w:rPr>
          <w:noProof/>
        </w:rPr>
        <w:t>b)</w:t>
      </w:r>
      <w:r w:rsidRPr="003409C9">
        <w:rPr>
          <w:noProof/>
        </w:rPr>
        <w:tab/>
        <w:t>przekazywania przez przewoźników lotniczych danych API do routera;</w:t>
      </w:r>
    </w:p>
    <w:p w:rsidR="00250117" w:rsidRPr="003409C9" w:rsidRDefault="009475BC" w:rsidP="009475BC">
      <w:pPr>
        <w:pStyle w:val="Point1"/>
        <w:rPr>
          <w:noProof/>
        </w:rPr>
      </w:pPr>
      <w:r w:rsidRPr="003409C9">
        <w:rPr>
          <w:noProof/>
        </w:rPr>
        <w:t>c)</w:t>
      </w:r>
      <w:r w:rsidRPr="003409C9">
        <w:rPr>
          <w:noProof/>
        </w:rPr>
        <w:tab/>
        <w:t>przekazywania danych API</w:t>
      </w:r>
      <w:r w:rsidR="003409C9" w:rsidRPr="003409C9">
        <w:rPr>
          <w:noProof/>
        </w:rPr>
        <w:t xml:space="preserve"> z rou</w:t>
      </w:r>
      <w:r w:rsidRPr="003409C9">
        <w:rPr>
          <w:noProof/>
        </w:rPr>
        <w:t xml:space="preserve">tera właściwym służbom granicznym. </w:t>
      </w:r>
    </w:p>
    <w:p w:rsidR="00250117" w:rsidRPr="00BB07AF" w:rsidRDefault="00250117" w:rsidP="00250117">
      <w:pPr>
        <w:pStyle w:val="Titrearticle"/>
        <w:rPr>
          <w:noProof/>
        </w:rPr>
      </w:pPr>
      <w:bookmarkStart w:id="19" w:name="_Hlk117154184"/>
      <w:r w:rsidRPr="00BB07AF">
        <w:rPr>
          <w:noProof/>
        </w:rPr>
        <w:t>Artykuł 2</w:t>
      </w:r>
    </w:p>
    <w:p w:rsidR="00250117" w:rsidRPr="00BB07AF" w:rsidRDefault="00250117" w:rsidP="00250117">
      <w:pPr>
        <w:jc w:val="center"/>
        <w:rPr>
          <w:b/>
          <w:noProof/>
        </w:rPr>
      </w:pPr>
      <w:r w:rsidRPr="00BB07AF">
        <w:rPr>
          <w:b/>
          <w:noProof/>
        </w:rPr>
        <w:t>Zakres</w:t>
      </w:r>
    </w:p>
    <w:p w:rsidR="00250117" w:rsidRPr="003409C9" w:rsidRDefault="00250117" w:rsidP="00250117">
      <w:pPr>
        <w:rPr>
          <w:noProof/>
        </w:rPr>
      </w:pPr>
      <w:r w:rsidRPr="003409C9">
        <w:rPr>
          <w:noProof/>
        </w:rPr>
        <w:t>Niniejsze rozporządzenie ma zastosowanie do przewoźników lotniczych wykonujących regularne lub nieregularne loty do Unii.</w:t>
      </w:r>
    </w:p>
    <w:p w:rsidR="00250117" w:rsidRPr="003409C9" w:rsidRDefault="00250117" w:rsidP="00250117">
      <w:pPr>
        <w:rPr>
          <w:noProof/>
        </w:rPr>
      </w:pPr>
    </w:p>
    <w:bookmarkEnd w:id="19"/>
    <w:p w:rsidR="00250117" w:rsidRPr="00BB07AF" w:rsidRDefault="00250117" w:rsidP="009B05A0">
      <w:pPr>
        <w:jc w:val="center"/>
        <w:rPr>
          <w:i/>
          <w:noProof/>
        </w:rPr>
      </w:pPr>
      <w:r w:rsidRPr="00BB07AF">
        <w:rPr>
          <w:i/>
          <w:noProof/>
        </w:rPr>
        <w:t>Artykuł 3</w:t>
      </w:r>
    </w:p>
    <w:p w:rsidR="00250117" w:rsidRPr="00BB07AF" w:rsidRDefault="00250117" w:rsidP="00250117">
      <w:pPr>
        <w:jc w:val="center"/>
        <w:rPr>
          <w:b/>
          <w:noProof/>
        </w:rPr>
      </w:pPr>
      <w:r w:rsidRPr="00BB07AF">
        <w:rPr>
          <w:b/>
          <w:noProof/>
        </w:rPr>
        <w:t>Definicje</w:t>
      </w:r>
    </w:p>
    <w:p w:rsidR="00250117" w:rsidRPr="003409C9" w:rsidRDefault="00250117" w:rsidP="00250117">
      <w:pPr>
        <w:rPr>
          <w:noProof/>
        </w:rPr>
      </w:pPr>
      <w:r w:rsidRPr="003409C9">
        <w:rPr>
          <w:noProof/>
        </w:rPr>
        <w:t>Do celów niniejszego rozporządzenia stosuje się następujące definicje:</w:t>
      </w:r>
    </w:p>
    <w:p w:rsidR="00250117" w:rsidRPr="003409C9" w:rsidRDefault="009475BC" w:rsidP="009475BC">
      <w:pPr>
        <w:pStyle w:val="Point1"/>
        <w:rPr>
          <w:noProof/>
        </w:rPr>
      </w:pPr>
      <w:r w:rsidRPr="003409C9">
        <w:rPr>
          <w:noProof/>
        </w:rPr>
        <w:t>a)</w:t>
      </w:r>
      <w:r w:rsidRPr="003409C9">
        <w:rPr>
          <w:noProof/>
        </w:rPr>
        <w:tab/>
        <w:t>„przewoźnik lotniczy” oznacza przedsiębiorstwo transportu lotniczego</w:t>
      </w:r>
      <w:r w:rsidR="003409C9" w:rsidRPr="003409C9">
        <w:rPr>
          <w:noProof/>
        </w:rPr>
        <w:t xml:space="preserve"> w roz</w:t>
      </w:r>
      <w:r w:rsidRPr="003409C9">
        <w:rPr>
          <w:noProof/>
        </w:rPr>
        <w:t>umieniu art.</w:t>
      </w:r>
      <w:r w:rsidR="003409C9" w:rsidRPr="003409C9">
        <w:rPr>
          <w:noProof/>
        </w:rPr>
        <w:t> </w:t>
      </w:r>
      <w:r w:rsidRPr="003409C9">
        <w:rPr>
          <w:noProof/>
        </w:rPr>
        <w:t>3 pkt</w:t>
      </w:r>
      <w:r w:rsidR="003409C9" w:rsidRPr="003409C9">
        <w:rPr>
          <w:noProof/>
        </w:rPr>
        <w:t> </w:t>
      </w:r>
      <w:r w:rsidRPr="003409C9">
        <w:rPr>
          <w:noProof/>
        </w:rPr>
        <w:t>1 dyrektywy (UE) 2016/681;</w:t>
      </w:r>
    </w:p>
    <w:p w:rsidR="005169A6" w:rsidRPr="003409C9" w:rsidRDefault="009475BC" w:rsidP="009475BC">
      <w:pPr>
        <w:pStyle w:val="Point1"/>
        <w:rPr>
          <w:noProof/>
        </w:rPr>
      </w:pPr>
      <w:r w:rsidRPr="003409C9">
        <w:rPr>
          <w:noProof/>
        </w:rPr>
        <w:t>b)</w:t>
      </w:r>
      <w:r w:rsidRPr="003409C9">
        <w:rPr>
          <w:noProof/>
        </w:rPr>
        <w:tab/>
        <w:t>„odprawa graniczna” oznacza czynności kontrolne</w:t>
      </w:r>
      <w:r w:rsidR="003409C9" w:rsidRPr="003409C9">
        <w:rPr>
          <w:noProof/>
        </w:rPr>
        <w:t xml:space="preserve"> w roz</w:t>
      </w:r>
      <w:r w:rsidRPr="003409C9">
        <w:rPr>
          <w:noProof/>
        </w:rPr>
        <w:t>umieniu</w:t>
      </w:r>
      <w:r w:rsidR="003409C9" w:rsidRPr="003409C9">
        <w:rPr>
          <w:noProof/>
        </w:rPr>
        <w:t xml:space="preserve"> w art</w:t>
      </w:r>
      <w:r w:rsidRPr="003409C9">
        <w:rPr>
          <w:noProof/>
        </w:rPr>
        <w:t>.</w:t>
      </w:r>
      <w:r w:rsidR="003409C9" w:rsidRPr="003409C9">
        <w:rPr>
          <w:noProof/>
        </w:rPr>
        <w:t> </w:t>
      </w:r>
      <w:r w:rsidRPr="003409C9">
        <w:rPr>
          <w:noProof/>
        </w:rPr>
        <w:t>2 pkt</w:t>
      </w:r>
      <w:r w:rsidR="003409C9" w:rsidRPr="003409C9">
        <w:rPr>
          <w:noProof/>
        </w:rPr>
        <w:t> </w:t>
      </w:r>
      <w:r w:rsidRPr="003409C9">
        <w:rPr>
          <w:noProof/>
        </w:rPr>
        <w:t>11 rozporządzenia (UE) 2016/399;</w:t>
      </w:r>
    </w:p>
    <w:p w:rsidR="00250117" w:rsidRPr="003409C9" w:rsidRDefault="009475BC" w:rsidP="009475BC">
      <w:pPr>
        <w:pStyle w:val="Point1"/>
        <w:rPr>
          <w:noProof/>
        </w:rPr>
      </w:pPr>
      <w:r w:rsidRPr="003409C9">
        <w:rPr>
          <w:noProof/>
        </w:rPr>
        <w:t>c)</w:t>
      </w:r>
      <w:r w:rsidRPr="003409C9">
        <w:rPr>
          <w:noProof/>
        </w:rPr>
        <w:tab/>
        <w:t>„loty do Unii” oznaczają loty</w:t>
      </w:r>
      <w:r w:rsidR="003409C9" w:rsidRPr="003409C9">
        <w:rPr>
          <w:noProof/>
        </w:rPr>
        <w:t xml:space="preserve"> z ter</w:t>
      </w:r>
      <w:r w:rsidRPr="003409C9">
        <w:rPr>
          <w:noProof/>
        </w:rPr>
        <w:t>ytorium państwa trzeciego lub państwa członkowskiego nieobjętego niniejszym rozporządzeniem,</w:t>
      </w:r>
      <w:r w:rsidR="003409C9" w:rsidRPr="003409C9">
        <w:rPr>
          <w:noProof/>
        </w:rPr>
        <w:t xml:space="preserve"> w prz</w:t>
      </w:r>
      <w:r w:rsidRPr="003409C9">
        <w:rPr>
          <w:noProof/>
        </w:rPr>
        <w:t>ypadku których to lotów planuje się lądowanie na terytorium państwa członkowskiego objętego niniejszym rozporządzeniem;</w:t>
      </w:r>
    </w:p>
    <w:p w:rsidR="00250117" w:rsidRPr="003409C9" w:rsidRDefault="009475BC" w:rsidP="009475BC">
      <w:pPr>
        <w:pStyle w:val="Point1"/>
        <w:rPr>
          <w:noProof/>
        </w:rPr>
      </w:pPr>
      <w:r w:rsidRPr="003409C9">
        <w:rPr>
          <w:noProof/>
        </w:rPr>
        <w:t>d)</w:t>
      </w:r>
      <w:r w:rsidRPr="003409C9">
        <w:rPr>
          <w:noProof/>
        </w:rPr>
        <w:tab/>
        <w:t>„przejście graniczne” oznacza przejście graniczne</w:t>
      </w:r>
      <w:r w:rsidR="003409C9" w:rsidRPr="003409C9">
        <w:rPr>
          <w:noProof/>
        </w:rPr>
        <w:t xml:space="preserve"> w roz</w:t>
      </w:r>
      <w:r w:rsidRPr="003409C9">
        <w:rPr>
          <w:noProof/>
        </w:rPr>
        <w:t>umieniu art.</w:t>
      </w:r>
      <w:r w:rsidR="003409C9" w:rsidRPr="003409C9">
        <w:rPr>
          <w:noProof/>
        </w:rPr>
        <w:t> </w:t>
      </w:r>
      <w:r w:rsidRPr="003409C9">
        <w:rPr>
          <w:noProof/>
        </w:rPr>
        <w:t>2 pkt</w:t>
      </w:r>
      <w:r w:rsidR="003409C9" w:rsidRPr="003409C9">
        <w:rPr>
          <w:noProof/>
        </w:rPr>
        <w:t> </w:t>
      </w:r>
      <w:r w:rsidRPr="003409C9">
        <w:rPr>
          <w:noProof/>
        </w:rPr>
        <w:t>8 rozporządzenia (UE) 2016/399;</w:t>
      </w:r>
    </w:p>
    <w:p w:rsidR="00832116" w:rsidRPr="003409C9" w:rsidRDefault="009475BC" w:rsidP="009475BC">
      <w:pPr>
        <w:pStyle w:val="Point1"/>
        <w:rPr>
          <w:noProof/>
        </w:rPr>
      </w:pPr>
      <w:bookmarkStart w:id="20" w:name="_Hlk117757354"/>
      <w:r w:rsidRPr="003409C9">
        <w:rPr>
          <w:noProof/>
        </w:rPr>
        <w:t>e)</w:t>
      </w:r>
      <w:r w:rsidRPr="003409C9">
        <w:rPr>
          <w:noProof/>
        </w:rPr>
        <w:tab/>
        <w:t>„lot regularny” oznacza lot wykonywany zgodnie</w:t>
      </w:r>
      <w:r w:rsidR="003409C9" w:rsidRPr="003409C9">
        <w:rPr>
          <w:noProof/>
        </w:rPr>
        <w:t xml:space="preserve"> z ust</w:t>
      </w:r>
      <w:r w:rsidRPr="003409C9">
        <w:rPr>
          <w:noProof/>
        </w:rPr>
        <w:t>alonym rozkładem, na który bilety może nabyć ogół społeczeństwa;</w:t>
      </w:r>
    </w:p>
    <w:p w:rsidR="00832116" w:rsidRPr="003409C9" w:rsidRDefault="009475BC" w:rsidP="009475BC">
      <w:pPr>
        <w:pStyle w:val="Point1"/>
        <w:rPr>
          <w:noProof/>
        </w:rPr>
      </w:pPr>
      <w:r w:rsidRPr="003409C9">
        <w:rPr>
          <w:noProof/>
        </w:rPr>
        <w:t>f)</w:t>
      </w:r>
      <w:r w:rsidRPr="003409C9">
        <w:rPr>
          <w:noProof/>
        </w:rPr>
        <w:tab/>
        <w:t>„lot nieregularny” oznacza lot, który nie jest wykonywany zgodnie</w:t>
      </w:r>
      <w:r w:rsidR="003409C9" w:rsidRPr="003409C9">
        <w:rPr>
          <w:noProof/>
        </w:rPr>
        <w:t xml:space="preserve"> z ust</w:t>
      </w:r>
      <w:r w:rsidRPr="003409C9">
        <w:rPr>
          <w:noProof/>
        </w:rPr>
        <w:t>alonym rozkładem</w:t>
      </w:r>
      <w:r w:rsidR="003409C9" w:rsidRPr="003409C9">
        <w:rPr>
          <w:noProof/>
        </w:rPr>
        <w:t xml:space="preserve"> i któ</w:t>
      </w:r>
      <w:r w:rsidRPr="003409C9">
        <w:rPr>
          <w:noProof/>
        </w:rPr>
        <w:t>ry musi być częścią regularnej lub planowanej trasy;</w:t>
      </w:r>
    </w:p>
    <w:bookmarkEnd w:id="20"/>
    <w:p w:rsidR="00250117" w:rsidRPr="003409C9" w:rsidRDefault="009475BC" w:rsidP="009475BC">
      <w:pPr>
        <w:pStyle w:val="Point1"/>
        <w:rPr>
          <w:noProof/>
        </w:rPr>
      </w:pPr>
      <w:r w:rsidRPr="003409C9">
        <w:rPr>
          <w:noProof/>
        </w:rPr>
        <w:t>g)</w:t>
      </w:r>
      <w:r w:rsidRPr="003409C9">
        <w:rPr>
          <w:noProof/>
        </w:rPr>
        <w:tab/>
        <w:t>„właściwa służba graniczna” oznacza organ, któremu państwo członkowskie powierzyło zadanie polegające na przeprowadzaniu odprawy granicznej oraz który został wyznaczony</w:t>
      </w:r>
      <w:r w:rsidR="003409C9" w:rsidRPr="003409C9">
        <w:rPr>
          <w:noProof/>
        </w:rPr>
        <w:t xml:space="preserve"> i zgł</w:t>
      </w:r>
      <w:r w:rsidRPr="003409C9">
        <w:rPr>
          <w:noProof/>
        </w:rPr>
        <w:t>oszony przez to państwo członkowskie zgodnie</w:t>
      </w:r>
      <w:r w:rsidR="003409C9" w:rsidRPr="003409C9">
        <w:rPr>
          <w:noProof/>
        </w:rPr>
        <w:t xml:space="preserve"> z art</w:t>
      </w:r>
      <w:r w:rsidRPr="003409C9">
        <w:rPr>
          <w:noProof/>
        </w:rPr>
        <w:t>.</w:t>
      </w:r>
      <w:r w:rsidR="003409C9" w:rsidRPr="003409C9">
        <w:rPr>
          <w:noProof/>
        </w:rPr>
        <w:t> </w:t>
      </w:r>
      <w:r w:rsidRPr="003409C9">
        <w:rPr>
          <w:noProof/>
        </w:rPr>
        <w:t>11 ust.</w:t>
      </w:r>
      <w:r w:rsidR="003409C9" w:rsidRPr="003409C9">
        <w:rPr>
          <w:noProof/>
        </w:rPr>
        <w:t> </w:t>
      </w:r>
      <w:r w:rsidRPr="003409C9">
        <w:rPr>
          <w:noProof/>
        </w:rPr>
        <w:t>2;</w:t>
      </w:r>
    </w:p>
    <w:p w:rsidR="00250117" w:rsidRPr="003409C9" w:rsidRDefault="009475BC" w:rsidP="009475BC">
      <w:pPr>
        <w:pStyle w:val="Point1"/>
        <w:rPr>
          <w:noProof/>
        </w:rPr>
      </w:pPr>
      <w:bookmarkStart w:id="21" w:name="_Hlk117155258"/>
      <w:r w:rsidRPr="003409C9">
        <w:rPr>
          <w:noProof/>
        </w:rPr>
        <w:t>h)</w:t>
      </w:r>
      <w:r w:rsidRPr="003409C9">
        <w:rPr>
          <w:noProof/>
        </w:rPr>
        <w:tab/>
        <w:t>„pasażer” oznacza każdą osobę,</w:t>
      </w:r>
      <w:r w:rsidR="003409C9" w:rsidRPr="003409C9">
        <w:rPr>
          <w:noProof/>
        </w:rPr>
        <w:t xml:space="preserve"> z wyj</w:t>
      </w:r>
      <w:r w:rsidRPr="003409C9">
        <w:rPr>
          <w:noProof/>
        </w:rPr>
        <w:t>ątkiem członków załogi, która jest przewożona lub ma być przewieziona na pokładzie samolotu za zgodą przewoźnika lotniczego wyrażoną</w:t>
      </w:r>
      <w:r w:rsidR="003409C9" w:rsidRPr="003409C9">
        <w:rPr>
          <w:noProof/>
        </w:rPr>
        <w:t xml:space="preserve"> w for</w:t>
      </w:r>
      <w:r w:rsidRPr="003409C9">
        <w:rPr>
          <w:noProof/>
        </w:rPr>
        <w:t xml:space="preserve">mie wpisu tej osoby na listę pasażerów; </w:t>
      </w:r>
    </w:p>
    <w:p w:rsidR="00250117" w:rsidRPr="003409C9" w:rsidRDefault="009475BC" w:rsidP="009475BC">
      <w:pPr>
        <w:pStyle w:val="Point1"/>
        <w:rPr>
          <w:noProof/>
        </w:rPr>
      </w:pPr>
      <w:r w:rsidRPr="003409C9">
        <w:rPr>
          <w:noProof/>
        </w:rPr>
        <w:t>i)</w:t>
      </w:r>
      <w:r w:rsidRPr="003409C9">
        <w:rPr>
          <w:noProof/>
        </w:rPr>
        <w:tab/>
        <w:t>„załoga” oznacza każdą osobę znajdującą się na pokładzie samolotu podczas lotu, inną niż pasażer, która pracuje</w:t>
      </w:r>
      <w:r w:rsidR="003409C9" w:rsidRPr="003409C9">
        <w:rPr>
          <w:noProof/>
        </w:rPr>
        <w:t xml:space="preserve"> w sam</w:t>
      </w:r>
      <w:r w:rsidRPr="003409C9">
        <w:rPr>
          <w:noProof/>
        </w:rPr>
        <w:t>olocie</w:t>
      </w:r>
      <w:r w:rsidR="003409C9" w:rsidRPr="003409C9">
        <w:rPr>
          <w:noProof/>
        </w:rPr>
        <w:t xml:space="preserve"> i obs</w:t>
      </w:r>
      <w:r w:rsidRPr="003409C9">
        <w:rPr>
          <w:noProof/>
        </w:rPr>
        <w:t>ługuje go,</w:t>
      </w:r>
      <w:r w:rsidR="003409C9" w:rsidRPr="003409C9">
        <w:rPr>
          <w:noProof/>
        </w:rPr>
        <w:t xml:space="preserve"> w tym</w:t>
      </w:r>
      <w:r w:rsidRPr="003409C9">
        <w:rPr>
          <w:noProof/>
        </w:rPr>
        <w:t xml:space="preserve"> załogę lotniczą</w:t>
      </w:r>
      <w:r w:rsidR="003409C9" w:rsidRPr="003409C9">
        <w:rPr>
          <w:noProof/>
        </w:rPr>
        <w:t xml:space="preserve"> i per</w:t>
      </w:r>
      <w:r w:rsidRPr="003409C9">
        <w:rPr>
          <w:noProof/>
        </w:rPr>
        <w:t>sonel pokładowy;</w:t>
      </w:r>
    </w:p>
    <w:p w:rsidR="00250117" w:rsidRPr="003409C9" w:rsidRDefault="009475BC" w:rsidP="009475BC">
      <w:pPr>
        <w:pStyle w:val="Point1"/>
        <w:rPr>
          <w:noProof/>
        </w:rPr>
      </w:pPr>
      <w:bookmarkStart w:id="22" w:name="_Hlk117757372"/>
      <w:r w:rsidRPr="003409C9">
        <w:rPr>
          <w:noProof/>
        </w:rPr>
        <w:t>j)</w:t>
      </w:r>
      <w:r w:rsidRPr="003409C9">
        <w:rPr>
          <w:noProof/>
        </w:rPr>
        <w:tab/>
        <w:t>„podróżny” oznacza pasażera lub członka załogi;</w:t>
      </w:r>
    </w:p>
    <w:bookmarkEnd w:id="21"/>
    <w:bookmarkEnd w:id="22"/>
    <w:p w:rsidR="00BB4BEF" w:rsidRPr="003409C9" w:rsidRDefault="009475BC" w:rsidP="009475BC">
      <w:pPr>
        <w:pStyle w:val="Point1"/>
        <w:rPr>
          <w:noProof/>
        </w:rPr>
      </w:pPr>
      <w:r w:rsidRPr="003409C9">
        <w:rPr>
          <w:noProof/>
        </w:rPr>
        <w:t>k)</w:t>
      </w:r>
      <w:r w:rsidRPr="003409C9">
        <w:rPr>
          <w:noProof/>
        </w:rPr>
        <w:tab/>
        <w:t>„dane pasażera przekazywane przed podróżą” lub „dane API” oznaczają dane</w:t>
      </w:r>
      <w:r w:rsidR="003B5A1D" w:rsidRPr="003409C9">
        <w:rPr>
          <w:noProof/>
        </w:rPr>
        <w:t xml:space="preserve"> </w:t>
      </w:r>
      <w:r w:rsidRPr="003409C9">
        <w:rPr>
          <w:noProof/>
        </w:rPr>
        <w:t>podróżnych</w:t>
      </w:r>
      <w:r w:rsidR="003409C9" w:rsidRPr="003409C9">
        <w:rPr>
          <w:noProof/>
        </w:rPr>
        <w:t xml:space="preserve"> i inf</w:t>
      </w:r>
      <w:r w:rsidRPr="003409C9">
        <w:rPr>
          <w:noProof/>
        </w:rPr>
        <w:t>ormacje</w:t>
      </w:r>
      <w:r w:rsidR="003409C9" w:rsidRPr="003409C9">
        <w:rPr>
          <w:noProof/>
        </w:rPr>
        <w:t xml:space="preserve"> o loc</w:t>
      </w:r>
      <w:r w:rsidRPr="003409C9">
        <w:rPr>
          <w:noProof/>
        </w:rPr>
        <w:t>ie,</w:t>
      </w:r>
      <w:r w:rsidR="003409C9" w:rsidRPr="003409C9">
        <w:rPr>
          <w:noProof/>
        </w:rPr>
        <w:t xml:space="preserve"> o któ</w:t>
      </w:r>
      <w:r w:rsidRPr="003409C9">
        <w:rPr>
          <w:noProof/>
        </w:rPr>
        <w:t>rych mowa odpowiednio</w:t>
      </w:r>
      <w:r w:rsidR="003409C9" w:rsidRPr="003409C9">
        <w:rPr>
          <w:noProof/>
        </w:rPr>
        <w:t xml:space="preserve"> w art</w:t>
      </w:r>
      <w:r w:rsidRPr="003409C9">
        <w:rPr>
          <w:noProof/>
        </w:rPr>
        <w:t>.</w:t>
      </w:r>
      <w:r w:rsidR="003409C9" w:rsidRPr="003409C9">
        <w:rPr>
          <w:noProof/>
        </w:rPr>
        <w:t> </w:t>
      </w:r>
      <w:r w:rsidRPr="003409C9">
        <w:rPr>
          <w:noProof/>
        </w:rPr>
        <w:t>4 ust.</w:t>
      </w:r>
      <w:r w:rsidR="003409C9" w:rsidRPr="003409C9">
        <w:rPr>
          <w:noProof/>
        </w:rPr>
        <w:t> </w:t>
      </w:r>
      <w:r w:rsidRPr="003409C9">
        <w:rPr>
          <w:noProof/>
        </w:rPr>
        <w:t>2</w:t>
      </w:r>
      <w:r w:rsidR="003409C9" w:rsidRPr="003409C9">
        <w:rPr>
          <w:noProof/>
        </w:rPr>
        <w:t xml:space="preserve"> i 3</w:t>
      </w:r>
      <w:r w:rsidRPr="003409C9">
        <w:rPr>
          <w:noProof/>
        </w:rPr>
        <w:t>;</w:t>
      </w:r>
    </w:p>
    <w:p w:rsidR="00BB4BEF" w:rsidRPr="003409C9" w:rsidRDefault="009475BC" w:rsidP="009475BC">
      <w:pPr>
        <w:pStyle w:val="Point1"/>
        <w:rPr>
          <w:noProof/>
        </w:rPr>
      </w:pPr>
      <w:r w:rsidRPr="003409C9">
        <w:rPr>
          <w:noProof/>
        </w:rPr>
        <w:t>l)</w:t>
      </w:r>
      <w:r w:rsidRPr="003409C9">
        <w:rPr>
          <w:noProof/>
        </w:rPr>
        <w:tab/>
        <w:t>„jednostka do spraw informacji</w:t>
      </w:r>
      <w:r w:rsidR="003409C9" w:rsidRPr="003409C9">
        <w:rPr>
          <w:noProof/>
        </w:rPr>
        <w:t xml:space="preserve"> o pas</w:t>
      </w:r>
      <w:r w:rsidRPr="003409C9">
        <w:rPr>
          <w:noProof/>
        </w:rPr>
        <w:t>ażerach” lub „JIP” oznacza właściwy organ,</w:t>
      </w:r>
      <w:r w:rsidR="003409C9" w:rsidRPr="003409C9">
        <w:rPr>
          <w:noProof/>
        </w:rPr>
        <w:t xml:space="preserve"> o któ</w:t>
      </w:r>
      <w:r w:rsidRPr="003409C9">
        <w:rPr>
          <w:noProof/>
        </w:rPr>
        <w:t>rym mowa</w:t>
      </w:r>
      <w:r w:rsidR="003409C9" w:rsidRPr="003409C9">
        <w:rPr>
          <w:noProof/>
        </w:rPr>
        <w:t xml:space="preserve"> w art</w:t>
      </w:r>
      <w:r w:rsidRPr="003409C9">
        <w:rPr>
          <w:noProof/>
        </w:rPr>
        <w:t>.</w:t>
      </w:r>
      <w:r w:rsidR="003409C9" w:rsidRPr="003409C9">
        <w:rPr>
          <w:noProof/>
        </w:rPr>
        <w:t> </w:t>
      </w:r>
      <w:r w:rsidRPr="003409C9">
        <w:rPr>
          <w:noProof/>
        </w:rPr>
        <w:t>3 lit.</w:t>
      </w:r>
      <w:r w:rsidR="003409C9" w:rsidRPr="003409C9">
        <w:rPr>
          <w:noProof/>
        </w:rPr>
        <w:t> </w:t>
      </w:r>
      <w:r w:rsidRPr="003409C9">
        <w:rPr>
          <w:noProof/>
        </w:rPr>
        <w:t>i) rozporządzenia (UE) [w sprawie egzekwowania przepisów dotyczących API];</w:t>
      </w:r>
    </w:p>
    <w:p w:rsidR="00E66472" w:rsidRPr="003409C9" w:rsidRDefault="009475BC" w:rsidP="009475BC">
      <w:pPr>
        <w:pStyle w:val="Point1"/>
        <w:rPr>
          <w:noProof/>
        </w:rPr>
      </w:pPr>
      <w:r w:rsidRPr="003409C9">
        <w:rPr>
          <w:noProof/>
        </w:rPr>
        <w:t>m)</w:t>
      </w:r>
      <w:r w:rsidRPr="003409C9">
        <w:rPr>
          <w:noProof/>
        </w:rPr>
        <w:tab/>
        <w:t>„router” oznacza router,</w:t>
      </w:r>
      <w:r w:rsidR="003409C9" w:rsidRPr="003409C9">
        <w:rPr>
          <w:noProof/>
        </w:rPr>
        <w:t xml:space="preserve"> o któ</w:t>
      </w:r>
      <w:r w:rsidRPr="003409C9">
        <w:rPr>
          <w:noProof/>
        </w:rPr>
        <w:t>rym mowa</w:t>
      </w:r>
      <w:r w:rsidR="003409C9" w:rsidRPr="003409C9">
        <w:rPr>
          <w:noProof/>
        </w:rPr>
        <w:t xml:space="preserve"> w art</w:t>
      </w:r>
      <w:r w:rsidRPr="003409C9">
        <w:rPr>
          <w:noProof/>
        </w:rPr>
        <w:t>.</w:t>
      </w:r>
      <w:r w:rsidR="003409C9" w:rsidRPr="003409C9">
        <w:rPr>
          <w:noProof/>
        </w:rPr>
        <w:t> </w:t>
      </w:r>
      <w:r w:rsidRPr="003409C9">
        <w:rPr>
          <w:noProof/>
        </w:rPr>
        <w:t xml:space="preserve">9; </w:t>
      </w:r>
    </w:p>
    <w:p w:rsidR="000A3C16" w:rsidRPr="003409C9" w:rsidRDefault="009475BC" w:rsidP="009475BC">
      <w:pPr>
        <w:pStyle w:val="Point1"/>
        <w:rPr>
          <w:noProof/>
        </w:rPr>
      </w:pPr>
      <w:r w:rsidRPr="003409C9">
        <w:rPr>
          <w:noProof/>
        </w:rPr>
        <w:t>n)</w:t>
      </w:r>
      <w:r w:rsidRPr="003409C9">
        <w:rPr>
          <w:noProof/>
        </w:rPr>
        <w:tab/>
        <w:t>„dane osobowe” oznaczają informacje</w:t>
      </w:r>
      <w:r w:rsidR="003409C9" w:rsidRPr="003409C9">
        <w:rPr>
          <w:noProof/>
        </w:rPr>
        <w:t xml:space="preserve"> w roz</w:t>
      </w:r>
      <w:r w:rsidRPr="003409C9">
        <w:rPr>
          <w:noProof/>
        </w:rPr>
        <w:t>umieniu art.</w:t>
      </w:r>
      <w:r w:rsidR="003409C9" w:rsidRPr="003409C9">
        <w:rPr>
          <w:noProof/>
        </w:rPr>
        <w:t> </w:t>
      </w:r>
      <w:r w:rsidRPr="003409C9">
        <w:rPr>
          <w:noProof/>
        </w:rPr>
        <w:t>4 pkt</w:t>
      </w:r>
      <w:r w:rsidR="003409C9" w:rsidRPr="003409C9">
        <w:rPr>
          <w:noProof/>
        </w:rPr>
        <w:t> </w:t>
      </w:r>
      <w:r w:rsidRPr="003409C9">
        <w:rPr>
          <w:noProof/>
        </w:rPr>
        <w:t>1 rozporządzenia (UE) 2016/679.</w:t>
      </w:r>
    </w:p>
    <w:p w:rsidR="00250117" w:rsidRPr="003409C9" w:rsidRDefault="00250117" w:rsidP="00250117">
      <w:pPr>
        <w:pStyle w:val="Titrearticle"/>
        <w:rPr>
          <w:i w:val="0"/>
          <w:noProof/>
        </w:rPr>
      </w:pPr>
      <w:r w:rsidRPr="003409C9">
        <w:rPr>
          <w:i w:val="0"/>
          <w:noProof/>
        </w:rPr>
        <w:t>ROZDZIAŁ 2</w:t>
      </w:r>
    </w:p>
    <w:p w:rsidR="00250117" w:rsidRPr="00BB07AF" w:rsidRDefault="00250117" w:rsidP="00250117">
      <w:pPr>
        <w:jc w:val="center"/>
        <w:rPr>
          <w:b/>
          <w:noProof/>
        </w:rPr>
      </w:pPr>
      <w:r w:rsidRPr="00BB07AF">
        <w:rPr>
          <w:b/>
          <w:noProof/>
        </w:rPr>
        <w:t>GROMADZENIE I PRZEKAZYWANIE DANYCH API</w:t>
      </w:r>
    </w:p>
    <w:p w:rsidR="00250117" w:rsidRPr="00BB07AF" w:rsidRDefault="00250117" w:rsidP="00250117">
      <w:pPr>
        <w:pStyle w:val="Titrearticle"/>
        <w:rPr>
          <w:noProof/>
        </w:rPr>
      </w:pPr>
      <w:r w:rsidRPr="00BB07AF">
        <w:rPr>
          <w:noProof/>
        </w:rPr>
        <w:t>Artykuł 4</w:t>
      </w:r>
    </w:p>
    <w:p w:rsidR="00250117" w:rsidRPr="00BB07AF" w:rsidRDefault="00250117" w:rsidP="00250117">
      <w:pPr>
        <w:jc w:val="center"/>
        <w:rPr>
          <w:b/>
          <w:noProof/>
        </w:rPr>
      </w:pPr>
      <w:r w:rsidRPr="00BB07AF">
        <w:rPr>
          <w:b/>
          <w:noProof/>
        </w:rPr>
        <w:t>Dane API, które mają być gromadzone przez przewoźników lotniczych</w:t>
      </w:r>
    </w:p>
    <w:p w:rsidR="00250117" w:rsidRPr="003409C9" w:rsidRDefault="009475BC" w:rsidP="009475BC">
      <w:pPr>
        <w:pStyle w:val="ManualNumPar1"/>
        <w:rPr>
          <w:noProof/>
        </w:rPr>
      </w:pPr>
      <w:r w:rsidRPr="003409C9">
        <w:rPr>
          <w:noProof/>
        </w:rPr>
        <w:t>1.</w:t>
      </w:r>
      <w:r w:rsidRPr="003409C9">
        <w:rPr>
          <w:noProof/>
        </w:rPr>
        <w:tab/>
        <w:t>Przewoźnicy lotniczy gromadzą dane API podróżnych, obejmujące dane podróżnych</w:t>
      </w:r>
      <w:r w:rsidR="003409C9" w:rsidRPr="003409C9">
        <w:rPr>
          <w:noProof/>
        </w:rPr>
        <w:t xml:space="preserve"> i inf</w:t>
      </w:r>
      <w:r w:rsidRPr="003409C9">
        <w:rPr>
          <w:noProof/>
        </w:rPr>
        <w:t>ormacje</w:t>
      </w:r>
      <w:r w:rsidR="003409C9" w:rsidRPr="003409C9">
        <w:rPr>
          <w:noProof/>
        </w:rPr>
        <w:t xml:space="preserve"> o lot</w:t>
      </w:r>
      <w:r w:rsidRPr="003409C9">
        <w:rPr>
          <w:noProof/>
        </w:rPr>
        <w:t>ach określone odpowiednio</w:t>
      </w:r>
      <w:r w:rsidR="003409C9" w:rsidRPr="003409C9">
        <w:rPr>
          <w:noProof/>
        </w:rPr>
        <w:t xml:space="preserve"> w ust</w:t>
      </w:r>
      <w:r w:rsidRPr="003409C9">
        <w:rPr>
          <w:noProof/>
        </w:rPr>
        <w:t>.</w:t>
      </w:r>
      <w:r w:rsidR="003409C9" w:rsidRPr="003409C9">
        <w:rPr>
          <w:noProof/>
        </w:rPr>
        <w:t> </w:t>
      </w:r>
      <w:r w:rsidRPr="003409C9">
        <w:rPr>
          <w:noProof/>
        </w:rPr>
        <w:t>2</w:t>
      </w:r>
      <w:r w:rsidR="003409C9" w:rsidRPr="003409C9">
        <w:rPr>
          <w:noProof/>
        </w:rPr>
        <w:t xml:space="preserve"> i 3</w:t>
      </w:r>
      <w:r w:rsidRPr="003409C9">
        <w:rPr>
          <w:noProof/>
        </w:rPr>
        <w:t xml:space="preserve"> niniejszego artykułu</w:t>
      </w:r>
      <w:r w:rsidR="003409C9" w:rsidRPr="003409C9">
        <w:rPr>
          <w:noProof/>
        </w:rPr>
        <w:t xml:space="preserve"> w odn</w:t>
      </w:r>
      <w:r w:rsidRPr="003409C9">
        <w:rPr>
          <w:noProof/>
        </w:rPr>
        <w:t>iesieniu do lotów,</w:t>
      </w:r>
      <w:r w:rsidR="003409C9" w:rsidRPr="003409C9">
        <w:rPr>
          <w:noProof/>
        </w:rPr>
        <w:t xml:space="preserve"> o któ</w:t>
      </w:r>
      <w:r w:rsidRPr="003409C9">
        <w:rPr>
          <w:noProof/>
        </w:rPr>
        <w:t>rych mowa</w:t>
      </w:r>
      <w:r w:rsidR="003409C9" w:rsidRPr="003409C9">
        <w:rPr>
          <w:noProof/>
        </w:rPr>
        <w:t xml:space="preserve"> w art</w:t>
      </w:r>
      <w:r w:rsidRPr="003409C9">
        <w:rPr>
          <w:noProof/>
        </w:rPr>
        <w:t>.</w:t>
      </w:r>
      <w:r w:rsidR="003409C9" w:rsidRPr="003409C9">
        <w:rPr>
          <w:noProof/>
        </w:rPr>
        <w:t> </w:t>
      </w:r>
      <w:r w:rsidRPr="003409C9">
        <w:rPr>
          <w:noProof/>
        </w:rPr>
        <w:t>2,</w:t>
      </w:r>
      <w:r w:rsidR="003409C9" w:rsidRPr="003409C9">
        <w:rPr>
          <w:noProof/>
        </w:rPr>
        <w:t xml:space="preserve"> w cel</w:t>
      </w:r>
      <w:r w:rsidRPr="003409C9">
        <w:rPr>
          <w:noProof/>
        </w:rPr>
        <w:t>u przekazania tych danych API do routera zgodnie</w:t>
      </w:r>
      <w:r w:rsidR="003409C9" w:rsidRPr="003409C9">
        <w:rPr>
          <w:noProof/>
        </w:rPr>
        <w:t xml:space="preserve"> z art</w:t>
      </w:r>
      <w:r w:rsidRPr="003409C9">
        <w:rPr>
          <w:noProof/>
        </w:rPr>
        <w:t>.</w:t>
      </w:r>
      <w:r w:rsidR="003409C9" w:rsidRPr="003409C9">
        <w:rPr>
          <w:noProof/>
        </w:rPr>
        <w:t> </w:t>
      </w:r>
      <w:r w:rsidRPr="003409C9">
        <w:rPr>
          <w:noProof/>
        </w:rPr>
        <w:t>6.</w:t>
      </w:r>
    </w:p>
    <w:p w:rsidR="00250117" w:rsidRPr="003409C9" w:rsidRDefault="009475BC" w:rsidP="009475BC">
      <w:pPr>
        <w:pStyle w:val="ManualNumPar1"/>
        <w:rPr>
          <w:noProof/>
        </w:rPr>
      </w:pPr>
      <w:r w:rsidRPr="003409C9">
        <w:rPr>
          <w:noProof/>
        </w:rPr>
        <w:t>2.</w:t>
      </w:r>
      <w:r w:rsidRPr="003409C9">
        <w:rPr>
          <w:noProof/>
        </w:rPr>
        <w:tab/>
        <w:t>Dane API obejmują następujące dane podróżnych dotyczące każdej osoby podróżującej</w:t>
      </w:r>
      <w:r w:rsidR="003409C9" w:rsidRPr="003409C9">
        <w:rPr>
          <w:noProof/>
        </w:rPr>
        <w:t xml:space="preserve"> w ram</w:t>
      </w:r>
      <w:r w:rsidRPr="003409C9">
        <w:rPr>
          <w:noProof/>
        </w:rPr>
        <w:t xml:space="preserve">ach danego lotu: </w:t>
      </w:r>
    </w:p>
    <w:p w:rsidR="00250117" w:rsidRPr="003409C9" w:rsidRDefault="009475BC" w:rsidP="009475BC">
      <w:pPr>
        <w:pStyle w:val="Point1"/>
        <w:rPr>
          <w:noProof/>
        </w:rPr>
      </w:pPr>
      <w:r w:rsidRPr="003409C9">
        <w:rPr>
          <w:noProof/>
        </w:rPr>
        <w:t>a)</w:t>
      </w:r>
      <w:r w:rsidRPr="003409C9">
        <w:rPr>
          <w:noProof/>
        </w:rPr>
        <w:tab/>
        <w:t>nazwisko; imię lub imiona;</w:t>
      </w:r>
    </w:p>
    <w:p w:rsidR="00250117" w:rsidRPr="003409C9" w:rsidRDefault="009475BC" w:rsidP="009475BC">
      <w:pPr>
        <w:pStyle w:val="Point1"/>
        <w:rPr>
          <w:noProof/>
        </w:rPr>
      </w:pPr>
      <w:r w:rsidRPr="003409C9">
        <w:rPr>
          <w:noProof/>
        </w:rPr>
        <w:t>b)</w:t>
      </w:r>
      <w:r w:rsidRPr="003409C9">
        <w:rPr>
          <w:noProof/>
        </w:rPr>
        <w:tab/>
        <w:t>datę urodzenia, płeć</w:t>
      </w:r>
      <w:r w:rsidR="003409C9" w:rsidRPr="003409C9">
        <w:rPr>
          <w:noProof/>
        </w:rPr>
        <w:t xml:space="preserve"> i oby</w:t>
      </w:r>
      <w:r w:rsidRPr="003409C9">
        <w:rPr>
          <w:noProof/>
        </w:rPr>
        <w:t>watelstwo;</w:t>
      </w:r>
    </w:p>
    <w:p w:rsidR="00250117" w:rsidRPr="003409C9" w:rsidRDefault="009475BC" w:rsidP="009475BC">
      <w:pPr>
        <w:pStyle w:val="Point1"/>
        <w:rPr>
          <w:noProof/>
        </w:rPr>
      </w:pPr>
      <w:r w:rsidRPr="003409C9">
        <w:rPr>
          <w:noProof/>
        </w:rPr>
        <w:t>c)</w:t>
      </w:r>
      <w:r w:rsidRPr="003409C9">
        <w:rPr>
          <w:noProof/>
        </w:rPr>
        <w:tab/>
      </w:r>
      <w:bookmarkStart w:id="23" w:name="_Hlk117172294"/>
      <w:r w:rsidRPr="003409C9">
        <w:rPr>
          <w:noProof/>
        </w:rPr>
        <w:t>rodzaj</w:t>
      </w:r>
      <w:bookmarkEnd w:id="23"/>
      <w:r w:rsidR="003409C9" w:rsidRPr="003409C9">
        <w:rPr>
          <w:noProof/>
        </w:rPr>
        <w:t xml:space="preserve"> i num</w:t>
      </w:r>
      <w:r w:rsidRPr="003409C9">
        <w:rPr>
          <w:noProof/>
        </w:rPr>
        <w:t>er dokumentu podróży</w:t>
      </w:r>
      <w:r w:rsidR="003409C9" w:rsidRPr="003409C9">
        <w:rPr>
          <w:noProof/>
        </w:rPr>
        <w:t xml:space="preserve"> i trz</w:t>
      </w:r>
      <w:r w:rsidRPr="003409C9">
        <w:rPr>
          <w:noProof/>
        </w:rPr>
        <w:t>yliterowy kod państwa wydającego dokument podróży;</w:t>
      </w:r>
    </w:p>
    <w:p w:rsidR="00250117" w:rsidRPr="003409C9" w:rsidRDefault="009475BC" w:rsidP="009475BC">
      <w:pPr>
        <w:pStyle w:val="Point1"/>
        <w:rPr>
          <w:noProof/>
        </w:rPr>
      </w:pPr>
      <w:r w:rsidRPr="003409C9">
        <w:rPr>
          <w:noProof/>
        </w:rPr>
        <w:t>d)</w:t>
      </w:r>
      <w:r w:rsidRPr="003409C9">
        <w:rPr>
          <w:noProof/>
        </w:rPr>
        <w:tab/>
        <w:t>datę upływu ważności dokumentu podróży;</w:t>
      </w:r>
    </w:p>
    <w:p w:rsidR="00250117" w:rsidRPr="003409C9" w:rsidRDefault="009475BC" w:rsidP="009475BC">
      <w:pPr>
        <w:pStyle w:val="Point1"/>
        <w:rPr>
          <w:noProof/>
        </w:rPr>
      </w:pPr>
      <w:r w:rsidRPr="003409C9">
        <w:rPr>
          <w:noProof/>
        </w:rPr>
        <w:t>e)</w:t>
      </w:r>
      <w:r w:rsidRPr="003409C9">
        <w:rPr>
          <w:noProof/>
        </w:rPr>
        <w:tab/>
        <w:t>informację, czy dany podróżny jest pasażerem czy członkiem załogi (status podróżnego);</w:t>
      </w:r>
    </w:p>
    <w:p w:rsidR="00250117" w:rsidRPr="003409C9" w:rsidRDefault="009475BC" w:rsidP="009475BC">
      <w:pPr>
        <w:pStyle w:val="Point1"/>
        <w:rPr>
          <w:noProof/>
        </w:rPr>
      </w:pPr>
      <w:r w:rsidRPr="003409C9">
        <w:rPr>
          <w:noProof/>
        </w:rPr>
        <w:t>f)</w:t>
      </w:r>
      <w:r w:rsidRPr="003409C9">
        <w:rPr>
          <w:noProof/>
        </w:rPr>
        <w:tab/>
        <w:t>numer identyfikujący dane dotyczące przelotu pasażera wykorzystywany przez przewoźnika lotniczego do zlokalizowania pasażera</w:t>
      </w:r>
      <w:r w:rsidR="003409C9" w:rsidRPr="003409C9">
        <w:rPr>
          <w:noProof/>
        </w:rPr>
        <w:t xml:space="preserve"> w swo</w:t>
      </w:r>
      <w:r w:rsidRPr="003409C9">
        <w:rPr>
          <w:noProof/>
        </w:rPr>
        <w:t xml:space="preserve">im systemie informacyjnym (kod identyfikacyjny danych PNR); </w:t>
      </w:r>
    </w:p>
    <w:p w:rsidR="00250117" w:rsidRPr="003409C9" w:rsidRDefault="009475BC" w:rsidP="009475BC">
      <w:pPr>
        <w:pStyle w:val="Point1"/>
        <w:rPr>
          <w:noProof/>
        </w:rPr>
      </w:pPr>
      <w:r w:rsidRPr="003409C9">
        <w:rPr>
          <w:noProof/>
        </w:rPr>
        <w:t>g)</w:t>
      </w:r>
      <w:r w:rsidRPr="003409C9">
        <w:rPr>
          <w:noProof/>
        </w:rPr>
        <w:tab/>
        <w:t>informacje na temat miejsca na pokładzie, takie jak numer miejsca</w:t>
      </w:r>
      <w:r w:rsidR="003409C9" w:rsidRPr="003409C9">
        <w:rPr>
          <w:noProof/>
        </w:rPr>
        <w:t xml:space="preserve"> w sam</w:t>
      </w:r>
      <w:r w:rsidRPr="003409C9">
        <w:rPr>
          <w:noProof/>
        </w:rPr>
        <w:t>olocie przydzielonego pasażerowi, jeżeli przewoźnik lotniczy gromadzi takie informacje;</w:t>
      </w:r>
    </w:p>
    <w:p w:rsidR="00250117" w:rsidRPr="003409C9" w:rsidRDefault="009475BC" w:rsidP="009475BC">
      <w:pPr>
        <w:pStyle w:val="Point1"/>
        <w:rPr>
          <w:noProof/>
        </w:rPr>
      </w:pPr>
      <w:r w:rsidRPr="003409C9">
        <w:rPr>
          <w:noProof/>
        </w:rPr>
        <w:t>h)</w:t>
      </w:r>
      <w:r w:rsidRPr="003409C9">
        <w:rPr>
          <w:noProof/>
        </w:rPr>
        <w:tab/>
        <w:t xml:space="preserve">informacje na temat bagażu, takie jak liczba sztuk bagażu rejestrowanego, jeżeli przewoźnik lotniczy gromadzi takie informacje. </w:t>
      </w:r>
    </w:p>
    <w:p w:rsidR="00250117" w:rsidRPr="003409C9" w:rsidRDefault="009475BC" w:rsidP="009475BC">
      <w:pPr>
        <w:pStyle w:val="ManualNumPar1"/>
        <w:rPr>
          <w:noProof/>
        </w:rPr>
      </w:pPr>
      <w:r w:rsidRPr="003409C9">
        <w:rPr>
          <w:noProof/>
        </w:rPr>
        <w:t>3.</w:t>
      </w:r>
      <w:r w:rsidRPr="003409C9">
        <w:rPr>
          <w:noProof/>
        </w:rPr>
        <w:tab/>
        <w:t>Dane API obejmują również następujące informacje</w:t>
      </w:r>
      <w:r w:rsidR="003409C9" w:rsidRPr="003409C9">
        <w:rPr>
          <w:noProof/>
        </w:rPr>
        <w:t xml:space="preserve"> o loc</w:t>
      </w:r>
      <w:r w:rsidRPr="003409C9">
        <w:rPr>
          <w:noProof/>
        </w:rPr>
        <w:t>ie dotyczące lotu każdego podróżnego:</w:t>
      </w:r>
    </w:p>
    <w:p w:rsidR="00250117" w:rsidRPr="003409C9" w:rsidRDefault="009475BC" w:rsidP="009475BC">
      <w:pPr>
        <w:pStyle w:val="Point1"/>
        <w:rPr>
          <w:noProof/>
        </w:rPr>
      </w:pPr>
      <w:r w:rsidRPr="003409C9">
        <w:rPr>
          <w:noProof/>
        </w:rPr>
        <w:t>a)</w:t>
      </w:r>
      <w:r w:rsidRPr="003409C9">
        <w:rPr>
          <w:noProof/>
        </w:rPr>
        <w:tab/>
        <w:t>numer identyfikacyjny lotu lub,</w:t>
      </w:r>
      <w:r w:rsidR="003409C9" w:rsidRPr="003409C9">
        <w:rPr>
          <w:noProof/>
        </w:rPr>
        <w:t xml:space="preserve"> w prz</w:t>
      </w:r>
      <w:r w:rsidRPr="003409C9">
        <w:rPr>
          <w:noProof/>
        </w:rPr>
        <w:t>ypadku braku takiego numeru, inny wyraźny</w:t>
      </w:r>
      <w:r w:rsidR="003409C9" w:rsidRPr="003409C9">
        <w:rPr>
          <w:noProof/>
        </w:rPr>
        <w:t xml:space="preserve"> i odp</w:t>
      </w:r>
      <w:r w:rsidRPr="003409C9">
        <w:rPr>
          <w:noProof/>
        </w:rPr>
        <w:t>owiedni sposób identyfikacji lotu;</w:t>
      </w:r>
    </w:p>
    <w:p w:rsidR="00250117" w:rsidRPr="003409C9" w:rsidRDefault="009475BC" w:rsidP="009475BC">
      <w:pPr>
        <w:pStyle w:val="Point1"/>
        <w:rPr>
          <w:noProof/>
        </w:rPr>
      </w:pPr>
      <w:r w:rsidRPr="003409C9">
        <w:rPr>
          <w:noProof/>
        </w:rPr>
        <w:t>b)</w:t>
      </w:r>
      <w:r w:rsidRPr="003409C9">
        <w:rPr>
          <w:noProof/>
        </w:rPr>
        <w:tab/>
        <w:t>w stosownych przypadkach – przejście graniczne przylotu na terytorium państwa członkowskiego;</w:t>
      </w:r>
    </w:p>
    <w:p w:rsidR="00250117" w:rsidRPr="003409C9" w:rsidRDefault="009475BC" w:rsidP="009475BC">
      <w:pPr>
        <w:pStyle w:val="Point1"/>
        <w:rPr>
          <w:noProof/>
        </w:rPr>
      </w:pPr>
      <w:bookmarkStart w:id="24" w:name="_Hlk121065647"/>
      <w:r w:rsidRPr="003409C9">
        <w:rPr>
          <w:noProof/>
        </w:rPr>
        <w:t>c)</w:t>
      </w:r>
      <w:r w:rsidRPr="003409C9">
        <w:rPr>
          <w:noProof/>
        </w:rPr>
        <w:tab/>
        <w:t>kod portu lotniczego przylotu na terytorium państwa członkowskiego</w:t>
      </w:r>
      <w:bookmarkEnd w:id="24"/>
      <w:r w:rsidRPr="003409C9">
        <w:rPr>
          <w:noProof/>
        </w:rPr>
        <w:t>;</w:t>
      </w:r>
    </w:p>
    <w:p w:rsidR="00250117" w:rsidRPr="003409C9" w:rsidRDefault="009475BC" w:rsidP="009475BC">
      <w:pPr>
        <w:pStyle w:val="Point1"/>
        <w:rPr>
          <w:noProof/>
        </w:rPr>
      </w:pPr>
      <w:r w:rsidRPr="003409C9">
        <w:rPr>
          <w:noProof/>
        </w:rPr>
        <w:t>d)</w:t>
      </w:r>
      <w:r w:rsidRPr="003409C9">
        <w:rPr>
          <w:noProof/>
        </w:rPr>
        <w:tab/>
        <w:t>początkowy punkt wejścia na pokład;</w:t>
      </w:r>
    </w:p>
    <w:p w:rsidR="00250117" w:rsidRPr="003409C9" w:rsidRDefault="009475BC" w:rsidP="009475BC">
      <w:pPr>
        <w:pStyle w:val="Point1"/>
        <w:rPr>
          <w:noProof/>
        </w:rPr>
      </w:pPr>
      <w:r w:rsidRPr="003409C9">
        <w:rPr>
          <w:noProof/>
        </w:rPr>
        <w:t>e)</w:t>
      </w:r>
      <w:r w:rsidRPr="003409C9">
        <w:rPr>
          <w:noProof/>
        </w:rPr>
        <w:tab/>
        <w:t>lokalna data</w:t>
      </w:r>
      <w:r w:rsidR="003409C9" w:rsidRPr="003409C9">
        <w:rPr>
          <w:noProof/>
        </w:rPr>
        <w:t xml:space="preserve"> i sza</w:t>
      </w:r>
      <w:r w:rsidRPr="003409C9">
        <w:rPr>
          <w:noProof/>
        </w:rPr>
        <w:t>cowana godzina odlotu;</w:t>
      </w:r>
    </w:p>
    <w:p w:rsidR="00250117" w:rsidRPr="003409C9" w:rsidRDefault="009475BC" w:rsidP="009475BC">
      <w:pPr>
        <w:pStyle w:val="Point1"/>
        <w:rPr>
          <w:noProof/>
        </w:rPr>
      </w:pPr>
      <w:r w:rsidRPr="003409C9">
        <w:rPr>
          <w:noProof/>
        </w:rPr>
        <w:t>f)</w:t>
      </w:r>
      <w:r w:rsidRPr="003409C9">
        <w:rPr>
          <w:noProof/>
        </w:rPr>
        <w:tab/>
        <w:t>lokalna data</w:t>
      </w:r>
      <w:r w:rsidR="003409C9" w:rsidRPr="003409C9">
        <w:rPr>
          <w:noProof/>
        </w:rPr>
        <w:t xml:space="preserve"> i sza</w:t>
      </w:r>
      <w:r w:rsidRPr="003409C9">
        <w:rPr>
          <w:noProof/>
        </w:rPr>
        <w:t>cowana godzina przylotu.</w:t>
      </w:r>
      <w:r w:rsidRPr="00BB07AF">
        <w:rPr>
          <w:b/>
          <w:noProof/>
        </w:rPr>
        <w:t xml:space="preserve"> </w:t>
      </w:r>
    </w:p>
    <w:p w:rsidR="00250117" w:rsidRPr="00BB07AF" w:rsidRDefault="00D43BD8" w:rsidP="00250117">
      <w:pPr>
        <w:pStyle w:val="Titrearticle"/>
        <w:rPr>
          <w:noProof/>
        </w:rPr>
      </w:pPr>
      <w:r w:rsidRPr="00BB07AF">
        <w:rPr>
          <w:noProof/>
        </w:rPr>
        <w:t>Artykuł 5</w:t>
      </w:r>
    </w:p>
    <w:p w:rsidR="00250117" w:rsidRPr="00BB07AF" w:rsidRDefault="00BB5D70" w:rsidP="00250117">
      <w:pPr>
        <w:jc w:val="center"/>
        <w:rPr>
          <w:b/>
          <w:noProof/>
        </w:rPr>
      </w:pPr>
      <w:r w:rsidRPr="00BB07AF">
        <w:rPr>
          <w:b/>
          <w:noProof/>
        </w:rPr>
        <w:t>Metody gromadzenia danych API</w:t>
      </w:r>
    </w:p>
    <w:p w:rsidR="00BB5D70" w:rsidRPr="003409C9" w:rsidRDefault="009475BC" w:rsidP="009475BC">
      <w:pPr>
        <w:pStyle w:val="ManualNumPar1"/>
        <w:rPr>
          <w:noProof/>
        </w:rPr>
      </w:pPr>
      <w:r w:rsidRPr="003409C9">
        <w:rPr>
          <w:noProof/>
        </w:rPr>
        <w:t>1.</w:t>
      </w:r>
      <w:r w:rsidRPr="003409C9">
        <w:rPr>
          <w:noProof/>
        </w:rPr>
        <w:tab/>
        <w:t>Przewoźnicy lotniczy gromadzą dane API określone</w:t>
      </w:r>
      <w:r w:rsidR="003409C9" w:rsidRPr="003409C9">
        <w:rPr>
          <w:noProof/>
        </w:rPr>
        <w:t xml:space="preserve"> w art</w:t>
      </w:r>
      <w:r w:rsidRPr="003409C9">
        <w:rPr>
          <w:noProof/>
        </w:rPr>
        <w:t>.</w:t>
      </w:r>
      <w:r w:rsidR="003409C9" w:rsidRPr="003409C9">
        <w:rPr>
          <w:noProof/>
        </w:rPr>
        <w:t> </w:t>
      </w:r>
      <w:r w:rsidRPr="003409C9">
        <w:rPr>
          <w:noProof/>
        </w:rPr>
        <w:t>4</w:t>
      </w:r>
      <w:r w:rsidR="003409C9" w:rsidRPr="003409C9">
        <w:rPr>
          <w:noProof/>
        </w:rPr>
        <w:t xml:space="preserve"> w tak</w:t>
      </w:r>
      <w:r w:rsidRPr="003409C9">
        <w:rPr>
          <w:noProof/>
        </w:rPr>
        <w:t>i sposób, aby dane API przekazywane przez nich zgodnie</w:t>
      </w:r>
      <w:r w:rsidR="003409C9" w:rsidRPr="003409C9">
        <w:rPr>
          <w:noProof/>
        </w:rPr>
        <w:t xml:space="preserve"> z art</w:t>
      </w:r>
      <w:r w:rsidRPr="003409C9">
        <w:rPr>
          <w:noProof/>
        </w:rPr>
        <w:t>.</w:t>
      </w:r>
      <w:r w:rsidR="003409C9" w:rsidRPr="003409C9">
        <w:rPr>
          <w:noProof/>
        </w:rPr>
        <w:t> </w:t>
      </w:r>
      <w:r w:rsidRPr="003409C9">
        <w:rPr>
          <w:noProof/>
        </w:rPr>
        <w:t>6 były dokładne, kompletne</w:t>
      </w:r>
      <w:r w:rsidR="003409C9" w:rsidRPr="003409C9">
        <w:rPr>
          <w:noProof/>
        </w:rPr>
        <w:t xml:space="preserve"> i akt</w:t>
      </w:r>
      <w:r w:rsidRPr="003409C9">
        <w:rPr>
          <w:noProof/>
        </w:rPr>
        <w:t>ualne.</w:t>
      </w:r>
    </w:p>
    <w:p w:rsidR="00BB5D70" w:rsidRPr="003409C9" w:rsidRDefault="009475BC" w:rsidP="009475BC">
      <w:pPr>
        <w:pStyle w:val="ManualNumPar1"/>
        <w:rPr>
          <w:noProof/>
        </w:rPr>
      </w:pPr>
      <w:r w:rsidRPr="003409C9">
        <w:rPr>
          <w:noProof/>
        </w:rPr>
        <w:t>2.</w:t>
      </w:r>
      <w:r w:rsidRPr="003409C9">
        <w:rPr>
          <w:noProof/>
        </w:rPr>
        <w:tab/>
        <w:t>Przewoźnicy lotniczy gromadzą dane API,</w:t>
      </w:r>
      <w:r w:rsidR="003409C9" w:rsidRPr="003409C9">
        <w:rPr>
          <w:noProof/>
        </w:rPr>
        <w:t xml:space="preserve"> o któ</w:t>
      </w:r>
      <w:r w:rsidRPr="003409C9">
        <w:rPr>
          <w:noProof/>
        </w:rPr>
        <w:t>rych mowa</w:t>
      </w:r>
      <w:r w:rsidR="003409C9" w:rsidRPr="003409C9">
        <w:rPr>
          <w:noProof/>
        </w:rPr>
        <w:t xml:space="preserve"> w art</w:t>
      </w:r>
      <w:r w:rsidRPr="003409C9">
        <w:rPr>
          <w:noProof/>
        </w:rPr>
        <w:t>.</w:t>
      </w:r>
      <w:r w:rsidR="003409C9" w:rsidRPr="003409C9">
        <w:rPr>
          <w:noProof/>
        </w:rPr>
        <w:t> </w:t>
      </w:r>
      <w:r w:rsidRPr="003409C9">
        <w:rPr>
          <w:noProof/>
        </w:rPr>
        <w:t>4 ust.</w:t>
      </w:r>
      <w:r w:rsidR="003409C9" w:rsidRPr="003409C9">
        <w:rPr>
          <w:noProof/>
        </w:rPr>
        <w:t> </w:t>
      </w:r>
      <w:r w:rsidRPr="003409C9">
        <w:rPr>
          <w:noProof/>
        </w:rPr>
        <w:t>2 lit.</w:t>
      </w:r>
      <w:r w:rsidR="003409C9" w:rsidRPr="003409C9">
        <w:rPr>
          <w:noProof/>
        </w:rPr>
        <w:t> </w:t>
      </w:r>
      <w:r w:rsidRPr="003409C9">
        <w:rPr>
          <w:noProof/>
        </w:rPr>
        <w:t>a)–d),</w:t>
      </w:r>
      <w:r w:rsidR="003409C9" w:rsidRPr="003409C9">
        <w:rPr>
          <w:noProof/>
        </w:rPr>
        <w:t xml:space="preserve"> w spo</w:t>
      </w:r>
      <w:r w:rsidRPr="003409C9">
        <w:rPr>
          <w:noProof/>
        </w:rPr>
        <w:t>sób zautomatyzowany umożliwiający pobieranie danych nadających się do odczytu maszynowego</w:t>
      </w:r>
      <w:r w:rsidR="003409C9" w:rsidRPr="003409C9">
        <w:rPr>
          <w:noProof/>
        </w:rPr>
        <w:t xml:space="preserve"> z dok</w:t>
      </w:r>
      <w:r w:rsidRPr="003409C9">
        <w:rPr>
          <w:noProof/>
        </w:rPr>
        <w:t>umentu podróży danego podróżnego. Odbywa się to zgodnie ze szczegółowymi wymogami technicznymi</w:t>
      </w:r>
      <w:r w:rsidR="003409C9" w:rsidRPr="003409C9">
        <w:rPr>
          <w:noProof/>
        </w:rPr>
        <w:t xml:space="preserve"> i zas</w:t>
      </w:r>
      <w:r w:rsidRPr="003409C9">
        <w:rPr>
          <w:noProof/>
        </w:rPr>
        <w:t>adami postępowania,</w:t>
      </w:r>
      <w:r w:rsidR="003409C9" w:rsidRPr="003409C9">
        <w:rPr>
          <w:noProof/>
        </w:rPr>
        <w:t xml:space="preserve"> o któ</w:t>
      </w:r>
      <w:r w:rsidRPr="003409C9">
        <w:rPr>
          <w:noProof/>
        </w:rPr>
        <w:t>rych mowa</w:t>
      </w:r>
      <w:r w:rsidR="003409C9" w:rsidRPr="003409C9">
        <w:rPr>
          <w:noProof/>
        </w:rPr>
        <w:t xml:space="preserve"> w ust</w:t>
      </w:r>
      <w:r w:rsidRPr="003409C9">
        <w:rPr>
          <w:noProof/>
        </w:rPr>
        <w:t>.</w:t>
      </w:r>
      <w:r w:rsidR="003409C9" w:rsidRPr="003409C9">
        <w:rPr>
          <w:noProof/>
        </w:rPr>
        <w:t> </w:t>
      </w:r>
      <w:r w:rsidRPr="003409C9">
        <w:rPr>
          <w:noProof/>
        </w:rPr>
        <w:t>4, jeżeli takie zasady zostały przyjęte</w:t>
      </w:r>
      <w:r w:rsidR="003409C9" w:rsidRPr="003409C9">
        <w:rPr>
          <w:noProof/>
        </w:rPr>
        <w:t xml:space="preserve"> i maj</w:t>
      </w:r>
      <w:r w:rsidRPr="003409C9">
        <w:rPr>
          <w:noProof/>
        </w:rPr>
        <w:t>ą zastosowanie.</w:t>
      </w:r>
    </w:p>
    <w:p w:rsidR="00250117" w:rsidRPr="003409C9" w:rsidRDefault="006B29BB" w:rsidP="007A53AC">
      <w:pPr>
        <w:pStyle w:val="Text1"/>
        <w:rPr>
          <w:noProof/>
        </w:rPr>
      </w:pPr>
      <w:r w:rsidRPr="003409C9">
        <w:rPr>
          <w:noProof/>
        </w:rPr>
        <w:t>Jeżeli jednak gromadzenie danych</w:t>
      </w:r>
      <w:r w:rsidR="003409C9" w:rsidRPr="003409C9">
        <w:rPr>
          <w:noProof/>
        </w:rPr>
        <w:t xml:space="preserve"> w spo</w:t>
      </w:r>
      <w:r w:rsidRPr="003409C9">
        <w:rPr>
          <w:noProof/>
        </w:rPr>
        <w:t>sób zautomatyzowany nie jest możliwe, ponieważ dokument podróży nie zawiera danych nadających się do odczytu maszynowego, przewoźnicy lotniczy gromadzą te dane ręcznie,</w:t>
      </w:r>
      <w:r w:rsidR="003409C9" w:rsidRPr="003409C9">
        <w:rPr>
          <w:noProof/>
        </w:rPr>
        <w:t xml:space="preserve"> w spo</w:t>
      </w:r>
      <w:r w:rsidRPr="003409C9">
        <w:rPr>
          <w:noProof/>
        </w:rPr>
        <w:t>sób zapewniający zgodność</w:t>
      </w:r>
      <w:r w:rsidR="003409C9" w:rsidRPr="003409C9">
        <w:rPr>
          <w:noProof/>
        </w:rPr>
        <w:t xml:space="preserve"> z ust</w:t>
      </w:r>
      <w:r w:rsidRPr="003409C9">
        <w:rPr>
          <w:noProof/>
        </w:rPr>
        <w:t>.</w:t>
      </w:r>
      <w:r w:rsidR="003409C9" w:rsidRPr="003409C9">
        <w:rPr>
          <w:noProof/>
        </w:rPr>
        <w:t> </w:t>
      </w:r>
      <w:r w:rsidRPr="003409C9">
        <w:rPr>
          <w:noProof/>
        </w:rPr>
        <w:t>1.</w:t>
      </w:r>
      <w:r w:rsidR="003B5A1D" w:rsidRPr="003409C9">
        <w:rPr>
          <w:noProof/>
        </w:rPr>
        <w:t xml:space="preserve"> </w:t>
      </w:r>
    </w:p>
    <w:p w:rsidR="006B29BB" w:rsidRPr="003409C9" w:rsidRDefault="009475BC" w:rsidP="009475BC">
      <w:pPr>
        <w:pStyle w:val="ManualNumPar1"/>
        <w:rPr>
          <w:noProof/>
        </w:rPr>
      </w:pPr>
      <w:r w:rsidRPr="003409C9">
        <w:rPr>
          <w:noProof/>
        </w:rPr>
        <w:t>3.</w:t>
      </w:r>
      <w:r w:rsidRPr="003409C9">
        <w:rPr>
          <w:noProof/>
        </w:rPr>
        <w:tab/>
        <w:t>Wszelkie metody gromadzenia danych</w:t>
      </w:r>
      <w:r w:rsidR="003409C9" w:rsidRPr="003409C9">
        <w:rPr>
          <w:noProof/>
        </w:rPr>
        <w:t xml:space="preserve"> w spo</w:t>
      </w:r>
      <w:r w:rsidRPr="003409C9">
        <w:rPr>
          <w:noProof/>
        </w:rPr>
        <w:t>sób zautomatyzowany stosowane przez przewoźników lotniczych do gromadzenia danych API na podstawie niniejszego rozporządzenia muszą być niezawodne, bezpieczne</w:t>
      </w:r>
      <w:r w:rsidR="003409C9" w:rsidRPr="003409C9">
        <w:rPr>
          <w:noProof/>
        </w:rPr>
        <w:t xml:space="preserve"> i akt</w:t>
      </w:r>
      <w:r w:rsidRPr="003409C9">
        <w:rPr>
          <w:noProof/>
        </w:rPr>
        <w:t xml:space="preserve">ualne. </w:t>
      </w:r>
    </w:p>
    <w:p w:rsidR="00250117" w:rsidRPr="003409C9" w:rsidRDefault="009475BC" w:rsidP="009475BC">
      <w:pPr>
        <w:pStyle w:val="ManualNumPar1"/>
        <w:rPr>
          <w:noProof/>
        </w:rPr>
      </w:pPr>
      <w:r w:rsidRPr="003409C9">
        <w:rPr>
          <w:noProof/>
        </w:rPr>
        <w:t>4.</w:t>
      </w:r>
      <w:r w:rsidRPr="003409C9">
        <w:rPr>
          <w:noProof/>
        </w:rPr>
        <w:tab/>
        <w:t>Komisja jest uprawniona do przyjmowania aktów delegowanych zgodnie</w:t>
      </w:r>
      <w:r w:rsidR="003409C9" w:rsidRPr="003409C9">
        <w:rPr>
          <w:noProof/>
        </w:rPr>
        <w:t xml:space="preserve"> z art</w:t>
      </w:r>
      <w:r w:rsidRPr="003409C9">
        <w:rPr>
          <w:noProof/>
        </w:rPr>
        <w:t>.</w:t>
      </w:r>
      <w:r w:rsidR="003409C9" w:rsidRPr="003409C9">
        <w:rPr>
          <w:noProof/>
        </w:rPr>
        <w:t> </w:t>
      </w:r>
      <w:r w:rsidRPr="003409C9">
        <w:rPr>
          <w:noProof/>
        </w:rPr>
        <w:t>37</w:t>
      </w:r>
      <w:r w:rsidR="003409C9" w:rsidRPr="003409C9">
        <w:rPr>
          <w:noProof/>
        </w:rPr>
        <w:t xml:space="preserve"> w cel</w:t>
      </w:r>
      <w:r w:rsidRPr="003409C9">
        <w:rPr>
          <w:noProof/>
        </w:rPr>
        <w:t>u uzupełnienia niniejszego rozporządzenia przez określenie szczegółowych wymogów technicznych</w:t>
      </w:r>
      <w:r w:rsidR="003409C9" w:rsidRPr="003409C9">
        <w:rPr>
          <w:noProof/>
        </w:rPr>
        <w:t xml:space="preserve"> i zas</w:t>
      </w:r>
      <w:r w:rsidRPr="003409C9">
        <w:rPr>
          <w:noProof/>
        </w:rPr>
        <w:t>ad postępowania</w:t>
      </w:r>
      <w:r w:rsidR="003409C9" w:rsidRPr="003409C9">
        <w:rPr>
          <w:noProof/>
        </w:rPr>
        <w:t xml:space="preserve"> w zak</w:t>
      </w:r>
      <w:r w:rsidRPr="003409C9">
        <w:rPr>
          <w:noProof/>
        </w:rPr>
        <w:t>resie gromadzenia danych API,</w:t>
      </w:r>
      <w:r w:rsidR="003409C9" w:rsidRPr="003409C9">
        <w:rPr>
          <w:noProof/>
        </w:rPr>
        <w:t xml:space="preserve"> o któ</w:t>
      </w:r>
      <w:r w:rsidRPr="003409C9">
        <w:rPr>
          <w:noProof/>
        </w:rPr>
        <w:t>rych mowa</w:t>
      </w:r>
      <w:r w:rsidR="003409C9" w:rsidRPr="003409C9">
        <w:rPr>
          <w:noProof/>
        </w:rPr>
        <w:t xml:space="preserve"> w art</w:t>
      </w:r>
      <w:r w:rsidRPr="003409C9">
        <w:rPr>
          <w:noProof/>
        </w:rPr>
        <w:t>.</w:t>
      </w:r>
      <w:r w:rsidR="003409C9" w:rsidRPr="003409C9">
        <w:rPr>
          <w:noProof/>
        </w:rPr>
        <w:t> </w:t>
      </w:r>
      <w:r w:rsidRPr="003409C9">
        <w:rPr>
          <w:noProof/>
        </w:rPr>
        <w:t>4 ust.</w:t>
      </w:r>
      <w:r w:rsidR="003409C9" w:rsidRPr="003409C9">
        <w:rPr>
          <w:noProof/>
        </w:rPr>
        <w:t> </w:t>
      </w:r>
      <w:r w:rsidRPr="003409C9">
        <w:rPr>
          <w:noProof/>
        </w:rPr>
        <w:t>2 lit.</w:t>
      </w:r>
      <w:r w:rsidR="003409C9" w:rsidRPr="003409C9">
        <w:rPr>
          <w:noProof/>
        </w:rPr>
        <w:t> </w:t>
      </w:r>
      <w:r w:rsidRPr="003409C9">
        <w:rPr>
          <w:noProof/>
        </w:rPr>
        <w:t>a)–d),</w:t>
      </w:r>
      <w:r w:rsidR="003409C9" w:rsidRPr="003409C9">
        <w:rPr>
          <w:noProof/>
        </w:rPr>
        <w:t xml:space="preserve"> w spo</w:t>
      </w:r>
      <w:r w:rsidRPr="003409C9">
        <w:rPr>
          <w:noProof/>
        </w:rPr>
        <w:t>sób zautomatyzowany zgodnie</w:t>
      </w:r>
      <w:r w:rsidR="003409C9" w:rsidRPr="003409C9">
        <w:rPr>
          <w:noProof/>
        </w:rPr>
        <w:t xml:space="preserve"> z ust</w:t>
      </w:r>
      <w:r w:rsidRPr="003409C9">
        <w:rPr>
          <w:noProof/>
        </w:rPr>
        <w:t>.</w:t>
      </w:r>
      <w:r w:rsidR="003409C9" w:rsidRPr="003409C9">
        <w:rPr>
          <w:noProof/>
        </w:rPr>
        <w:t> </w:t>
      </w:r>
      <w:r w:rsidRPr="003409C9">
        <w:rPr>
          <w:noProof/>
        </w:rPr>
        <w:t>2</w:t>
      </w:r>
      <w:r w:rsidR="003409C9" w:rsidRPr="003409C9">
        <w:rPr>
          <w:noProof/>
        </w:rPr>
        <w:t xml:space="preserve"> i 3</w:t>
      </w:r>
      <w:r w:rsidRPr="003409C9">
        <w:rPr>
          <w:noProof/>
        </w:rPr>
        <w:t xml:space="preserve"> niniejszego artykułu.</w:t>
      </w:r>
    </w:p>
    <w:p w:rsidR="006C08A2" w:rsidRPr="003409C9" w:rsidRDefault="009475BC" w:rsidP="009475BC">
      <w:pPr>
        <w:pStyle w:val="ManualNumPar1"/>
        <w:rPr>
          <w:noProof/>
        </w:rPr>
      </w:pPr>
      <w:r w:rsidRPr="003409C9">
        <w:rPr>
          <w:noProof/>
        </w:rPr>
        <w:t>5.</w:t>
      </w:r>
      <w:r w:rsidRPr="003409C9">
        <w:rPr>
          <w:noProof/>
        </w:rPr>
        <w:tab/>
        <w:t>Przewoźnicy lotniczy, którzy</w:t>
      </w:r>
      <w:r w:rsidR="003409C9" w:rsidRPr="003409C9">
        <w:rPr>
          <w:noProof/>
        </w:rPr>
        <w:t xml:space="preserve"> w spo</w:t>
      </w:r>
      <w:r w:rsidRPr="003409C9">
        <w:rPr>
          <w:noProof/>
        </w:rPr>
        <w:t>sób zautomatyzowany gromadzą informacje,</w:t>
      </w:r>
      <w:r w:rsidR="003409C9" w:rsidRPr="003409C9">
        <w:rPr>
          <w:noProof/>
        </w:rPr>
        <w:t xml:space="preserve"> o któ</w:t>
      </w:r>
      <w:r w:rsidRPr="003409C9">
        <w:rPr>
          <w:noProof/>
        </w:rPr>
        <w:t>rych mowa</w:t>
      </w:r>
      <w:r w:rsidR="003409C9" w:rsidRPr="003409C9">
        <w:rPr>
          <w:noProof/>
        </w:rPr>
        <w:t xml:space="preserve"> w art</w:t>
      </w:r>
      <w:r w:rsidRPr="003409C9">
        <w:rPr>
          <w:noProof/>
        </w:rPr>
        <w:t>.</w:t>
      </w:r>
      <w:r w:rsidR="003409C9" w:rsidRPr="003409C9">
        <w:rPr>
          <w:noProof/>
        </w:rPr>
        <w:t> </w:t>
      </w:r>
      <w:r w:rsidRPr="003409C9">
        <w:rPr>
          <w:noProof/>
        </w:rPr>
        <w:t>3 ust.</w:t>
      </w:r>
      <w:r w:rsidR="003409C9" w:rsidRPr="003409C9">
        <w:rPr>
          <w:noProof/>
        </w:rPr>
        <w:t> </w:t>
      </w:r>
      <w:r w:rsidRPr="003409C9">
        <w:rPr>
          <w:noProof/>
        </w:rPr>
        <w:t>1 dyrektywy 2004/82/WE, są do tego uprawnieni przy zastosowaniu wymogów technicznych dotyczących takiego wykorzystania,</w:t>
      </w:r>
      <w:r w:rsidR="003409C9" w:rsidRPr="003409C9">
        <w:rPr>
          <w:noProof/>
        </w:rPr>
        <w:t xml:space="preserve"> o któ</w:t>
      </w:r>
      <w:r w:rsidRPr="003409C9">
        <w:rPr>
          <w:noProof/>
        </w:rPr>
        <w:t>rych mowa</w:t>
      </w:r>
      <w:r w:rsidR="003409C9" w:rsidRPr="003409C9">
        <w:rPr>
          <w:noProof/>
        </w:rPr>
        <w:t xml:space="preserve"> w ust</w:t>
      </w:r>
      <w:r w:rsidRPr="003409C9">
        <w:rPr>
          <w:noProof/>
        </w:rPr>
        <w:t>.</w:t>
      </w:r>
      <w:r w:rsidR="003409C9" w:rsidRPr="003409C9">
        <w:rPr>
          <w:noProof/>
        </w:rPr>
        <w:t> </w:t>
      </w:r>
      <w:r w:rsidRPr="003409C9">
        <w:rPr>
          <w:noProof/>
        </w:rPr>
        <w:t>4, zgodnie z tą dyrektywą.</w:t>
      </w:r>
    </w:p>
    <w:p w:rsidR="00250117" w:rsidRPr="00BB07AF" w:rsidRDefault="00250117" w:rsidP="00250117">
      <w:pPr>
        <w:pStyle w:val="Titrearticle"/>
        <w:rPr>
          <w:noProof/>
        </w:rPr>
      </w:pPr>
      <w:r w:rsidRPr="00BB07AF">
        <w:rPr>
          <w:noProof/>
        </w:rPr>
        <w:t>Artykuł 6</w:t>
      </w:r>
    </w:p>
    <w:p w:rsidR="00250117" w:rsidRPr="00BB07AF" w:rsidRDefault="00250117" w:rsidP="00250117">
      <w:pPr>
        <w:jc w:val="center"/>
        <w:rPr>
          <w:b/>
          <w:noProof/>
        </w:rPr>
      </w:pPr>
      <w:bookmarkStart w:id="25" w:name="_Hlk117156074"/>
      <w:r w:rsidRPr="00BB07AF">
        <w:rPr>
          <w:b/>
          <w:noProof/>
        </w:rPr>
        <w:t>Obowiązki przewoźników lotniczych dotyczące przekazywania danych API</w:t>
      </w:r>
      <w:bookmarkEnd w:id="25"/>
      <w:r w:rsidRPr="00BB07AF">
        <w:rPr>
          <w:b/>
          <w:noProof/>
        </w:rPr>
        <w:t xml:space="preserve"> </w:t>
      </w:r>
    </w:p>
    <w:p w:rsidR="00250117" w:rsidRPr="003409C9" w:rsidRDefault="009475BC" w:rsidP="009475BC">
      <w:pPr>
        <w:pStyle w:val="ManualNumPar1"/>
        <w:rPr>
          <w:noProof/>
        </w:rPr>
      </w:pPr>
      <w:bookmarkStart w:id="26" w:name="_Hlk117157140"/>
      <w:r w:rsidRPr="003409C9">
        <w:rPr>
          <w:noProof/>
        </w:rPr>
        <w:t>1.</w:t>
      </w:r>
      <w:r w:rsidRPr="003409C9">
        <w:rPr>
          <w:noProof/>
        </w:rPr>
        <w:tab/>
        <w:t>Przewoźnicy lotniczy przekazują dane API do routera drogą elektroniczną. Odbywa się to zgodnie ze szczegółowymi zasadami postępowania,</w:t>
      </w:r>
      <w:r w:rsidR="003409C9" w:rsidRPr="003409C9">
        <w:rPr>
          <w:noProof/>
        </w:rPr>
        <w:t xml:space="preserve"> o któ</w:t>
      </w:r>
      <w:r w:rsidRPr="003409C9">
        <w:rPr>
          <w:noProof/>
        </w:rPr>
        <w:t>rych mowa</w:t>
      </w:r>
      <w:r w:rsidR="003409C9" w:rsidRPr="003409C9">
        <w:rPr>
          <w:noProof/>
        </w:rPr>
        <w:t xml:space="preserve"> w ust</w:t>
      </w:r>
      <w:r w:rsidRPr="003409C9">
        <w:rPr>
          <w:noProof/>
        </w:rPr>
        <w:t>.</w:t>
      </w:r>
      <w:r w:rsidR="003409C9" w:rsidRPr="003409C9">
        <w:rPr>
          <w:noProof/>
        </w:rPr>
        <w:t> </w:t>
      </w:r>
      <w:r w:rsidRPr="003409C9">
        <w:rPr>
          <w:noProof/>
        </w:rPr>
        <w:t>3, jeżeli takie zasady zostały przyjęte</w:t>
      </w:r>
      <w:r w:rsidR="003409C9" w:rsidRPr="003409C9">
        <w:rPr>
          <w:noProof/>
        </w:rPr>
        <w:t xml:space="preserve"> i maj</w:t>
      </w:r>
      <w:r w:rsidRPr="003409C9">
        <w:rPr>
          <w:noProof/>
        </w:rPr>
        <w:t xml:space="preserve">ą zastosowanie. </w:t>
      </w:r>
    </w:p>
    <w:p w:rsidR="00250117" w:rsidRPr="003409C9" w:rsidRDefault="009475BC" w:rsidP="009475BC">
      <w:pPr>
        <w:pStyle w:val="ManualNumPar1"/>
        <w:rPr>
          <w:noProof/>
        </w:rPr>
      </w:pPr>
      <w:r w:rsidRPr="003409C9">
        <w:rPr>
          <w:noProof/>
        </w:rPr>
        <w:t>2.</w:t>
      </w:r>
      <w:r w:rsidRPr="003409C9">
        <w:rPr>
          <w:noProof/>
        </w:rPr>
        <w:tab/>
        <w:t>Przewoźnicy lotniczy przekazują dane API zarówno</w:t>
      </w:r>
      <w:r w:rsidR="003409C9" w:rsidRPr="003409C9">
        <w:rPr>
          <w:noProof/>
        </w:rPr>
        <w:t xml:space="preserve"> w chw</w:t>
      </w:r>
      <w:r w:rsidRPr="003409C9">
        <w:rPr>
          <w:noProof/>
        </w:rPr>
        <w:t>ili odprawy, jak</w:t>
      </w:r>
      <w:r w:rsidR="003409C9" w:rsidRPr="003409C9">
        <w:rPr>
          <w:noProof/>
        </w:rPr>
        <w:t xml:space="preserve"> i nat</w:t>
      </w:r>
      <w:r w:rsidRPr="003409C9">
        <w:rPr>
          <w:noProof/>
        </w:rPr>
        <w:t>ychmiast po zakończeniu odprawy, tj. po wejściu pasażerów na pokład samolotu przygotowującego się do odlotu</w:t>
      </w:r>
      <w:r w:rsidR="003409C9" w:rsidRPr="003409C9">
        <w:rPr>
          <w:noProof/>
        </w:rPr>
        <w:t xml:space="preserve"> i gdy</w:t>
      </w:r>
      <w:r w:rsidRPr="003409C9">
        <w:rPr>
          <w:noProof/>
        </w:rPr>
        <w:t xml:space="preserve"> nie ma już możliwości wejścia na pokład ani opuszczenia samolotu. </w:t>
      </w:r>
    </w:p>
    <w:p w:rsidR="00250117" w:rsidRPr="003409C9" w:rsidRDefault="009475BC" w:rsidP="009475BC">
      <w:pPr>
        <w:pStyle w:val="ManualNumPar1"/>
        <w:rPr>
          <w:noProof/>
        </w:rPr>
      </w:pPr>
      <w:r w:rsidRPr="003409C9">
        <w:rPr>
          <w:noProof/>
        </w:rPr>
        <w:t>3.</w:t>
      </w:r>
      <w:r w:rsidRPr="003409C9">
        <w:rPr>
          <w:noProof/>
        </w:rPr>
        <w:tab/>
        <w:t>Komisja jest uprawniona do przyjmowania aktów delegowanych zgodnie</w:t>
      </w:r>
      <w:r w:rsidR="003409C9" w:rsidRPr="003409C9">
        <w:rPr>
          <w:noProof/>
        </w:rPr>
        <w:t xml:space="preserve"> z art</w:t>
      </w:r>
      <w:r w:rsidRPr="003409C9">
        <w:rPr>
          <w:noProof/>
        </w:rPr>
        <w:t>.</w:t>
      </w:r>
      <w:r w:rsidR="003409C9" w:rsidRPr="003409C9">
        <w:rPr>
          <w:noProof/>
        </w:rPr>
        <w:t> </w:t>
      </w:r>
      <w:r w:rsidRPr="003409C9">
        <w:rPr>
          <w:noProof/>
        </w:rPr>
        <w:t>37</w:t>
      </w:r>
      <w:r w:rsidR="003409C9" w:rsidRPr="003409C9">
        <w:rPr>
          <w:noProof/>
        </w:rPr>
        <w:t xml:space="preserve"> w cel</w:t>
      </w:r>
      <w:r w:rsidRPr="003409C9">
        <w:rPr>
          <w:noProof/>
        </w:rPr>
        <w:t>u uzupełnienia niniejszego rozporządzenia przez określenie niezbędnych szczegółowych zasad dotyczących wspólnych protokołów</w:t>
      </w:r>
      <w:r w:rsidR="003409C9" w:rsidRPr="003409C9">
        <w:rPr>
          <w:noProof/>
        </w:rPr>
        <w:t xml:space="preserve"> i obs</w:t>
      </w:r>
      <w:r w:rsidRPr="003409C9">
        <w:rPr>
          <w:noProof/>
        </w:rPr>
        <w:t>ługiwanych formatów danych, które mają być wykorzystywane na potrzeby przekazywania danych API do routera,</w:t>
      </w:r>
      <w:r w:rsidR="003409C9" w:rsidRPr="003409C9">
        <w:rPr>
          <w:noProof/>
        </w:rPr>
        <w:t xml:space="preserve"> o któ</w:t>
      </w:r>
      <w:r w:rsidRPr="003409C9">
        <w:rPr>
          <w:noProof/>
        </w:rPr>
        <w:t>rym mowa</w:t>
      </w:r>
      <w:r w:rsidR="003409C9" w:rsidRPr="003409C9">
        <w:rPr>
          <w:noProof/>
        </w:rPr>
        <w:t xml:space="preserve"> w ust</w:t>
      </w:r>
      <w:r w:rsidRPr="003409C9">
        <w:rPr>
          <w:noProof/>
        </w:rPr>
        <w:t>.</w:t>
      </w:r>
      <w:r w:rsidR="003409C9" w:rsidRPr="003409C9">
        <w:rPr>
          <w:noProof/>
        </w:rPr>
        <w:t> </w:t>
      </w:r>
      <w:r w:rsidRPr="003409C9">
        <w:rPr>
          <w:noProof/>
        </w:rPr>
        <w:t>1.</w:t>
      </w:r>
    </w:p>
    <w:p w:rsidR="001009EF" w:rsidRPr="003409C9" w:rsidRDefault="009475BC" w:rsidP="009475BC">
      <w:pPr>
        <w:pStyle w:val="ManualNumPar1"/>
        <w:rPr>
          <w:noProof/>
        </w:rPr>
      </w:pPr>
      <w:bookmarkStart w:id="27" w:name="_Hlk117160527"/>
      <w:bookmarkEnd w:id="26"/>
      <w:r w:rsidRPr="003409C9">
        <w:rPr>
          <w:noProof/>
        </w:rPr>
        <w:t>4.</w:t>
      </w:r>
      <w:r w:rsidRPr="003409C9">
        <w:rPr>
          <w:noProof/>
        </w:rPr>
        <w:tab/>
        <w:t>W przypadku gdy po przekazaniu danych do routera przewoźnik lotniczy stwierdzi, że dane API są niedokładne, niekompletne, nieaktualne lub zostały przetworzone niezgodnie</w:t>
      </w:r>
      <w:r w:rsidR="003409C9" w:rsidRPr="003409C9">
        <w:rPr>
          <w:noProof/>
        </w:rPr>
        <w:t xml:space="preserve"> z pra</w:t>
      </w:r>
      <w:r w:rsidRPr="003409C9">
        <w:rPr>
          <w:noProof/>
        </w:rPr>
        <w:t>wem albo że dane te nie stanowią danych API, niezwłocznie informuje</w:t>
      </w:r>
      <w:r w:rsidR="003409C9" w:rsidRPr="003409C9">
        <w:rPr>
          <w:noProof/>
        </w:rPr>
        <w:t xml:space="preserve"> o tym</w:t>
      </w:r>
      <w:r w:rsidRPr="003409C9">
        <w:rPr>
          <w:noProof/>
        </w:rPr>
        <w:t xml:space="preserve"> </w:t>
      </w:r>
      <w:bookmarkStart w:id="28" w:name="_Hlk120853504"/>
      <w:r w:rsidRPr="003409C9">
        <w:rPr>
          <w:noProof/>
        </w:rPr>
        <w:t>Agencję Unii Europejskiej ds. Zarządzania Operacyjnego Wielkoskalowymi Systemami Informatycznymi</w:t>
      </w:r>
      <w:r w:rsidR="003409C9" w:rsidRPr="003409C9">
        <w:rPr>
          <w:noProof/>
        </w:rPr>
        <w:t xml:space="preserve"> w Prz</w:t>
      </w:r>
      <w:r w:rsidRPr="003409C9">
        <w:rPr>
          <w:noProof/>
        </w:rPr>
        <w:t>estrzeni Wolności, Bezpieczeństwa</w:t>
      </w:r>
      <w:r w:rsidR="003409C9" w:rsidRPr="003409C9">
        <w:rPr>
          <w:noProof/>
        </w:rPr>
        <w:t xml:space="preserve"> i Spr</w:t>
      </w:r>
      <w:r w:rsidRPr="003409C9">
        <w:rPr>
          <w:noProof/>
        </w:rPr>
        <w:t>awiedliwości (eu-LISA). Po otrzymaniu takiej informacji eu-LISA niezwłocznie informuje</w:t>
      </w:r>
      <w:r w:rsidR="003409C9" w:rsidRPr="003409C9">
        <w:rPr>
          <w:noProof/>
        </w:rPr>
        <w:t xml:space="preserve"> o tym</w:t>
      </w:r>
      <w:r w:rsidRPr="003409C9">
        <w:rPr>
          <w:noProof/>
        </w:rPr>
        <w:t xml:space="preserve"> fakcie właściwą służbę graniczną, która otrzymała dane API przekazane za pośrednictwem routera.</w:t>
      </w:r>
      <w:bookmarkEnd w:id="28"/>
    </w:p>
    <w:p w:rsidR="00411581" w:rsidRPr="003409C9" w:rsidRDefault="00411581" w:rsidP="00411581">
      <w:pPr>
        <w:pStyle w:val="Text1"/>
        <w:rPr>
          <w:noProof/>
        </w:rPr>
      </w:pPr>
    </w:p>
    <w:p w:rsidR="001009EF" w:rsidRPr="00BB07AF" w:rsidRDefault="00250117" w:rsidP="009B05A0">
      <w:pPr>
        <w:jc w:val="center"/>
        <w:rPr>
          <w:i/>
          <w:noProof/>
        </w:rPr>
      </w:pPr>
      <w:r w:rsidRPr="00BB07AF">
        <w:rPr>
          <w:i/>
          <w:noProof/>
        </w:rPr>
        <w:t>Artykuł 7</w:t>
      </w:r>
    </w:p>
    <w:p w:rsidR="00250117" w:rsidRPr="00BB07AF" w:rsidRDefault="00250117" w:rsidP="00250117">
      <w:pPr>
        <w:jc w:val="center"/>
        <w:rPr>
          <w:b/>
          <w:noProof/>
        </w:rPr>
      </w:pPr>
      <w:r w:rsidRPr="00BB07AF">
        <w:rPr>
          <w:b/>
          <w:noProof/>
        </w:rPr>
        <w:t>Przetwarzanie otrzymanych danych API</w:t>
      </w:r>
    </w:p>
    <w:p w:rsidR="00250117" w:rsidRPr="00BB07AF" w:rsidRDefault="00250117" w:rsidP="00250117">
      <w:pPr>
        <w:rPr>
          <w:b/>
          <w:noProof/>
        </w:rPr>
      </w:pPr>
      <w:r w:rsidRPr="003409C9">
        <w:rPr>
          <w:noProof/>
        </w:rPr>
        <w:t>Właściwe służby graniczne przetwarzają dane API, przekazane im zgodnie</w:t>
      </w:r>
      <w:r w:rsidR="003409C9" w:rsidRPr="003409C9">
        <w:rPr>
          <w:noProof/>
        </w:rPr>
        <w:t xml:space="preserve"> z nin</w:t>
      </w:r>
      <w:r w:rsidRPr="003409C9">
        <w:rPr>
          <w:noProof/>
        </w:rPr>
        <w:t>iejszym rozporządzeniem, wyłącznie do celów określonych</w:t>
      </w:r>
      <w:r w:rsidR="003409C9" w:rsidRPr="003409C9">
        <w:rPr>
          <w:noProof/>
        </w:rPr>
        <w:t xml:space="preserve"> w art</w:t>
      </w:r>
      <w:r w:rsidRPr="003409C9">
        <w:rPr>
          <w:noProof/>
        </w:rPr>
        <w:t>.</w:t>
      </w:r>
      <w:r w:rsidR="003409C9" w:rsidRPr="003409C9">
        <w:rPr>
          <w:noProof/>
        </w:rPr>
        <w:t> </w:t>
      </w:r>
      <w:r w:rsidRPr="003409C9">
        <w:rPr>
          <w:noProof/>
        </w:rPr>
        <w:t>1.</w:t>
      </w:r>
      <w:r w:rsidR="003B5A1D" w:rsidRPr="003409C9">
        <w:rPr>
          <w:noProof/>
        </w:rPr>
        <w:t xml:space="preserve"> </w:t>
      </w:r>
    </w:p>
    <w:p w:rsidR="00250117" w:rsidRPr="00BB07AF" w:rsidRDefault="00250117" w:rsidP="00250117">
      <w:pPr>
        <w:pStyle w:val="Titrearticle"/>
        <w:rPr>
          <w:noProof/>
        </w:rPr>
      </w:pPr>
      <w:r w:rsidRPr="00BB07AF">
        <w:rPr>
          <w:noProof/>
        </w:rPr>
        <w:t>Artykuł 8</w:t>
      </w:r>
    </w:p>
    <w:p w:rsidR="00250117" w:rsidRPr="00BB07AF" w:rsidRDefault="00452B42" w:rsidP="00250117">
      <w:pPr>
        <w:jc w:val="center"/>
        <w:rPr>
          <w:b/>
          <w:noProof/>
        </w:rPr>
      </w:pPr>
      <w:r w:rsidRPr="00BB07AF">
        <w:rPr>
          <w:b/>
          <w:noProof/>
        </w:rPr>
        <w:t>Przechowywanie</w:t>
      </w:r>
      <w:r w:rsidR="003409C9" w:rsidRPr="00BB07AF">
        <w:rPr>
          <w:b/>
          <w:noProof/>
        </w:rPr>
        <w:t xml:space="preserve"> i usu</w:t>
      </w:r>
      <w:r w:rsidRPr="00BB07AF">
        <w:rPr>
          <w:b/>
          <w:noProof/>
        </w:rPr>
        <w:t>wanie danych API</w:t>
      </w:r>
    </w:p>
    <w:p w:rsidR="00250117" w:rsidRPr="003409C9" w:rsidRDefault="009475BC" w:rsidP="009475BC">
      <w:pPr>
        <w:pStyle w:val="ManualNumPar1"/>
        <w:rPr>
          <w:noProof/>
        </w:rPr>
      </w:pPr>
      <w:r w:rsidRPr="003409C9">
        <w:rPr>
          <w:noProof/>
        </w:rPr>
        <w:t>1.</w:t>
      </w:r>
      <w:r w:rsidRPr="003409C9">
        <w:rPr>
          <w:noProof/>
        </w:rPr>
        <w:tab/>
        <w:t>Przewoźnicy lotniczy przechowują, przez 48 godzin od chwili wylotu, dane API dotyczące danego pasażera, które zgromadzili na podstawie</w:t>
      </w:r>
      <w:r w:rsidR="003409C9" w:rsidRPr="003409C9">
        <w:rPr>
          <w:noProof/>
        </w:rPr>
        <w:t xml:space="preserve"> z art</w:t>
      </w:r>
      <w:r w:rsidRPr="003409C9">
        <w:rPr>
          <w:noProof/>
        </w:rPr>
        <w:t>.</w:t>
      </w:r>
      <w:r w:rsidR="003409C9" w:rsidRPr="003409C9">
        <w:rPr>
          <w:noProof/>
        </w:rPr>
        <w:t> </w:t>
      </w:r>
      <w:r w:rsidRPr="003409C9">
        <w:rPr>
          <w:noProof/>
        </w:rPr>
        <w:t>4. Po upływie tego okresu niezwłocznie</w:t>
      </w:r>
      <w:r w:rsidR="003409C9" w:rsidRPr="003409C9">
        <w:rPr>
          <w:noProof/>
        </w:rPr>
        <w:t xml:space="preserve"> i trw</w:t>
      </w:r>
      <w:r w:rsidRPr="003409C9">
        <w:rPr>
          <w:noProof/>
        </w:rPr>
        <w:t>ale usuwają te dane API.</w:t>
      </w:r>
      <w:r w:rsidR="003B5A1D" w:rsidRPr="003409C9">
        <w:rPr>
          <w:noProof/>
        </w:rPr>
        <w:t xml:space="preserve"> </w:t>
      </w:r>
    </w:p>
    <w:p w:rsidR="00186022" w:rsidRPr="003409C9" w:rsidRDefault="009475BC" w:rsidP="009475BC">
      <w:pPr>
        <w:pStyle w:val="ManualNumPar1"/>
        <w:rPr>
          <w:noProof/>
        </w:rPr>
      </w:pPr>
      <w:r w:rsidRPr="003409C9">
        <w:rPr>
          <w:noProof/>
        </w:rPr>
        <w:t>2.</w:t>
      </w:r>
      <w:r w:rsidRPr="003409C9">
        <w:rPr>
          <w:noProof/>
        </w:rPr>
        <w:tab/>
        <w:t>Właściwe służby graniczne przechowują dane API dotyczące danego pasażera, które otrzymały za pośrednictwem routera na podstawie art.</w:t>
      </w:r>
      <w:r w:rsidR="003409C9" w:rsidRPr="003409C9">
        <w:rPr>
          <w:noProof/>
        </w:rPr>
        <w:t> </w:t>
      </w:r>
      <w:r w:rsidRPr="003409C9">
        <w:rPr>
          <w:noProof/>
        </w:rPr>
        <w:t>11, przez 48 godzin od chwili wylotu. Po upływie tego okresu niezwłocznie</w:t>
      </w:r>
      <w:r w:rsidR="003409C9" w:rsidRPr="003409C9">
        <w:rPr>
          <w:noProof/>
        </w:rPr>
        <w:t xml:space="preserve"> i trw</w:t>
      </w:r>
      <w:r w:rsidRPr="003409C9">
        <w:rPr>
          <w:noProof/>
        </w:rPr>
        <w:t>ale usuwają te dane API.</w:t>
      </w:r>
    </w:p>
    <w:p w:rsidR="00186022" w:rsidRPr="003409C9" w:rsidRDefault="009475BC" w:rsidP="009475BC">
      <w:pPr>
        <w:pStyle w:val="ManualNumPar1"/>
        <w:rPr>
          <w:noProof/>
        </w:rPr>
      </w:pPr>
      <w:r w:rsidRPr="003409C9">
        <w:rPr>
          <w:noProof/>
        </w:rPr>
        <w:t>3.</w:t>
      </w:r>
      <w:r w:rsidRPr="003409C9">
        <w:rPr>
          <w:noProof/>
        </w:rPr>
        <w:tab/>
        <w:t>W przypadku gdy przewoźnik lotniczy lub właściwa służba graniczna stwierdzi, że dane, które zgromadził, przekazał lub otrzymał zgodnie</w:t>
      </w:r>
      <w:r w:rsidR="003409C9" w:rsidRPr="003409C9">
        <w:rPr>
          <w:noProof/>
        </w:rPr>
        <w:t xml:space="preserve"> z nin</w:t>
      </w:r>
      <w:r w:rsidRPr="003409C9">
        <w:rPr>
          <w:noProof/>
        </w:rPr>
        <w:t>iejszym rozporządzeniem są niedokładne, niekompletne, nieaktualne lub zostały przetworzone niezgodnie</w:t>
      </w:r>
      <w:r w:rsidR="003409C9" w:rsidRPr="003409C9">
        <w:rPr>
          <w:noProof/>
        </w:rPr>
        <w:t xml:space="preserve"> z pra</w:t>
      </w:r>
      <w:r w:rsidRPr="003409C9">
        <w:rPr>
          <w:noProof/>
        </w:rPr>
        <w:t>wem, albo że dane te nie stanowią danych API, niezwłocznie poprawia, uzupełnia lub aktualizuje albo trwale usuwa te dane API. Pozostaje to bez uszczerbku dla możliwości zachowania</w:t>
      </w:r>
      <w:r w:rsidR="003409C9" w:rsidRPr="003409C9">
        <w:rPr>
          <w:noProof/>
        </w:rPr>
        <w:t xml:space="preserve"> i wyk</w:t>
      </w:r>
      <w:r w:rsidRPr="003409C9">
        <w:rPr>
          <w:noProof/>
        </w:rPr>
        <w:t>orzystywania danych przez przewoźników lotniczych, jeżeli jest to niezbędne do prowadzenia normalnej działalności zgodnie</w:t>
      </w:r>
      <w:r w:rsidR="003409C9" w:rsidRPr="003409C9">
        <w:rPr>
          <w:noProof/>
        </w:rPr>
        <w:t xml:space="preserve"> z obo</w:t>
      </w:r>
      <w:r w:rsidRPr="003409C9">
        <w:rPr>
          <w:noProof/>
        </w:rPr>
        <w:t>wiązującym prawem.</w:t>
      </w:r>
    </w:p>
    <w:bookmarkEnd w:id="27"/>
    <w:p w:rsidR="00250117" w:rsidRPr="003409C9" w:rsidRDefault="00250117" w:rsidP="00250117">
      <w:pPr>
        <w:pStyle w:val="Titrearticle"/>
        <w:rPr>
          <w:i w:val="0"/>
          <w:noProof/>
        </w:rPr>
      </w:pPr>
      <w:r w:rsidRPr="003409C9">
        <w:rPr>
          <w:i w:val="0"/>
          <w:noProof/>
        </w:rPr>
        <w:t>ROZDZIAŁ 3</w:t>
      </w:r>
    </w:p>
    <w:p w:rsidR="00250117" w:rsidRPr="00BB07AF" w:rsidRDefault="00DA144D" w:rsidP="00250117">
      <w:pPr>
        <w:jc w:val="center"/>
        <w:rPr>
          <w:b/>
          <w:noProof/>
        </w:rPr>
      </w:pPr>
      <w:r w:rsidRPr="00BB07AF">
        <w:rPr>
          <w:b/>
          <w:noProof/>
        </w:rPr>
        <w:t>PRZEPISY DOTYCZĄCE ROUTERA</w:t>
      </w:r>
    </w:p>
    <w:p w:rsidR="00250117" w:rsidRPr="00BB07AF" w:rsidRDefault="00250117" w:rsidP="00250117">
      <w:pPr>
        <w:pStyle w:val="Titrearticle"/>
        <w:rPr>
          <w:noProof/>
        </w:rPr>
      </w:pPr>
      <w:r w:rsidRPr="00BB07AF">
        <w:rPr>
          <w:noProof/>
        </w:rPr>
        <w:t>Artykuł 9</w:t>
      </w:r>
    </w:p>
    <w:p w:rsidR="00B15276" w:rsidRPr="00BB07AF" w:rsidRDefault="00186022" w:rsidP="00B15276">
      <w:pPr>
        <w:jc w:val="center"/>
        <w:rPr>
          <w:b/>
          <w:noProof/>
        </w:rPr>
      </w:pPr>
      <w:r w:rsidRPr="00BB07AF">
        <w:rPr>
          <w:b/>
          <w:noProof/>
        </w:rPr>
        <w:t>Router</w:t>
      </w:r>
      <w:r w:rsidR="003B5A1D" w:rsidRPr="00BB07AF">
        <w:rPr>
          <w:b/>
          <w:noProof/>
        </w:rPr>
        <w:t xml:space="preserve"> </w:t>
      </w:r>
    </w:p>
    <w:p w:rsidR="00186022" w:rsidRPr="003409C9" w:rsidRDefault="009475BC" w:rsidP="009475BC">
      <w:pPr>
        <w:pStyle w:val="ManualNumPar1"/>
        <w:rPr>
          <w:noProof/>
        </w:rPr>
      </w:pPr>
      <w:bookmarkStart w:id="29" w:name="_Hlk120547776"/>
      <w:r w:rsidRPr="003409C9">
        <w:rPr>
          <w:noProof/>
        </w:rPr>
        <w:t>1.</w:t>
      </w:r>
      <w:r w:rsidRPr="003409C9">
        <w:rPr>
          <w:noProof/>
        </w:rPr>
        <w:tab/>
        <w:t>eu-LISA projektuje, opracowuje</w:t>
      </w:r>
      <w:r w:rsidR="003409C9" w:rsidRPr="003409C9">
        <w:rPr>
          <w:noProof/>
        </w:rPr>
        <w:t xml:space="preserve"> i obs</w:t>
      </w:r>
      <w:r w:rsidRPr="003409C9">
        <w:rPr>
          <w:noProof/>
        </w:rPr>
        <w:t>ługuje router oraz zarządza nim pod względem technicznym zgodnie</w:t>
      </w:r>
      <w:r w:rsidR="003409C9" w:rsidRPr="003409C9">
        <w:rPr>
          <w:noProof/>
        </w:rPr>
        <w:t xml:space="preserve"> z art</w:t>
      </w:r>
      <w:r w:rsidRPr="003409C9">
        <w:rPr>
          <w:noProof/>
        </w:rPr>
        <w:t>.</w:t>
      </w:r>
      <w:r w:rsidR="003409C9" w:rsidRPr="003409C9">
        <w:rPr>
          <w:noProof/>
        </w:rPr>
        <w:t> </w:t>
      </w:r>
      <w:r w:rsidRPr="003409C9">
        <w:rPr>
          <w:noProof/>
        </w:rPr>
        <w:t>22</w:t>
      </w:r>
      <w:r w:rsidR="003409C9" w:rsidRPr="003409C9">
        <w:rPr>
          <w:noProof/>
        </w:rPr>
        <w:t xml:space="preserve"> i 2</w:t>
      </w:r>
      <w:r w:rsidRPr="003409C9">
        <w:rPr>
          <w:noProof/>
        </w:rPr>
        <w:t>3, aby ułatwić przekazywanie danych API przez przewoźników lotniczych właściwym służbom granicznym oraz JIP zgodnie z – odpowiednio – niniejszym rozporządzeniem</w:t>
      </w:r>
      <w:r w:rsidR="003409C9" w:rsidRPr="003409C9">
        <w:rPr>
          <w:noProof/>
        </w:rPr>
        <w:t xml:space="preserve"> i roz</w:t>
      </w:r>
      <w:r w:rsidRPr="003409C9">
        <w:rPr>
          <w:noProof/>
        </w:rPr>
        <w:t xml:space="preserve">porządzeniem (UE) [w sprawie egzekwowania przepisów dotyczących API]. </w:t>
      </w:r>
    </w:p>
    <w:p w:rsidR="00186022" w:rsidRPr="003409C9" w:rsidRDefault="009475BC" w:rsidP="009475BC">
      <w:pPr>
        <w:pStyle w:val="ManualNumPar1"/>
        <w:rPr>
          <w:noProof/>
        </w:rPr>
      </w:pPr>
      <w:r w:rsidRPr="003409C9">
        <w:rPr>
          <w:noProof/>
        </w:rPr>
        <w:t>2.</w:t>
      </w:r>
      <w:r w:rsidRPr="003409C9">
        <w:rPr>
          <w:noProof/>
        </w:rPr>
        <w:tab/>
        <w:t>Router składa się z:</w:t>
      </w:r>
    </w:p>
    <w:p w:rsidR="00186022" w:rsidRPr="003409C9" w:rsidRDefault="009475BC" w:rsidP="009475BC">
      <w:pPr>
        <w:pStyle w:val="Point1"/>
        <w:rPr>
          <w:noProof/>
        </w:rPr>
      </w:pPr>
      <w:r w:rsidRPr="003409C9">
        <w:rPr>
          <w:noProof/>
        </w:rPr>
        <w:t>a)</w:t>
      </w:r>
      <w:r w:rsidRPr="003409C9">
        <w:rPr>
          <w:noProof/>
        </w:rPr>
        <w:tab/>
        <w:t>infrastruktury centralnej obejmującej zestaw elementów technicznych umożliwiających przekazywanie danych API;</w:t>
      </w:r>
    </w:p>
    <w:p w:rsidR="002443DD" w:rsidRPr="003409C9" w:rsidRDefault="009475BC" w:rsidP="009475BC">
      <w:pPr>
        <w:pStyle w:val="Point1"/>
        <w:rPr>
          <w:noProof/>
        </w:rPr>
      </w:pPr>
      <w:r w:rsidRPr="003409C9">
        <w:rPr>
          <w:noProof/>
        </w:rPr>
        <w:t>b)</w:t>
      </w:r>
      <w:r w:rsidRPr="003409C9">
        <w:rPr>
          <w:noProof/>
        </w:rPr>
        <w:tab/>
        <w:t>bezpiecznego kanału komunikacji między infrastrukturą centralną</w:t>
      </w:r>
      <w:r w:rsidR="003409C9" w:rsidRPr="003409C9">
        <w:rPr>
          <w:noProof/>
        </w:rPr>
        <w:t xml:space="preserve"> a wła</w:t>
      </w:r>
      <w:r w:rsidRPr="003409C9">
        <w:rPr>
          <w:noProof/>
        </w:rPr>
        <w:t>ściwymi służbami granicznymi i JIP oraz bezpiecznego kanału komunikacji między infrastrukturą centralną</w:t>
      </w:r>
      <w:r w:rsidR="003409C9" w:rsidRPr="003409C9">
        <w:rPr>
          <w:noProof/>
        </w:rPr>
        <w:t xml:space="preserve"> a prz</w:t>
      </w:r>
      <w:r w:rsidRPr="003409C9">
        <w:rPr>
          <w:noProof/>
        </w:rPr>
        <w:t>ewoźnikami lotniczymi, służącego do przekazywania danych API</w:t>
      </w:r>
      <w:r w:rsidR="003409C9" w:rsidRPr="003409C9">
        <w:rPr>
          <w:noProof/>
        </w:rPr>
        <w:t xml:space="preserve"> i wsz</w:t>
      </w:r>
      <w:r w:rsidRPr="003409C9">
        <w:rPr>
          <w:noProof/>
        </w:rPr>
        <w:t>elkich powiązanych komunikatów.</w:t>
      </w:r>
    </w:p>
    <w:p w:rsidR="00186022" w:rsidRPr="003409C9" w:rsidRDefault="009475BC" w:rsidP="009475BC">
      <w:pPr>
        <w:pStyle w:val="ManualNumPar1"/>
        <w:rPr>
          <w:noProof/>
        </w:rPr>
      </w:pPr>
      <w:r w:rsidRPr="003409C9">
        <w:rPr>
          <w:noProof/>
        </w:rPr>
        <w:t>3.</w:t>
      </w:r>
      <w:r w:rsidRPr="003409C9">
        <w:rPr>
          <w:noProof/>
        </w:rPr>
        <w:tab/>
        <w:t>Nie naruszając przepisów art.</w:t>
      </w:r>
      <w:r w:rsidR="003409C9" w:rsidRPr="003409C9">
        <w:rPr>
          <w:noProof/>
        </w:rPr>
        <w:t> </w:t>
      </w:r>
      <w:r w:rsidRPr="003409C9">
        <w:rPr>
          <w:noProof/>
        </w:rPr>
        <w:t>10 niniejszego rozporządzenia, router współdzieli</w:t>
      </w:r>
      <w:r w:rsidR="003409C9" w:rsidRPr="003409C9">
        <w:rPr>
          <w:noProof/>
        </w:rPr>
        <w:t xml:space="preserve"> i pon</w:t>
      </w:r>
      <w:r w:rsidRPr="003409C9">
        <w:rPr>
          <w:noProof/>
        </w:rPr>
        <w:t>ownie wykorzystuje</w:t>
      </w:r>
      <w:r w:rsidR="003409C9" w:rsidRPr="003409C9">
        <w:rPr>
          <w:noProof/>
        </w:rPr>
        <w:t xml:space="preserve"> w zak</w:t>
      </w:r>
      <w:r w:rsidRPr="003409C9">
        <w:rPr>
          <w:noProof/>
        </w:rPr>
        <w:t>resie,</w:t>
      </w:r>
      <w:r w:rsidR="003409C9" w:rsidRPr="003409C9">
        <w:rPr>
          <w:noProof/>
        </w:rPr>
        <w:t xml:space="preserve"> w jak</w:t>
      </w:r>
      <w:r w:rsidRPr="003409C9">
        <w:rPr>
          <w:noProof/>
        </w:rPr>
        <w:t>im jest to technicznie możliwe, elementy techniczne –</w:t>
      </w:r>
      <w:r w:rsidR="003409C9" w:rsidRPr="003409C9">
        <w:rPr>
          <w:noProof/>
        </w:rPr>
        <w:t xml:space="preserve"> w tym</w:t>
      </w:r>
      <w:r w:rsidRPr="003409C9">
        <w:rPr>
          <w:noProof/>
        </w:rPr>
        <w:t xml:space="preserve"> sprzęt</w:t>
      </w:r>
      <w:r w:rsidR="003409C9" w:rsidRPr="003409C9">
        <w:rPr>
          <w:noProof/>
        </w:rPr>
        <w:t xml:space="preserve"> i opr</w:t>
      </w:r>
      <w:r w:rsidRPr="003409C9">
        <w:rPr>
          <w:noProof/>
        </w:rPr>
        <w:t>ogramowanie – usługi sieciowej,</w:t>
      </w:r>
      <w:r w:rsidR="003409C9" w:rsidRPr="003409C9">
        <w:rPr>
          <w:noProof/>
        </w:rPr>
        <w:t xml:space="preserve"> o któ</w:t>
      </w:r>
      <w:r w:rsidRPr="003409C9">
        <w:rPr>
          <w:noProof/>
        </w:rPr>
        <w:t>rej mowa</w:t>
      </w:r>
      <w:r w:rsidR="003409C9" w:rsidRPr="003409C9">
        <w:rPr>
          <w:noProof/>
        </w:rPr>
        <w:t xml:space="preserve"> w art</w:t>
      </w:r>
      <w:r w:rsidRPr="003409C9">
        <w:rPr>
          <w:noProof/>
        </w:rPr>
        <w:t>.</w:t>
      </w:r>
      <w:r w:rsidR="003409C9" w:rsidRPr="003409C9">
        <w:rPr>
          <w:noProof/>
        </w:rPr>
        <w:t> </w:t>
      </w:r>
      <w:r w:rsidRPr="003409C9">
        <w:rPr>
          <w:noProof/>
        </w:rPr>
        <w:t>13 rozporządzenia Parlamentu Europejskiego</w:t>
      </w:r>
      <w:r w:rsidR="003409C9" w:rsidRPr="003409C9">
        <w:rPr>
          <w:noProof/>
        </w:rPr>
        <w:t xml:space="preserve"> i Rad</w:t>
      </w:r>
      <w:r w:rsidRPr="003409C9">
        <w:rPr>
          <w:noProof/>
        </w:rPr>
        <w:t>y (UE) 2017/2226</w:t>
      </w:r>
      <w:r w:rsidRPr="003409C9">
        <w:rPr>
          <w:rStyle w:val="FootnoteReference0"/>
          <w:noProof/>
        </w:rPr>
        <w:footnoteReference w:id="49"/>
      </w:r>
      <w:r w:rsidRPr="003409C9">
        <w:rPr>
          <w:noProof/>
        </w:rPr>
        <w:t>, portalu dla przewoźników,</w:t>
      </w:r>
      <w:r w:rsidR="003409C9" w:rsidRPr="003409C9">
        <w:rPr>
          <w:noProof/>
        </w:rPr>
        <w:t xml:space="preserve"> o któ</w:t>
      </w:r>
      <w:r w:rsidRPr="003409C9">
        <w:rPr>
          <w:noProof/>
        </w:rPr>
        <w:t>rym mowa</w:t>
      </w:r>
      <w:r w:rsidR="003409C9" w:rsidRPr="003409C9">
        <w:rPr>
          <w:noProof/>
        </w:rPr>
        <w:t xml:space="preserve"> w art</w:t>
      </w:r>
      <w:r w:rsidRPr="003409C9">
        <w:rPr>
          <w:noProof/>
        </w:rPr>
        <w:t>.</w:t>
      </w:r>
      <w:r w:rsidR="003409C9" w:rsidRPr="003409C9">
        <w:rPr>
          <w:noProof/>
        </w:rPr>
        <w:t> </w:t>
      </w:r>
      <w:r w:rsidRPr="003409C9">
        <w:rPr>
          <w:noProof/>
        </w:rPr>
        <w:t>6 ust.</w:t>
      </w:r>
      <w:r w:rsidR="003409C9" w:rsidRPr="003409C9">
        <w:rPr>
          <w:noProof/>
        </w:rPr>
        <w:t> </w:t>
      </w:r>
      <w:r w:rsidRPr="003409C9">
        <w:rPr>
          <w:noProof/>
        </w:rPr>
        <w:t>2 lit.</w:t>
      </w:r>
      <w:r w:rsidR="003409C9" w:rsidRPr="003409C9">
        <w:rPr>
          <w:noProof/>
        </w:rPr>
        <w:t> </w:t>
      </w:r>
      <w:r w:rsidRPr="003409C9">
        <w:rPr>
          <w:noProof/>
        </w:rPr>
        <w:t>k) rozporządzenia (UE) 2018/1240, oraz portalu dla przewoźników,</w:t>
      </w:r>
      <w:r w:rsidR="003409C9" w:rsidRPr="003409C9">
        <w:rPr>
          <w:noProof/>
        </w:rPr>
        <w:t xml:space="preserve"> o któ</w:t>
      </w:r>
      <w:r w:rsidRPr="003409C9">
        <w:rPr>
          <w:noProof/>
        </w:rPr>
        <w:t>rym mowa</w:t>
      </w:r>
      <w:r w:rsidR="003409C9" w:rsidRPr="003409C9">
        <w:rPr>
          <w:noProof/>
        </w:rPr>
        <w:t xml:space="preserve"> w art</w:t>
      </w:r>
      <w:r w:rsidRPr="003409C9">
        <w:rPr>
          <w:noProof/>
        </w:rPr>
        <w:t>.</w:t>
      </w:r>
      <w:r w:rsidR="003409C9" w:rsidRPr="003409C9">
        <w:rPr>
          <w:noProof/>
        </w:rPr>
        <w:t> </w:t>
      </w:r>
      <w:r w:rsidRPr="003409C9">
        <w:rPr>
          <w:noProof/>
        </w:rPr>
        <w:t>2a lit.</w:t>
      </w:r>
      <w:r w:rsidR="003409C9" w:rsidRPr="003409C9">
        <w:rPr>
          <w:noProof/>
        </w:rPr>
        <w:t> </w:t>
      </w:r>
      <w:r w:rsidRPr="003409C9">
        <w:rPr>
          <w:noProof/>
        </w:rPr>
        <w:t>h) rozporządzenia Parlamentu Europejskiego</w:t>
      </w:r>
      <w:r w:rsidR="003409C9" w:rsidRPr="003409C9">
        <w:rPr>
          <w:noProof/>
        </w:rPr>
        <w:t xml:space="preserve"> i Rad</w:t>
      </w:r>
      <w:r w:rsidRPr="003409C9">
        <w:rPr>
          <w:noProof/>
        </w:rPr>
        <w:t>y (WE) nr</w:t>
      </w:r>
      <w:r w:rsidR="003409C9" w:rsidRPr="003409C9">
        <w:rPr>
          <w:noProof/>
        </w:rPr>
        <w:t> </w:t>
      </w:r>
      <w:r w:rsidRPr="003409C9">
        <w:rPr>
          <w:noProof/>
        </w:rPr>
        <w:t>767/2008</w:t>
      </w:r>
      <w:r w:rsidRPr="003409C9">
        <w:rPr>
          <w:rStyle w:val="FootnoteReference0"/>
          <w:noProof/>
        </w:rPr>
        <w:footnoteReference w:id="50"/>
      </w:r>
      <w:r w:rsidRPr="003409C9">
        <w:rPr>
          <w:noProof/>
        </w:rPr>
        <w:t xml:space="preserve">. </w:t>
      </w:r>
    </w:p>
    <w:bookmarkEnd w:id="29"/>
    <w:p w:rsidR="00250117" w:rsidRPr="00BB07AF" w:rsidRDefault="00250117" w:rsidP="00250117">
      <w:pPr>
        <w:pStyle w:val="Titrearticle"/>
        <w:rPr>
          <w:noProof/>
        </w:rPr>
      </w:pPr>
      <w:r w:rsidRPr="00BB07AF">
        <w:rPr>
          <w:noProof/>
        </w:rPr>
        <w:t>Artykuł 10</w:t>
      </w:r>
    </w:p>
    <w:p w:rsidR="00250117" w:rsidRPr="003409C9" w:rsidRDefault="00186022" w:rsidP="00250117">
      <w:pPr>
        <w:jc w:val="center"/>
        <w:rPr>
          <w:noProof/>
        </w:rPr>
      </w:pPr>
      <w:r w:rsidRPr="00BB07AF">
        <w:rPr>
          <w:b/>
          <w:noProof/>
        </w:rPr>
        <w:t>Korzystanie</w:t>
      </w:r>
      <w:r w:rsidR="003409C9" w:rsidRPr="00BB07AF">
        <w:rPr>
          <w:b/>
          <w:noProof/>
        </w:rPr>
        <w:t xml:space="preserve"> z rou</w:t>
      </w:r>
      <w:r w:rsidRPr="00BB07AF">
        <w:rPr>
          <w:b/>
          <w:noProof/>
        </w:rPr>
        <w:t>tera na zasadzie wyłączności</w:t>
      </w:r>
    </w:p>
    <w:p w:rsidR="00186022" w:rsidRPr="003409C9" w:rsidRDefault="00186022" w:rsidP="00186022">
      <w:pPr>
        <w:rPr>
          <w:noProof/>
        </w:rPr>
      </w:pPr>
      <w:r w:rsidRPr="003409C9">
        <w:rPr>
          <w:noProof/>
        </w:rPr>
        <w:t>Z routera korzystają wyłącznie przewoźnicy lotniczy</w:t>
      </w:r>
      <w:r w:rsidR="003409C9" w:rsidRPr="003409C9">
        <w:rPr>
          <w:noProof/>
        </w:rPr>
        <w:t xml:space="preserve"> w cel</w:t>
      </w:r>
      <w:r w:rsidRPr="003409C9">
        <w:rPr>
          <w:noProof/>
        </w:rPr>
        <w:t>u przekazywania danych API oraz właściwe służby graniczne i JIP</w:t>
      </w:r>
      <w:r w:rsidR="003409C9" w:rsidRPr="003409C9">
        <w:rPr>
          <w:noProof/>
        </w:rPr>
        <w:t xml:space="preserve"> w cel</w:t>
      </w:r>
      <w:r w:rsidRPr="003409C9">
        <w:rPr>
          <w:noProof/>
        </w:rPr>
        <w:t>u otrzymywania danych API, zgodnie z – odpowiednio – niniejszym rozporządzeniem</w:t>
      </w:r>
      <w:r w:rsidR="003409C9" w:rsidRPr="003409C9">
        <w:rPr>
          <w:noProof/>
        </w:rPr>
        <w:t xml:space="preserve"> i roz</w:t>
      </w:r>
      <w:r w:rsidRPr="003409C9">
        <w:rPr>
          <w:noProof/>
        </w:rPr>
        <w:t>porządzeniem (UE) [w sprawie egzekwowania przepisów dotyczących API].</w:t>
      </w:r>
      <w:r w:rsidRPr="00BB07AF">
        <w:rPr>
          <w:b/>
          <w:noProof/>
        </w:rPr>
        <w:t xml:space="preserve"> </w:t>
      </w:r>
    </w:p>
    <w:p w:rsidR="00250117" w:rsidRPr="00BB07AF" w:rsidRDefault="00250117" w:rsidP="00250117">
      <w:pPr>
        <w:pStyle w:val="Titrearticle"/>
        <w:rPr>
          <w:noProof/>
        </w:rPr>
      </w:pPr>
      <w:bookmarkStart w:id="30" w:name="_Hlk118382587"/>
      <w:r w:rsidRPr="00BB07AF">
        <w:rPr>
          <w:noProof/>
        </w:rPr>
        <w:t>Artykuł 11</w:t>
      </w:r>
    </w:p>
    <w:p w:rsidR="00250117" w:rsidRPr="00BB07AF" w:rsidRDefault="00186022" w:rsidP="00250117">
      <w:pPr>
        <w:jc w:val="center"/>
        <w:rPr>
          <w:b/>
          <w:noProof/>
        </w:rPr>
      </w:pPr>
      <w:r w:rsidRPr="00BB07AF">
        <w:rPr>
          <w:b/>
          <w:noProof/>
        </w:rPr>
        <w:t>Przekazywanie danych API</w:t>
      </w:r>
      <w:r w:rsidR="003409C9" w:rsidRPr="00BB07AF">
        <w:rPr>
          <w:b/>
          <w:noProof/>
        </w:rPr>
        <w:t xml:space="preserve"> z rou</w:t>
      </w:r>
      <w:r w:rsidRPr="00BB07AF">
        <w:rPr>
          <w:b/>
          <w:noProof/>
        </w:rPr>
        <w:t xml:space="preserve">tera do właściwych służb granicznych </w:t>
      </w:r>
    </w:p>
    <w:p w:rsidR="00250117" w:rsidRPr="003409C9" w:rsidRDefault="009475BC" w:rsidP="009475BC">
      <w:pPr>
        <w:pStyle w:val="ManualNumPar1"/>
        <w:rPr>
          <w:noProof/>
        </w:rPr>
      </w:pPr>
      <w:r w:rsidRPr="003409C9">
        <w:rPr>
          <w:noProof/>
        </w:rPr>
        <w:t>1.</w:t>
      </w:r>
      <w:r w:rsidRPr="003409C9">
        <w:rPr>
          <w:noProof/>
        </w:rPr>
        <w:tab/>
        <w:t>Router niezwłocznie</w:t>
      </w:r>
      <w:r w:rsidR="003409C9" w:rsidRPr="003409C9">
        <w:rPr>
          <w:noProof/>
        </w:rPr>
        <w:t xml:space="preserve"> i w spo</w:t>
      </w:r>
      <w:r w:rsidRPr="003409C9">
        <w:rPr>
          <w:noProof/>
        </w:rPr>
        <w:t>sób zautomatyzowany przekazuje dane API, przesłane do niego zgodnie</w:t>
      </w:r>
      <w:r w:rsidR="003409C9" w:rsidRPr="003409C9">
        <w:rPr>
          <w:noProof/>
        </w:rPr>
        <w:t xml:space="preserve"> z art</w:t>
      </w:r>
      <w:r w:rsidRPr="003409C9">
        <w:rPr>
          <w:noProof/>
        </w:rPr>
        <w:t>.</w:t>
      </w:r>
      <w:r w:rsidR="003409C9" w:rsidRPr="003409C9">
        <w:rPr>
          <w:noProof/>
        </w:rPr>
        <w:t> </w:t>
      </w:r>
      <w:r w:rsidRPr="003409C9">
        <w:rPr>
          <w:noProof/>
        </w:rPr>
        <w:t>6, właściwym służbom granicznym państwa członkowskiego,</w:t>
      </w:r>
      <w:r w:rsidR="003409C9" w:rsidRPr="003409C9">
        <w:rPr>
          <w:noProof/>
        </w:rPr>
        <w:t xml:space="preserve"> o któ</w:t>
      </w:r>
      <w:r w:rsidRPr="003409C9">
        <w:rPr>
          <w:noProof/>
        </w:rPr>
        <w:t>rych mowa</w:t>
      </w:r>
      <w:r w:rsidR="003409C9" w:rsidRPr="003409C9">
        <w:rPr>
          <w:noProof/>
        </w:rPr>
        <w:t xml:space="preserve"> w art</w:t>
      </w:r>
      <w:r w:rsidRPr="003409C9">
        <w:rPr>
          <w:noProof/>
        </w:rPr>
        <w:t>.</w:t>
      </w:r>
      <w:r w:rsidR="003409C9" w:rsidRPr="003409C9">
        <w:rPr>
          <w:noProof/>
        </w:rPr>
        <w:t> </w:t>
      </w:r>
      <w:r w:rsidRPr="003409C9">
        <w:rPr>
          <w:noProof/>
        </w:rPr>
        <w:t>4 ust.</w:t>
      </w:r>
      <w:r w:rsidR="003409C9" w:rsidRPr="003409C9">
        <w:rPr>
          <w:noProof/>
        </w:rPr>
        <w:t> </w:t>
      </w:r>
      <w:r w:rsidRPr="003409C9">
        <w:rPr>
          <w:noProof/>
        </w:rPr>
        <w:t>3 lit.</w:t>
      </w:r>
      <w:r w:rsidR="003409C9" w:rsidRPr="003409C9">
        <w:rPr>
          <w:noProof/>
        </w:rPr>
        <w:t> </w:t>
      </w:r>
      <w:r w:rsidRPr="003409C9">
        <w:rPr>
          <w:noProof/>
        </w:rPr>
        <w:t>c).</w:t>
      </w:r>
      <w:r w:rsidRPr="00BB07AF">
        <w:rPr>
          <w:b/>
          <w:noProof/>
        </w:rPr>
        <w:t xml:space="preserve"> </w:t>
      </w:r>
      <w:bookmarkStart w:id="31" w:name="_Hlk120854031"/>
      <w:r w:rsidRPr="003409C9">
        <w:rPr>
          <w:noProof/>
        </w:rPr>
        <w:t>Odbywa się to zgodnie ze szczegółowymi zasadami,</w:t>
      </w:r>
      <w:r w:rsidR="003409C9" w:rsidRPr="003409C9">
        <w:rPr>
          <w:noProof/>
        </w:rPr>
        <w:t xml:space="preserve"> o któ</w:t>
      </w:r>
      <w:r w:rsidRPr="003409C9">
        <w:rPr>
          <w:noProof/>
        </w:rPr>
        <w:t>rych mowa</w:t>
      </w:r>
      <w:r w:rsidR="003409C9" w:rsidRPr="003409C9">
        <w:rPr>
          <w:noProof/>
        </w:rPr>
        <w:t xml:space="preserve"> w ust</w:t>
      </w:r>
      <w:r w:rsidRPr="003409C9">
        <w:rPr>
          <w:noProof/>
        </w:rPr>
        <w:t>.</w:t>
      </w:r>
      <w:r w:rsidR="003409C9" w:rsidRPr="003409C9">
        <w:rPr>
          <w:noProof/>
        </w:rPr>
        <w:t> </w:t>
      </w:r>
      <w:r w:rsidRPr="003409C9">
        <w:rPr>
          <w:noProof/>
        </w:rPr>
        <w:t>4 niniejszego artykułu, jeżeli takie zasady zostały przyjęte</w:t>
      </w:r>
      <w:r w:rsidR="003409C9" w:rsidRPr="003409C9">
        <w:rPr>
          <w:noProof/>
        </w:rPr>
        <w:t xml:space="preserve"> i maj</w:t>
      </w:r>
      <w:r w:rsidRPr="003409C9">
        <w:rPr>
          <w:noProof/>
        </w:rPr>
        <w:t>ą zastosowanie.</w:t>
      </w:r>
      <w:bookmarkEnd w:id="31"/>
    </w:p>
    <w:p w:rsidR="0035070E" w:rsidRPr="003409C9" w:rsidRDefault="0035070E" w:rsidP="009204B1">
      <w:pPr>
        <w:pStyle w:val="Text1"/>
        <w:rPr>
          <w:noProof/>
        </w:rPr>
      </w:pPr>
      <w:bookmarkStart w:id="32" w:name="_Hlk121417115"/>
      <w:r w:rsidRPr="003409C9">
        <w:rPr>
          <w:noProof/>
        </w:rPr>
        <w:t>Do celów takiego przekazywania danych eu-LISA tworzy</w:t>
      </w:r>
      <w:r w:rsidR="003409C9" w:rsidRPr="003409C9">
        <w:rPr>
          <w:noProof/>
        </w:rPr>
        <w:t xml:space="preserve"> i akt</w:t>
      </w:r>
      <w:r w:rsidRPr="003409C9">
        <w:rPr>
          <w:noProof/>
        </w:rPr>
        <w:t>ualizuje tabelę korespondencji między poszczególnymi portami lotniczymi pochodzenia</w:t>
      </w:r>
      <w:r w:rsidR="003409C9" w:rsidRPr="003409C9">
        <w:rPr>
          <w:noProof/>
        </w:rPr>
        <w:t xml:space="preserve"> i prz</w:t>
      </w:r>
      <w:r w:rsidRPr="003409C9">
        <w:rPr>
          <w:noProof/>
        </w:rPr>
        <w:t>eznaczenia oraz krajami,</w:t>
      </w:r>
      <w:r w:rsidR="003409C9" w:rsidRPr="003409C9">
        <w:rPr>
          <w:noProof/>
        </w:rPr>
        <w:t xml:space="preserve"> w któ</w:t>
      </w:r>
      <w:r w:rsidRPr="003409C9">
        <w:rPr>
          <w:noProof/>
        </w:rPr>
        <w:t>rych te porty się znajdują</w:t>
      </w:r>
      <w:bookmarkEnd w:id="32"/>
      <w:r w:rsidRPr="003409C9">
        <w:rPr>
          <w:noProof/>
        </w:rPr>
        <w:t>.</w:t>
      </w:r>
    </w:p>
    <w:p w:rsidR="00250117" w:rsidRPr="003409C9" w:rsidRDefault="009475BC" w:rsidP="009475BC">
      <w:pPr>
        <w:pStyle w:val="ManualNumPar1"/>
        <w:rPr>
          <w:noProof/>
        </w:rPr>
      </w:pPr>
      <w:r w:rsidRPr="003409C9">
        <w:rPr>
          <w:noProof/>
        </w:rPr>
        <w:t>2.</w:t>
      </w:r>
      <w:r w:rsidRPr="003409C9">
        <w:rPr>
          <w:noProof/>
        </w:rPr>
        <w:tab/>
        <w:t>Państwo członkowskie wyznacza właściwe służby graniczne upoważnione do otrzymywania danych API przekazywanych im</w:t>
      </w:r>
      <w:r w:rsidR="003409C9" w:rsidRPr="003409C9">
        <w:rPr>
          <w:noProof/>
        </w:rPr>
        <w:t xml:space="preserve"> z rou</w:t>
      </w:r>
      <w:r w:rsidRPr="003409C9">
        <w:rPr>
          <w:noProof/>
        </w:rPr>
        <w:t>tera zgodnie</w:t>
      </w:r>
      <w:r w:rsidR="003409C9" w:rsidRPr="003409C9">
        <w:rPr>
          <w:noProof/>
        </w:rPr>
        <w:t xml:space="preserve"> z nin</w:t>
      </w:r>
      <w:r w:rsidRPr="003409C9">
        <w:rPr>
          <w:noProof/>
        </w:rPr>
        <w:t>iejszym rozporządzeniem. Do daty rozpoczęcia stosowania niniejszego rozporządzenia,</w:t>
      </w:r>
      <w:r w:rsidR="003409C9" w:rsidRPr="003409C9">
        <w:rPr>
          <w:noProof/>
        </w:rPr>
        <w:t xml:space="preserve"> o któ</w:t>
      </w:r>
      <w:r w:rsidRPr="003409C9">
        <w:rPr>
          <w:noProof/>
        </w:rPr>
        <w:t>rej mowa</w:t>
      </w:r>
      <w:r w:rsidR="003409C9" w:rsidRPr="003409C9">
        <w:rPr>
          <w:noProof/>
        </w:rPr>
        <w:t xml:space="preserve"> w art</w:t>
      </w:r>
      <w:r w:rsidRPr="003409C9">
        <w:rPr>
          <w:noProof/>
        </w:rPr>
        <w:t>.</w:t>
      </w:r>
      <w:r w:rsidR="003409C9" w:rsidRPr="003409C9">
        <w:rPr>
          <w:noProof/>
        </w:rPr>
        <w:t> </w:t>
      </w:r>
      <w:r w:rsidRPr="003409C9">
        <w:rPr>
          <w:noProof/>
        </w:rPr>
        <w:t>39 akapit drugi, państwa członkowskie przekazują eu-LISA</w:t>
      </w:r>
      <w:r w:rsidR="003409C9" w:rsidRPr="003409C9">
        <w:rPr>
          <w:noProof/>
        </w:rPr>
        <w:t xml:space="preserve"> i Kom</w:t>
      </w:r>
      <w:r w:rsidRPr="003409C9">
        <w:rPr>
          <w:noProof/>
        </w:rPr>
        <w:t>isji nazwy</w:t>
      </w:r>
      <w:r w:rsidR="003409C9" w:rsidRPr="003409C9">
        <w:rPr>
          <w:noProof/>
        </w:rPr>
        <w:t xml:space="preserve"> i dan</w:t>
      </w:r>
      <w:r w:rsidRPr="003409C9">
        <w:rPr>
          <w:noProof/>
        </w:rPr>
        <w:t>e kontaktowe właściwych służb granicznych</w:t>
      </w:r>
      <w:r w:rsidR="003409C9" w:rsidRPr="003409C9">
        <w:rPr>
          <w:noProof/>
        </w:rPr>
        <w:t xml:space="preserve"> i w sto</w:t>
      </w:r>
      <w:r w:rsidRPr="003409C9">
        <w:rPr>
          <w:noProof/>
        </w:rPr>
        <w:t>sownych przypadkach aktualizują przekazane informacje.</w:t>
      </w:r>
    </w:p>
    <w:p w:rsidR="00BA179D" w:rsidRPr="003409C9" w:rsidRDefault="00BA179D" w:rsidP="00BA179D">
      <w:pPr>
        <w:pStyle w:val="Text1"/>
        <w:rPr>
          <w:noProof/>
        </w:rPr>
      </w:pPr>
      <w:r w:rsidRPr="003409C9">
        <w:rPr>
          <w:noProof/>
        </w:rPr>
        <w:t>Na podstawie tych zgłoszeń</w:t>
      </w:r>
      <w:r w:rsidR="003409C9" w:rsidRPr="003409C9">
        <w:rPr>
          <w:noProof/>
        </w:rPr>
        <w:t xml:space="preserve"> i akt</w:t>
      </w:r>
      <w:r w:rsidRPr="003409C9">
        <w:rPr>
          <w:noProof/>
        </w:rPr>
        <w:t>ualizacji Komisja sporządza</w:t>
      </w:r>
      <w:r w:rsidR="003409C9" w:rsidRPr="003409C9">
        <w:rPr>
          <w:noProof/>
        </w:rPr>
        <w:t xml:space="preserve"> i udo</w:t>
      </w:r>
      <w:r w:rsidRPr="003409C9">
        <w:rPr>
          <w:noProof/>
        </w:rPr>
        <w:t>stępnia publicznie wykaz zgłoszonych właściwych służb granicznych zawierający ich dane kontaktowe.</w:t>
      </w:r>
    </w:p>
    <w:p w:rsidR="00E6304F" w:rsidRPr="003409C9" w:rsidRDefault="009475BC" w:rsidP="009475BC">
      <w:pPr>
        <w:pStyle w:val="ManualNumPar1"/>
        <w:rPr>
          <w:noProof/>
        </w:rPr>
      </w:pPr>
      <w:r w:rsidRPr="003409C9">
        <w:rPr>
          <w:noProof/>
        </w:rPr>
        <w:t>3.</w:t>
      </w:r>
      <w:r w:rsidRPr="003409C9">
        <w:rPr>
          <w:noProof/>
        </w:rPr>
        <w:tab/>
        <w:t>Państwa członkowskie zapewniają, aby tylko upoważnieni pracownicy właściwych służb granicznych mieli dostęp do danych API przekazywanych tym służbom za pośrednictwem routera. Ustanawiają</w:t>
      </w:r>
      <w:r w:rsidR="003409C9" w:rsidRPr="003409C9">
        <w:rPr>
          <w:noProof/>
        </w:rPr>
        <w:t xml:space="preserve"> w tym</w:t>
      </w:r>
      <w:r w:rsidRPr="003409C9">
        <w:rPr>
          <w:noProof/>
        </w:rPr>
        <w:t xml:space="preserve"> celu niezbędne zasady. Obejmują one zasady dotyczące sporządzania</w:t>
      </w:r>
      <w:r w:rsidR="003409C9" w:rsidRPr="003409C9">
        <w:rPr>
          <w:noProof/>
        </w:rPr>
        <w:t xml:space="preserve"> i reg</w:t>
      </w:r>
      <w:r w:rsidRPr="003409C9">
        <w:rPr>
          <w:noProof/>
        </w:rPr>
        <w:t>ularnego aktualizowania wykazu tych pracowników</w:t>
      </w:r>
      <w:r w:rsidR="003409C9" w:rsidRPr="003409C9">
        <w:rPr>
          <w:noProof/>
        </w:rPr>
        <w:t xml:space="preserve"> i ich</w:t>
      </w:r>
      <w:r w:rsidRPr="003409C9">
        <w:rPr>
          <w:noProof/>
        </w:rPr>
        <w:t xml:space="preserve"> profili. </w:t>
      </w:r>
    </w:p>
    <w:p w:rsidR="00250117" w:rsidRPr="003409C9" w:rsidRDefault="009475BC" w:rsidP="009475BC">
      <w:pPr>
        <w:pStyle w:val="ManualNumPar1"/>
        <w:rPr>
          <w:noProof/>
        </w:rPr>
      </w:pPr>
      <w:bookmarkStart w:id="33" w:name="_Hlk120853999"/>
      <w:r w:rsidRPr="003409C9">
        <w:rPr>
          <w:noProof/>
        </w:rPr>
        <w:t>4.</w:t>
      </w:r>
      <w:r w:rsidRPr="003409C9">
        <w:rPr>
          <w:noProof/>
        </w:rPr>
        <w:tab/>
        <w:t>Komisja jest uprawniona do przyjmowania aktów delegowanych zgodnie</w:t>
      </w:r>
      <w:r w:rsidR="003409C9" w:rsidRPr="003409C9">
        <w:rPr>
          <w:noProof/>
        </w:rPr>
        <w:t xml:space="preserve"> z art</w:t>
      </w:r>
      <w:r w:rsidRPr="003409C9">
        <w:rPr>
          <w:noProof/>
        </w:rPr>
        <w:t>.</w:t>
      </w:r>
      <w:r w:rsidR="003409C9" w:rsidRPr="003409C9">
        <w:rPr>
          <w:noProof/>
        </w:rPr>
        <w:t> </w:t>
      </w:r>
      <w:r w:rsidRPr="003409C9">
        <w:rPr>
          <w:noProof/>
        </w:rPr>
        <w:t>37</w:t>
      </w:r>
      <w:r w:rsidR="003409C9" w:rsidRPr="003409C9">
        <w:rPr>
          <w:noProof/>
        </w:rPr>
        <w:t xml:space="preserve"> w cel</w:t>
      </w:r>
      <w:r w:rsidRPr="003409C9">
        <w:rPr>
          <w:noProof/>
        </w:rPr>
        <w:t>u uzupełnienia niniejszego rozporządzenia przez określenie niezbędnych technicznych</w:t>
      </w:r>
      <w:r w:rsidR="003409C9" w:rsidRPr="003409C9">
        <w:rPr>
          <w:noProof/>
        </w:rPr>
        <w:t xml:space="preserve"> i pro</w:t>
      </w:r>
      <w:r w:rsidRPr="003409C9">
        <w:rPr>
          <w:noProof/>
        </w:rPr>
        <w:t>ceduralnych zasad szczegółowych dotyczących przekazywania danych API</w:t>
      </w:r>
      <w:r w:rsidR="003409C9" w:rsidRPr="003409C9">
        <w:rPr>
          <w:noProof/>
        </w:rPr>
        <w:t xml:space="preserve"> z rou</w:t>
      </w:r>
      <w:r w:rsidRPr="003409C9">
        <w:rPr>
          <w:noProof/>
        </w:rPr>
        <w:t>tera,</w:t>
      </w:r>
      <w:r w:rsidR="003409C9" w:rsidRPr="003409C9">
        <w:rPr>
          <w:noProof/>
        </w:rPr>
        <w:t xml:space="preserve"> o któ</w:t>
      </w:r>
      <w:r w:rsidRPr="003409C9">
        <w:rPr>
          <w:noProof/>
        </w:rPr>
        <w:t>rym mowa</w:t>
      </w:r>
      <w:r w:rsidR="003409C9" w:rsidRPr="003409C9">
        <w:rPr>
          <w:noProof/>
        </w:rPr>
        <w:t xml:space="preserve"> w ust</w:t>
      </w:r>
      <w:r w:rsidRPr="003409C9">
        <w:rPr>
          <w:noProof/>
        </w:rPr>
        <w:t>.</w:t>
      </w:r>
      <w:r w:rsidR="003409C9" w:rsidRPr="003409C9">
        <w:rPr>
          <w:noProof/>
        </w:rPr>
        <w:t> </w:t>
      </w:r>
      <w:r w:rsidRPr="003409C9">
        <w:rPr>
          <w:noProof/>
        </w:rPr>
        <w:t xml:space="preserve">1. </w:t>
      </w:r>
      <w:bookmarkEnd w:id="30"/>
    </w:p>
    <w:p w:rsidR="00DA4355" w:rsidRPr="00BB07AF" w:rsidRDefault="00DA4355" w:rsidP="00250117">
      <w:pPr>
        <w:pStyle w:val="Titrearticle"/>
        <w:rPr>
          <w:noProof/>
        </w:rPr>
      </w:pPr>
      <w:bookmarkStart w:id="34" w:name="_Hlk117776230"/>
      <w:bookmarkEnd w:id="33"/>
      <w:r w:rsidRPr="00BB07AF">
        <w:rPr>
          <w:noProof/>
        </w:rPr>
        <w:t>Artykuł 12</w:t>
      </w:r>
    </w:p>
    <w:p w:rsidR="00DA4355" w:rsidRPr="00BB07AF" w:rsidRDefault="00DA4355" w:rsidP="00DA4355">
      <w:pPr>
        <w:jc w:val="center"/>
        <w:rPr>
          <w:b/>
          <w:noProof/>
        </w:rPr>
      </w:pPr>
      <w:r w:rsidRPr="00BB07AF">
        <w:rPr>
          <w:b/>
          <w:noProof/>
        </w:rPr>
        <w:t>Usuwanie danych API</w:t>
      </w:r>
      <w:r w:rsidR="003409C9" w:rsidRPr="00BB07AF">
        <w:rPr>
          <w:b/>
          <w:noProof/>
        </w:rPr>
        <w:t xml:space="preserve"> z rou</w:t>
      </w:r>
      <w:r w:rsidRPr="00BB07AF">
        <w:rPr>
          <w:b/>
          <w:noProof/>
        </w:rPr>
        <w:t>tera</w:t>
      </w:r>
    </w:p>
    <w:p w:rsidR="00DA4355" w:rsidRPr="003409C9" w:rsidRDefault="00DA4355" w:rsidP="00DA4355">
      <w:pPr>
        <w:rPr>
          <w:noProof/>
        </w:rPr>
      </w:pPr>
      <w:r w:rsidRPr="003409C9">
        <w:rPr>
          <w:noProof/>
        </w:rPr>
        <w:t>Dane API przekazane do routera zgodnie</w:t>
      </w:r>
      <w:r w:rsidR="003409C9" w:rsidRPr="003409C9">
        <w:rPr>
          <w:noProof/>
        </w:rPr>
        <w:t xml:space="preserve"> z nin</w:t>
      </w:r>
      <w:r w:rsidRPr="003409C9">
        <w:rPr>
          <w:noProof/>
        </w:rPr>
        <w:t>iejszym rozporządzeniem oraz rozporządzeniem (UE) [w sprawie egzekwowania przepisów dotyczących API] przechowuje się</w:t>
      </w:r>
      <w:r w:rsidR="003409C9" w:rsidRPr="003409C9">
        <w:rPr>
          <w:noProof/>
        </w:rPr>
        <w:t xml:space="preserve"> w rou</w:t>
      </w:r>
      <w:r w:rsidRPr="003409C9">
        <w:rPr>
          <w:noProof/>
        </w:rPr>
        <w:t>terze tylko</w:t>
      </w:r>
      <w:r w:rsidR="003409C9" w:rsidRPr="003409C9">
        <w:rPr>
          <w:noProof/>
        </w:rPr>
        <w:t xml:space="preserve"> w zak</w:t>
      </w:r>
      <w:r w:rsidRPr="003409C9">
        <w:rPr>
          <w:noProof/>
        </w:rPr>
        <w:t>resie niezbędnym do zakończenia procesu przekazywania ich odpowiednim właściwym służbom granicznym lub JIP, zgodnie</w:t>
      </w:r>
      <w:r w:rsidR="003409C9" w:rsidRPr="003409C9">
        <w:rPr>
          <w:noProof/>
        </w:rPr>
        <w:t xml:space="preserve"> z tym</w:t>
      </w:r>
      <w:r w:rsidRPr="003409C9">
        <w:rPr>
          <w:noProof/>
        </w:rPr>
        <w:t>i rozporządzeniami,</w:t>
      </w:r>
      <w:r w:rsidR="003409C9" w:rsidRPr="003409C9">
        <w:rPr>
          <w:noProof/>
        </w:rPr>
        <w:t xml:space="preserve"> i bez</w:t>
      </w:r>
      <w:r w:rsidRPr="003409C9">
        <w:rPr>
          <w:noProof/>
        </w:rPr>
        <w:t>zwłocznie, trwale</w:t>
      </w:r>
      <w:r w:rsidR="003409C9" w:rsidRPr="003409C9">
        <w:rPr>
          <w:noProof/>
        </w:rPr>
        <w:t xml:space="preserve"> i w spo</w:t>
      </w:r>
      <w:r w:rsidRPr="003409C9">
        <w:rPr>
          <w:noProof/>
        </w:rPr>
        <w:t>sób zautomatyzowany usuwa się te dane</w:t>
      </w:r>
      <w:r w:rsidR="003409C9" w:rsidRPr="003409C9">
        <w:rPr>
          <w:noProof/>
        </w:rPr>
        <w:t xml:space="preserve"> z rou</w:t>
      </w:r>
      <w:r w:rsidRPr="003409C9">
        <w:rPr>
          <w:noProof/>
        </w:rPr>
        <w:t>tera</w:t>
      </w:r>
      <w:r w:rsidR="003409C9" w:rsidRPr="003409C9">
        <w:rPr>
          <w:noProof/>
        </w:rPr>
        <w:t xml:space="preserve"> w obu</w:t>
      </w:r>
      <w:r w:rsidRPr="003409C9">
        <w:rPr>
          <w:noProof/>
        </w:rPr>
        <w:t xml:space="preserve"> poniższych sytuacjach:</w:t>
      </w:r>
    </w:p>
    <w:p w:rsidR="00DA4355" w:rsidRPr="003409C9" w:rsidRDefault="009475BC" w:rsidP="009475BC">
      <w:pPr>
        <w:pStyle w:val="Point1"/>
        <w:rPr>
          <w:noProof/>
        </w:rPr>
      </w:pPr>
      <w:r w:rsidRPr="003409C9">
        <w:rPr>
          <w:noProof/>
        </w:rPr>
        <w:t>a)</w:t>
      </w:r>
      <w:r w:rsidRPr="003409C9">
        <w:rPr>
          <w:noProof/>
        </w:rPr>
        <w:tab/>
        <w:t>gdy zakończono przekazywanie danych API do odpowiednich właściwych służb granicznych lub JIP;</w:t>
      </w:r>
    </w:p>
    <w:p w:rsidR="00DA4355" w:rsidRPr="003409C9" w:rsidRDefault="009475BC" w:rsidP="009475BC">
      <w:pPr>
        <w:pStyle w:val="Point1"/>
        <w:rPr>
          <w:noProof/>
        </w:rPr>
      </w:pPr>
      <w:r w:rsidRPr="003409C9">
        <w:rPr>
          <w:noProof/>
        </w:rPr>
        <w:t>b)</w:t>
      </w:r>
      <w:r w:rsidRPr="003409C9">
        <w:rPr>
          <w:noProof/>
        </w:rPr>
        <w:tab/>
        <w:t>w odniesieniu do rozporządzenia (UE) [w sprawie egzekwowania przepisów dotyczących API] – gdy dane API dotyczą innych lotów wewnątrzunijnych niż te zawarte</w:t>
      </w:r>
      <w:r w:rsidR="003409C9" w:rsidRPr="003409C9">
        <w:rPr>
          <w:noProof/>
        </w:rPr>
        <w:t xml:space="preserve"> w wyk</w:t>
      </w:r>
      <w:r w:rsidRPr="003409C9">
        <w:rPr>
          <w:noProof/>
        </w:rPr>
        <w:t>azach,</w:t>
      </w:r>
      <w:r w:rsidR="003409C9" w:rsidRPr="003409C9">
        <w:rPr>
          <w:noProof/>
        </w:rPr>
        <w:t xml:space="preserve"> o któ</w:t>
      </w:r>
      <w:r w:rsidRPr="003409C9">
        <w:rPr>
          <w:noProof/>
        </w:rPr>
        <w:t>rych mowa</w:t>
      </w:r>
      <w:r w:rsidR="003409C9" w:rsidRPr="003409C9">
        <w:rPr>
          <w:noProof/>
        </w:rPr>
        <w:t xml:space="preserve"> w art</w:t>
      </w:r>
      <w:r w:rsidRPr="003409C9">
        <w:rPr>
          <w:noProof/>
        </w:rPr>
        <w:t>.</w:t>
      </w:r>
      <w:r w:rsidR="003409C9" w:rsidRPr="003409C9">
        <w:rPr>
          <w:noProof/>
        </w:rPr>
        <w:t> </w:t>
      </w:r>
      <w:r w:rsidRPr="003409C9">
        <w:rPr>
          <w:noProof/>
        </w:rPr>
        <w:t>5 ust.</w:t>
      </w:r>
      <w:r w:rsidR="003409C9" w:rsidRPr="003409C9">
        <w:rPr>
          <w:noProof/>
        </w:rPr>
        <w:t> </w:t>
      </w:r>
      <w:r w:rsidRPr="003409C9">
        <w:rPr>
          <w:noProof/>
        </w:rPr>
        <w:t>2 wspomnianego rozporządzenia.</w:t>
      </w:r>
    </w:p>
    <w:p w:rsidR="00250117" w:rsidRPr="00BB07AF" w:rsidRDefault="00250117" w:rsidP="00250117">
      <w:pPr>
        <w:pStyle w:val="Titrearticle"/>
        <w:rPr>
          <w:noProof/>
        </w:rPr>
      </w:pPr>
      <w:r w:rsidRPr="00BB07AF">
        <w:rPr>
          <w:noProof/>
        </w:rPr>
        <w:t>Artykuł 13</w:t>
      </w:r>
    </w:p>
    <w:p w:rsidR="00250117" w:rsidRPr="00BB07AF" w:rsidRDefault="00250117" w:rsidP="00250117">
      <w:pPr>
        <w:jc w:val="center"/>
        <w:rPr>
          <w:b/>
          <w:noProof/>
        </w:rPr>
      </w:pPr>
      <w:r w:rsidRPr="00BB07AF">
        <w:rPr>
          <w:b/>
          <w:noProof/>
        </w:rPr>
        <w:t>Prowadzenie rejestrów</w:t>
      </w:r>
    </w:p>
    <w:p w:rsidR="00250117" w:rsidRPr="003409C9" w:rsidRDefault="009475BC" w:rsidP="009475BC">
      <w:pPr>
        <w:pStyle w:val="ManualNumPar1"/>
        <w:rPr>
          <w:noProof/>
        </w:rPr>
      </w:pPr>
      <w:bookmarkStart w:id="35" w:name="_Hlk120854578"/>
      <w:r w:rsidRPr="003409C9">
        <w:rPr>
          <w:noProof/>
        </w:rPr>
        <w:t>1.</w:t>
      </w:r>
      <w:r w:rsidRPr="003409C9">
        <w:rPr>
          <w:noProof/>
        </w:rPr>
        <w:tab/>
        <w:t>eu-LISA prowadzi rejestry dotyczące wszystkich operacji przetwarzania związanych</w:t>
      </w:r>
      <w:r w:rsidR="003409C9" w:rsidRPr="003409C9">
        <w:rPr>
          <w:noProof/>
        </w:rPr>
        <w:t xml:space="preserve"> z prz</w:t>
      </w:r>
      <w:r w:rsidRPr="003409C9">
        <w:rPr>
          <w:noProof/>
        </w:rPr>
        <w:t>ekazywaniem danych API za pośrednictwem routera na podstawie niniejszego rozporządzenia</w:t>
      </w:r>
      <w:r w:rsidR="003409C9" w:rsidRPr="003409C9">
        <w:rPr>
          <w:noProof/>
        </w:rPr>
        <w:t xml:space="preserve"> i roz</w:t>
      </w:r>
      <w:r w:rsidRPr="003409C9">
        <w:rPr>
          <w:noProof/>
        </w:rPr>
        <w:t>porządzenia (UE) [w sprawie egzekwowania przepisów dotyczących API]. Rejestry te obejmują:</w:t>
      </w:r>
      <w:bookmarkEnd w:id="35"/>
      <w:r w:rsidRPr="003409C9">
        <w:rPr>
          <w:noProof/>
        </w:rPr>
        <w:t xml:space="preserve"> </w:t>
      </w:r>
    </w:p>
    <w:p w:rsidR="00250117" w:rsidRPr="003409C9" w:rsidRDefault="009475BC" w:rsidP="009475BC">
      <w:pPr>
        <w:pStyle w:val="Point0"/>
        <w:rPr>
          <w:noProof/>
        </w:rPr>
      </w:pPr>
      <w:r w:rsidRPr="003409C9">
        <w:rPr>
          <w:noProof/>
        </w:rPr>
        <w:t>a)</w:t>
      </w:r>
      <w:r w:rsidRPr="003409C9">
        <w:rPr>
          <w:noProof/>
        </w:rPr>
        <w:tab/>
        <w:t>informacje</w:t>
      </w:r>
      <w:r w:rsidR="003409C9" w:rsidRPr="003409C9">
        <w:rPr>
          <w:noProof/>
        </w:rPr>
        <w:t xml:space="preserve"> o prz</w:t>
      </w:r>
      <w:r w:rsidRPr="003409C9">
        <w:rPr>
          <w:noProof/>
        </w:rPr>
        <w:t>ewoźniku lotniczym, który przekazał dane API do routera;</w:t>
      </w:r>
    </w:p>
    <w:p w:rsidR="00250117" w:rsidRPr="003409C9" w:rsidRDefault="009475BC" w:rsidP="009475BC">
      <w:pPr>
        <w:pStyle w:val="Point0"/>
        <w:rPr>
          <w:noProof/>
        </w:rPr>
      </w:pPr>
      <w:r w:rsidRPr="003409C9">
        <w:rPr>
          <w:noProof/>
        </w:rPr>
        <w:t>b)</w:t>
      </w:r>
      <w:r w:rsidRPr="003409C9">
        <w:rPr>
          <w:noProof/>
        </w:rPr>
        <w:tab/>
        <w:t>informacje</w:t>
      </w:r>
      <w:r w:rsidR="003409C9" w:rsidRPr="003409C9">
        <w:rPr>
          <w:noProof/>
        </w:rPr>
        <w:t xml:space="preserve"> o wła</w:t>
      </w:r>
      <w:r w:rsidRPr="003409C9">
        <w:rPr>
          <w:noProof/>
        </w:rPr>
        <w:t>ściwych służbach granicznych i JIP, do których przekazano dane API za pośrednictwem routera;</w:t>
      </w:r>
    </w:p>
    <w:p w:rsidR="00250117" w:rsidRPr="003409C9" w:rsidRDefault="009475BC" w:rsidP="009475BC">
      <w:pPr>
        <w:pStyle w:val="Point0"/>
        <w:rPr>
          <w:noProof/>
        </w:rPr>
      </w:pPr>
      <w:r w:rsidRPr="003409C9">
        <w:rPr>
          <w:noProof/>
        </w:rPr>
        <w:t>c)</w:t>
      </w:r>
      <w:r w:rsidRPr="003409C9">
        <w:rPr>
          <w:noProof/>
        </w:rPr>
        <w:tab/>
        <w:t>datę</w:t>
      </w:r>
      <w:r w:rsidR="003409C9" w:rsidRPr="003409C9">
        <w:rPr>
          <w:noProof/>
        </w:rPr>
        <w:t xml:space="preserve"> i god</w:t>
      </w:r>
      <w:r w:rsidRPr="003409C9">
        <w:rPr>
          <w:noProof/>
        </w:rPr>
        <w:t>zinę czynności przekazania,</w:t>
      </w:r>
      <w:r w:rsidR="003409C9" w:rsidRPr="003409C9">
        <w:rPr>
          <w:noProof/>
        </w:rPr>
        <w:t xml:space="preserve"> o któ</w:t>
      </w:r>
      <w:r w:rsidRPr="003409C9">
        <w:rPr>
          <w:noProof/>
        </w:rPr>
        <w:t>rych mowa</w:t>
      </w:r>
      <w:r w:rsidR="003409C9" w:rsidRPr="003409C9">
        <w:rPr>
          <w:noProof/>
        </w:rPr>
        <w:t xml:space="preserve"> w lit</w:t>
      </w:r>
      <w:r w:rsidRPr="003409C9">
        <w:rPr>
          <w:noProof/>
        </w:rPr>
        <w:t>.</w:t>
      </w:r>
      <w:r w:rsidR="003409C9" w:rsidRPr="003409C9">
        <w:rPr>
          <w:noProof/>
        </w:rPr>
        <w:t> </w:t>
      </w:r>
      <w:r w:rsidRPr="003409C9">
        <w:rPr>
          <w:noProof/>
        </w:rPr>
        <w:t xml:space="preserve">a) i b), oraz miejsce przekazania; </w:t>
      </w:r>
    </w:p>
    <w:p w:rsidR="00E6304F" w:rsidRPr="003409C9" w:rsidRDefault="009475BC" w:rsidP="009475BC">
      <w:pPr>
        <w:pStyle w:val="Point0"/>
        <w:rPr>
          <w:noProof/>
        </w:rPr>
      </w:pPr>
      <w:r w:rsidRPr="003409C9">
        <w:rPr>
          <w:noProof/>
        </w:rPr>
        <w:t>d)</w:t>
      </w:r>
      <w:r w:rsidRPr="003409C9">
        <w:rPr>
          <w:noProof/>
        </w:rPr>
        <w:tab/>
        <w:t>wszelkie prawa dostępu pracowników eu-LISA niezbędne do utrzymywania routera,</w:t>
      </w:r>
      <w:r w:rsidR="003409C9" w:rsidRPr="003409C9">
        <w:rPr>
          <w:noProof/>
        </w:rPr>
        <w:t xml:space="preserve"> o któ</w:t>
      </w:r>
      <w:r w:rsidRPr="003409C9">
        <w:rPr>
          <w:noProof/>
        </w:rPr>
        <w:t>rym mowa</w:t>
      </w:r>
      <w:r w:rsidR="003409C9" w:rsidRPr="003409C9">
        <w:rPr>
          <w:noProof/>
        </w:rPr>
        <w:t xml:space="preserve"> w art</w:t>
      </w:r>
      <w:r w:rsidRPr="003409C9">
        <w:rPr>
          <w:noProof/>
        </w:rPr>
        <w:t>.</w:t>
      </w:r>
      <w:r w:rsidR="003409C9" w:rsidRPr="003409C9">
        <w:rPr>
          <w:noProof/>
        </w:rPr>
        <w:t> </w:t>
      </w:r>
      <w:r w:rsidRPr="003409C9">
        <w:rPr>
          <w:noProof/>
        </w:rPr>
        <w:t>23 ust.</w:t>
      </w:r>
      <w:r w:rsidR="003409C9" w:rsidRPr="003409C9">
        <w:rPr>
          <w:noProof/>
        </w:rPr>
        <w:t> </w:t>
      </w:r>
      <w:r w:rsidRPr="003409C9">
        <w:rPr>
          <w:noProof/>
        </w:rPr>
        <w:t xml:space="preserve">3; </w:t>
      </w:r>
    </w:p>
    <w:p w:rsidR="009204B1" w:rsidRPr="003409C9" w:rsidRDefault="009475BC" w:rsidP="009475BC">
      <w:pPr>
        <w:pStyle w:val="Point0"/>
        <w:rPr>
          <w:noProof/>
        </w:rPr>
      </w:pPr>
      <w:bookmarkStart w:id="36" w:name="_Hlk120855221"/>
      <w:r w:rsidRPr="003409C9">
        <w:rPr>
          <w:noProof/>
        </w:rPr>
        <w:t>e)</w:t>
      </w:r>
      <w:r w:rsidRPr="003409C9">
        <w:rPr>
          <w:noProof/>
        </w:rPr>
        <w:tab/>
        <w:t>wszelkie inne informacje dotyczące tych operacji przetwarzania, niezbędne do monitorowania bezpieczeństwa</w:t>
      </w:r>
      <w:r w:rsidR="003409C9" w:rsidRPr="003409C9">
        <w:rPr>
          <w:noProof/>
        </w:rPr>
        <w:t xml:space="preserve"> i int</w:t>
      </w:r>
      <w:r w:rsidRPr="003409C9">
        <w:rPr>
          <w:noProof/>
        </w:rPr>
        <w:t>egralności danych API oraz zgodności tych operacji przetwarzania</w:t>
      </w:r>
      <w:r w:rsidR="003409C9" w:rsidRPr="003409C9">
        <w:rPr>
          <w:noProof/>
        </w:rPr>
        <w:t xml:space="preserve"> z pra</w:t>
      </w:r>
      <w:r w:rsidRPr="003409C9">
        <w:rPr>
          <w:noProof/>
        </w:rPr>
        <w:t xml:space="preserve">wem. </w:t>
      </w:r>
    </w:p>
    <w:p w:rsidR="00E6304F" w:rsidRPr="003409C9" w:rsidRDefault="00E6304F" w:rsidP="00E6304F">
      <w:pPr>
        <w:pStyle w:val="Text1"/>
        <w:rPr>
          <w:noProof/>
        </w:rPr>
      </w:pPr>
      <w:r w:rsidRPr="003409C9">
        <w:rPr>
          <w:noProof/>
        </w:rPr>
        <w:t>Rejestry te nie zawierają żadnych danych osobowych poza informacjami niezbędnymi do identyfikacji odpowiednich pracowników eu-LISA,</w:t>
      </w:r>
      <w:r w:rsidR="003409C9" w:rsidRPr="003409C9">
        <w:rPr>
          <w:noProof/>
        </w:rPr>
        <w:t xml:space="preserve"> o któ</w:t>
      </w:r>
      <w:r w:rsidRPr="003409C9">
        <w:rPr>
          <w:noProof/>
        </w:rPr>
        <w:t>rych mowa</w:t>
      </w:r>
      <w:r w:rsidR="003409C9" w:rsidRPr="003409C9">
        <w:rPr>
          <w:noProof/>
        </w:rPr>
        <w:t xml:space="preserve"> w aka</w:t>
      </w:r>
      <w:r w:rsidRPr="003409C9">
        <w:rPr>
          <w:noProof/>
        </w:rPr>
        <w:t>picie pierwszym lit.</w:t>
      </w:r>
      <w:r w:rsidR="003409C9" w:rsidRPr="003409C9">
        <w:rPr>
          <w:noProof/>
        </w:rPr>
        <w:t> </w:t>
      </w:r>
      <w:r w:rsidRPr="003409C9">
        <w:rPr>
          <w:noProof/>
        </w:rPr>
        <w:t>d).</w:t>
      </w:r>
    </w:p>
    <w:bookmarkEnd w:id="36"/>
    <w:p w:rsidR="009204B1" w:rsidRPr="003409C9" w:rsidRDefault="009475BC" w:rsidP="009475BC">
      <w:pPr>
        <w:pStyle w:val="ManualNumPar1"/>
        <w:rPr>
          <w:noProof/>
        </w:rPr>
      </w:pPr>
      <w:r w:rsidRPr="003409C9">
        <w:rPr>
          <w:noProof/>
        </w:rPr>
        <w:t>2.</w:t>
      </w:r>
      <w:r w:rsidRPr="003409C9">
        <w:rPr>
          <w:noProof/>
        </w:rPr>
        <w:tab/>
        <w:t>Przewoźnicy lotniczy tworzą rejestry dotyczące wszystkich operacji przetwarzania danych prowadzonych</w:t>
      </w:r>
      <w:r w:rsidR="003409C9" w:rsidRPr="003409C9">
        <w:rPr>
          <w:noProof/>
        </w:rPr>
        <w:t xml:space="preserve"> w spo</w:t>
      </w:r>
      <w:r w:rsidRPr="003409C9">
        <w:rPr>
          <w:noProof/>
        </w:rPr>
        <w:t>sób zautomatyzowany na podstawie niniejszego rozporządzenia,</w:t>
      </w:r>
      <w:r w:rsidR="003409C9" w:rsidRPr="003409C9">
        <w:rPr>
          <w:noProof/>
        </w:rPr>
        <w:t xml:space="preserve"> o któ</w:t>
      </w:r>
      <w:r w:rsidRPr="003409C9">
        <w:rPr>
          <w:noProof/>
        </w:rPr>
        <w:t>rych mowa</w:t>
      </w:r>
      <w:r w:rsidR="003409C9" w:rsidRPr="003409C9">
        <w:rPr>
          <w:noProof/>
        </w:rPr>
        <w:t xml:space="preserve"> w art</w:t>
      </w:r>
      <w:r w:rsidRPr="003409C9">
        <w:rPr>
          <w:noProof/>
        </w:rPr>
        <w:t>.</w:t>
      </w:r>
      <w:r w:rsidR="003409C9" w:rsidRPr="003409C9">
        <w:rPr>
          <w:noProof/>
        </w:rPr>
        <w:t> </w:t>
      </w:r>
      <w:r w:rsidRPr="003409C9">
        <w:rPr>
          <w:noProof/>
        </w:rPr>
        <w:t>5 ust.</w:t>
      </w:r>
      <w:r w:rsidR="003409C9" w:rsidRPr="003409C9">
        <w:rPr>
          <w:noProof/>
        </w:rPr>
        <w:t> </w:t>
      </w:r>
      <w:r w:rsidRPr="003409C9">
        <w:rPr>
          <w:noProof/>
        </w:rPr>
        <w:t>2. Rejestry te obejmują datę, czas</w:t>
      </w:r>
      <w:r w:rsidR="003409C9" w:rsidRPr="003409C9">
        <w:rPr>
          <w:noProof/>
        </w:rPr>
        <w:t xml:space="preserve"> i mie</w:t>
      </w:r>
      <w:r w:rsidRPr="003409C9">
        <w:rPr>
          <w:noProof/>
        </w:rPr>
        <w:t>jsce przekazania danych API.</w:t>
      </w:r>
      <w:r w:rsidR="003B5A1D" w:rsidRPr="003409C9">
        <w:rPr>
          <w:noProof/>
        </w:rPr>
        <w:t xml:space="preserve"> </w:t>
      </w:r>
    </w:p>
    <w:p w:rsidR="009204B1" w:rsidRPr="003409C9" w:rsidRDefault="009475BC" w:rsidP="009475BC">
      <w:pPr>
        <w:pStyle w:val="ManualNumPar1"/>
        <w:rPr>
          <w:noProof/>
        </w:rPr>
      </w:pPr>
      <w:r w:rsidRPr="003409C9">
        <w:rPr>
          <w:noProof/>
        </w:rPr>
        <w:t>3.</w:t>
      </w:r>
      <w:r w:rsidRPr="003409C9">
        <w:rPr>
          <w:noProof/>
        </w:rPr>
        <w:tab/>
        <w:t>Rejestry,</w:t>
      </w:r>
      <w:r w:rsidR="003409C9" w:rsidRPr="003409C9">
        <w:rPr>
          <w:noProof/>
        </w:rPr>
        <w:t xml:space="preserve"> o któ</w:t>
      </w:r>
      <w:r w:rsidRPr="003409C9">
        <w:rPr>
          <w:noProof/>
        </w:rPr>
        <w:t>rych mowa</w:t>
      </w:r>
      <w:r w:rsidR="003409C9" w:rsidRPr="003409C9">
        <w:rPr>
          <w:noProof/>
        </w:rPr>
        <w:t xml:space="preserve"> w ust</w:t>
      </w:r>
      <w:r w:rsidRPr="003409C9">
        <w:rPr>
          <w:noProof/>
        </w:rPr>
        <w:t>.</w:t>
      </w:r>
      <w:r w:rsidR="003409C9" w:rsidRPr="003409C9">
        <w:rPr>
          <w:noProof/>
        </w:rPr>
        <w:t> </w:t>
      </w:r>
      <w:r w:rsidRPr="003409C9">
        <w:rPr>
          <w:noProof/>
        </w:rPr>
        <w:t>1</w:t>
      </w:r>
      <w:r w:rsidR="003409C9" w:rsidRPr="003409C9">
        <w:rPr>
          <w:noProof/>
        </w:rPr>
        <w:t xml:space="preserve"> i 2</w:t>
      </w:r>
      <w:r w:rsidRPr="003409C9">
        <w:rPr>
          <w:noProof/>
        </w:rPr>
        <w:t>, wykorzystuje się wyłącznie</w:t>
      </w:r>
      <w:r w:rsidR="003409C9" w:rsidRPr="003409C9">
        <w:rPr>
          <w:noProof/>
        </w:rPr>
        <w:t xml:space="preserve"> w cel</w:t>
      </w:r>
      <w:r w:rsidRPr="003409C9">
        <w:rPr>
          <w:noProof/>
        </w:rPr>
        <w:t>u zapewnienia bezpieczeństwa</w:t>
      </w:r>
      <w:r w:rsidR="003409C9" w:rsidRPr="003409C9">
        <w:rPr>
          <w:noProof/>
        </w:rPr>
        <w:t xml:space="preserve"> i int</w:t>
      </w:r>
      <w:r w:rsidRPr="003409C9">
        <w:rPr>
          <w:noProof/>
        </w:rPr>
        <w:t>egralności danych API oraz legalności przetwarzania,</w:t>
      </w:r>
      <w:r w:rsidR="003409C9" w:rsidRPr="003409C9">
        <w:rPr>
          <w:noProof/>
        </w:rPr>
        <w:t xml:space="preserve"> w szc</w:t>
      </w:r>
      <w:r w:rsidRPr="003409C9">
        <w:rPr>
          <w:noProof/>
        </w:rPr>
        <w:t>zególności</w:t>
      </w:r>
      <w:r w:rsidR="003409C9" w:rsidRPr="003409C9">
        <w:rPr>
          <w:noProof/>
        </w:rPr>
        <w:t xml:space="preserve"> w odn</w:t>
      </w:r>
      <w:r w:rsidRPr="003409C9">
        <w:rPr>
          <w:noProof/>
        </w:rPr>
        <w:t>iesieniu do zgodności</w:t>
      </w:r>
      <w:r w:rsidR="003409C9" w:rsidRPr="003409C9">
        <w:rPr>
          <w:noProof/>
        </w:rPr>
        <w:t xml:space="preserve"> z wym</w:t>
      </w:r>
      <w:r w:rsidRPr="003409C9">
        <w:rPr>
          <w:noProof/>
        </w:rPr>
        <w:t>ogami określonymi</w:t>
      </w:r>
      <w:r w:rsidR="003409C9" w:rsidRPr="003409C9">
        <w:rPr>
          <w:noProof/>
        </w:rPr>
        <w:t xml:space="preserve"> w nin</w:t>
      </w:r>
      <w:r w:rsidRPr="003409C9">
        <w:rPr>
          <w:noProof/>
        </w:rPr>
        <w:t>iejszym rozporządzeniu</w:t>
      </w:r>
      <w:r w:rsidR="003409C9" w:rsidRPr="003409C9">
        <w:rPr>
          <w:noProof/>
        </w:rPr>
        <w:t xml:space="preserve"> i roz</w:t>
      </w:r>
      <w:r w:rsidRPr="003409C9">
        <w:rPr>
          <w:noProof/>
        </w:rPr>
        <w:t>porządzeniu (UE) [w sprawie egzekwowania przepisów dotyczących API],</w:t>
      </w:r>
      <w:r w:rsidR="003409C9" w:rsidRPr="003409C9">
        <w:rPr>
          <w:noProof/>
        </w:rPr>
        <w:t xml:space="preserve"> w tym w pos</w:t>
      </w:r>
      <w:r w:rsidRPr="003409C9">
        <w:rPr>
          <w:noProof/>
        </w:rPr>
        <w:t>tępowaniach dotyczących kar za naruszenie tych wymogów zgodnie</w:t>
      </w:r>
      <w:r w:rsidR="003409C9" w:rsidRPr="003409C9">
        <w:rPr>
          <w:noProof/>
        </w:rPr>
        <w:t xml:space="preserve"> z art</w:t>
      </w:r>
      <w:r w:rsidRPr="003409C9">
        <w:rPr>
          <w:noProof/>
        </w:rPr>
        <w:t>.</w:t>
      </w:r>
      <w:r w:rsidR="003409C9" w:rsidRPr="003409C9">
        <w:rPr>
          <w:noProof/>
        </w:rPr>
        <w:t> </w:t>
      </w:r>
      <w:r w:rsidRPr="003409C9">
        <w:rPr>
          <w:noProof/>
        </w:rPr>
        <w:t>29</w:t>
      </w:r>
      <w:r w:rsidR="003409C9" w:rsidRPr="003409C9">
        <w:rPr>
          <w:noProof/>
        </w:rPr>
        <w:t xml:space="preserve"> i 3</w:t>
      </w:r>
      <w:r w:rsidRPr="003409C9">
        <w:rPr>
          <w:noProof/>
        </w:rPr>
        <w:t xml:space="preserve">0 niniejszego rozporządzenia. </w:t>
      </w:r>
    </w:p>
    <w:p w:rsidR="009204B1" w:rsidRPr="003409C9" w:rsidRDefault="009475BC" w:rsidP="009475BC">
      <w:pPr>
        <w:pStyle w:val="ManualNumPar1"/>
        <w:rPr>
          <w:noProof/>
        </w:rPr>
      </w:pPr>
      <w:bookmarkStart w:id="37" w:name="_Hlk120855585"/>
      <w:r w:rsidRPr="003409C9">
        <w:rPr>
          <w:noProof/>
        </w:rPr>
        <w:t>4.</w:t>
      </w:r>
      <w:r w:rsidRPr="003409C9">
        <w:rPr>
          <w:noProof/>
        </w:rPr>
        <w:tab/>
        <w:t>eu-LISA</w:t>
      </w:r>
      <w:r w:rsidR="003409C9" w:rsidRPr="003409C9">
        <w:rPr>
          <w:noProof/>
        </w:rPr>
        <w:t xml:space="preserve"> i prz</w:t>
      </w:r>
      <w:r w:rsidRPr="003409C9">
        <w:rPr>
          <w:noProof/>
        </w:rPr>
        <w:t>ewoźnicy lotniczy wprowadzają odpowiednie środki</w:t>
      </w:r>
      <w:r w:rsidR="003409C9" w:rsidRPr="003409C9">
        <w:rPr>
          <w:noProof/>
        </w:rPr>
        <w:t xml:space="preserve"> w cel</w:t>
      </w:r>
      <w:r w:rsidRPr="003409C9">
        <w:rPr>
          <w:noProof/>
        </w:rPr>
        <w:t>u ochrony rejestrów, które utworzyli na podstawie odpowiednio ust.</w:t>
      </w:r>
      <w:r w:rsidR="003409C9" w:rsidRPr="003409C9">
        <w:rPr>
          <w:noProof/>
        </w:rPr>
        <w:t> </w:t>
      </w:r>
      <w:r w:rsidRPr="003409C9">
        <w:rPr>
          <w:noProof/>
        </w:rPr>
        <w:t>1</w:t>
      </w:r>
      <w:r w:rsidR="003409C9" w:rsidRPr="003409C9">
        <w:rPr>
          <w:noProof/>
        </w:rPr>
        <w:t xml:space="preserve"> i 2</w:t>
      </w:r>
      <w:r w:rsidRPr="003409C9">
        <w:rPr>
          <w:noProof/>
        </w:rPr>
        <w:t>, przed nieuprawnionym dostępem</w:t>
      </w:r>
      <w:r w:rsidR="003409C9" w:rsidRPr="003409C9">
        <w:rPr>
          <w:noProof/>
        </w:rPr>
        <w:t xml:space="preserve"> i inn</w:t>
      </w:r>
      <w:r w:rsidRPr="003409C9">
        <w:rPr>
          <w:noProof/>
        </w:rPr>
        <w:t xml:space="preserve">ym ryzykiem dla bezpieczeństwa. </w:t>
      </w:r>
    </w:p>
    <w:p w:rsidR="009204B1" w:rsidRPr="003409C9" w:rsidRDefault="009475BC" w:rsidP="009475BC">
      <w:pPr>
        <w:pStyle w:val="ManualNumPar1"/>
        <w:rPr>
          <w:noProof/>
        </w:rPr>
      </w:pPr>
      <w:r w:rsidRPr="003409C9">
        <w:rPr>
          <w:noProof/>
        </w:rPr>
        <w:t>5.</w:t>
      </w:r>
      <w:r w:rsidRPr="003409C9">
        <w:rPr>
          <w:noProof/>
        </w:rPr>
        <w:tab/>
        <w:t>eu-LISA</w:t>
      </w:r>
      <w:r w:rsidR="003409C9" w:rsidRPr="003409C9">
        <w:rPr>
          <w:noProof/>
        </w:rPr>
        <w:t xml:space="preserve"> i prz</w:t>
      </w:r>
      <w:r w:rsidRPr="003409C9">
        <w:rPr>
          <w:noProof/>
        </w:rPr>
        <w:t>ewoźnicy lotniczy utrzymują rejestry, które utworzyli na podstawie odpowiednio ust.</w:t>
      </w:r>
      <w:r w:rsidR="003409C9" w:rsidRPr="003409C9">
        <w:rPr>
          <w:noProof/>
        </w:rPr>
        <w:t> </w:t>
      </w:r>
      <w:r w:rsidRPr="003409C9">
        <w:rPr>
          <w:noProof/>
        </w:rPr>
        <w:t>1</w:t>
      </w:r>
      <w:r w:rsidR="003409C9" w:rsidRPr="003409C9">
        <w:rPr>
          <w:noProof/>
        </w:rPr>
        <w:t xml:space="preserve"> i 2</w:t>
      </w:r>
      <w:r w:rsidRPr="003409C9">
        <w:rPr>
          <w:noProof/>
        </w:rPr>
        <w:t>, przez okres jednego roku od momentu ich utworzenia. Po upływie tego okresu niezwłocznie</w:t>
      </w:r>
      <w:r w:rsidR="003409C9" w:rsidRPr="003409C9">
        <w:rPr>
          <w:noProof/>
        </w:rPr>
        <w:t xml:space="preserve"> i trw</w:t>
      </w:r>
      <w:r w:rsidRPr="003409C9">
        <w:rPr>
          <w:noProof/>
        </w:rPr>
        <w:t xml:space="preserve">ale usuwają te rejestry. </w:t>
      </w:r>
    </w:p>
    <w:p w:rsidR="009204B1" w:rsidRPr="003409C9" w:rsidRDefault="009204B1" w:rsidP="007A53AC">
      <w:pPr>
        <w:pStyle w:val="Text1"/>
        <w:rPr>
          <w:noProof/>
        </w:rPr>
      </w:pPr>
      <w:r w:rsidRPr="003409C9">
        <w:rPr>
          <w:noProof/>
        </w:rPr>
        <w:t>Jeżeli jednak rejestry te są wymagane na potrzeby procedur monitorowania lub zapewniania bezpieczeństwa</w:t>
      </w:r>
      <w:r w:rsidR="003409C9" w:rsidRPr="003409C9">
        <w:rPr>
          <w:noProof/>
        </w:rPr>
        <w:t xml:space="preserve"> i int</w:t>
      </w:r>
      <w:r w:rsidRPr="003409C9">
        <w:rPr>
          <w:noProof/>
        </w:rPr>
        <w:t>egralności danych API lub legalności operacji przetwarzania,</w:t>
      </w:r>
      <w:r w:rsidR="003409C9" w:rsidRPr="003409C9">
        <w:rPr>
          <w:noProof/>
        </w:rPr>
        <w:t xml:space="preserve"> o któ</w:t>
      </w:r>
      <w:r w:rsidRPr="003409C9">
        <w:rPr>
          <w:noProof/>
        </w:rPr>
        <w:t>rych mowa</w:t>
      </w:r>
      <w:r w:rsidR="003409C9" w:rsidRPr="003409C9">
        <w:rPr>
          <w:noProof/>
        </w:rPr>
        <w:t xml:space="preserve"> w ust</w:t>
      </w:r>
      <w:r w:rsidRPr="003409C9">
        <w:rPr>
          <w:noProof/>
        </w:rPr>
        <w:t>.</w:t>
      </w:r>
      <w:r w:rsidR="003409C9" w:rsidRPr="003409C9">
        <w:rPr>
          <w:noProof/>
        </w:rPr>
        <w:t> </w:t>
      </w:r>
      <w:r w:rsidRPr="003409C9">
        <w:rPr>
          <w:noProof/>
        </w:rPr>
        <w:t>2,</w:t>
      </w:r>
      <w:r w:rsidR="003409C9" w:rsidRPr="003409C9">
        <w:rPr>
          <w:noProof/>
        </w:rPr>
        <w:t xml:space="preserve"> a pro</w:t>
      </w:r>
      <w:r w:rsidRPr="003409C9">
        <w:rPr>
          <w:noProof/>
        </w:rPr>
        <w:t>cedury te już się rozpoczęły</w:t>
      </w:r>
      <w:r w:rsidR="003409C9" w:rsidRPr="003409C9">
        <w:rPr>
          <w:noProof/>
        </w:rPr>
        <w:t xml:space="preserve"> w chw</w:t>
      </w:r>
      <w:r w:rsidRPr="003409C9">
        <w:rPr>
          <w:noProof/>
        </w:rPr>
        <w:t>ili upływu okresu,</w:t>
      </w:r>
      <w:r w:rsidR="003409C9" w:rsidRPr="003409C9">
        <w:rPr>
          <w:noProof/>
        </w:rPr>
        <w:t xml:space="preserve"> o któ</w:t>
      </w:r>
      <w:r w:rsidRPr="003409C9">
        <w:rPr>
          <w:noProof/>
        </w:rPr>
        <w:t>rym mowa</w:t>
      </w:r>
      <w:r w:rsidR="003409C9" w:rsidRPr="003409C9">
        <w:rPr>
          <w:noProof/>
        </w:rPr>
        <w:t xml:space="preserve"> w aka</w:t>
      </w:r>
      <w:r w:rsidRPr="003409C9">
        <w:rPr>
          <w:noProof/>
        </w:rPr>
        <w:t>picie pierwszym, eu-LISA</w:t>
      </w:r>
      <w:r w:rsidR="003409C9" w:rsidRPr="003409C9">
        <w:rPr>
          <w:noProof/>
        </w:rPr>
        <w:t xml:space="preserve"> i prz</w:t>
      </w:r>
      <w:r w:rsidRPr="003409C9">
        <w:rPr>
          <w:noProof/>
        </w:rPr>
        <w:t>ewoźnicy lotniczy mogą utrzymywać te rejestry tak długo, jak jest to konieczne do przeprowadzenia tych procedur</w:t>
      </w:r>
      <w:r w:rsidR="003409C9" w:rsidRPr="003409C9">
        <w:rPr>
          <w:noProof/>
        </w:rPr>
        <w:t>. W tak</w:t>
      </w:r>
      <w:r w:rsidRPr="003409C9">
        <w:rPr>
          <w:noProof/>
        </w:rPr>
        <w:t>im przypadku niezwłocznie usuwają te rejestry, gdy nie są one już wymagane na potrzeby tych procedur.</w:t>
      </w:r>
      <w:bookmarkEnd w:id="37"/>
    </w:p>
    <w:bookmarkEnd w:id="34"/>
    <w:p w:rsidR="00250117" w:rsidRPr="00BB07AF" w:rsidRDefault="00250117" w:rsidP="00250117">
      <w:pPr>
        <w:pStyle w:val="Titrearticle"/>
        <w:rPr>
          <w:noProof/>
        </w:rPr>
      </w:pPr>
      <w:r w:rsidRPr="00BB07AF">
        <w:rPr>
          <w:noProof/>
        </w:rPr>
        <w:t>Artykuł 14</w:t>
      </w:r>
    </w:p>
    <w:p w:rsidR="00250117" w:rsidRPr="00BB07AF" w:rsidRDefault="00085D2C" w:rsidP="00B15276">
      <w:pPr>
        <w:jc w:val="center"/>
        <w:rPr>
          <w:b/>
          <w:noProof/>
        </w:rPr>
      </w:pPr>
      <w:r w:rsidRPr="00BB07AF">
        <w:rPr>
          <w:b/>
          <w:noProof/>
        </w:rPr>
        <w:t>Działania</w:t>
      </w:r>
      <w:r w:rsidR="003409C9" w:rsidRPr="00BB07AF">
        <w:rPr>
          <w:b/>
          <w:noProof/>
        </w:rPr>
        <w:t xml:space="preserve"> w prz</w:t>
      </w:r>
      <w:r w:rsidRPr="00BB07AF">
        <w:rPr>
          <w:b/>
          <w:noProof/>
        </w:rPr>
        <w:t>ypadku braku technicznej możliwości korzystania</w:t>
      </w:r>
      <w:r w:rsidR="003409C9" w:rsidRPr="00BB07AF">
        <w:rPr>
          <w:b/>
          <w:noProof/>
        </w:rPr>
        <w:t xml:space="preserve"> z rou</w:t>
      </w:r>
      <w:r w:rsidRPr="00BB07AF">
        <w:rPr>
          <w:b/>
          <w:noProof/>
        </w:rPr>
        <w:t>tera</w:t>
      </w:r>
    </w:p>
    <w:p w:rsidR="003E1271" w:rsidRPr="003409C9" w:rsidRDefault="009475BC" w:rsidP="009475BC">
      <w:pPr>
        <w:pStyle w:val="ManualNumPar1"/>
        <w:rPr>
          <w:noProof/>
        </w:rPr>
      </w:pPr>
      <w:r w:rsidRPr="003409C9">
        <w:rPr>
          <w:noProof/>
        </w:rPr>
        <w:t>1.</w:t>
      </w:r>
      <w:r w:rsidRPr="003409C9">
        <w:rPr>
          <w:noProof/>
        </w:rPr>
        <w:tab/>
        <w:t>W przypadku gdy korzystanie</w:t>
      </w:r>
      <w:r w:rsidR="003409C9" w:rsidRPr="003409C9">
        <w:rPr>
          <w:noProof/>
        </w:rPr>
        <w:t xml:space="preserve"> z rou</w:t>
      </w:r>
      <w:r w:rsidRPr="003409C9">
        <w:rPr>
          <w:noProof/>
        </w:rPr>
        <w:t>tera</w:t>
      </w:r>
      <w:r w:rsidR="003409C9" w:rsidRPr="003409C9">
        <w:rPr>
          <w:noProof/>
        </w:rPr>
        <w:t xml:space="preserve"> w cel</w:t>
      </w:r>
      <w:r w:rsidRPr="003409C9">
        <w:rPr>
          <w:noProof/>
        </w:rPr>
        <w:t>u przekazywania danych API nie jest technicznie możliwe</w:t>
      </w:r>
      <w:r w:rsidR="003409C9" w:rsidRPr="003409C9">
        <w:rPr>
          <w:noProof/>
        </w:rPr>
        <w:t xml:space="preserve"> z pow</w:t>
      </w:r>
      <w:r w:rsidRPr="003409C9">
        <w:rPr>
          <w:noProof/>
        </w:rPr>
        <w:t>odu awarii routera, eu-LISA niezwłocznie</w:t>
      </w:r>
      <w:r w:rsidR="003409C9" w:rsidRPr="003409C9">
        <w:rPr>
          <w:noProof/>
        </w:rPr>
        <w:t xml:space="preserve"> i w spo</w:t>
      </w:r>
      <w:r w:rsidRPr="003409C9">
        <w:rPr>
          <w:noProof/>
        </w:rPr>
        <w:t>sób zautomatyzowany powiadamia przewoźników lotniczych</w:t>
      </w:r>
      <w:r w:rsidR="003409C9" w:rsidRPr="003409C9">
        <w:rPr>
          <w:noProof/>
        </w:rPr>
        <w:t xml:space="preserve"> i wła</w:t>
      </w:r>
      <w:r w:rsidRPr="003409C9">
        <w:rPr>
          <w:noProof/>
        </w:rPr>
        <w:t>ściwe służby graniczne</w:t>
      </w:r>
      <w:r w:rsidR="003409C9" w:rsidRPr="003409C9">
        <w:rPr>
          <w:noProof/>
        </w:rPr>
        <w:t xml:space="preserve"> o tak</w:t>
      </w:r>
      <w:r w:rsidRPr="003409C9">
        <w:rPr>
          <w:noProof/>
        </w:rPr>
        <w:t>im braku technicznej możliwości korzystania</w:t>
      </w:r>
      <w:r w:rsidR="003409C9" w:rsidRPr="003409C9">
        <w:rPr>
          <w:noProof/>
        </w:rPr>
        <w:t xml:space="preserve"> z rou</w:t>
      </w:r>
      <w:r w:rsidRPr="003409C9">
        <w:rPr>
          <w:noProof/>
        </w:rPr>
        <w:t>tera</w:t>
      </w:r>
      <w:r w:rsidR="003409C9" w:rsidRPr="003409C9">
        <w:rPr>
          <w:noProof/>
        </w:rPr>
        <w:t>. W tak</w:t>
      </w:r>
      <w:r w:rsidRPr="003409C9">
        <w:rPr>
          <w:noProof/>
        </w:rPr>
        <w:t>im przypadku eu-LISA niezwłocznie podejmuje działania mające na celu usunięcie braku technicznej możliwości korzystania</w:t>
      </w:r>
      <w:r w:rsidR="003409C9" w:rsidRPr="003409C9">
        <w:rPr>
          <w:noProof/>
        </w:rPr>
        <w:t xml:space="preserve"> z rou</w:t>
      </w:r>
      <w:r w:rsidRPr="003409C9">
        <w:rPr>
          <w:noProof/>
        </w:rPr>
        <w:t>tera</w:t>
      </w:r>
      <w:r w:rsidR="003409C9" w:rsidRPr="003409C9">
        <w:rPr>
          <w:noProof/>
        </w:rPr>
        <w:t xml:space="preserve"> i nie</w:t>
      </w:r>
      <w:r w:rsidRPr="003409C9">
        <w:rPr>
          <w:noProof/>
        </w:rPr>
        <w:t>zwłocznie powiadamia wspomniane podmioty</w:t>
      </w:r>
      <w:r w:rsidR="003409C9" w:rsidRPr="003409C9">
        <w:rPr>
          <w:noProof/>
        </w:rPr>
        <w:t xml:space="preserve"> o sku</w:t>
      </w:r>
      <w:r w:rsidRPr="003409C9">
        <w:rPr>
          <w:noProof/>
        </w:rPr>
        <w:t xml:space="preserve">tecznym rozwiązaniu tego problemu. </w:t>
      </w:r>
    </w:p>
    <w:p w:rsidR="00250117" w:rsidRPr="003409C9" w:rsidRDefault="007B5370" w:rsidP="007A53AC">
      <w:pPr>
        <w:pStyle w:val="Text1"/>
        <w:rPr>
          <w:noProof/>
        </w:rPr>
      </w:pPr>
      <w:r w:rsidRPr="003409C9">
        <w:rPr>
          <w:noProof/>
        </w:rPr>
        <w:t>W okresie pomiędzy tymi powiadomieniami art.</w:t>
      </w:r>
      <w:r w:rsidR="003409C9" w:rsidRPr="003409C9">
        <w:rPr>
          <w:noProof/>
        </w:rPr>
        <w:t> </w:t>
      </w:r>
      <w:r w:rsidRPr="003409C9">
        <w:rPr>
          <w:noProof/>
        </w:rPr>
        <w:t>6 ust.</w:t>
      </w:r>
      <w:r w:rsidR="003409C9" w:rsidRPr="003409C9">
        <w:rPr>
          <w:noProof/>
        </w:rPr>
        <w:t> </w:t>
      </w:r>
      <w:r w:rsidRPr="003409C9">
        <w:rPr>
          <w:noProof/>
        </w:rPr>
        <w:t>1 nie ma zastosowania</w:t>
      </w:r>
      <w:r w:rsidR="003409C9" w:rsidRPr="003409C9">
        <w:rPr>
          <w:noProof/>
        </w:rPr>
        <w:t xml:space="preserve"> w zak</w:t>
      </w:r>
      <w:r w:rsidRPr="003409C9">
        <w:rPr>
          <w:noProof/>
        </w:rPr>
        <w:t>resie,</w:t>
      </w:r>
      <w:r w:rsidR="003409C9" w:rsidRPr="003409C9">
        <w:rPr>
          <w:noProof/>
        </w:rPr>
        <w:t xml:space="preserve"> w jak</w:t>
      </w:r>
      <w:r w:rsidRPr="003409C9">
        <w:rPr>
          <w:noProof/>
        </w:rPr>
        <w:t>im brak technicznej możliwości korzystania</w:t>
      </w:r>
      <w:r w:rsidR="003409C9" w:rsidRPr="003409C9">
        <w:rPr>
          <w:noProof/>
        </w:rPr>
        <w:t xml:space="preserve"> z rou</w:t>
      </w:r>
      <w:r w:rsidRPr="003409C9">
        <w:rPr>
          <w:noProof/>
        </w:rPr>
        <w:t>tera uniemożliwia przekazywanie danych API do routera</w:t>
      </w:r>
      <w:r w:rsidR="003409C9" w:rsidRPr="003409C9">
        <w:rPr>
          <w:noProof/>
        </w:rPr>
        <w:t>. W tak</w:t>
      </w:r>
      <w:r w:rsidRPr="003409C9">
        <w:rPr>
          <w:noProof/>
        </w:rPr>
        <w:t>im przypadku art.</w:t>
      </w:r>
      <w:r w:rsidR="003409C9" w:rsidRPr="003409C9">
        <w:rPr>
          <w:noProof/>
        </w:rPr>
        <w:t> </w:t>
      </w:r>
      <w:r w:rsidRPr="003409C9">
        <w:rPr>
          <w:noProof/>
        </w:rPr>
        <w:t>4 ust.</w:t>
      </w:r>
      <w:r w:rsidR="003409C9" w:rsidRPr="003409C9">
        <w:rPr>
          <w:noProof/>
        </w:rPr>
        <w:t> </w:t>
      </w:r>
      <w:r w:rsidRPr="003409C9">
        <w:rPr>
          <w:noProof/>
        </w:rPr>
        <w:t>1</w:t>
      </w:r>
      <w:r w:rsidR="003409C9" w:rsidRPr="003409C9">
        <w:rPr>
          <w:noProof/>
        </w:rPr>
        <w:t xml:space="preserve"> i art</w:t>
      </w:r>
      <w:r w:rsidRPr="003409C9">
        <w:rPr>
          <w:noProof/>
        </w:rPr>
        <w:t>.</w:t>
      </w:r>
      <w:r w:rsidR="003409C9" w:rsidRPr="003409C9">
        <w:rPr>
          <w:noProof/>
        </w:rPr>
        <w:t> </w:t>
      </w:r>
      <w:r w:rsidRPr="003409C9">
        <w:rPr>
          <w:noProof/>
        </w:rPr>
        <w:t>8 ust.</w:t>
      </w:r>
      <w:r w:rsidR="003409C9" w:rsidRPr="003409C9">
        <w:rPr>
          <w:noProof/>
        </w:rPr>
        <w:t> </w:t>
      </w:r>
      <w:r w:rsidRPr="003409C9">
        <w:rPr>
          <w:noProof/>
        </w:rPr>
        <w:t>1 również nie mają zastosowania do odnośnych danych API</w:t>
      </w:r>
      <w:r w:rsidR="003409C9" w:rsidRPr="003409C9">
        <w:rPr>
          <w:noProof/>
        </w:rPr>
        <w:t xml:space="preserve"> w tym</w:t>
      </w:r>
      <w:r w:rsidRPr="003409C9">
        <w:rPr>
          <w:noProof/>
        </w:rPr>
        <w:t xml:space="preserve"> okresie. </w:t>
      </w:r>
    </w:p>
    <w:p w:rsidR="003E1271" w:rsidRPr="003409C9" w:rsidRDefault="009475BC" w:rsidP="009475BC">
      <w:pPr>
        <w:pStyle w:val="ManualNumPar1"/>
        <w:rPr>
          <w:noProof/>
        </w:rPr>
      </w:pPr>
      <w:r w:rsidRPr="003409C9">
        <w:rPr>
          <w:noProof/>
        </w:rPr>
        <w:t>2.</w:t>
      </w:r>
      <w:r w:rsidRPr="003409C9">
        <w:rPr>
          <w:noProof/>
        </w:rPr>
        <w:tab/>
        <w:t>W przypadku gdy korzystanie</w:t>
      </w:r>
      <w:r w:rsidR="003409C9" w:rsidRPr="003409C9">
        <w:rPr>
          <w:noProof/>
        </w:rPr>
        <w:t xml:space="preserve"> z rou</w:t>
      </w:r>
      <w:r w:rsidRPr="003409C9">
        <w:rPr>
          <w:noProof/>
        </w:rPr>
        <w:t>tera</w:t>
      </w:r>
      <w:r w:rsidR="003409C9" w:rsidRPr="003409C9">
        <w:rPr>
          <w:noProof/>
        </w:rPr>
        <w:t xml:space="preserve"> w cel</w:t>
      </w:r>
      <w:r w:rsidRPr="003409C9">
        <w:rPr>
          <w:noProof/>
        </w:rPr>
        <w:t>u przekazywania danych API nie jest technicznie możliwe</w:t>
      </w:r>
      <w:r w:rsidR="003409C9" w:rsidRPr="003409C9">
        <w:rPr>
          <w:noProof/>
        </w:rPr>
        <w:t xml:space="preserve"> z pow</w:t>
      </w:r>
      <w:r w:rsidRPr="003409C9">
        <w:rPr>
          <w:noProof/>
        </w:rPr>
        <w:t>odu awarii systemów lub infrastruktury państwa członkowskiego,</w:t>
      </w:r>
      <w:r w:rsidR="003409C9" w:rsidRPr="003409C9">
        <w:rPr>
          <w:noProof/>
        </w:rPr>
        <w:t xml:space="preserve"> o któ</w:t>
      </w:r>
      <w:r w:rsidRPr="003409C9">
        <w:rPr>
          <w:noProof/>
        </w:rPr>
        <w:t>rych mowa</w:t>
      </w:r>
      <w:r w:rsidR="003409C9" w:rsidRPr="003409C9">
        <w:rPr>
          <w:noProof/>
        </w:rPr>
        <w:t xml:space="preserve"> w art</w:t>
      </w:r>
      <w:r w:rsidRPr="003409C9">
        <w:rPr>
          <w:noProof/>
        </w:rPr>
        <w:t>.</w:t>
      </w:r>
      <w:r w:rsidR="003409C9" w:rsidRPr="003409C9">
        <w:rPr>
          <w:noProof/>
        </w:rPr>
        <w:t> </w:t>
      </w:r>
      <w:r w:rsidRPr="003409C9">
        <w:rPr>
          <w:noProof/>
        </w:rPr>
        <w:t>20, właściwe służby graniczne niezwłocznie</w:t>
      </w:r>
      <w:r w:rsidR="003409C9" w:rsidRPr="003409C9">
        <w:rPr>
          <w:noProof/>
        </w:rPr>
        <w:t xml:space="preserve"> i w spo</w:t>
      </w:r>
      <w:r w:rsidRPr="003409C9">
        <w:rPr>
          <w:noProof/>
        </w:rPr>
        <w:t>sób zautomatyzowany powiadamiają przewoźników lotniczych, właściwe organy pozostałych państw członkowskich, eu-LISA</w:t>
      </w:r>
      <w:r w:rsidR="003409C9" w:rsidRPr="003409C9">
        <w:rPr>
          <w:noProof/>
        </w:rPr>
        <w:t xml:space="preserve"> i Kom</w:t>
      </w:r>
      <w:r w:rsidRPr="003409C9">
        <w:rPr>
          <w:noProof/>
        </w:rPr>
        <w:t>isję</w:t>
      </w:r>
      <w:r w:rsidR="003409C9" w:rsidRPr="003409C9">
        <w:rPr>
          <w:noProof/>
        </w:rPr>
        <w:t xml:space="preserve"> o tak</w:t>
      </w:r>
      <w:r w:rsidRPr="003409C9">
        <w:rPr>
          <w:noProof/>
        </w:rPr>
        <w:t>im braku technicznej możliwości korzystania</w:t>
      </w:r>
      <w:r w:rsidR="003409C9" w:rsidRPr="003409C9">
        <w:rPr>
          <w:noProof/>
        </w:rPr>
        <w:t xml:space="preserve"> z rou</w:t>
      </w:r>
      <w:r w:rsidRPr="003409C9">
        <w:rPr>
          <w:noProof/>
        </w:rPr>
        <w:t>tera</w:t>
      </w:r>
      <w:r w:rsidR="003409C9" w:rsidRPr="003409C9">
        <w:rPr>
          <w:noProof/>
        </w:rPr>
        <w:t>. W tak</w:t>
      </w:r>
      <w:r w:rsidRPr="003409C9">
        <w:rPr>
          <w:noProof/>
        </w:rPr>
        <w:t>im przypadku dane państwo członkowskie niezwłocznie podejmuje działania mające na celu usunięcie braku technicznej możliwości korzystania</w:t>
      </w:r>
      <w:r w:rsidR="003409C9" w:rsidRPr="003409C9">
        <w:rPr>
          <w:noProof/>
        </w:rPr>
        <w:t xml:space="preserve"> z rou</w:t>
      </w:r>
      <w:r w:rsidRPr="003409C9">
        <w:rPr>
          <w:noProof/>
        </w:rPr>
        <w:t>tera</w:t>
      </w:r>
      <w:r w:rsidR="003409C9" w:rsidRPr="003409C9">
        <w:rPr>
          <w:noProof/>
        </w:rPr>
        <w:t xml:space="preserve"> i nie</w:t>
      </w:r>
      <w:r w:rsidRPr="003409C9">
        <w:rPr>
          <w:noProof/>
        </w:rPr>
        <w:t>zwłocznie powiadamia wspomniane podmioty</w:t>
      </w:r>
      <w:r w:rsidR="003409C9" w:rsidRPr="003409C9">
        <w:rPr>
          <w:noProof/>
        </w:rPr>
        <w:t xml:space="preserve"> o sku</w:t>
      </w:r>
      <w:r w:rsidRPr="003409C9">
        <w:rPr>
          <w:noProof/>
        </w:rPr>
        <w:t>tecznym rozwiązaniu tego problemu.</w:t>
      </w:r>
    </w:p>
    <w:p w:rsidR="00DA4355" w:rsidRPr="003409C9" w:rsidRDefault="007D40FD" w:rsidP="00132AF4">
      <w:pPr>
        <w:pStyle w:val="Text1"/>
        <w:rPr>
          <w:noProof/>
        </w:rPr>
      </w:pPr>
      <w:r w:rsidRPr="003409C9">
        <w:rPr>
          <w:noProof/>
        </w:rPr>
        <w:t>W okresie pomiędzy tymi powiadomieniami art.</w:t>
      </w:r>
      <w:r w:rsidR="003409C9" w:rsidRPr="003409C9">
        <w:rPr>
          <w:noProof/>
        </w:rPr>
        <w:t> </w:t>
      </w:r>
      <w:r w:rsidRPr="003409C9">
        <w:rPr>
          <w:noProof/>
        </w:rPr>
        <w:t>6 ust.</w:t>
      </w:r>
      <w:r w:rsidR="003409C9" w:rsidRPr="003409C9">
        <w:rPr>
          <w:noProof/>
        </w:rPr>
        <w:t> </w:t>
      </w:r>
      <w:r w:rsidRPr="003409C9">
        <w:rPr>
          <w:noProof/>
        </w:rPr>
        <w:t>1 nie ma zastosowania</w:t>
      </w:r>
      <w:r w:rsidR="003409C9" w:rsidRPr="003409C9">
        <w:rPr>
          <w:noProof/>
        </w:rPr>
        <w:t xml:space="preserve"> w zak</w:t>
      </w:r>
      <w:r w:rsidRPr="003409C9">
        <w:rPr>
          <w:noProof/>
        </w:rPr>
        <w:t>resie,</w:t>
      </w:r>
      <w:r w:rsidR="003409C9" w:rsidRPr="003409C9">
        <w:rPr>
          <w:noProof/>
        </w:rPr>
        <w:t xml:space="preserve"> w jak</w:t>
      </w:r>
      <w:r w:rsidRPr="003409C9">
        <w:rPr>
          <w:noProof/>
        </w:rPr>
        <w:t>im brak technicznej możliwości korzystania</w:t>
      </w:r>
      <w:r w:rsidR="003409C9" w:rsidRPr="003409C9">
        <w:rPr>
          <w:noProof/>
        </w:rPr>
        <w:t xml:space="preserve"> z rou</w:t>
      </w:r>
      <w:r w:rsidRPr="003409C9">
        <w:rPr>
          <w:noProof/>
        </w:rPr>
        <w:t>tera uniemożliwia przekazywanie danych API do routera</w:t>
      </w:r>
      <w:r w:rsidR="003409C9" w:rsidRPr="003409C9">
        <w:rPr>
          <w:noProof/>
        </w:rPr>
        <w:t>. W tak</w:t>
      </w:r>
      <w:r w:rsidRPr="003409C9">
        <w:rPr>
          <w:noProof/>
        </w:rPr>
        <w:t>im przypadku art.</w:t>
      </w:r>
      <w:r w:rsidR="003409C9" w:rsidRPr="003409C9">
        <w:rPr>
          <w:noProof/>
        </w:rPr>
        <w:t> </w:t>
      </w:r>
      <w:r w:rsidRPr="003409C9">
        <w:rPr>
          <w:noProof/>
        </w:rPr>
        <w:t>4 ust.</w:t>
      </w:r>
      <w:r w:rsidR="003409C9" w:rsidRPr="003409C9">
        <w:rPr>
          <w:noProof/>
        </w:rPr>
        <w:t> </w:t>
      </w:r>
      <w:r w:rsidRPr="003409C9">
        <w:rPr>
          <w:noProof/>
        </w:rPr>
        <w:t>1</w:t>
      </w:r>
      <w:r w:rsidR="003409C9" w:rsidRPr="003409C9">
        <w:rPr>
          <w:noProof/>
        </w:rPr>
        <w:t xml:space="preserve"> i art</w:t>
      </w:r>
      <w:r w:rsidRPr="003409C9">
        <w:rPr>
          <w:noProof/>
        </w:rPr>
        <w:t>.</w:t>
      </w:r>
      <w:r w:rsidR="003409C9" w:rsidRPr="003409C9">
        <w:rPr>
          <w:noProof/>
        </w:rPr>
        <w:t> </w:t>
      </w:r>
      <w:r w:rsidRPr="003409C9">
        <w:rPr>
          <w:noProof/>
        </w:rPr>
        <w:t>8 ust.</w:t>
      </w:r>
      <w:r w:rsidR="003409C9" w:rsidRPr="003409C9">
        <w:rPr>
          <w:noProof/>
        </w:rPr>
        <w:t> </w:t>
      </w:r>
      <w:r w:rsidRPr="003409C9">
        <w:rPr>
          <w:noProof/>
        </w:rPr>
        <w:t>1 również nie mają zastosowania do odnośnych danych API</w:t>
      </w:r>
      <w:r w:rsidR="003409C9" w:rsidRPr="003409C9">
        <w:rPr>
          <w:noProof/>
        </w:rPr>
        <w:t xml:space="preserve"> w tym</w:t>
      </w:r>
      <w:r w:rsidRPr="003409C9">
        <w:rPr>
          <w:noProof/>
        </w:rPr>
        <w:t xml:space="preserve"> okresie.</w:t>
      </w:r>
    </w:p>
    <w:p w:rsidR="00250117" w:rsidRPr="003409C9" w:rsidRDefault="009475BC" w:rsidP="009475BC">
      <w:pPr>
        <w:pStyle w:val="ManualNumPar1"/>
        <w:rPr>
          <w:noProof/>
        </w:rPr>
      </w:pPr>
      <w:r w:rsidRPr="003409C9">
        <w:rPr>
          <w:noProof/>
        </w:rPr>
        <w:t>3.</w:t>
      </w:r>
      <w:r w:rsidRPr="003409C9">
        <w:rPr>
          <w:noProof/>
        </w:rPr>
        <w:tab/>
        <w:t>W przypadku gdy korzystanie</w:t>
      </w:r>
      <w:r w:rsidR="003409C9" w:rsidRPr="003409C9">
        <w:rPr>
          <w:noProof/>
        </w:rPr>
        <w:t xml:space="preserve"> z rou</w:t>
      </w:r>
      <w:r w:rsidRPr="003409C9">
        <w:rPr>
          <w:noProof/>
        </w:rPr>
        <w:t>tera</w:t>
      </w:r>
      <w:r w:rsidR="003409C9" w:rsidRPr="003409C9">
        <w:rPr>
          <w:noProof/>
        </w:rPr>
        <w:t xml:space="preserve"> w cel</w:t>
      </w:r>
      <w:r w:rsidRPr="003409C9">
        <w:rPr>
          <w:noProof/>
        </w:rPr>
        <w:t>u przekazywania danych API nie jest technicznie możliwe</w:t>
      </w:r>
      <w:r w:rsidR="003409C9" w:rsidRPr="003409C9">
        <w:rPr>
          <w:noProof/>
        </w:rPr>
        <w:t xml:space="preserve"> z pow</w:t>
      </w:r>
      <w:r w:rsidRPr="003409C9">
        <w:rPr>
          <w:noProof/>
        </w:rPr>
        <w:t>odu awarii systemów lub infrastruktury przewoźnika lotniczego,</w:t>
      </w:r>
      <w:r w:rsidR="003409C9" w:rsidRPr="003409C9">
        <w:rPr>
          <w:noProof/>
        </w:rPr>
        <w:t xml:space="preserve"> o któ</w:t>
      </w:r>
      <w:r w:rsidRPr="003409C9">
        <w:rPr>
          <w:noProof/>
        </w:rPr>
        <w:t>rych mowa</w:t>
      </w:r>
      <w:r w:rsidR="003409C9" w:rsidRPr="003409C9">
        <w:rPr>
          <w:noProof/>
        </w:rPr>
        <w:t xml:space="preserve"> w art</w:t>
      </w:r>
      <w:r w:rsidRPr="003409C9">
        <w:rPr>
          <w:noProof/>
        </w:rPr>
        <w:t>.</w:t>
      </w:r>
      <w:r w:rsidR="003409C9" w:rsidRPr="003409C9">
        <w:rPr>
          <w:noProof/>
        </w:rPr>
        <w:t> </w:t>
      </w:r>
      <w:r w:rsidRPr="003409C9">
        <w:rPr>
          <w:noProof/>
        </w:rPr>
        <w:t>21, ten przewoźnik lotniczy niezwłocznie</w:t>
      </w:r>
      <w:r w:rsidR="003409C9" w:rsidRPr="003409C9">
        <w:rPr>
          <w:noProof/>
        </w:rPr>
        <w:t xml:space="preserve"> i w spo</w:t>
      </w:r>
      <w:r w:rsidRPr="003409C9">
        <w:rPr>
          <w:noProof/>
        </w:rPr>
        <w:t>sób zautomatyzowany powiadamia właściwe służby graniczne, eu-LISA</w:t>
      </w:r>
      <w:r w:rsidR="003409C9" w:rsidRPr="003409C9">
        <w:rPr>
          <w:noProof/>
        </w:rPr>
        <w:t xml:space="preserve"> i Kom</w:t>
      </w:r>
      <w:r w:rsidRPr="003409C9">
        <w:rPr>
          <w:noProof/>
        </w:rPr>
        <w:t>isję</w:t>
      </w:r>
      <w:r w:rsidR="003409C9" w:rsidRPr="003409C9">
        <w:rPr>
          <w:noProof/>
        </w:rPr>
        <w:t xml:space="preserve"> o tak</w:t>
      </w:r>
      <w:r w:rsidRPr="003409C9">
        <w:rPr>
          <w:noProof/>
        </w:rPr>
        <w:t>im braku technicznej możliwości korzystania</w:t>
      </w:r>
      <w:r w:rsidR="003409C9" w:rsidRPr="003409C9">
        <w:rPr>
          <w:noProof/>
        </w:rPr>
        <w:t xml:space="preserve"> z rou</w:t>
      </w:r>
      <w:r w:rsidRPr="003409C9">
        <w:rPr>
          <w:noProof/>
        </w:rPr>
        <w:t>tera</w:t>
      </w:r>
      <w:r w:rsidR="003409C9" w:rsidRPr="003409C9">
        <w:rPr>
          <w:noProof/>
        </w:rPr>
        <w:t>. W tak</w:t>
      </w:r>
      <w:r w:rsidRPr="003409C9">
        <w:rPr>
          <w:noProof/>
        </w:rPr>
        <w:t>im przypadku dany przewoźnik lotniczy niezwłocznie podejmuje działania mające na celu usunięcie braku technicznej możliwości korzystania</w:t>
      </w:r>
      <w:r w:rsidR="003409C9" w:rsidRPr="003409C9">
        <w:rPr>
          <w:noProof/>
        </w:rPr>
        <w:t xml:space="preserve"> z rou</w:t>
      </w:r>
      <w:r w:rsidRPr="003409C9">
        <w:rPr>
          <w:noProof/>
        </w:rPr>
        <w:t>tera</w:t>
      </w:r>
      <w:r w:rsidR="003409C9" w:rsidRPr="003409C9">
        <w:rPr>
          <w:noProof/>
        </w:rPr>
        <w:t xml:space="preserve"> i nie</w:t>
      </w:r>
      <w:r w:rsidRPr="003409C9">
        <w:rPr>
          <w:noProof/>
        </w:rPr>
        <w:t>zwłocznie powiadamia wspomniane podmioty</w:t>
      </w:r>
      <w:r w:rsidR="003409C9" w:rsidRPr="003409C9">
        <w:rPr>
          <w:noProof/>
        </w:rPr>
        <w:t xml:space="preserve"> o sku</w:t>
      </w:r>
      <w:r w:rsidRPr="003409C9">
        <w:rPr>
          <w:noProof/>
        </w:rPr>
        <w:t>tecznym rozwiązaniu tego problemu.</w:t>
      </w:r>
    </w:p>
    <w:p w:rsidR="007D40FD" w:rsidRPr="003409C9" w:rsidRDefault="007D40FD" w:rsidP="00132AF4">
      <w:pPr>
        <w:pStyle w:val="Text1"/>
        <w:rPr>
          <w:noProof/>
        </w:rPr>
      </w:pPr>
      <w:r w:rsidRPr="003409C9">
        <w:rPr>
          <w:noProof/>
        </w:rPr>
        <w:t>W okresie pomiędzy tymi powiadomieniami art.</w:t>
      </w:r>
      <w:r w:rsidR="003409C9" w:rsidRPr="003409C9">
        <w:rPr>
          <w:noProof/>
        </w:rPr>
        <w:t> </w:t>
      </w:r>
      <w:r w:rsidRPr="003409C9">
        <w:rPr>
          <w:noProof/>
        </w:rPr>
        <w:t>6 ust.</w:t>
      </w:r>
      <w:r w:rsidR="003409C9" w:rsidRPr="003409C9">
        <w:rPr>
          <w:noProof/>
        </w:rPr>
        <w:t> </w:t>
      </w:r>
      <w:r w:rsidRPr="003409C9">
        <w:rPr>
          <w:noProof/>
        </w:rPr>
        <w:t>1 nie ma zastosowania</w:t>
      </w:r>
      <w:r w:rsidR="003409C9" w:rsidRPr="003409C9">
        <w:rPr>
          <w:noProof/>
        </w:rPr>
        <w:t xml:space="preserve"> w zak</w:t>
      </w:r>
      <w:r w:rsidRPr="003409C9">
        <w:rPr>
          <w:noProof/>
        </w:rPr>
        <w:t>resie,</w:t>
      </w:r>
      <w:r w:rsidR="003409C9" w:rsidRPr="003409C9">
        <w:rPr>
          <w:noProof/>
        </w:rPr>
        <w:t xml:space="preserve"> w jak</w:t>
      </w:r>
      <w:r w:rsidRPr="003409C9">
        <w:rPr>
          <w:noProof/>
        </w:rPr>
        <w:t>im brak technicznej możliwości korzystania</w:t>
      </w:r>
      <w:r w:rsidR="003409C9" w:rsidRPr="003409C9">
        <w:rPr>
          <w:noProof/>
        </w:rPr>
        <w:t xml:space="preserve"> z rou</w:t>
      </w:r>
      <w:r w:rsidRPr="003409C9">
        <w:rPr>
          <w:noProof/>
        </w:rPr>
        <w:t>tera uniemożliwia przekazywanie danych API do routera</w:t>
      </w:r>
      <w:r w:rsidR="003409C9" w:rsidRPr="003409C9">
        <w:rPr>
          <w:noProof/>
        </w:rPr>
        <w:t>. W tak</w:t>
      </w:r>
      <w:r w:rsidRPr="003409C9">
        <w:rPr>
          <w:noProof/>
        </w:rPr>
        <w:t>im przypadku art.</w:t>
      </w:r>
      <w:r w:rsidR="003409C9" w:rsidRPr="003409C9">
        <w:rPr>
          <w:noProof/>
        </w:rPr>
        <w:t> </w:t>
      </w:r>
      <w:r w:rsidRPr="003409C9">
        <w:rPr>
          <w:noProof/>
        </w:rPr>
        <w:t>4 ust.</w:t>
      </w:r>
      <w:r w:rsidR="003409C9" w:rsidRPr="003409C9">
        <w:rPr>
          <w:noProof/>
        </w:rPr>
        <w:t> </w:t>
      </w:r>
      <w:r w:rsidRPr="003409C9">
        <w:rPr>
          <w:noProof/>
        </w:rPr>
        <w:t>1</w:t>
      </w:r>
      <w:r w:rsidR="003409C9" w:rsidRPr="003409C9">
        <w:rPr>
          <w:noProof/>
        </w:rPr>
        <w:t xml:space="preserve"> i art</w:t>
      </w:r>
      <w:r w:rsidRPr="003409C9">
        <w:rPr>
          <w:noProof/>
        </w:rPr>
        <w:t>.</w:t>
      </w:r>
      <w:r w:rsidR="003409C9" w:rsidRPr="003409C9">
        <w:rPr>
          <w:noProof/>
        </w:rPr>
        <w:t> </w:t>
      </w:r>
      <w:r w:rsidRPr="003409C9">
        <w:rPr>
          <w:noProof/>
        </w:rPr>
        <w:t>8 ust.</w:t>
      </w:r>
      <w:r w:rsidR="003409C9" w:rsidRPr="003409C9">
        <w:rPr>
          <w:noProof/>
        </w:rPr>
        <w:t> </w:t>
      </w:r>
      <w:r w:rsidRPr="003409C9">
        <w:rPr>
          <w:noProof/>
        </w:rPr>
        <w:t>1 również nie mają zastosowania do odnośnych danych API</w:t>
      </w:r>
      <w:r w:rsidR="003409C9" w:rsidRPr="003409C9">
        <w:rPr>
          <w:noProof/>
        </w:rPr>
        <w:t xml:space="preserve"> w tym</w:t>
      </w:r>
      <w:r w:rsidRPr="003409C9">
        <w:rPr>
          <w:noProof/>
        </w:rPr>
        <w:t xml:space="preserve"> okresie.</w:t>
      </w:r>
    </w:p>
    <w:p w:rsidR="00E6304F" w:rsidRPr="003409C9" w:rsidRDefault="00E6304F" w:rsidP="00132AF4">
      <w:pPr>
        <w:pStyle w:val="Text1"/>
        <w:rPr>
          <w:noProof/>
        </w:rPr>
      </w:pPr>
      <w:r w:rsidRPr="003409C9">
        <w:rPr>
          <w:noProof/>
        </w:rPr>
        <w:t>Po skutecznym usunięciu braku technicznej możliwości korzystania</w:t>
      </w:r>
      <w:r w:rsidR="003409C9" w:rsidRPr="003409C9">
        <w:rPr>
          <w:noProof/>
        </w:rPr>
        <w:t xml:space="preserve"> z rou</w:t>
      </w:r>
      <w:r w:rsidRPr="003409C9">
        <w:rPr>
          <w:noProof/>
        </w:rPr>
        <w:t>tera dany przewoźnik lotniczy niezwłocznie przedkłada właściwemu krajowemu organowi nadzorczemu,</w:t>
      </w:r>
      <w:r w:rsidR="003409C9" w:rsidRPr="003409C9">
        <w:rPr>
          <w:noProof/>
        </w:rPr>
        <w:t xml:space="preserve"> o któ</w:t>
      </w:r>
      <w:r w:rsidRPr="003409C9">
        <w:rPr>
          <w:noProof/>
        </w:rPr>
        <w:t>rym mowa</w:t>
      </w:r>
      <w:r w:rsidR="003409C9" w:rsidRPr="003409C9">
        <w:rPr>
          <w:noProof/>
        </w:rPr>
        <w:t xml:space="preserve"> w art</w:t>
      </w:r>
      <w:r w:rsidRPr="003409C9">
        <w:rPr>
          <w:noProof/>
        </w:rPr>
        <w:t>.</w:t>
      </w:r>
      <w:r w:rsidR="003409C9" w:rsidRPr="003409C9">
        <w:rPr>
          <w:noProof/>
        </w:rPr>
        <w:t> </w:t>
      </w:r>
      <w:r w:rsidRPr="003409C9">
        <w:rPr>
          <w:noProof/>
        </w:rPr>
        <w:t>29, sprawozdanie zawierające wszystkie niezbędne informacje na temat tego braku technicznej możliwości,</w:t>
      </w:r>
      <w:r w:rsidR="003409C9" w:rsidRPr="003409C9">
        <w:rPr>
          <w:noProof/>
        </w:rPr>
        <w:t xml:space="preserve"> w tym</w:t>
      </w:r>
      <w:r w:rsidRPr="003409C9">
        <w:rPr>
          <w:noProof/>
        </w:rPr>
        <w:t xml:space="preserve"> jego przyczyny, zakres</w:t>
      </w:r>
      <w:r w:rsidR="003409C9" w:rsidRPr="003409C9">
        <w:rPr>
          <w:noProof/>
        </w:rPr>
        <w:t xml:space="preserve"> i kon</w:t>
      </w:r>
      <w:r w:rsidRPr="003409C9">
        <w:rPr>
          <w:noProof/>
        </w:rPr>
        <w:t>sekwencje,</w:t>
      </w:r>
      <w:r w:rsidR="003409C9" w:rsidRPr="003409C9">
        <w:rPr>
          <w:noProof/>
        </w:rPr>
        <w:t xml:space="preserve"> a tak</w:t>
      </w:r>
      <w:r w:rsidRPr="003409C9">
        <w:rPr>
          <w:noProof/>
        </w:rPr>
        <w:t>że środki wprowadzone</w:t>
      </w:r>
      <w:r w:rsidR="003409C9" w:rsidRPr="003409C9">
        <w:rPr>
          <w:noProof/>
        </w:rPr>
        <w:t xml:space="preserve"> w cel</w:t>
      </w:r>
      <w:r w:rsidRPr="003409C9">
        <w:rPr>
          <w:noProof/>
        </w:rPr>
        <w:t>u rozwiązania tego problemu.</w:t>
      </w:r>
    </w:p>
    <w:p w:rsidR="00250117" w:rsidRPr="003409C9" w:rsidRDefault="00250117" w:rsidP="00250117">
      <w:pPr>
        <w:pStyle w:val="Titrearticle"/>
        <w:rPr>
          <w:i w:val="0"/>
          <w:noProof/>
        </w:rPr>
      </w:pPr>
      <w:r w:rsidRPr="003409C9">
        <w:rPr>
          <w:i w:val="0"/>
          <w:noProof/>
        </w:rPr>
        <w:t>ROZDZIAŁ 4</w:t>
      </w:r>
    </w:p>
    <w:p w:rsidR="00250117" w:rsidRPr="00BB07AF" w:rsidRDefault="00250117" w:rsidP="00250117">
      <w:pPr>
        <w:jc w:val="center"/>
        <w:rPr>
          <w:b/>
          <w:noProof/>
        </w:rPr>
      </w:pPr>
      <w:r w:rsidRPr="00BB07AF">
        <w:rPr>
          <w:b/>
          <w:noProof/>
        </w:rPr>
        <w:t>PRZEPISY SZCZEGÓŁOWE DOTYCZĄCE OCHRONY DANYCH OSOBOWYCH</w:t>
      </w:r>
    </w:p>
    <w:p w:rsidR="00EA711B" w:rsidRPr="00BB07AF" w:rsidRDefault="00EA711B" w:rsidP="00250117">
      <w:pPr>
        <w:pStyle w:val="Titrearticle"/>
        <w:rPr>
          <w:noProof/>
        </w:rPr>
      </w:pPr>
      <w:r w:rsidRPr="00BB07AF">
        <w:rPr>
          <w:noProof/>
        </w:rPr>
        <w:t>Artykuł 15</w:t>
      </w:r>
    </w:p>
    <w:p w:rsidR="00EA711B" w:rsidRPr="00BB07AF" w:rsidRDefault="00DA4355" w:rsidP="00EA711B">
      <w:pPr>
        <w:jc w:val="center"/>
        <w:rPr>
          <w:b/>
          <w:noProof/>
        </w:rPr>
      </w:pPr>
      <w:bookmarkStart w:id="38" w:name="_Hlk120855634"/>
      <w:r w:rsidRPr="00BB07AF">
        <w:rPr>
          <w:b/>
          <w:noProof/>
        </w:rPr>
        <w:t>Administratorzy danych osobowych</w:t>
      </w:r>
    </w:p>
    <w:bookmarkEnd w:id="38"/>
    <w:p w:rsidR="00AB140D" w:rsidRPr="003409C9" w:rsidRDefault="00AB140D" w:rsidP="00AB140D">
      <w:pPr>
        <w:rPr>
          <w:noProof/>
        </w:rPr>
      </w:pPr>
      <w:r w:rsidRPr="003409C9">
        <w:rPr>
          <w:noProof/>
        </w:rPr>
        <w:t>Właściwe służby graniczne są administratorami</w:t>
      </w:r>
      <w:r w:rsidR="003409C9" w:rsidRPr="003409C9">
        <w:rPr>
          <w:noProof/>
        </w:rPr>
        <w:t xml:space="preserve"> w roz</w:t>
      </w:r>
      <w:r w:rsidRPr="003409C9">
        <w:rPr>
          <w:noProof/>
        </w:rPr>
        <w:t>umieniu art.</w:t>
      </w:r>
      <w:r w:rsidR="003409C9" w:rsidRPr="003409C9">
        <w:rPr>
          <w:noProof/>
        </w:rPr>
        <w:t> </w:t>
      </w:r>
      <w:r w:rsidRPr="003409C9">
        <w:rPr>
          <w:noProof/>
        </w:rPr>
        <w:t>4 pkt</w:t>
      </w:r>
      <w:r w:rsidR="003409C9" w:rsidRPr="003409C9">
        <w:rPr>
          <w:noProof/>
        </w:rPr>
        <w:t> </w:t>
      </w:r>
      <w:r w:rsidRPr="003409C9">
        <w:rPr>
          <w:noProof/>
        </w:rPr>
        <w:t>7 rozporządzenia (UE) 2016/679</w:t>
      </w:r>
      <w:r w:rsidR="003409C9" w:rsidRPr="003409C9">
        <w:rPr>
          <w:noProof/>
        </w:rPr>
        <w:t xml:space="preserve"> w odn</w:t>
      </w:r>
      <w:r w:rsidRPr="003409C9">
        <w:rPr>
          <w:noProof/>
        </w:rPr>
        <w:t>iesieniu do przetwarzania danych API stanowiących dane osobowe przekazanych za pośrednictwem routera,</w:t>
      </w:r>
      <w:r w:rsidR="003409C9" w:rsidRPr="003409C9">
        <w:rPr>
          <w:noProof/>
        </w:rPr>
        <w:t xml:space="preserve"> w tym</w:t>
      </w:r>
      <w:r w:rsidRPr="003409C9">
        <w:rPr>
          <w:noProof/>
        </w:rPr>
        <w:t xml:space="preserve"> przekazywania</w:t>
      </w:r>
      <w:r w:rsidR="003409C9" w:rsidRPr="003409C9">
        <w:rPr>
          <w:noProof/>
        </w:rPr>
        <w:t xml:space="preserve"> i prz</w:t>
      </w:r>
      <w:r w:rsidRPr="003409C9">
        <w:rPr>
          <w:noProof/>
        </w:rPr>
        <w:t>echowywania tych danych</w:t>
      </w:r>
      <w:r w:rsidR="003409C9" w:rsidRPr="003409C9">
        <w:rPr>
          <w:noProof/>
        </w:rPr>
        <w:t xml:space="preserve"> w rou</w:t>
      </w:r>
      <w:r w:rsidRPr="003409C9">
        <w:rPr>
          <w:noProof/>
        </w:rPr>
        <w:t>terze ze względów technicznych,</w:t>
      </w:r>
      <w:r w:rsidR="003409C9" w:rsidRPr="003409C9">
        <w:rPr>
          <w:noProof/>
        </w:rPr>
        <w:t xml:space="preserve"> a tak</w:t>
      </w:r>
      <w:r w:rsidRPr="003409C9">
        <w:rPr>
          <w:noProof/>
        </w:rPr>
        <w:t>że</w:t>
      </w:r>
      <w:r w:rsidR="003409C9" w:rsidRPr="003409C9">
        <w:rPr>
          <w:noProof/>
        </w:rPr>
        <w:t xml:space="preserve"> w odn</w:t>
      </w:r>
      <w:r w:rsidRPr="003409C9">
        <w:rPr>
          <w:noProof/>
        </w:rPr>
        <w:t>iesieniu do przetwarzania przez nie danych API stanowiących dane osobowe,</w:t>
      </w:r>
      <w:r w:rsidR="003409C9" w:rsidRPr="003409C9">
        <w:rPr>
          <w:noProof/>
        </w:rPr>
        <w:t xml:space="preserve"> o któ</w:t>
      </w:r>
      <w:r w:rsidRPr="003409C9">
        <w:rPr>
          <w:noProof/>
        </w:rPr>
        <w:t>rych mowa</w:t>
      </w:r>
      <w:r w:rsidR="003409C9" w:rsidRPr="003409C9">
        <w:rPr>
          <w:noProof/>
        </w:rPr>
        <w:t xml:space="preserve"> w art</w:t>
      </w:r>
      <w:r w:rsidRPr="003409C9">
        <w:rPr>
          <w:noProof/>
        </w:rPr>
        <w:t>.</w:t>
      </w:r>
      <w:r w:rsidR="003409C9" w:rsidRPr="003409C9">
        <w:rPr>
          <w:noProof/>
        </w:rPr>
        <w:t> </w:t>
      </w:r>
      <w:r w:rsidRPr="003409C9">
        <w:rPr>
          <w:noProof/>
        </w:rPr>
        <w:t xml:space="preserve">7 niniejszego rozporządzenia. </w:t>
      </w:r>
    </w:p>
    <w:p w:rsidR="00AB140D" w:rsidRPr="003409C9" w:rsidRDefault="00AB140D" w:rsidP="00AB140D">
      <w:pPr>
        <w:rPr>
          <w:noProof/>
        </w:rPr>
      </w:pPr>
      <w:r w:rsidRPr="003409C9">
        <w:rPr>
          <w:noProof/>
        </w:rPr>
        <w:t>Przewoźnicy lotniczy są administratorami</w:t>
      </w:r>
      <w:r w:rsidR="003409C9" w:rsidRPr="003409C9">
        <w:rPr>
          <w:noProof/>
        </w:rPr>
        <w:t xml:space="preserve"> w roz</w:t>
      </w:r>
      <w:r w:rsidRPr="003409C9">
        <w:rPr>
          <w:noProof/>
        </w:rPr>
        <w:t>umieniu art.</w:t>
      </w:r>
      <w:r w:rsidR="003409C9" w:rsidRPr="003409C9">
        <w:rPr>
          <w:noProof/>
        </w:rPr>
        <w:t> </w:t>
      </w:r>
      <w:r w:rsidRPr="003409C9">
        <w:rPr>
          <w:noProof/>
        </w:rPr>
        <w:t>4 pkt</w:t>
      </w:r>
      <w:r w:rsidR="003409C9" w:rsidRPr="003409C9">
        <w:rPr>
          <w:noProof/>
        </w:rPr>
        <w:t> </w:t>
      </w:r>
      <w:r w:rsidRPr="003409C9">
        <w:rPr>
          <w:noProof/>
        </w:rPr>
        <w:t>7 rozporządzenia (UE) 2016/679</w:t>
      </w:r>
      <w:r w:rsidR="003409C9" w:rsidRPr="003409C9">
        <w:rPr>
          <w:noProof/>
        </w:rPr>
        <w:t xml:space="preserve"> w odn</w:t>
      </w:r>
      <w:r w:rsidRPr="003409C9">
        <w:rPr>
          <w:noProof/>
        </w:rPr>
        <w:t>iesieniu do przetwarzania danych API stanowiących dane osobowe za pośrednictwem routera</w:t>
      </w:r>
      <w:r w:rsidR="003409C9" w:rsidRPr="003409C9">
        <w:rPr>
          <w:noProof/>
        </w:rPr>
        <w:t xml:space="preserve"> w odn</w:t>
      </w:r>
      <w:r w:rsidRPr="003409C9">
        <w:rPr>
          <w:noProof/>
        </w:rPr>
        <w:t>iesieniu do gromadzenia tych danych</w:t>
      </w:r>
      <w:r w:rsidR="003409C9" w:rsidRPr="003409C9">
        <w:rPr>
          <w:noProof/>
        </w:rPr>
        <w:t xml:space="preserve"> i prz</w:t>
      </w:r>
      <w:r w:rsidRPr="003409C9">
        <w:rPr>
          <w:noProof/>
        </w:rPr>
        <w:t>ekazywania ich do routera na podstawie niniejszego rozporządzenia.</w:t>
      </w:r>
    </w:p>
    <w:p w:rsidR="00250117" w:rsidRPr="00BB07AF" w:rsidRDefault="00250117" w:rsidP="00250117">
      <w:pPr>
        <w:pStyle w:val="Titrearticle"/>
        <w:rPr>
          <w:noProof/>
        </w:rPr>
      </w:pPr>
      <w:r w:rsidRPr="00BB07AF">
        <w:rPr>
          <w:noProof/>
        </w:rPr>
        <w:t>Artykuł 16</w:t>
      </w:r>
    </w:p>
    <w:p w:rsidR="00250117" w:rsidRPr="00BB07AF" w:rsidRDefault="00E6304F" w:rsidP="00250117">
      <w:pPr>
        <w:jc w:val="center"/>
        <w:rPr>
          <w:b/>
          <w:noProof/>
        </w:rPr>
      </w:pPr>
      <w:r w:rsidRPr="00BB07AF">
        <w:rPr>
          <w:b/>
          <w:noProof/>
        </w:rPr>
        <w:t>Podmiot przetwarzający dane osobowe</w:t>
      </w:r>
    </w:p>
    <w:p w:rsidR="00250117" w:rsidRPr="003409C9" w:rsidRDefault="007B5370" w:rsidP="00250117">
      <w:pPr>
        <w:rPr>
          <w:noProof/>
        </w:rPr>
      </w:pPr>
      <w:r w:rsidRPr="003409C9">
        <w:rPr>
          <w:noProof/>
        </w:rPr>
        <w:t>eu-LISA jest podmiotem przetwarzającym</w:t>
      </w:r>
      <w:r w:rsidR="003409C9" w:rsidRPr="003409C9">
        <w:rPr>
          <w:noProof/>
        </w:rPr>
        <w:t xml:space="preserve"> w roz</w:t>
      </w:r>
      <w:r w:rsidRPr="003409C9">
        <w:rPr>
          <w:noProof/>
        </w:rPr>
        <w:t>umieniu art.</w:t>
      </w:r>
      <w:r w:rsidR="003409C9" w:rsidRPr="003409C9">
        <w:rPr>
          <w:noProof/>
        </w:rPr>
        <w:t> </w:t>
      </w:r>
      <w:r w:rsidRPr="003409C9">
        <w:rPr>
          <w:noProof/>
        </w:rPr>
        <w:t>3 pkt</w:t>
      </w:r>
      <w:r w:rsidR="003409C9" w:rsidRPr="003409C9">
        <w:rPr>
          <w:noProof/>
        </w:rPr>
        <w:t> </w:t>
      </w:r>
      <w:r w:rsidRPr="003409C9">
        <w:rPr>
          <w:noProof/>
        </w:rPr>
        <w:t>12 rozporządzenia (UE) 2018/1725</w:t>
      </w:r>
      <w:r w:rsidR="003409C9" w:rsidRPr="003409C9">
        <w:rPr>
          <w:noProof/>
        </w:rPr>
        <w:t xml:space="preserve"> w odn</w:t>
      </w:r>
      <w:r w:rsidRPr="003409C9">
        <w:rPr>
          <w:noProof/>
        </w:rPr>
        <w:t>iesieniu do przetwarzania danych API stanowiących dane osobowe za pośrednictwem routera na podstawie niniejszego rozporządzenia</w:t>
      </w:r>
      <w:r w:rsidR="003409C9" w:rsidRPr="003409C9">
        <w:rPr>
          <w:noProof/>
        </w:rPr>
        <w:t xml:space="preserve"> i roz</w:t>
      </w:r>
      <w:r w:rsidRPr="003409C9">
        <w:rPr>
          <w:noProof/>
        </w:rPr>
        <w:t>porządzenia (UE) [w sprawie egzekwowania przepisów dotyczących API].</w:t>
      </w:r>
    </w:p>
    <w:p w:rsidR="00250117" w:rsidRPr="00BB07AF" w:rsidRDefault="00250117" w:rsidP="00250117">
      <w:pPr>
        <w:pStyle w:val="Titrearticle"/>
        <w:rPr>
          <w:noProof/>
        </w:rPr>
      </w:pPr>
      <w:r w:rsidRPr="00BB07AF">
        <w:rPr>
          <w:noProof/>
        </w:rPr>
        <w:t>Artykuł 17</w:t>
      </w:r>
    </w:p>
    <w:p w:rsidR="00250117" w:rsidRPr="00BB07AF" w:rsidRDefault="00250117" w:rsidP="00250117">
      <w:pPr>
        <w:jc w:val="center"/>
        <w:rPr>
          <w:b/>
          <w:noProof/>
        </w:rPr>
      </w:pPr>
      <w:r w:rsidRPr="00BB07AF">
        <w:rPr>
          <w:b/>
          <w:noProof/>
        </w:rPr>
        <w:t>Bezpieczeństwo</w:t>
      </w:r>
    </w:p>
    <w:p w:rsidR="00DA4355" w:rsidRPr="003409C9" w:rsidRDefault="009475BC" w:rsidP="009475BC">
      <w:pPr>
        <w:pStyle w:val="ManualNumPar1"/>
        <w:rPr>
          <w:noProof/>
        </w:rPr>
      </w:pPr>
      <w:r w:rsidRPr="003409C9">
        <w:rPr>
          <w:noProof/>
        </w:rPr>
        <w:t>1.</w:t>
      </w:r>
      <w:r w:rsidRPr="003409C9">
        <w:rPr>
          <w:noProof/>
        </w:rPr>
        <w:tab/>
        <w:t>eu-LISA zapewnia bezpieczeństwo danych API,</w:t>
      </w:r>
      <w:r w:rsidR="003409C9" w:rsidRPr="003409C9">
        <w:rPr>
          <w:noProof/>
        </w:rPr>
        <w:t xml:space="preserve"> w szc</w:t>
      </w:r>
      <w:r w:rsidRPr="003409C9">
        <w:rPr>
          <w:noProof/>
        </w:rPr>
        <w:t>zególności danych API stanowiących dane osobowe, które przetwarza na podstawie niniejszego rozporządzenia</w:t>
      </w:r>
      <w:r w:rsidR="003409C9" w:rsidRPr="003409C9">
        <w:rPr>
          <w:noProof/>
        </w:rPr>
        <w:t xml:space="preserve"> i roz</w:t>
      </w:r>
      <w:r w:rsidRPr="003409C9">
        <w:rPr>
          <w:noProof/>
        </w:rPr>
        <w:t>porządzenia (UE) [w sprawie egzekwowania przepisów dotyczących API]. Właściwe służby graniczne</w:t>
      </w:r>
      <w:r w:rsidR="003409C9" w:rsidRPr="003409C9">
        <w:rPr>
          <w:noProof/>
        </w:rPr>
        <w:t xml:space="preserve"> i prz</w:t>
      </w:r>
      <w:r w:rsidRPr="003409C9">
        <w:rPr>
          <w:noProof/>
        </w:rPr>
        <w:t>ewoźnicy lotniczy zapewniają bezpieczeństwo danych API,</w:t>
      </w:r>
      <w:r w:rsidR="003409C9" w:rsidRPr="003409C9">
        <w:rPr>
          <w:noProof/>
        </w:rPr>
        <w:t xml:space="preserve"> w szc</w:t>
      </w:r>
      <w:r w:rsidRPr="003409C9">
        <w:rPr>
          <w:noProof/>
        </w:rPr>
        <w:t>zególności danych API stanowiących dane osobowe, które przetwarzają na podstawie niniejszego rozporządzenia. eu-LISA, właściwe służby graniczne</w:t>
      </w:r>
      <w:r w:rsidR="003409C9" w:rsidRPr="003409C9">
        <w:rPr>
          <w:noProof/>
        </w:rPr>
        <w:t xml:space="preserve"> i prz</w:t>
      </w:r>
      <w:r w:rsidRPr="003409C9">
        <w:rPr>
          <w:noProof/>
        </w:rPr>
        <w:t>ewoźnicy lotniczy współpracują ze sobą,</w:t>
      </w:r>
      <w:r w:rsidR="003409C9" w:rsidRPr="003409C9">
        <w:rPr>
          <w:noProof/>
        </w:rPr>
        <w:t xml:space="preserve"> w ram</w:t>
      </w:r>
      <w:r w:rsidRPr="003409C9">
        <w:rPr>
          <w:noProof/>
        </w:rPr>
        <w:t>ach swoich obowiązków</w:t>
      </w:r>
      <w:r w:rsidR="003409C9" w:rsidRPr="003409C9">
        <w:rPr>
          <w:noProof/>
        </w:rPr>
        <w:t xml:space="preserve"> i zgo</w:t>
      </w:r>
      <w:r w:rsidRPr="003409C9">
        <w:rPr>
          <w:noProof/>
        </w:rPr>
        <w:t>dnie</w:t>
      </w:r>
      <w:r w:rsidR="003409C9" w:rsidRPr="003409C9">
        <w:rPr>
          <w:noProof/>
        </w:rPr>
        <w:t xml:space="preserve"> z pra</w:t>
      </w:r>
      <w:r w:rsidRPr="003409C9">
        <w:rPr>
          <w:noProof/>
        </w:rPr>
        <w:t>wem Unii,</w:t>
      </w:r>
      <w:r w:rsidR="003409C9" w:rsidRPr="003409C9">
        <w:rPr>
          <w:noProof/>
        </w:rPr>
        <w:t xml:space="preserve"> w cel</w:t>
      </w:r>
      <w:r w:rsidRPr="003409C9">
        <w:rPr>
          <w:noProof/>
        </w:rPr>
        <w:t>u zapewnienia tego bezpieczeństwa.</w:t>
      </w:r>
    </w:p>
    <w:p w:rsidR="00CB251C" w:rsidRPr="003409C9" w:rsidRDefault="009475BC" w:rsidP="009475BC">
      <w:pPr>
        <w:pStyle w:val="ManualNumPar1"/>
        <w:rPr>
          <w:noProof/>
        </w:rPr>
      </w:pPr>
      <w:r w:rsidRPr="003409C9">
        <w:rPr>
          <w:noProof/>
        </w:rPr>
        <w:t>2.</w:t>
      </w:r>
      <w:r w:rsidRPr="003409C9">
        <w:rPr>
          <w:noProof/>
        </w:rPr>
        <w:tab/>
        <w:t>W szczególności eu-LISA wprowadza niezbędne środki</w:t>
      </w:r>
      <w:r w:rsidR="003409C9" w:rsidRPr="003409C9">
        <w:rPr>
          <w:noProof/>
        </w:rPr>
        <w:t xml:space="preserve"> w cel</w:t>
      </w:r>
      <w:r w:rsidRPr="003409C9">
        <w:rPr>
          <w:noProof/>
        </w:rPr>
        <w:t>u zapewnienia bezpieczeństwa routera</w:t>
      </w:r>
      <w:r w:rsidR="003409C9" w:rsidRPr="003409C9">
        <w:rPr>
          <w:noProof/>
        </w:rPr>
        <w:t xml:space="preserve"> i dan</w:t>
      </w:r>
      <w:r w:rsidRPr="003409C9">
        <w:rPr>
          <w:noProof/>
        </w:rPr>
        <w:t>ych API,</w:t>
      </w:r>
      <w:r w:rsidR="003409C9" w:rsidRPr="003409C9">
        <w:rPr>
          <w:noProof/>
        </w:rPr>
        <w:t xml:space="preserve"> a w szc</w:t>
      </w:r>
      <w:r w:rsidRPr="003409C9">
        <w:rPr>
          <w:noProof/>
        </w:rPr>
        <w:t>zególności danych API stanowiących dane osobowe przekazywanych za pośrednictwem routera,</w:t>
      </w:r>
      <w:r w:rsidR="003409C9" w:rsidRPr="003409C9">
        <w:rPr>
          <w:noProof/>
        </w:rPr>
        <w:t xml:space="preserve"> w tym</w:t>
      </w:r>
      <w:r w:rsidRPr="003409C9">
        <w:rPr>
          <w:noProof/>
        </w:rPr>
        <w:t xml:space="preserve"> poprzez opracowanie, wdrożenie</w:t>
      </w:r>
      <w:r w:rsidR="003409C9" w:rsidRPr="003409C9">
        <w:rPr>
          <w:noProof/>
        </w:rPr>
        <w:t xml:space="preserve"> i reg</w:t>
      </w:r>
      <w:r w:rsidRPr="003409C9">
        <w:rPr>
          <w:noProof/>
        </w:rPr>
        <w:t>ularne aktualizowanie planu bezpieczeństwa, planu ciągłości działania</w:t>
      </w:r>
      <w:r w:rsidR="003409C9" w:rsidRPr="003409C9">
        <w:rPr>
          <w:noProof/>
        </w:rPr>
        <w:t xml:space="preserve"> i pla</w:t>
      </w:r>
      <w:r w:rsidRPr="003409C9">
        <w:rPr>
          <w:noProof/>
        </w:rPr>
        <w:t>nu przywrócenia gotowości do pracy po wystąpieniu sytuacji nadzwyczajnej,</w:t>
      </w:r>
      <w:r w:rsidR="003409C9" w:rsidRPr="003409C9">
        <w:rPr>
          <w:noProof/>
        </w:rPr>
        <w:t xml:space="preserve"> w cel</w:t>
      </w:r>
      <w:r w:rsidRPr="003409C9">
        <w:rPr>
          <w:noProof/>
        </w:rPr>
        <w:t>u:</w:t>
      </w:r>
    </w:p>
    <w:p w:rsidR="00904C25" w:rsidRPr="003409C9" w:rsidRDefault="009475BC" w:rsidP="009475BC">
      <w:pPr>
        <w:pStyle w:val="Point1"/>
        <w:rPr>
          <w:noProof/>
        </w:rPr>
      </w:pPr>
      <w:r w:rsidRPr="003409C9">
        <w:rPr>
          <w:noProof/>
        </w:rPr>
        <w:t>a)</w:t>
      </w:r>
      <w:r w:rsidRPr="003409C9">
        <w:rPr>
          <w:noProof/>
        </w:rPr>
        <w:tab/>
        <w:t>zapewnienia fizycznej ochrony routera,</w:t>
      </w:r>
      <w:r w:rsidR="003409C9" w:rsidRPr="003409C9">
        <w:rPr>
          <w:noProof/>
        </w:rPr>
        <w:t xml:space="preserve"> w tym</w:t>
      </w:r>
      <w:r w:rsidRPr="003409C9">
        <w:rPr>
          <w:noProof/>
        </w:rPr>
        <w:t xml:space="preserve"> poprzez opracowywanie planów awaryjnych na potrzeby ochrony jego kluczowych elementów;</w:t>
      </w:r>
    </w:p>
    <w:p w:rsidR="00CB251C" w:rsidRPr="003409C9" w:rsidRDefault="009475BC" w:rsidP="009475BC">
      <w:pPr>
        <w:pStyle w:val="Point1"/>
        <w:rPr>
          <w:noProof/>
        </w:rPr>
      </w:pPr>
      <w:r w:rsidRPr="003409C9">
        <w:rPr>
          <w:noProof/>
        </w:rPr>
        <w:t>b)</w:t>
      </w:r>
      <w:r w:rsidRPr="003409C9">
        <w:rPr>
          <w:noProof/>
        </w:rPr>
        <w:tab/>
        <w:t>zapobiegania wszelkiemu nieuprawnionemu przetwarzaniu danych API –</w:t>
      </w:r>
      <w:r w:rsidR="003409C9" w:rsidRPr="003409C9">
        <w:rPr>
          <w:noProof/>
        </w:rPr>
        <w:t xml:space="preserve"> w tym</w:t>
      </w:r>
      <w:r w:rsidRPr="003409C9">
        <w:rPr>
          <w:noProof/>
        </w:rPr>
        <w:t xml:space="preserve"> nieuprawnionemu dostępowi do nich oraz ich kopiowaniu, modyfikowaniu lub usuwaniu, zarówno podczas przekazywania danych API do</w:t>
      </w:r>
      <w:r w:rsidR="003409C9" w:rsidRPr="003409C9">
        <w:rPr>
          <w:noProof/>
        </w:rPr>
        <w:t xml:space="preserve"> i z rou</w:t>
      </w:r>
      <w:r w:rsidRPr="003409C9">
        <w:rPr>
          <w:noProof/>
        </w:rPr>
        <w:t>tera, jak</w:t>
      </w:r>
      <w:r w:rsidR="003409C9" w:rsidRPr="003409C9">
        <w:rPr>
          <w:noProof/>
        </w:rPr>
        <w:t xml:space="preserve"> i pod</w:t>
      </w:r>
      <w:r w:rsidRPr="003409C9">
        <w:rPr>
          <w:noProof/>
        </w:rPr>
        <w:t>czas przechowywania danych API</w:t>
      </w:r>
      <w:r w:rsidR="003409C9" w:rsidRPr="003409C9">
        <w:rPr>
          <w:noProof/>
        </w:rPr>
        <w:t xml:space="preserve"> w rou</w:t>
      </w:r>
      <w:r w:rsidRPr="003409C9">
        <w:rPr>
          <w:noProof/>
        </w:rPr>
        <w:t>terze, gdy jest to niezbędne do zakończenia procesu przekazywania –</w:t>
      </w:r>
      <w:r w:rsidR="003409C9" w:rsidRPr="003409C9">
        <w:rPr>
          <w:noProof/>
        </w:rPr>
        <w:t xml:space="preserve"> w szc</w:t>
      </w:r>
      <w:r w:rsidRPr="003409C9">
        <w:rPr>
          <w:noProof/>
        </w:rPr>
        <w:t xml:space="preserve">zególności za pomocą odpowiednich technik szyfrowania; </w:t>
      </w:r>
    </w:p>
    <w:p w:rsidR="00CB251C" w:rsidRPr="003409C9" w:rsidRDefault="009475BC" w:rsidP="009475BC">
      <w:pPr>
        <w:pStyle w:val="Point1"/>
        <w:rPr>
          <w:noProof/>
        </w:rPr>
      </w:pPr>
      <w:r w:rsidRPr="003409C9">
        <w:rPr>
          <w:noProof/>
        </w:rPr>
        <w:t>c)</w:t>
      </w:r>
      <w:r w:rsidRPr="003409C9">
        <w:rPr>
          <w:noProof/>
        </w:rPr>
        <w:tab/>
        <w:t>zapewnienia możliwości sprawdzenia</w:t>
      </w:r>
      <w:r w:rsidR="003409C9" w:rsidRPr="003409C9">
        <w:rPr>
          <w:noProof/>
        </w:rPr>
        <w:t xml:space="preserve"> i ust</w:t>
      </w:r>
      <w:r w:rsidRPr="003409C9">
        <w:rPr>
          <w:noProof/>
        </w:rPr>
        <w:t>alenia, którym właściwym służbom granicznym lub JIP można przekazywać dane API za pośrednictwem routera;</w:t>
      </w:r>
    </w:p>
    <w:p w:rsidR="00CB251C" w:rsidRPr="003409C9" w:rsidRDefault="009475BC" w:rsidP="009475BC">
      <w:pPr>
        <w:pStyle w:val="Point1"/>
        <w:rPr>
          <w:noProof/>
        </w:rPr>
      </w:pPr>
      <w:r w:rsidRPr="003409C9">
        <w:rPr>
          <w:noProof/>
        </w:rPr>
        <w:t>d)</w:t>
      </w:r>
      <w:r w:rsidRPr="003409C9">
        <w:rPr>
          <w:noProof/>
        </w:rPr>
        <w:tab/>
        <w:t>właściwego zgłaszania zarządowi wszelkich błędów</w:t>
      </w:r>
      <w:r w:rsidR="003409C9" w:rsidRPr="003409C9">
        <w:rPr>
          <w:noProof/>
        </w:rPr>
        <w:t xml:space="preserve"> w fun</w:t>
      </w:r>
      <w:r w:rsidRPr="003409C9">
        <w:rPr>
          <w:noProof/>
        </w:rPr>
        <w:t>kcjonowaniu routera;</w:t>
      </w:r>
    </w:p>
    <w:p w:rsidR="00BC768E" w:rsidRPr="003409C9" w:rsidRDefault="009475BC" w:rsidP="009475BC">
      <w:pPr>
        <w:pStyle w:val="Point1"/>
        <w:rPr>
          <w:noProof/>
        </w:rPr>
      </w:pPr>
      <w:r w:rsidRPr="003409C9">
        <w:rPr>
          <w:noProof/>
        </w:rPr>
        <w:t>e)</w:t>
      </w:r>
      <w:r w:rsidRPr="003409C9">
        <w:rPr>
          <w:noProof/>
        </w:rPr>
        <w:tab/>
        <w:t>monitorowania skuteczności środków bezpieczeństwa wymaganych na podstawie niniejszego artykułu i na podstawie rozporządzenia (UE) 2018/1725 oraz –</w:t>
      </w:r>
      <w:r w:rsidR="003409C9" w:rsidRPr="003409C9">
        <w:rPr>
          <w:noProof/>
        </w:rPr>
        <w:t xml:space="preserve"> w sto</w:t>
      </w:r>
      <w:r w:rsidRPr="003409C9">
        <w:rPr>
          <w:noProof/>
        </w:rPr>
        <w:t>sownych przypadkach – oceny</w:t>
      </w:r>
      <w:r w:rsidR="003409C9" w:rsidRPr="003409C9">
        <w:rPr>
          <w:noProof/>
        </w:rPr>
        <w:t xml:space="preserve"> i akt</w:t>
      </w:r>
      <w:r w:rsidRPr="003409C9">
        <w:rPr>
          <w:noProof/>
        </w:rPr>
        <w:t>ualizacji tych środków bezpieczeństwa</w:t>
      </w:r>
      <w:r w:rsidR="003409C9" w:rsidRPr="003409C9">
        <w:rPr>
          <w:noProof/>
        </w:rPr>
        <w:t xml:space="preserve"> w świ</w:t>
      </w:r>
      <w:r w:rsidRPr="003409C9">
        <w:rPr>
          <w:noProof/>
        </w:rPr>
        <w:t xml:space="preserve">etle zmian technologicznych lub operacyjnych. </w:t>
      </w:r>
    </w:p>
    <w:p w:rsidR="00250117" w:rsidRPr="003409C9" w:rsidRDefault="00BC768E" w:rsidP="00695F47">
      <w:pPr>
        <w:pStyle w:val="Text1"/>
        <w:rPr>
          <w:noProof/>
        </w:rPr>
      </w:pPr>
      <w:r w:rsidRPr="003409C9">
        <w:rPr>
          <w:noProof/>
        </w:rPr>
        <w:t>Środki,</w:t>
      </w:r>
      <w:r w:rsidR="003409C9" w:rsidRPr="003409C9">
        <w:rPr>
          <w:noProof/>
        </w:rPr>
        <w:t xml:space="preserve"> o któ</w:t>
      </w:r>
      <w:r w:rsidRPr="003409C9">
        <w:rPr>
          <w:noProof/>
        </w:rPr>
        <w:t>rych mowa</w:t>
      </w:r>
      <w:r w:rsidR="003409C9" w:rsidRPr="003409C9">
        <w:rPr>
          <w:noProof/>
        </w:rPr>
        <w:t xml:space="preserve"> w aka</w:t>
      </w:r>
      <w:r w:rsidRPr="003409C9">
        <w:rPr>
          <w:noProof/>
        </w:rPr>
        <w:t>picie pierwszym niniejszego ustępu, nie mają wpływu na art.</w:t>
      </w:r>
      <w:r w:rsidR="003409C9" w:rsidRPr="003409C9">
        <w:rPr>
          <w:noProof/>
        </w:rPr>
        <w:t> </w:t>
      </w:r>
      <w:r w:rsidRPr="003409C9">
        <w:rPr>
          <w:noProof/>
        </w:rPr>
        <w:t>33 rozporządzenia (UE) 2018/1725 ani na art.</w:t>
      </w:r>
      <w:r w:rsidR="003409C9" w:rsidRPr="003409C9">
        <w:rPr>
          <w:noProof/>
        </w:rPr>
        <w:t> </w:t>
      </w:r>
      <w:r w:rsidRPr="003409C9">
        <w:rPr>
          <w:noProof/>
        </w:rPr>
        <w:t xml:space="preserve">32 rozporządzenia (UE) 2016/679. </w:t>
      </w:r>
    </w:p>
    <w:p w:rsidR="00250117" w:rsidRPr="00BB07AF" w:rsidRDefault="00250117" w:rsidP="00250117">
      <w:pPr>
        <w:pStyle w:val="Titrearticle"/>
        <w:rPr>
          <w:noProof/>
        </w:rPr>
      </w:pPr>
      <w:bookmarkStart w:id="39" w:name="_Hlk121066888"/>
      <w:r w:rsidRPr="00BB07AF">
        <w:rPr>
          <w:noProof/>
        </w:rPr>
        <w:t>Artykuł 18</w:t>
      </w:r>
    </w:p>
    <w:p w:rsidR="00250117" w:rsidRPr="00BB07AF" w:rsidRDefault="00250117" w:rsidP="00250117">
      <w:pPr>
        <w:jc w:val="center"/>
        <w:rPr>
          <w:b/>
          <w:noProof/>
        </w:rPr>
      </w:pPr>
      <w:r w:rsidRPr="00BB07AF">
        <w:rPr>
          <w:b/>
          <w:noProof/>
        </w:rPr>
        <w:t>Monitorowanie własnej działalności</w:t>
      </w:r>
    </w:p>
    <w:p w:rsidR="00250117" w:rsidRPr="00BB07AF" w:rsidRDefault="00110E4E" w:rsidP="00B65481">
      <w:pPr>
        <w:rPr>
          <w:b/>
          <w:noProof/>
        </w:rPr>
      </w:pPr>
      <w:r w:rsidRPr="003409C9">
        <w:rPr>
          <w:noProof/>
        </w:rPr>
        <w:t>Przewoźnicy lotniczy</w:t>
      </w:r>
      <w:r w:rsidR="003409C9" w:rsidRPr="003409C9">
        <w:rPr>
          <w:noProof/>
        </w:rPr>
        <w:t xml:space="preserve"> i wła</w:t>
      </w:r>
      <w:r w:rsidRPr="003409C9">
        <w:rPr>
          <w:noProof/>
        </w:rPr>
        <w:t>ściwe organy monitorują wypełnianie swoich obowiązków wynikających</w:t>
      </w:r>
      <w:r w:rsidR="003409C9" w:rsidRPr="003409C9">
        <w:rPr>
          <w:noProof/>
        </w:rPr>
        <w:t xml:space="preserve"> z nin</w:t>
      </w:r>
      <w:r w:rsidRPr="003409C9">
        <w:rPr>
          <w:noProof/>
        </w:rPr>
        <w:t>iejszego rozporządzenia,</w:t>
      </w:r>
      <w:r w:rsidR="003409C9" w:rsidRPr="003409C9">
        <w:rPr>
          <w:noProof/>
        </w:rPr>
        <w:t xml:space="preserve"> w szc</w:t>
      </w:r>
      <w:r w:rsidRPr="003409C9">
        <w:rPr>
          <w:noProof/>
        </w:rPr>
        <w:t>zególności</w:t>
      </w:r>
      <w:r w:rsidR="003409C9" w:rsidRPr="003409C9">
        <w:rPr>
          <w:noProof/>
        </w:rPr>
        <w:t xml:space="preserve"> w zak</w:t>
      </w:r>
      <w:r w:rsidRPr="003409C9">
        <w:rPr>
          <w:noProof/>
        </w:rPr>
        <w:t>resie przetwarzania przez nich danych API stanowiących dane osobowe,</w:t>
      </w:r>
      <w:r w:rsidR="003409C9" w:rsidRPr="003409C9">
        <w:rPr>
          <w:noProof/>
        </w:rPr>
        <w:t xml:space="preserve"> w tym</w:t>
      </w:r>
      <w:r w:rsidRPr="003409C9">
        <w:rPr>
          <w:noProof/>
        </w:rPr>
        <w:t xml:space="preserve"> poprzez częstą weryfikację rejestrów,</w:t>
      </w:r>
      <w:r w:rsidR="003409C9" w:rsidRPr="003409C9">
        <w:rPr>
          <w:noProof/>
        </w:rPr>
        <w:t xml:space="preserve"> o któ</w:t>
      </w:r>
      <w:r w:rsidRPr="003409C9">
        <w:rPr>
          <w:noProof/>
        </w:rPr>
        <w:t>rych mowa</w:t>
      </w:r>
      <w:r w:rsidR="003409C9" w:rsidRPr="003409C9">
        <w:rPr>
          <w:noProof/>
        </w:rPr>
        <w:t xml:space="preserve"> w art</w:t>
      </w:r>
      <w:r w:rsidRPr="003409C9">
        <w:rPr>
          <w:noProof/>
        </w:rPr>
        <w:t>.</w:t>
      </w:r>
      <w:r w:rsidR="003409C9" w:rsidRPr="003409C9">
        <w:rPr>
          <w:noProof/>
        </w:rPr>
        <w:t> </w:t>
      </w:r>
      <w:r w:rsidRPr="003409C9">
        <w:rPr>
          <w:noProof/>
        </w:rPr>
        <w:t xml:space="preserve">13. </w:t>
      </w:r>
    </w:p>
    <w:bookmarkEnd w:id="39"/>
    <w:p w:rsidR="00250117" w:rsidRPr="00BB07AF" w:rsidRDefault="00250117" w:rsidP="00250117">
      <w:pPr>
        <w:pStyle w:val="Titrearticle"/>
        <w:rPr>
          <w:noProof/>
        </w:rPr>
      </w:pPr>
      <w:r w:rsidRPr="00BB07AF">
        <w:rPr>
          <w:noProof/>
        </w:rPr>
        <w:t>Artykuł 19</w:t>
      </w:r>
    </w:p>
    <w:p w:rsidR="00250117" w:rsidRPr="00BB07AF" w:rsidRDefault="00E6304F" w:rsidP="00250117">
      <w:pPr>
        <w:jc w:val="center"/>
        <w:rPr>
          <w:b/>
          <w:noProof/>
        </w:rPr>
      </w:pPr>
      <w:r w:rsidRPr="00BB07AF">
        <w:rPr>
          <w:b/>
          <w:noProof/>
        </w:rPr>
        <w:t>Kontrole ochrony danych osobowych</w:t>
      </w:r>
    </w:p>
    <w:p w:rsidR="00AE6FB3" w:rsidRPr="003409C9" w:rsidRDefault="009475BC" w:rsidP="009475BC">
      <w:pPr>
        <w:pStyle w:val="ManualNumPar1"/>
        <w:rPr>
          <w:noProof/>
        </w:rPr>
      </w:pPr>
      <w:r w:rsidRPr="003409C9">
        <w:rPr>
          <w:noProof/>
        </w:rPr>
        <w:t>1.</w:t>
      </w:r>
      <w:r w:rsidRPr="003409C9">
        <w:rPr>
          <w:noProof/>
        </w:rPr>
        <w:tab/>
        <w:t>Właściwe krajowe organy ochrony danych,</w:t>
      </w:r>
      <w:r w:rsidR="003409C9" w:rsidRPr="003409C9">
        <w:rPr>
          <w:noProof/>
        </w:rPr>
        <w:t xml:space="preserve"> o któ</w:t>
      </w:r>
      <w:r w:rsidRPr="003409C9">
        <w:rPr>
          <w:noProof/>
        </w:rPr>
        <w:t>rych mowa</w:t>
      </w:r>
      <w:r w:rsidR="003409C9" w:rsidRPr="003409C9">
        <w:rPr>
          <w:noProof/>
        </w:rPr>
        <w:t xml:space="preserve"> w art</w:t>
      </w:r>
      <w:r w:rsidRPr="003409C9">
        <w:rPr>
          <w:noProof/>
        </w:rPr>
        <w:t>.</w:t>
      </w:r>
      <w:r w:rsidR="003409C9" w:rsidRPr="003409C9">
        <w:rPr>
          <w:noProof/>
        </w:rPr>
        <w:t> </w:t>
      </w:r>
      <w:r w:rsidRPr="003409C9">
        <w:rPr>
          <w:noProof/>
        </w:rPr>
        <w:t>51 rozporządzenia (UE) 2016/679, zapewniają przeprowadzenie co najmniej raz na cztery lata kontroli operacji przetwarzania danych API stanowiących dane osobowe, przeprowadzanych przez właściwe służby graniczne na potrzeby niniejszego rozporządzenia, zgodnie</w:t>
      </w:r>
      <w:r w:rsidR="003409C9" w:rsidRPr="003409C9">
        <w:rPr>
          <w:noProof/>
        </w:rPr>
        <w:t xml:space="preserve"> z odp</w:t>
      </w:r>
      <w:r w:rsidRPr="003409C9">
        <w:rPr>
          <w:noProof/>
        </w:rPr>
        <w:t>owiednimi międzynarodowymi standardami kontroli.</w:t>
      </w:r>
    </w:p>
    <w:p w:rsidR="00250117" w:rsidRPr="003409C9" w:rsidRDefault="009475BC" w:rsidP="009475BC">
      <w:pPr>
        <w:pStyle w:val="ManualNumPar1"/>
        <w:rPr>
          <w:noProof/>
        </w:rPr>
      </w:pPr>
      <w:r w:rsidRPr="003409C9">
        <w:rPr>
          <w:noProof/>
        </w:rPr>
        <w:t>2.</w:t>
      </w:r>
      <w:r w:rsidRPr="003409C9">
        <w:rPr>
          <w:noProof/>
        </w:rPr>
        <w:tab/>
        <w:t xml:space="preserve">Europejski Inspektor Ochrony Danych zapewnia przeprowadzenie co najmniej raz na rok kontroli </w:t>
      </w:r>
      <w:bookmarkStart w:id="40" w:name="_Hlk120519691"/>
      <w:r w:rsidRPr="003409C9">
        <w:rPr>
          <w:noProof/>
        </w:rPr>
        <w:t>operacji przetwarzania danych API stanowiących dane osobowe, przeprowadzanych przez eu-LISA</w:t>
      </w:r>
      <w:bookmarkEnd w:id="40"/>
      <w:r w:rsidRPr="003409C9">
        <w:rPr>
          <w:noProof/>
        </w:rPr>
        <w:t xml:space="preserve"> na potrzeby niniejszego rozporządzenia</w:t>
      </w:r>
      <w:r w:rsidR="003409C9" w:rsidRPr="003409C9">
        <w:rPr>
          <w:noProof/>
        </w:rPr>
        <w:t xml:space="preserve"> i roz</w:t>
      </w:r>
      <w:r w:rsidRPr="003409C9">
        <w:rPr>
          <w:noProof/>
        </w:rPr>
        <w:t>porządzenia (UE) [w sprawie egzekwowania przepisów dotyczących API], zgodnie</w:t>
      </w:r>
      <w:r w:rsidR="003409C9" w:rsidRPr="003409C9">
        <w:rPr>
          <w:noProof/>
        </w:rPr>
        <w:t xml:space="preserve"> z odp</w:t>
      </w:r>
      <w:r w:rsidRPr="003409C9">
        <w:rPr>
          <w:noProof/>
        </w:rPr>
        <w:t>owiednimi międzynarodowymi standardami kontroli. Sprawozdanie</w:t>
      </w:r>
      <w:r w:rsidR="003409C9" w:rsidRPr="003409C9">
        <w:rPr>
          <w:noProof/>
        </w:rPr>
        <w:t xml:space="preserve"> z tak</w:t>
      </w:r>
      <w:r w:rsidRPr="003409C9">
        <w:rPr>
          <w:noProof/>
        </w:rPr>
        <w:t xml:space="preserve">iej kontroli przekazuje się Parlamentowi Europejskiemu, Radzie, Komisji, państwom członkowskim i eu-LISA. eu-LISA ma możliwość przedstawienia uwag dotyczących sprawozdań przed ich przyjęciem. </w:t>
      </w:r>
    </w:p>
    <w:p w:rsidR="00250117" w:rsidRPr="003409C9" w:rsidRDefault="009475BC" w:rsidP="009475BC">
      <w:pPr>
        <w:pStyle w:val="ManualNumPar1"/>
        <w:rPr>
          <w:noProof/>
        </w:rPr>
      </w:pPr>
      <w:r w:rsidRPr="003409C9">
        <w:rPr>
          <w:noProof/>
        </w:rPr>
        <w:t>3.</w:t>
      </w:r>
      <w:r w:rsidRPr="003409C9">
        <w:rPr>
          <w:noProof/>
        </w:rPr>
        <w:tab/>
        <w:t>W odniesieniu do operacji przetwarzania,</w:t>
      </w:r>
      <w:r w:rsidR="003409C9" w:rsidRPr="003409C9">
        <w:rPr>
          <w:noProof/>
        </w:rPr>
        <w:t xml:space="preserve"> o któ</w:t>
      </w:r>
      <w:r w:rsidRPr="003409C9">
        <w:rPr>
          <w:noProof/>
        </w:rPr>
        <w:t>rych mowa</w:t>
      </w:r>
      <w:r w:rsidR="003409C9" w:rsidRPr="003409C9">
        <w:rPr>
          <w:noProof/>
        </w:rPr>
        <w:t xml:space="preserve"> w ust</w:t>
      </w:r>
      <w:r w:rsidRPr="003409C9">
        <w:rPr>
          <w:noProof/>
        </w:rPr>
        <w:t>.</w:t>
      </w:r>
      <w:r w:rsidR="003409C9" w:rsidRPr="003409C9">
        <w:rPr>
          <w:noProof/>
        </w:rPr>
        <w:t> </w:t>
      </w:r>
      <w:r w:rsidRPr="003409C9">
        <w:rPr>
          <w:noProof/>
        </w:rPr>
        <w:t>2, na wniosek Europejskiego Inspektora Ochrony Danych eu-LISA przekazuje żądane informacje, udziela mu dostępu do wszelkich żądanych przez niego dokumentów i do rejestrów,</w:t>
      </w:r>
      <w:r w:rsidR="003409C9" w:rsidRPr="003409C9">
        <w:rPr>
          <w:noProof/>
        </w:rPr>
        <w:t xml:space="preserve"> o któ</w:t>
      </w:r>
      <w:r w:rsidRPr="003409C9">
        <w:rPr>
          <w:noProof/>
        </w:rPr>
        <w:t>rych mowa</w:t>
      </w:r>
      <w:r w:rsidR="003409C9" w:rsidRPr="003409C9">
        <w:rPr>
          <w:noProof/>
        </w:rPr>
        <w:t xml:space="preserve"> w art</w:t>
      </w:r>
      <w:r w:rsidRPr="003409C9">
        <w:rPr>
          <w:noProof/>
        </w:rPr>
        <w:t>.</w:t>
      </w:r>
      <w:r w:rsidR="003409C9" w:rsidRPr="003409C9">
        <w:rPr>
          <w:noProof/>
        </w:rPr>
        <w:t> </w:t>
      </w:r>
      <w:r w:rsidRPr="003409C9">
        <w:rPr>
          <w:noProof/>
        </w:rPr>
        <w:t>13 ust.</w:t>
      </w:r>
      <w:r w:rsidR="003409C9" w:rsidRPr="003409C9">
        <w:rPr>
          <w:noProof/>
        </w:rPr>
        <w:t> </w:t>
      </w:r>
      <w:r w:rsidRPr="003409C9">
        <w:rPr>
          <w:noProof/>
        </w:rPr>
        <w:t>1, oraz umożliwia mu uzyskanie dostępu do wszystkich pomieszczeń eu-LISA</w:t>
      </w:r>
      <w:r w:rsidR="003409C9" w:rsidRPr="003409C9">
        <w:rPr>
          <w:noProof/>
        </w:rPr>
        <w:t xml:space="preserve"> w dow</w:t>
      </w:r>
      <w:r w:rsidRPr="003409C9">
        <w:rPr>
          <w:noProof/>
        </w:rPr>
        <w:t>olnym momencie.</w:t>
      </w:r>
    </w:p>
    <w:p w:rsidR="00250117" w:rsidRPr="003409C9" w:rsidRDefault="00250117" w:rsidP="00250117">
      <w:pPr>
        <w:rPr>
          <w:noProof/>
        </w:rPr>
      </w:pPr>
    </w:p>
    <w:p w:rsidR="00250117" w:rsidRPr="003409C9" w:rsidRDefault="00250117" w:rsidP="00250117">
      <w:pPr>
        <w:pStyle w:val="Titrearticle"/>
        <w:rPr>
          <w:i w:val="0"/>
          <w:noProof/>
        </w:rPr>
      </w:pPr>
      <w:r w:rsidRPr="003409C9">
        <w:rPr>
          <w:i w:val="0"/>
          <w:noProof/>
        </w:rPr>
        <w:t>ROZDZIAŁ 5</w:t>
      </w:r>
    </w:p>
    <w:p w:rsidR="006D047C" w:rsidRPr="00BB07AF" w:rsidRDefault="006D047C" w:rsidP="00250117">
      <w:pPr>
        <w:jc w:val="center"/>
        <w:rPr>
          <w:b/>
          <w:noProof/>
        </w:rPr>
      </w:pPr>
      <w:r w:rsidRPr="00BB07AF">
        <w:rPr>
          <w:b/>
          <w:noProof/>
        </w:rPr>
        <w:t>PODŁĄCZENIE I DODATKOWE PRZEPISY DOTYCZĄCE ROUTERA</w:t>
      </w:r>
    </w:p>
    <w:p w:rsidR="00250117" w:rsidRPr="00BB07AF" w:rsidRDefault="00250117" w:rsidP="00250117">
      <w:pPr>
        <w:pStyle w:val="Titrearticle"/>
        <w:rPr>
          <w:noProof/>
        </w:rPr>
      </w:pPr>
      <w:r w:rsidRPr="00BB07AF">
        <w:rPr>
          <w:noProof/>
        </w:rPr>
        <w:t>Artykuł 20</w:t>
      </w:r>
    </w:p>
    <w:p w:rsidR="00BC768E" w:rsidRPr="00BB07AF" w:rsidRDefault="00BC768E" w:rsidP="00BC768E">
      <w:pPr>
        <w:jc w:val="center"/>
        <w:rPr>
          <w:b/>
          <w:noProof/>
        </w:rPr>
      </w:pPr>
      <w:bookmarkStart w:id="41" w:name="_Hlk117162062"/>
      <w:r w:rsidRPr="00BB07AF">
        <w:rPr>
          <w:b/>
          <w:noProof/>
        </w:rPr>
        <w:t>Podłączenie właściwych służb granicznych do routera</w:t>
      </w:r>
    </w:p>
    <w:p w:rsidR="00BC768E" w:rsidRPr="003409C9" w:rsidRDefault="009475BC" w:rsidP="009475BC">
      <w:pPr>
        <w:pStyle w:val="ManualNumPar1"/>
        <w:rPr>
          <w:noProof/>
        </w:rPr>
      </w:pPr>
      <w:r w:rsidRPr="003409C9">
        <w:rPr>
          <w:noProof/>
        </w:rPr>
        <w:t>1.</w:t>
      </w:r>
      <w:r w:rsidRPr="003409C9">
        <w:rPr>
          <w:noProof/>
        </w:rPr>
        <w:tab/>
        <w:t>Państwa członkowskie zapewniają podłączenie ich właściwych służb granicznych do routera. Zapewniają one, aby systemy</w:t>
      </w:r>
      <w:r w:rsidR="003409C9" w:rsidRPr="003409C9">
        <w:rPr>
          <w:noProof/>
        </w:rPr>
        <w:t xml:space="preserve"> i inf</w:t>
      </w:r>
      <w:r w:rsidRPr="003409C9">
        <w:rPr>
          <w:noProof/>
        </w:rPr>
        <w:t>rastruktura właściwych służb granicznych służące do odbioru danych API, przekazywanych na podstawie niniejszego rozporządzenia, były zintegrowane</w:t>
      </w:r>
      <w:r w:rsidR="003409C9" w:rsidRPr="003409C9">
        <w:rPr>
          <w:noProof/>
        </w:rPr>
        <w:t xml:space="preserve"> z rou</w:t>
      </w:r>
      <w:r w:rsidRPr="003409C9">
        <w:rPr>
          <w:noProof/>
        </w:rPr>
        <w:t xml:space="preserve">terem. </w:t>
      </w:r>
    </w:p>
    <w:p w:rsidR="00523850" w:rsidRPr="003409C9" w:rsidRDefault="00BC768E" w:rsidP="00F96502">
      <w:pPr>
        <w:pStyle w:val="Text1"/>
        <w:rPr>
          <w:noProof/>
        </w:rPr>
      </w:pPr>
      <w:r w:rsidRPr="003409C9">
        <w:rPr>
          <w:noProof/>
        </w:rPr>
        <w:t>Państwa członkowskie zapewniają, aby podłączenie do routera</w:t>
      </w:r>
      <w:r w:rsidR="003409C9" w:rsidRPr="003409C9">
        <w:rPr>
          <w:noProof/>
        </w:rPr>
        <w:t xml:space="preserve"> i int</w:t>
      </w:r>
      <w:r w:rsidRPr="003409C9">
        <w:rPr>
          <w:noProof/>
        </w:rPr>
        <w:t>egracja</w:t>
      </w:r>
      <w:r w:rsidR="003409C9" w:rsidRPr="003409C9">
        <w:rPr>
          <w:noProof/>
        </w:rPr>
        <w:t xml:space="preserve"> z nim</w:t>
      </w:r>
      <w:r w:rsidRPr="003409C9">
        <w:rPr>
          <w:noProof/>
        </w:rPr>
        <w:t xml:space="preserve"> umożliwiały ich właściwym służbom granicznym otrzymywanie</w:t>
      </w:r>
      <w:r w:rsidR="003409C9" w:rsidRPr="003409C9">
        <w:rPr>
          <w:noProof/>
        </w:rPr>
        <w:t xml:space="preserve"> i dal</w:t>
      </w:r>
      <w:r w:rsidRPr="003409C9">
        <w:rPr>
          <w:noProof/>
        </w:rPr>
        <w:t>sze przetwarzanie danych API, jak również wymianę wszelkich powiązanych komunikatów,</w:t>
      </w:r>
      <w:r w:rsidR="003409C9" w:rsidRPr="003409C9">
        <w:rPr>
          <w:noProof/>
        </w:rPr>
        <w:t xml:space="preserve"> w spo</w:t>
      </w:r>
      <w:r w:rsidRPr="003409C9">
        <w:rPr>
          <w:noProof/>
        </w:rPr>
        <w:t>sób zgodny</w:t>
      </w:r>
      <w:r w:rsidR="003409C9" w:rsidRPr="003409C9">
        <w:rPr>
          <w:noProof/>
        </w:rPr>
        <w:t xml:space="preserve"> z pra</w:t>
      </w:r>
      <w:r w:rsidRPr="003409C9">
        <w:rPr>
          <w:noProof/>
        </w:rPr>
        <w:t>wem, bezpieczny, skuteczny</w:t>
      </w:r>
      <w:r w:rsidR="003409C9" w:rsidRPr="003409C9">
        <w:rPr>
          <w:noProof/>
        </w:rPr>
        <w:t xml:space="preserve"> i spr</w:t>
      </w:r>
      <w:r w:rsidRPr="003409C9">
        <w:rPr>
          <w:noProof/>
        </w:rPr>
        <w:t>awny.</w:t>
      </w:r>
    </w:p>
    <w:p w:rsidR="00A310CB" w:rsidRPr="003409C9" w:rsidRDefault="009475BC" w:rsidP="009475BC">
      <w:pPr>
        <w:pStyle w:val="ManualNumPar1"/>
        <w:rPr>
          <w:noProof/>
        </w:rPr>
      </w:pPr>
      <w:r w:rsidRPr="003409C9">
        <w:rPr>
          <w:noProof/>
        </w:rPr>
        <w:t>2.</w:t>
      </w:r>
      <w:r w:rsidRPr="003409C9">
        <w:rPr>
          <w:noProof/>
        </w:rPr>
        <w:tab/>
        <w:t>Komisja jest uprawniona do przyjmowania aktów delegowanych zgodnie</w:t>
      </w:r>
      <w:r w:rsidR="003409C9" w:rsidRPr="003409C9">
        <w:rPr>
          <w:noProof/>
        </w:rPr>
        <w:t xml:space="preserve"> z art</w:t>
      </w:r>
      <w:r w:rsidRPr="003409C9">
        <w:rPr>
          <w:noProof/>
        </w:rPr>
        <w:t>.</w:t>
      </w:r>
      <w:r w:rsidR="003409C9" w:rsidRPr="003409C9">
        <w:rPr>
          <w:noProof/>
        </w:rPr>
        <w:t> </w:t>
      </w:r>
      <w:r w:rsidRPr="003409C9">
        <w:rPr>
          <w:noProof/>
        </w:rPr>
        <w:t>37</w:t>
      </w:r>
      <w:r w:rsidR="003409C9" w:rsidRPr="003409C9">
        <w:rPr>
          <w:noProof/>
        </w:rPr>
        <w:t xml:space="preserve"> w cel</w:t>
      </w:r>
      <w:r w:rsidRPr="003409C9">
        <w:rPr>
          <w:noProof/>
        </w:rPr>
        <w:t>u uzupełnienia niniejszego rozporządzenia przez określenie niezbędnych zasad szczegółowych dotyczących podłączenia do routera,</w:t>
      </w:r>
      <w:r w:rsidR="003409C9" w:rsidRPr="003409C9">
        <w:rPr>
          <w:noProof/>
        </w:rPr>
        <w:t xml:space="preserve"> o któ</w:t>
      </w:r>
      <w:r w:rsidRPr="003409C9">
        <w:rPr>
          <w:noProof/>
        </w:rPr>
        <w:t>rym mowa</w:t>
      </w:r>
      <w:r w:rsidR="003409C9" w:rsidRPr="003409C9">
        <w:rPr>
          <w:noProof/>
        </w:rPr>
        <w:t xml:space="preserve"> w ust</w:t>
      </w:r>
      <w:r w:rsidRPr="003409C9">
        <w:rPr>
          <w:noProof/>
        </w:rPr>
        <w:t>.</w:t>
      </w:r>
      <w:r w:rsidR="003409C9" w:rsidRPr="003409C9">
        <w:rPr>
          <w:noProof/>
        </w:rPr>
        <w:t> </w:t>
      </w:r>
      <w:r w:rsidRPr="003409C9">
        <w:rPr>
          <w:noProof/>
        </w:rPr>
        <w:t>1,</w:t>
      </w:r>
      <w:r w:rsidR="003409C9" w:rsidRPr="003409C9">
        <w:rPr>
          <w:noProof/>
        </w:rPr>
        <w:t xml:space="preserve"> i int</w:t>
      </w:r>
      <w:r w:rsidRPr="003409C9">
        <w:rPr>
          <w:noProof/>
        </w:rPr>
        <w:t>egracji</w:t>
      </w:r>
      <w:r w:rsidR="003409C9" w:rsidRPr="003409C9">
        <w:rPr>
          <w:noProof/>
        </w:rPr>
        <w:t xml:space="preserve"> z nim</w:t>
      </w:r>
      <w:r w:rsidRPr="003409C9">
        <w:rPr>
          <w:noProof/>
        </w:rPr>
        <w:t>.</w:t>
      </w:r>
    </w:p>
    <w:bookmarkEnd w:id="41"/>
    <w:p w:rsidR="00250117" w:rsidRPr="00BB07AF" w:rsidRDefault="00250117" w:rsidP="00250117">
      <w:pPr>
        <w:pStyle w:val="Titrearticle"/>
        <w:rPr>
          <w:noProof/>
        </w:rPr>
      </w:pPr>
      <w:r w:rsidRPr="00BB07AF">
        <w:rPr>
          <w:noProof/>
        </w:rPr>
        <w:t>Artykuł 21</w:t>
      </w:r>
    </w:p>
    <w:p w:rsidR="002B778B" w:rsidRPr="00BB07AF" w:rsidRDefault="002B778B" w:rsidP="002B778B">
      <w:pPr>
        <w:jc w:val="center"/>
        <w:rPr>
          <w:b/>
          <w:noProof/>
        </w:rPr>
      </w:pPr>
      <w:r w:rsidRPr="00BB07AF">
        <w:rPr>
          <w:b/>
          <w:noProof/>
        </w:rPr>
        <w:t>Podłączenie przewoźników lotniczych do routera</w:t>
      </w:r>
    </w:p>
    <w:p w:rsidR="002B778B" w:rsidRPr="003409C9" w:rsidRDefault="009475BC" w:rsidP="009475BC">
      <w:pPr>
        <w:pStyle w:val="ManualNumPar1"/>
        <w:rPr>
          <w:noProof/>
        </w:rPr>
      </w:pPr>
      <w:r w:rsidRPr="003409C9">
        <w:rPr>
          <w:noProof/>
        </w:rPr>
        <w:t>1.</w:t>
      </w:r>
      <w:r w:rsidRPr="003409C9">
        <w:rPr>
          <w:noProof/>
        </w:rPr>
        <w:tab/>
        <w:t>Przewoźnicy lotniczy zapewniają, aby byli podłączeni do routera. Zapewniają oni, aby ich systemy</w:t>
      </w:r>
      <w:r w:rsidR="003409C9" w:rsidRPr="003409C9">
        <w:rPr>
          <w:noProof/>
        </w:rPr>
        <w:t xml:space="preserve"> i inf</w:t>
      </w:r>
      <w:r w:rsidRPr="003409C9">
        <w:rPr>
          <w:noProof/>
        </w:rPr>
        <w:t>rastruktura służące do przekazywania danych API do routera na podstawie niniejszego rozporządzenia były zintegrowane</w:t>
      </w:r>
      <w:r w:rsidR="003409C9" w:rsidRPr="003409C9">
        <w:rPr>
          <w:noProof/>
        </w:rPr>
        <w:t xml:space="preserve"> z rou</w:t>
      </w:r>
      <w:r w:rsidRPr="003409C9">
        <w:rPr>
          <w:noProof/>
        </w:rPr>
        <w:t>terem.</w:t>
      </w:r>
    </w:p>
    <w:p w:rsidR="00AB140D" w:rsidRPr="003409C9" w:rsidRDefault="002B778B" w:rsidP="00D02587">
      <w:pPr>
        <w:pStyle w:val="Text1"/>
        <w:rPr>
          <w:noProof/>
        </w:rPr>
      </w:pPr>
      <w:r w:rsidRPr="003409C9">
        <w:rPr>
          <w:noProof/>
        </w:rPr>
        <w:t>Przewoźnicy lotniczy zapewniają, aby podłączenie do routera</w:t>
      </w:r>
      <w:r w:rsidR="003409C9" w:rsidRPr="003409C9">
        <w:rPr>
          <w:noProof/>
        </w:rPr>
        <w:t xml:space="preserve"> i int</w:t>
      </w:r>
      <w:r w:rsidRPr="003409C9">
        <w:rPr>
          <w:noProof/>
        </w:rPr>
        <w:t>egracja</w:t>
      </w:r>
      <w:r w:rsidR="003409C9" w:rsidRPr="003409C9">
        <w:rPr>
          <w:noProof/>
        </w:rPr>
        <w:t xml:space="preserve"> z nim</w:t>
      </w:r>
      <w:r w:rsidRPr="003409C9">
        <w:rPr>
          <w:noProof/>
        </w:rPr>
        <w:t xml:space="preserve"> umożliwiały im przekazywanie danych API, jak również wymianę wszelkich powiązanych komunikatów,</w:t>
      </w:r>
      <w:r w:rsidR="003409C9" w:rsidRPr="003409C9">
        <w:rPr>
          <w:noProof/>
        </w:rPr>
        <w:t xml:space="preserve"> w spo</w:t>
      </w:r>
      <w:r w:rsidRPr="003409C9">
        <w:rPr>
          <w:noProof/>
        </w:rPr>
        <w:t>sób zgodny</w:t>
      </w:r>
      <w:r w:rsidR="003409C9" w:rsidRPr="003409C9">
        <w:rPr>
          <w:noProof/>
        </w:rPr>
        <w:t xml:space="preserve"> z pra</w:t>
      </w:r>
      <w:r w:rsidRPr="003409C9">
        <w:rPr>
          <w:noProof/>
        </w:rPr>
        <w:t>wem, bezpieczny, skuteczny</w:t>
      </w:r>
      <w:r w:rsidR="003409C9" w:rsidRPr="003409C9">
        <w:rPr>
          <w:noProof/>
        </w:rPr>
        <w:t xml:space="preserve"> i spr</w:t>
      </w:r>
      <w:r w:rsidRPr="003409C9">
        <w:rPr>
          <w:noProof/>
        </w:rPr>
        <w:t xml:space="preserve">awny. </w:t>
      </w:r>
    </w:p>
    <w:p w:rsidR="00D02587" w:rsidRPr="003409C9" w:rsidRDefault="009475BC" w:rsidP="009475BC">
      <w:pPr>
        <w:pStyle w:val="ManualNumPar1"/>
        <w:rPr>
          <w:noProof/>
        </w:rPr>
      </w:pPr>
      <w:r w:rsidRPr="003409C9">
        <w:rPr>
          <w:noProof/>
        </w:rPr>
        <w:t>2.</w:t>
      </w:r>
      <w:r w:rsidRPr="003409C9">
        <w:rPr>
          <w:noProof/>
        </w:rPr>
        <w:tab/>
        <w:t>Komisja jest uprawniona do przyjmowania aktów delegowanych zgodnie</w:t>
      </w:r>
      <w:r w:rsidR="003409C9" w:rsidRPr="003409C9">
        <w:rPr>
          <w:noProof/>
        </w:rPr>
        <w:t xml:space="preserve"> z art</w:t>
      </w:r>
      <w:r w:rsidRPr="003409C9">
        <w:rPr>
          <w:noProof/>
        </w:rPr>
        <w:t>.</w:t>
      </w:r>
      <w:r w:rsidR="003409C9" w:rsidRPr="003409C9">
        <w:rPr>
          <w:noProof/>
        </w:rPr>
        <w:t> </w:t>
      </w:r>
      <w:r w:rsidRPr="003409C9">
        <w:rPr>
          <w:noProof/>
        </w:rPr>
        <w:t>37</w:t>
      </w:r>
      <w:r w:rsidR="003409C9" w:rsidRPr="003409C9">
        <w:rPr>
          <w:noProof/>
        </w:rPr>
        <w:t xml:space="preserve"> w cel</w:t>
      </w:r>
      <w:r w:rsidRPr="003409C9">
        <w:rPr>
          <w:noProof/>
        </w:rPr>
        <w:t>u uzupełnienia niniejszego rozporządzenia przez określenie niezbędnych zasad szczegółowych dotyczących podłączenia do routera,</w:t>
      </w:r>
      <w:r w:rsidR="003409C9" w:rsidRPr="003409C9">
        <w:rPr>
          <w:noProof/>
        </w:rPr>
        <w:t xml:space="preserve"> o któ</w:t>
      </w:r>
      <w:r w:rsidRPr="003409C9">
        <w:rPr>
          <w:noProof/>
        </w:rPr>
        <w:t>rym mowa</w:t>
      </w:r>
      <w:r w:rsidR="003409C9" w:rsidRPr="003409C9">
        <w:rPr>
          <w:noProof/>
        </w:rPr>
        <w:t xml:space="preserve"> w ust</w:t>
      </w:r>
      <w:r w:rsidRPr="003409C9">
        <w:rPr>
          <w:noProof/>
        </w:rPr>
        <w:t>.</w:t>
      </w:r>
      <w:r w:rsidR="003409C9" w:rsidRPr="003409C9">
        <w:rPr>
          <w:noProof/>
        </w:rPr>
        <w:t> </w:t>
      </w:r>
      <w:r w:rsidRPr="003409C9">
        <w:rPr>
          <w:noProof/>
        </w:rPr>
        <w:t>1,</w:t>
      </w:r>
      <w:r w:rsidR="003409C9" w:rsidRPr="003409C9">
        <w:rPr>
          <w:noProof/>
        </w:rPr>
        <w:t xml:space="preserve"> i int</w:t>
      </w:r>
      <w:r w:rsidRPr="003409C9">
        <w:rPr>
          <w:noProof/>
        </w:rPr>
        <w:t>egracji</w:t>
      </w:r>
      <w:r w:rsidR="003409C9" w:rsidRPr="003409C9">
        <w:rPr>
          <w:noProof/>
        </w:rPr>
        <w:t xml:space="preserve"> z nim</w:t>
      </w:r>
      <w:r w:rsidRPr="003409C9">
        <w:rPr>
          <w:noProof/>
        </w:rPr>
        <w:t>.</w:t>
      </w:r>
    </w:p>
    <w:p w:rsidR="009D77D2" w:rsidRPr="00BB07AF" w:rsidRDefault="009D77D2" w:rsidP="009D77D2">
      <w:pPr>
        <w:keepNext/>
        <w:spacing w:before="360"/>
        <w:jc w:val="center"/>
        <w:rPr>
          <w:b/>
          <w:i/>
          <w:noProof/>
        </w:rPr>
      </w:pPr>
      <w:r w:rsidRPr="00BB07AF">
        <w:rPr>
          <w:i/>
          <w:noProof/>
        </w:rPr>
        <w:t>Artykuł 22</w:t>
      </w:r>
    </w:p>
    <w:p w:rsidR="002B778B" w:rsidRPr="00BB07AF" w:rsidRDefault="002B778B" w:rsidP="009D77D2">
      <w:pPr>
        <w:jc w:val="center"/>
        <w:rPr>
          <w:b/>
          <w:noProof/>
        </w:rPr>
      </w:pPr>
      <w:r w:rsidRPr="00BB07AF">
        <w:rPr>
          <w:b/>
          <w:noProof/>
        </w:rPr>
        <w:t>Zadania eu-LISA związane</w:t>
      </w:r>
      <w:r w:rsidR="003409C9" w:rsidRPr="00BB07AF">
        <w:rPr>
          <w:b/>
          <w:noProof/>
        </w:rPr>
        <w:t xml:space="preserve"> z pro</w:t>
      </w:r>
      <w:r w:rsidRPr="00BB07AF">
        <w:rPr>
          <w:b/>
          <w:noProof/>
        </w:rPr>
        <w:t>jektowaniem</w:t>
      </w:r>
      <w:r w:rsidR="003409C9" w:rsidRPr="00BB07AF">
        <w:rPr>
          <w:b/>
          <w:noProof/>
        </w:rPr>
        <w:t xml:space="preserve"> i opr</w:t>
      </w:r>
      <w:r w:rsidRPr="00BB07AF">
        <w:rPr>
          <w:b/>
          <w:noProof/>
        </w:rPr>
        <w:t>acowaniem routera</w:t>
      </w:r>
    </w:p>
    <w:p w:rsidR="002B778B" w:rsidRPr="003409C9" w:rsidRDefault="009475BC" w:rsidP="009475BC">
      <w:pPr>
        <w:pStyle w:val="ManualNumPar1"/>
        <w:rPr>
          <w:noProof/>
        </w:rPr>
      </w:pPr>
      <w:r w:rsidRPr="003409C9">
        <w:rPr>
          <w:noProof/>
        </w:rPr>
        <w:t>1.</w:t>
      </w:r>
      <w:r w:rsidRPr="003409C9">
        <w:rPr>
          <w:noProof/>
        </w:rPr>
        <w:tab/>
        <w:t>eu-LISA jest odpowiedzialna za sporządzenie projektu architektury fizycznej routera, jak również za określenie specyfikacji technicznych.</w:t>
      </w:r>
    </w:p>
    <w:p w:rsidR="002B778B" w:rsidRPr="003409C9" w:rsidRDefault="009475BC" w:rsidP="009475BC">
      <w:pPr>
        <w:pStyle w:val="ManualNumPar1"/>
        <w:rPr>
          <w:noProof/>
        </w:rPr>
      </w:pPr>
      <w:r w:rsidRPr="003409C9">
        <w:rPr>
          <w:noProof/>
        </w:rPr>
        <w:t>2.</w:t>
      </w:r>
      <w:r w:rsidRPr="003409C9">
        <w:rPr>
          <w:noProof/>
        </w:rPr>
        <w:tab/>
        <w:t>eu-LISA odpowiada za opracowanie routera,</w:t>
      </w:r>
      <w:r w:rsidR="003409C9" w:rsidRPr="003409C9">
        <w:rPr>
          <w:noProof/>
        </w:rPr>
        <w:t xml:space="preserve"> w tym</w:t>
      </w:r>
      <w:r w:rsidRPr="003409C9">
        <w:rPr>
          <w:noProof/>
        </w:rPr>
        <w:t xml:space="preserve"> za wszelkie dostosowania techniczne niezbędne do jego funkcjonowania.</w:t>
      </w:r>
    </w:p>
    <w:p w:rsidR="002B778B" w:rsidRPr="003409C9" w:rsidRDefault="002B778B" w:rsidP="002B778B">
      <w:pPr>
        <w:ind w:left="851"/>
        <w:rPr>
          <w:noProof/>
        </w:rPr>
      </w:pPr>
      <w:r w:rsidRPr="003409C9">
        <w:rPr>
          <w:noProof/>
        </w:rPr>
        <w:t>Opracowanie routera obejmuje przygotowanie</w:t>
      </w:r>
      <w:r w:rsidR="003409C9" w:rsidRPr="003409C9">
        <w:rPr>
          <w:noProof/>
        </w:rPr>
        <w:t xml:space="preserve"> i wdr</w:t>
      </w:r>
      <w:r w:rsidRPr="003409C9">
        <w:rPr>
          <w:noProof/>
        </w:rPr>
        <w:t>ożenie specyfikacji technicznych, przeprowadzenie testów oraz ogólną koordynację projektu</w:t>
      </w:r>
      <w:r w:rsidR="003409C9" w:rsidRPr="003409C9">
        <w:rPr>
          <w:noProof/>
        </w:rPr>
        <w:t xml:space="preserve"> i zar</w:t>
      </w:r>
      <w:r w:rsidRPr="003409C9">
        <w:rPr>
          <w:noProof/>
        </w:rPr>
        <w:t>ządzanie nim</w:t>
      </w:r>
      <w:r w:rsidR="003409C9" w:rsidRPr="003409C9">
        <w:rPr>
          <w:noProof/>
        </w:rPr>
        <w:t xml:space="preserve"> w faz</w:t>
      </w:r>
      <w:r w:rsidRPr="003409C9">
        <w:rPr>
          <w:noProof/>
        </w:rPr>
        <w:t>ie opracowania.</w:t>
      </w:r>
    </w:p>
    <w:p w:rsidR="002B778B" w:rsidRPr="003409C9" w:rsidRDefault="009475BC" w:rsidP="009475BC">
      <w:pPr>
        <w:pStyle w:val="ManualNumPar1"/>
        <w:rPr>
          <w:noProof/>
        </w:rPr>
      </w:pPr>
      <w:r w:rsidRPr="003409C9">
        <w:rPr>
          <w:noProof/>
        </w:rPr>
        <w:t>3.</w:t>
      </w:r>
      <w:r w:rsidRPr="003409C9">
        <w:rPr>
          <w:noProof/>
        </w:rPr>
        <w:tab/>
        <w:t>eu-LISA zapewnia, aby router został zaprojektowany</w:t>
      </w:r>
      <w:r w:rsidR="003409C9" w:rsidRPr="003409C9">
        <w:rPr>
          <w:noProof/>
        </w:rPr>
        <w:t xml:space="preserve"> i opr</w:t>
      </w:r>
      <w:r w:rsidRPr="003409C9">
        <w:rPr>
          <w:noProof/>
        </w:rPr>
        <w:t>acowany</w:t>
      </w:r>
      <w:r w:rsidR="003409C9" w:rsidRPr="003409C9">
        <w:rPr>
          <w:noProof/>
        </w:rPr>
        <w:t xml:space="preserve"> w tak</w:t>
      </w:r>
      <w:r w:rsidRPr="003409C9">
        <w:rPr>
          <w:noProof/>
        </w:rPr>
        <w:t>i sposób, aby umożliwiał korzystanie</w:t>
      </w:r>
      <w:r w:rsidR="003409C9" w:rsidRPr="003409C9">
        <w:rPr>
          <w:noProof/>
        </w:rPr>
        <w:t xml:space="preserve"> z fun</w:t>
      </w:r>
      <w:r w:rsidRPr="003409C9">
        <w:rPr>
          <w:noProof/>
        </w:rPr>
        <w:t>kcji określonych</w:t>
      </w:r>
      <w:r w:rsidR="003409C9" w:rsidRPr="003409C9">
        <w:rPr>
          <w:noProof/>
        </w:rPr>
        <w:t xml:space="preserve"> w nin</w:t>
      </w:r>
      <w:r w:rsidRPr="003409C9">
        <w:rPr>
          <w:noProof/>
        </w:rPr>
        <w:t>iejszym rozporządzeniu</w:t>
      </w:r>
      <w:r w:rsidR="003409C9" w:rsidRPr="003409C9">
        <w:rPr>
          <w:noProof/>
        </w:rPr>
        <w:t xml:space="preserve"> i roz</w:t>
      </w:r>
      <w:r w:rsidRPr="003409C9">
        <w:rPr>
          <w:noProof/>
        </w:rPr>
        <w:t>porządzeniu (UE) [w sprawie egzekwowania przepisów dotyczących API],</w:t>
      </w:r>
      <w:r w:rsidR="003409C9" w:rsidRPr="003409C9">
        <w:rPr>
          <w:noProof/>
        </w:rPr>
        <w:t xml:space="preserve"> a tak</w:t>
      </w:r>
      <w:r w:rsidRPr="003409C9">
        <w:rPr>
          <w:noProof/>
        </w:rPr>
        <w:t>że aby został uruchomiony jak najszybciej po przyjęciu przez Komisję aktów delegowanych przewidzianych</w:t>
      </w:r>
      <w:r w:rsidR="003409C9" w:rsidRPr="003409C9">
        <w:rPr>
          <w:noProof/>
        </w:rPr>
        <w:t xml:space="preserve"> w art</w:t>
      </w:r>
      <w:r w:rsidRPr="003409C9">
        <w:rPr>
          <w:noProof/>
        </w:rPr>
        <w:t>.</w:t>
      </w:r>
      <w:r w:rsidR="003409C9" w:rsidRPr="003409C9">
        <w:rPr>
          <w:noProof/>
        </w:rPr>
        <w:t> </w:t>
      </w:r>
      <w:r w:rsidRPr="003409C9">
        <w:rPr>
          <w:noProof/>
        </w:rPr>
        <w:t>5 ust.</w:t>
      </w:r>
      <w:r w:rsidR="003409C9" w:rsidRPr="003409C9">
        <w:rPr>
          <w:noProof/>
        </w:rPr>
        <w:t> </w:t>
      </w:r>
      <w:r w:rsidRPr="003409C9">
        <w:rPr>
          <w:noProof/>
        </w:rPr>
        <w:t>4, art.</w:t>
      </w:r>
      <w:r w:rsidR="003409C9" w:rsidRPr="003409C9">
        <w:rPr>
          <w:noProof/>
        </w:rPr>
        <w:t> </w:t>
      </w:r>
      <w:r w:rsidRPr="003409C9">
        <w:rPr>
          <w:noProof/>
        </w:rPr>
        <w:t>6 ust.</w:t>
      </w:r>
      <w:r w:rsidR="003409C9" w:rsidRPr="003409C9">
        <w:rPr>
          <w:noProof/>
        </w:rPr>
        <w:t> </w:t>
      </w:r>
      <w:r w:rsidRPr="003409C9">
        <w:rPr>
          <w:noProof/>
        </w:rPr>
        <w:t>3, art.</w:t>
      </w:r>
      <w:r w:rsidR="003409C9" w:rsidRPr="003409C9">
        <w:rPr>
          <w:noProof/>
        </w:rPr>
        <w:t> </w:t>
      </w:r>
      <w:r w:rsidRPr="003409C9">
        <w:rPr>
          <w:noProof/>
        </w:rPr>
        <w:t>11 ust.</w:t>
      </w:r>
      <w:r w:rsidR="003409C9" w:rsidRPr="003409C9">
        <w:rPr>
          <w:noProof/>
        </w:rPr>
        <w:t> </w:t>
      </w:r>
      <w:r w:rsidRPr="003409C9">
        <w:rPr>
          <w:noProof/>
        </w:rPr>
        <w:t>4, art.</w:t>
      </w:r>
      <w:r w:rsidR="003409C9" w:rsidRPr="003409C9">
        <w:rPr>
          <w:noProof/>
        </w:rPr>
        <w:t> </w:t>
      </w:r>
      <w:r w:rsidRPr="003409C9">
        <w:rPr>
          <w:noProof/>
        </w:rPr>
        <w:t>20 ust.</w:t>
      </w:r>
      <w:r w:rsidR="003409C9" w:rsidRPr="003409C9">
        <w:rPr>
          <w:noProof/>
        </w:rPr>
        <w:t> </w:t>
      </w:r>
      <w:r w:rsidRPr="003409C9">
        <w:rPr>
          <w:noProof/>
        </w:rPr>
        <w:t>2</w:t>
      </w:r>
      <w:r w:rsidR="003409C9" w:rsidRPr="003409C9">
        <w:rPr>
          <w:noProof/>
        </w:rPr>
        <w:t xml:space="preserve"> i art</w:t>
      </w:r>
      <w:r w:rsidRPr="003409C9">
        <w:rPr>
          <w:noProof/>
        </w:rPr>
        <w:t>.</w:t>
      </w:r>
      <w:r w:rsidR="003409C9" w:rsidRPr="003409C9">
        <w:rPr>
          <w:noProof/>
        </w:rPr>
        <w:t> </w:t>
      </w:r>
      <w:r w:rsidRPr="003409C9">
        <w:rPr>
          <w:noProof/>
        </w:rPr>
        <w:t>21 ust.</w:t>
      </w:r>
      <w:r w:rsidR="003409C9" w:rsidRPr="003409C9">
        <w:rPr>
          <w:noProof/>
        </w:rPr>
        <w:t> </w:t>
      </w:r>
      <w:r w:rsidRPr="003409C9">
        <w:rPr>
          <w:noProof/>
        </w:rPr>
        <w:t>2.</w:t>
      </w:r>
    </w:p>
    <w:p w:rsidR="009574B8" w:rsidRPr="003409C9" w:rsidRDefault="009475BC" w:rsidP="009475BC">
      <w:pPr>
        <w:pStyle w:val="ManualNumPar1"/>
        <w:rPr>
          <w:noProof/>
        </w:rPr>
      </w:pPr>
      <w:r w:rsidRPr="003409C9">
        <w:rPr>
          <w:noProof/>
        </w:rPr>
        <w:t>4.</w:t>
      </w:r>
      <w:r w:rsidRPr="003409C9">
        <w:rPr>
          <w:noProof/>
        </w:rPr>
        <w:tab/>
        <w:t>W przypadku gdy eu-LISA stwierdzi, że faza opracowania została zakończona, bez zbędnej zwłoki przeprowadza kompleksowy test routera we współpracy</w:t>
      </w:r>
      <w:r w:rsidR="003409C9" w:rsidRPr="003409C9">
        <w:rPr>
          <w:noProof/>
        </w:rPr>
        <w:t xml:space="preserve"> z wła</w:t>
      </w:r>
      <w:r w:rsidRPr="003409C9">
        <w:rPr>
          <w:noProof/>
        </w:rPr>
        <w:t>ściwymi służbami granicznymi, JIP</w:t>
      </w:r>
      <w:r w:rsidR="003409C9" w:rsidRPr="003409C9">
        <w:rPr>
          <w:noProof/>
        </w:rPr>
        <w:t xml:space="preserve"> i inn</w:t>
      </w:r>
      <w:r w:rsidRPr="003409C9">
        <w:rPr>
          <w:noProof/>
        </w:rPr>
        <w:t>ymi właściwymi organami państw członkowskich oraz przewoźnikami lotniczymi,</w:t>
      </w:r>
      <w:r w:rsidR="003409C9" w:rsidRPr="003409C9">
        <w:rPr>
          <w:noProof/>
        </w:rPr>
        <w:t xml:space="preserve"> a tak</w:t>
      </w:r>
      <w:r w:rsidRPr="003409C9">
        <w:rPr>
          <w:noProof/>
        </w:rPr>
        <w:t>że informuje Komisję</w:t>
      </w:r>
      <w:r w:rsidR="003409C9" w:rsidRPr="003409C9">
        <w:rPr>
          <w:noProof/>
        </w:rPr>
        <w:t xml:space="preserve"> o wyn</w:t>
      </w:r>
      <w:r w:rsidRPr="003409C9">
        <w:rPr>
          <w:noProof/>
        </w:rPr>
        <w:t xml:space="preserve">ikach tego testu. </w:t>
      </w:r>
    </w:p>
    <w:p w:rsidR="003C518E" w:rsidRPr="00BB07AF" w:rsidRDefault="009D77D2" w:rsidP="009D77D2">
      <w:pPr>
        <w:keepNext/>
        <w:spacing w:before="360"/>
        <w:jc w:val="center"/>
        <w:rPr>
          <w:i/>
          <w:noProof/>
        </w:rPr>
      </w:pPr>
      <w:r w:rsidRPr="00BB07AF">
        <w:rPr>
          <w:i/>
          <w:noProof/>
        </w:rPr>
        <w:t xml:space="preserve">Artykuł 23 </w:t>
      </w:r>
    </w:p>
    <w:p w:rsidR="003C518E" w:rsidRPr="00BB07AF" w:rsidRDefault="003C518E" w:rsidP="00FB1679">
      <w:pPr>
        <w:jc w:val="center"/>
        <w:rPr>
          <w:b/>
          <w:noProof/>
        </w:rPr>
      </w:pPr>
      <w:r w:rsidRPr="00BB07AF">
        <w:rPr>
          <w:b/>
          <w:noProof/>
        </w:rPr>
        <w:t>Zadania eu-LISA związane</w:t>
      </w:r>
      <w:r w:rsidR="003409C9" w:rsidRPr="00BB07AF">
        <w:rPr>
          <w:b/>
          <w:noProof/>
        </w:rPr>
        <w:t xml:space="preserve"> z obs</w:t>
      </w:r>
      <w:r w:rsidRPr="00BB07AF">
        <w:rPr>
          <w:b/>
          <w:noProof/>
        </w:rPr>
        <w:t>ługą routera oraz zarządzaniem technicznym routerem</w:t>
      </w:r>
    </w:p>
    <w:p w:rsidR="003C518E" w:rsidRPr="003409C9" w:rsidRDefault="009475BC" w:rsidP="009475BC">
      <w:pPr>
        <w:pStyle w:val="ManualNumPar1"/>
        <w:rPr>
          <w:noProof/>
        </w:rPr>
      </w:pPr>
      <w:r w:rsidRPr="003409C9">
        <w:rPr>
          <w:noProof/>
        </w:rPr>
        <w:t>1.</w:t>
      </w:r>
      <w:r w:rsidRPr="003409C9">
        <w:rPr>
          <w:noProof/>
        </w:rPr>
        <w:tab/>
        <w:t>eu-LISA obsługuje router</w:t>
      </w:r>
      <w:r w:rsidR="003409C9" w:rsidRPr="003409C9">
        <w:rPr>
          <w:noProof/>
        </w:rPr>
        <w:t xml:space="preserve"> w swo</w:t>
      </w:r>
      <w:r w:rsidRPr="003409C9">
        <w:rPr>
          <w:noProof/>
        </w:rPr>
        <w:t xml:space="preserve">ich centrach technicznych. </w:t>
      </w:r>
    </w:p>
    <w:p w:rsidR="003C518E" w:rsidRPr="003409C9" w:rsidRDefault="009475BC" w:rsidP="009475BC">
      <w:pPr>
        <w:pStyle w:val="ManualNumPar1"/>
        <w:rPr>
          <w:noProof/>
        </w:rPr>
      </w:pPr>
      <w:r w:rsidRPr="003409C9">
        <w:rPr>
          <w:noProof/>
        </w:rPr>
        <w:t>2.</w:t>
      </w:r>
      <w:r w:rsidRPr="003409C9">
        <w:rPr>
          <w:noProof/>
        </w:rPr>
        <w:tab/>
        <w:t>eu-LISA jest odpowiedzialna za zarządzanie techniczne routerem,</w:t>
      </w:r>
      <w:r w:rsidR="003409C9" w:rsidRPr="003409C9">
        <w:rPr>
          <w:noProof/>
        </w:rPr>
        <w:t xml:space="preserve"> w tym</w:t>
      </w:r>
      <w:r w:rsidRPr="003409C9">
        <w:rPr>
          <w:noProof/>
        </w:rPr>
        <w:t xml:space="preserve"> za jego utrzymanie</w:t>
      </w:r>
      <w:r w:rsidR="003409C9" w:rsidRPr="003409C9">
        <w:rPr>
          <w:noProof/>
        </w:rPr>
        <w:t xml:space="preserve"> i roz</w:t>
      </w:r>
      <w:r w:rsidRPr="003409C9">
        <w:rPr>
          <w:noProof/>
        </w:rPr>
        <w:t>wój techniczny,</w:t>
      </w:r>
      <w:r w:rsidR="003409C9" w:rsidRPr="003409C9">
        <w:rPr>
          <w:noProof/>
        </w:rPr>
        <w:t xml:space="preserve"> w spo</w:t>
      </w:r>
      <w:r w:rsidRPr="003409C9">
        <w:rPr>
          <w:noProof/>
        </w:rPr>
        <w:t>sób zapewniający bezpieczne, skuteczne</w:t>
      </w:r>
      <w:r w:rsidR="003409C9" w:rsidRPr="003409C9">
        <w:rPr>
          <w:noProof/>
        </w:rPr>
        <w:t xml:space="preserve"> i spr</w:t>
      </w:r>
      <w:r w:rsidRPr="003409C9">
        <w:rPr>
          <w:noProof/>
        </w:rPr>
        <w:t>awne przekazywanie danych API za pośrednictwem routera, zgodnie</w:t>
      </w:r>
      <w:r w:rsidR="003409C9" w:rsidRPr="003409C9">
        <w:rPr>
          <w:noProof/>
        </w:rPr>
        <w:t xml:space="preserve"> z nin</w:t>
      </w:r>
      <w:r w:rsidRPr="003409C9">
        <w:rPr>
          <w:noProof/>
        </w:rPr>
        <w:t>iejszym rozporządzeniem</w:t>
      </w:r>
      <w:r w:rsidR="003409C9" w:rsidRPr="003409C9">
        <w:rPr>
          <w:noProof/>
        </w:rPr>
        <w:t xml:space="preserve"> i roz</w:t>
      </w:r>
      <w:r w:rsidRPr="003409C9">
        <w:rPr>
          <w:noProof/>
        </w:rPr>
        <w:t>porządzeniem (UE) [w sprawie egzekwowania przepisów dotyczących API].</w:t>
      </w:r>
    </w:p>
    <w:p w:rsidR="003C518E" w:rsidRPr="003409C9" w:rsidRDefault="003C518E" w:rsidP="00132AF4">
      <w:pPr>
        <w:pStyle w:val="Text1"/>
        <w:rPr>
          <w:noProof/>
        </w:rPr>
      </w:pPr>
      <w:r w:rsidRPr="003409C9">
        <w:rPr>
          <w:noProof/>
        </w:rPr>
        <w:t>Zarządzanie techniczne routerem polega na wykonywaniu wszystkich zadań</w:t>
      </w:r>
      <w:r w:rsidR="003409C9" w:rsidRPr="003409C9">
        <w:rPr>
          <w:noProof/>
        </w:rPr>
        <w:t xml:space="preserve"> i wpr</w:t>
      </w:r>
      <w:r w:rsidRPr="003409C9">
        <w:rPr>
          <w:noProof/>
        </w:rPr>
        <w:t>owadzaniu wszystkich rozwiązań technicznych niezbędnych do zapewnienia prawidłowego funkcjonowania routera zgodnie</w:t>
      </w:r>
      <w:r w:rsidR="003409C9" w:rsidRPr="003409C9">
        <w:rPr>
          <w:noProof/>
        </w:rPr>
        <w:t xml:space="preserve"> z nin</w:t>
      </w:r>
      <w:r w:rsidRPr="003409C9">
        <w:rPr>
          <w:noProof/>
        </w:rPr>
        <w:t>iejszym rozporządzeniem</w:t>
      </w:r>
      <w:r w:rsidR="003409C9" w:rsidRPr="003409C9">
        <w:rPr>
          <w:noProof/>
        </w:rPr>
        <w:t xml:space="preserve"> i roz</w:t>
      </w:r>
      <w:r w:rsidRPr="003409C9">
        <w:rPr>
          <w:noProof/>
        </w:rPr>
        <w:t>porządzeniem (UE) [w sprawie egzekwowania przepisów dotyczących API],</w:t>
      </w:r>
      <w:r w:rsidR="003409C9" w:rsidRPr="003409C9">
        <w:rPr>
          <w:noProof/>
        </w:rPr>
        <w:t xml:space="preserve"> w spo</w:t>
      </w:r>
      <w:r w:rsidRPr="003409C9">
        <w:rPr>
          <w:noProof/>
        </w:rPr>
        <w:t>sób nieprzerwany, przez 24 godziny na dobę, 7 dni</w:t>
      </w:r>
      <w:r w:rsidR="003409C9" w:rsidRPr="003409C9">
        <w:rPr>
          <w:noProof/>
        </w:rPr>
        <w:t xml:space="preserve"> w tyg</w:t>
      </w:r>
      <w:r w:rsidRPr="003409C9">
        <w:rPr>
          <w:noProof/>
        </w:rPr>
        <w:t>odniu. Obejmuje ono</w:t>
      </w:r>
      <w:r w:rsidR="003409C9" w:rsidRPr="003409C9">
        <w:rPr>
          <w:noProof/>
        </w:rPr>
        <w:t xml:space="preserve"> w szc</w:t>
      </w:r>
      <w:r w:rsidRPr="003409C9">
        <w:rPr>
          <w:noProof/>
        </w:rPr>
        <w:t>zególności prace konserwacyjne</w:t>
      </w:r>
      <w:r w:rsidR="003409C9" w:rsidRPr="003409C9">
        <w:rPr>
          <w:noProof/>
        </w:rPr>
        <w:t xml:space="preserve"> i zmi</w:t>
      </w:r>
      <w:r w:rsidRPr="003409C9">
        <w:rPr>
          <w:noProof/>
        </w:rPr>
        <w:t>any techniczne konieczne do zapewnienia zadowalającego poziomu jakości technicznej funkcjonowania routera,</w:t>
      </w:r>
      <w:r w:rsidR="003409C9" w:rsidRPr="003409C9">
        <w:rPr>
          <w:noProof/>
        </w:rPr>
        <w:t xml:space="preserve"> w szc</w:t>
      </w:r>
      <w:r w:rsidRPr="003409C9">
        <w:rPr>
          <w:noProof/>
        </w:rPr>
        <w:t>zególności</w:t>
      </w:r>
      <w:r w:rsidR="003409C9" w:rsidRPr="003409C9">
        <w:rPr>
          <w:noProof/>
        </w:rPr>
        <w:t xml:space="preserve"> w zak</w:t>
      </w:r>
      <w:r w:rsidRPr="003409C9">
        <w:rPr>
          <w:noProof/>
        </w:rPr>
        <w:t>resie dostępności, dokładności</w:t>
      </w:r>
      <w:r w:rsidR="003409C9" w:rsidRPr="003409C9">
        <w:rPr>
          <w:noProof/>
        </w:rPr>
        <w:t xml:space="preserve"> i nie</w:t>
      </w:r>
      <w:r w:rsidRPr="003409C9">
        <w:rPr>
          <w:noProof/>
        </w:rPr>
        <w:t>zawodności przekazywania danych API, zgodnie ze specyfikacją techniczną</w:t>
      </w:r>
      <w:r w:rsidR="003409C9" w:rsidRPr="003409C9">
        <w:rPr>
          <w:noProof/>
        </w:rPr>
        <w:t xml:space="preserve"> i w jak</w:t>
      </w:r>
      <w:r w:rsidRPr="003409C9">
        <w:rPr>
          <w:noProof/>
        </w:rPr>
        <w:t xml:space="preserve"> największym stopniu zgodnie</w:t>
      </w:r>
      <w:r w:rsidR="003409C9" w:rsidRPr="003409C9">
        <w:rPr>
          <w:noProof/>
        </w:rPr>
        <w:t xml:space="preserve"> z pot</w:t>
      </w:r>
      <w:r w:rsidRPr="003409C9">
        <w:rPr>
          <w:noProof/>
        </w:rPr>
        <w:t>rzebami operacyjnymi właściwych służb granicznych, JIP</w:t>
      </w:r>
      <w:r w:rsidR="003409C9" w:rsidRPr="003409C9">
        <w:rPr>
          <w:noProof/>
        </w:rPr>
        <w:t xml:space="preserve"> i prz</w:t>
      </w:r>
      <w:r w:rsidRPr="003409C9">
        <w:rPr>
          <w:noProof/>
        </w:rPr>
        <w:t>ewoźników lotniczych.</w:t>
      </w:r>
    </w:p>
    <w:p w:rsidR="003C518E" w:rsidRPr="003409C9" w:rsidRDefault="009475BC" w:rsidP="009475BC">
      <w:pPr>
        <w:pStyle w:val="ManualNumPar1"/>
        <w:rPr>
          <w:noProof/>
        </w:rPr>
      </w:pPr>
      <w:r w:rsidRPr="003409C9">
        <w:rPr>
          <w:noProof/>
        </w:rPr>
        <w:t>3.</w:t>
      </w:r>
      <w:r w:rsidRPr="003409C9">
        <w:rPr>
          <w:noProof/>
        </w:rPr>
        <w:tab/>
        <w:t>eu-LISA nie ma dostępu do żadnych danych API przekazywanych za pośrednictwem routera. Zakaz ten nie wyklucza jednak możliwości uzyskania przez eu-LISA takiego dostępu</w:t>
      </w:r>
      <w:r w:rsidR="003409C9" w:rsidRPr="003409C9">
        <w:rPr>
          <w:noProof/>
        </w:rPr>
        <w:t xml:space="preserve"> w zak</w:t>
      </w:r>
      <w:r w:rsidRPr="003409C9">
        <w:rPr>
          <w:noProof/>
        </w:rPr>
        <w:t xml:space="preserve">resie bezwzględnie niezbędnym do utrzymywania routera. </w:t>
      </w:r>
    </w:p>
    <w:p w:rsidR="005F1A89" w:rsidRPr="003409C9" w:rsidRDefault="009475BC" w:rsidP="009475BC">
      <w:pPr>
        <w:pStyle w:val="ManualNumPar1"/>
        <w:rPr>
          <w:noProof/>
        </w:rPr>
      </w:pPr>
      <w:r w:rsidRPr="003409C9">
        <w:rPr>
          <w:noProof/>
        </w:rPr>
        <w:t>4.</w:t>
      </w:r>
      <w:r w:rsidRPr="003409C9">
        <w:rPr>
          <w:noProof/>
        </w:rPr>
        <w:tab/>
        <w:t>Bez uszczerbku dla ust.</w:t>
      </w:r>
      <w:r w:rsidR="003409C9" w:rsidRPr="003409C9">
        <w:rPr>
          <w:noProof/>
        </w:rPr>
        <w:t> </w:t>
      </w:r>
      <w:r w:rsidRPr="003409C9">
        <w:rPr>
          <w:noProof/>
        </w:rPr>
        <w:t>3 niniejszego artykułu oraz art.</w:t>
      </w:r>
      <w:r w:rsidR="003409C9" w:rsidRPr="003409C9">
        <w:rPr>
          <w:noProof/>
        </w:rPr>
        <w:t> </w:t>
      </w:r>
      <w:r w:rsidRPr="003409C9">
        <w:rPr>
          <w:noProof/>
        </w:rPr>
        <w:t>17 rozporządzenia Rady (EWG, Euratom, EWWiS) nr</w:t>
      </w:r>
      <w:r w:rsidR="003409C9" w:rsidRPr="003409C9">
        <w:rPr>
          <w:noProof/>
        </w:rPr>
        <w:t> </w:t>
      </w:r>
      <w:r w:rsidRPr="003409C9">
        <w:rPr>
          <w:noProof/>
        </w:rPr>
        <w:t>259/68</w:t>
      </w:r>
      <w:r w:rsidRPr="003409C9">
        <w:rPr>
          <w:rStyle w:val="FootnoteReference0"/>
          <w:noProof/>
        </w:rPr>
        <w:footnoteReference w:id="51"/>
      </w:r>
      <w:r w:rsidRPr="003409C9">
        <w:rPr>
          <w:noProof/>
        </w:rPr>
        <w:t>, eu-LISA stosuje właściwe przepisy dotyczące tajemnicy zawodowej lub nakłada inne równoważne obowiązki zachowania poufności na swoich pracowników zobowiązanych do pracy</w:t>
      </w:r>
      <w:r w:rsidR="003409C9" w:rsidRPr="003409C9">
        <w:rPr>
          <w:noProof/>
        </w:rPr>
        <w:t xml:space="preserve"> z dan</w:t>
      </w:r>
      <w:r w:rsidRPr="003409C9">
        <w:rPr>
          <w:noProof/>
        </w:rPr>
        <w:t>ymi API przekazywanymi za pośrednictwem routera.</w:t>
      </w:r>
      <w:r w:rsidR="003B5A1D" w:rsidRPr="003409C9">
        <w:rPr>
          <w:noProof/>
        </w:rPr>
        <w:t xml:space="preserve"> </w:t>
      </w:r>
      <w:r w:rsidRPr="003409C9">
        <w:rPr>
          <w:noProof/>
        </w:rPr>
        <w:t>Obowiązek ten stosuje się także po odejściu tych pracowników</w:t>
      </w:r>
      <w:r w:rsidR="003409C9" w:rsidRPr="003409C9">
        <w:rPr>
          <w:noProof/>
        </w:rPr>
        <w:t xml:space="preserve"> z urz</w:t>
      </w:r>
      <w:r w:rsidRPr="003409C9">
        <w:rPr>
          <w:noProof/>
        </w:rPr>
        <w:t>ędu lub</w:t>
      </w:r>
      <w:r w:rsidR="003409C9" w:rsidRPr="003409C9">
        <w:rPr>
          <w:noProof/>
        </w:rPr>
        <w:t xml:space="preserve"> z pra</w:t>
      </w:r>
      <w:r w:rsidRPr="003409C9">
        <w:rPr>
          <w:noProof/>
        </w:rPr>
        <w:t>cy lub po zakończeniu przez nich działalności.</w:t>
      </w:r>
    </w:p>
    <w:p w:rsidR="005F1A89" w:rsidRPr="00BB07AF" w:rsidRDefault="005F1A89" w:rsidP="005F1A89">
      <w:pPr>
        <w:pStyle w:val="Titrearticle"/>
        <w:rPr>
          <w:noProof/>
        </w:rPr>
      </w:pPr>
      <w:r w:rsidRPr="00BB07AF">
        <w:rPr>
          <w:noProof/>
        </w:rPr>
        <w:t xml:space="preserve">Artykuł 24 </w:t>
      </w:r>
    </w:p>
    <w:p w:rsidR="005F1A89" w:rsidRPr="00BB07AF" w:rsidRDefault="005F1A89" w:rsidP="005F1A89">
      <w:pPr>
        <w:jc w:val="center"/>
        <w:rPr>
          <w:b/>
          <w:noProof/>
        </w:rPr>
      </w:pPr>
      <w:r w:rsidRPr="00BB07AF">
        <w:rPr>
          <w:b/>
          <w:noProof/>
        </w:rPr>
        <w:t>Zadania pomocnicze eu-LISA związane</w:t>
      </w:r>
      <w:r w:rsidR="003409C9" w:rsidRPr="00BB07AF">
        <w:rPr>
          <w:b/>
          <w:noProof/>
        </w:rPr>
        <w:t xml:space="preserve"> z rou</w:t>
      </w:r>
      <w:r w:rsidRPr="00BB07AF">
        <w:rPr>
          <w:b/>
          <w:noProof/>
        </w:rPr>
        <w:t xml:space="preserve">terem </w:t>
      </w:r>
    </w:p>
    <w:p w:rsidR="005F1A89" w:rsidRPr="003409C9" w:rsidRDefault="009475BC" w:rsidP="009475BC">
      <w:pPr>
        <w:pStyle w:val="ManualNumPar1"/>
        <w:rPr>
          <w:noProof/>
        </w:rPr>
      </w:pPr>
      <w:r w:rsidRPr="003409C9">
        <w:rPr>
          <w:noProof/>
        </w:rPr>
        <w:t>1.</w:t>
      </w:r>
      <w:r w:rsidRPr="003409C9">
        <w:rPr>
          <w:noProof/>
        </w:rPr>
        <w:tab/>
        <w:t>Na wniosek właściwych służb granicznych, JIP</w:t>
      </w:r>
      <w:r w:rsidR="003409C9" w:rsidRPr="003409C9">
        <w:rPr>
          <w:noProof/>
        </w:rPr>
        <w:t xml:space="preserve"> i inn</w:t>
      </w:r>
      <w:r w:rsidRPr="003409C9">
        <w:rPr>
          <w:noProof/>
        </w:rPr>
        <w:t>ych odpowiednich organów państw członkowskich oraz przewoźników lotniczych eu-LISA zapewnia im szkolenie</w:t>
      </w:r>
      <w:r w:rsidR="003409C9" w:rsidRPr="003409C9">
        <w:rPr>
          <w:noProof/>
        </w:rPr>
        <w:t xml:space="preserve"> w zak</w:t>
      </w:r>
      <w:r w:rsidRPr="003409C9">
        <w:rPr>
          <w:noProof/>
        </w:rPr>
        <w:t>resie technicznego korzystania</w:t>
      </w:r>
      <w:r w:rsidR="003409C9" w:rsidRPr="003409C9">
        <w:rPr>
          <w:noProof/>
        </w:rPr>
        <w:t xml:space="preserve"> z rou</w:t>
      </w:r>
      <w:r w:rsidRPr="003409C9">
        <w:rPr>
          <w:noProof/>
        </w:rPr>
        <w:t>tera.</w:t>
      </w:r>
    </w:p>
    <w:p w:rsidR="005F1A89" w:rsidRPr="003409C9" w:rsidRDefault="009475BC" w:rsidP="009475BC">
      <w:pPr>
        <w:pStyle w:val="ManualNumPar1"/>
        <w:rPr>
          <w:noProof/>
        </w:rPr>
      </w:pPr>
      <w:r w:rsidRPr="003409C9">
        <w:rPr>
          <w:noProof/>
        </w:rPr>
        <w:t>2.</w:t>
      </w:r>
      <w:r w:rsidRPr="003409C9">
        <w:rPr>
          <w:noProof/>
        </w:rPr>
        <w:tab/>
        <w:t>eu-LISA zapewnia wsparcie właściwym służbom granicznym i JIP</w:t>
      </w:r>
      <w:r w:rsidR="003409C9" w:rsidRPr="003409C9">
        <w:rPr>
          <w:noProof/>
        </w:rPr>
        <w:t xml:space="preserve"> w zak</w:t>
      </w:r>
      <w:r w:rsidRPr="003409C9">
        <w:rPr>
          <w:noProof/>
        </w:rPr>
        <w:t>resie odbioru danych API za pośrednictwem routera zgodnie z – odpowiednio – niniejszym rozporządzeniem</w:t>
      </w:r>
      <w:r w:rsidR="003409C9" w:rsidRPr="003409C9">
        <w:rPr>
          <w:noProof/>
        </w:rPr>
        <w:t xml:space="preserve"> i roz</w:t>
      </w:r>
      <w:r w:rsidRPr="003409C9">
        <w:rPr>
          <w:noProof/>
        </w:rPr>
        <w:t>porządzeniem (UE) [w sprawie egzekwowania przepisów dotyczących API],</w:t>
      </w:r>
      <w:r w:rsidR="003409C9" w:rsidRPr="003409C9">
        <w:rPr>
          <w:noProof/>
        </w:rPr>
        <w:t xml:space="preserve"> w szc</w:t>
      </w:r>
      <w:r w:rsidRPr="003409C9">
        <w:rPr>
          <w:noProof/>
        </w:rPr>
        <w:t>zególności</w:t>
      </w:r>
      <w:r w:rsidR="003409C9" w:rsidRPr="003409C9">
        <w:rPr>
          <w:noProof/>
        </w:rPr>
        <w:t xml:space="preserve"> w kwe</w:t>
      </w:r>
      <w:r w:rsidRPr="003409C9">
        <w:rPr>
          <w:noProof/>
        </w:rPr>
        <w:t>stii stosowania art.</w:t>
      </w:r>
      <w:r w:rsidR="003409C9" w:rsidRPr="003409C9">
        <w:rPr>
          <w:noProof/>
        </w:rPr>
        <w:t> </w:t>
      </w:r>
      <w:r w:rsidRPr="003409C9">
        <w:rPr>
          <w:noProof/>
        </w:rPr>
        <w:t>11</w:t>
      </w:r>
      <w:r w:rsidR="003409C9" w:rsidRPr="003409C9">
        <w:rPr>
          <w:noProof/>
        </w:rPr>
        <w:t xml:space="preserve"> i 2</w:t>
      </w:r>
      <w:r w:rsidRPr="003409C9">
        <w:rPr>
          <w:noProof/>
        </w:rPr>
        <w:t>0 niniejszego rozporządzenia oraz art.</w:t>
      </w:r>
      <w:r w:rsidR="003409C9" w:rsidRPr="003409C9">
        <w:rPr>
          <w:noProof/>
        </w:rPr>
        <w:t> </w:t>
      </w:r>
      <w:r w:rsidRPr="003409C9">
        <w:rPr>
          <w:noProof/>
        </w:rPr>
        <w:t>5</w:t>
      </w:r>
      <w:r w:rsidR="003409C9" w:rsidRPr="003409C9">
        <w:rPr>
          <w:noProof/>
        </w:rPr>
        <w:t xml:space="preserve"> i 1</w:t>
      </w:r>
      <w:r w:rsidRPr="003409C9">
        <w:rPr>
          <w:noProof/>
        </w:rPr>
        <w:t>0 rozporządzenia (UE) [w sprawie egzekwowania przepisów dotyczących API].</w:t>
      </w:r>
    </w:p>
    <w:p w:rsidR="00780E64" w:rsidRPr="00BB07AF" w:rsidRDefault="00780E64" w:rsidP="00780E64">
      <w:pPr>
        <w:pStyle w:val="Titrearticle"/>
        <w:rPr>
          <w:noProof/>
        </w:rPr>
      </w:pPr>
      <w:r w:rsidRPr="00BB07AF">
        <w:rPr>
          <w:noProof/>
        </w:rPr>
        <w:t>Artykuł 25</w:t>
      </w:r>
    </w:p>
    <w:p w:rsidR="00780E64" w:rsidRPr="00BB07AF" w:rsidRDefault="00780E64" w:rsidP="00780E64">
      <w:pPr>
        <w:jc w:val="center"/>
        <w:rPr>
          <w:b/>
          <w:noProof/>
        </w:rPr>
      </w:pPr>
      <w:r w:rsidRPr="00BB07AF">
        <w:rPr>
          <w:b/>
          <w:noProof/>
        </w:rPr>
        <w:t>Koszty ponoszone przez eu-LISA</w:t>
      </w:r>
      <w:r w:rsidR="003409C9" w:rsidRPr="00BB07AF">
        <w:rPr>
          <w:b/>
          <w:noProof/>
        </w:rPr>
        <w:t xml:space="preserve"> i pań</w:t>
      </w:r>
      <w:r w:rsidRPr="00BB07AF">
        <w:rPr>
          <w:b/>
          <w:noProof/>
        </w:rPr>
        <w:t>stwa członkowskie</w:t>
      </w:r>
    </w:p>
    <w:p w:rsidR="00780E64" w:rsidRPr="003409C9" w:rsidRDefault="009475BC" w:rsidP="009475BC">
      <w:pPr>
        <w:pStyle w:val="ManualNumPar1"/>
        <w:rPr>
          <w:noProof/>
        </w:rPr>
      </w:pPr>
      <w:r w:rsidRPr="003409C9">
        <w:rPr>
          <w:noProof/>
        </w:rPr>
        <w:t>1.</w:t>
      </w:r>
      <w:r w:rsidRPr="003409C9">
        <w:rPr>
          <w:noProof/>
        </w:rPr>
        <w:tab/>
        <w:t>Koszty ponoszone przez eu-LISA</w:t>
      </w:r>
      <w:r w:rsidR="003409C9" w:rsidRPr="003409C9">
        <w:rPr>
          <w:noProof/>
        </w:rPr>
        <w:t xml:space="preserve"> w zwi</w:t>
      </w:r>
      <w:r w:rsidRPr="003409C9">
        <w:rPr>
          <w:noProof/>
        </w:rPr>
        <w:t>ązku</w:t>
      </w:r>
      <w:r w:rsidR="003409C9" w:rsidRPr="003409C9">
        <w:rPr>
          <w:noProof/>
        </w:rPr>
        <w:t xml:space="preserve"> z zap</w:t>
      </w:r>
      <w:r w:rsidRPr="003409C9">
        <w:rPr>
          <w:noProof/>
        </w:rPr>
        <w:t>rojektowaniem, opracowaniem</w:t>
      </w:r>
      <w:r w:rsidR="003409C9" w:rsidRPr="003409C9">
        <w:rPr>
          <w:noProof/>
        </w:rPr>
        <w:t xml:space="preserve"> i obs</w:t>
      </w:r>
      <w:r w:rsidRPr="003409C9">
        <w:rPr>
          <w:noProof/>
        </w:rPr>
        <w:t>ługą routera oraz zarządzaniem technicznym tym routerem na podstawie niniejszego rozporządzenia</w:t>
      </w:r>
      <w:r w:rsidR="003409C9" w:rsidRPr="003409C9">
        <w:rPr>
          <w:noProof/>
        </w:rPr>
        <w:t xml:space="preserve"> i roz</w:t>
      </w:r>
      <w:r w:rsidRPr="003409C9">
        <w:rPr>
          <w:noProof/>
        </w:rPr>
        <w:t>porządzenia (UE) [w sprawie egzekwowania przepisów dotyczących API] są pokrywane</w:t>
      </w:r>
      <w:r w:rsidR="003409C9" w:rsidRPr="003409C9">
        <w:rPr>
          <w:noProof/>
        </w:rPr>
        <w:t xml:space="preserve"> z bud</w:t>
      </w:r>
      <w:r w:rsidRPr="003409C9">
        <w:rPr>
          <w:noProof/>
        </w:rPr>
        <w:t>żetu ogólnego Unii.</w:t>
      </w:r>
    </w:p>
    <w:p w:rsidR="00780E64" w:rsidRPr="003409C9" w:rsidRDefault="009475BC" w:rsidP="009475BC">
      <w:pPr>
        <w:pStyle w:val="ManualNumPar1"/>
        <w:rPr>
          <w:noProof/>
        </w:rPr>
      </w:pPr>
      <w:r w:rsidRPr="003409C9">
        <w:rPr>
          <w:noProof/>
        </w:rPr>
        <w:t>2.</w:t>
      </w:r>
      <w:r w:rsidRPr="003409C9">
        <w:rPr>
          <w:noProof/>
        </w:rPr>
        <w:tab/>
        <w:t>Koszty ponoszone przez państwa członkowskie</w:t>
      </w:r>
      <w:r w:rsidR="003409C9" w:rsidRPr="003409C9">
        <w:rPr>
          <w:noProof/>
        </w:rPr>
        <w:t xml:space="preserve"> w zwi</w:t>
      </w:r>
      <w:r w:rsidRPr="003409C9">
        <w:rPr>
          <w:noProof/>
        </w:rPr>
        <w:t>ązku</w:t>
      </w:r>
      <w:r w:rsidR="003409C9" w:rsidRPr="003409C9">
        <w:rPr>
          <w:noProof/>
        </w:rPr>
        <w:t xml:space="preserve"> z pod</w:t>
      </w:r>
      <w:r w:rsidRPr="003409C9">
        <w:rPr>
          <w:noProof/>
        </w:rPr>
        <w:t>łączeniem ich do routera</w:t>
      </w:r>
      <w:r w:rsidR="003409C9" w:rsidRPr="003409C9">
        <w:rPr>
          <w:noProof/>
        </w:rPr>
        <w:t xml:space="preserve"> i int</w:t>
      </w:r>
      <w:r w:rsidRPr="003409C9">
        <w:rPr>
          <w:noProof/>
        </w:rPr>
        <w:t>egracją</w:t>
      </w:r>
      <w:r w:rsidR="003409C9" w:rsidRPr="003409C9">
        <w:rPr>
          <w:noProof/>
        </w:rPr>
        <w:t xml:space="preserve"> z nim</w:t>
      </w:r>
      <w:r w:rsidRPr="003409C9">
        <w:rPr>
          <w:noProof/>
        </w:rPr>
        <w:t>,</w:t>
      </w:r>
      <w:r w:rsidR="003409C9" w:rsidRPr="003409C9">
        <w:rPr>
          <w:noProof/>
        </w:rPr>
        <w:t xml:space="preserve"> o któ</w:t>
      </w:r>
      <w:r w:rsidRPr="003409C9">
        <w:rPr>
          <w:noProof/>
        </w:rPr>
        <w:t>rych mowa</w:t>
      </w:r>
      <w:r w:rsidR="003409C9" w:rsidRPr="003409C9">
        <w:rPr>
          <w:noProof/>
        </w:rPr>
        <w:t xml:space="preserve"> w art</w:t>
      </w:r>
      <w:r w:rsidRPr="003409C9">
        <w:rPr>
          <w:noProof/>
        </w:rPr>
        <w:t>.</w:t>
      </w:r>
      <w:r w:rsidR="003409C9" w:rsidRPr="003409C9">
        <w:rPr>
          <w:noProof/>
        </w:rPr>
        <w:t> </w:t>
      </w:r>
      <w:r w:rsidRPr="003409C9">
        <w:rPr>
          <w:noProof/>
        </w:rPr>
        <w:t>20, są pokrywane</w:t>
      </w:r>
      <w:r w:rsidR="003409C9" w:rsidRPr="003409C9">
        <w:rPr>
          <w:noProof/>
        </w:rPr>
        <w:t xml:space="preserve"> z bud</w:t>
      </w:r>
      <w:r w:rsidRPr="003409C9">
        <w:rPr>
          <w:noProof/>
        </w:rPr>
        <w:t>żetu ogólnego Unii.</w:t>
      </w:r>
    </w:p>
    <w:p w:rsidR="00780E64" w:rsidRPr="003409C9" w:rsidRDefault="00780E64" w:rsidP="007A53AC">
      <w:pPr>
        <w:pStyle w:val="Text1"/>
        <w:rPr>
          <w:noProof/>
        </w:rPr>
      </w:pPr>
      <w:r w:rsidRPr="003409C9">
        <w:rPr>
          <w:noProof/>
        </w:rPr>
        <w:t>Wyłącza się jednak następujące koszty, które pokrywają państwa członkowskie:</w:t>
      </w:r>
    </w:p>
    <w:p w:rsidR="00780E64" w:rsidRPr="003409C9" w:rsidRDefault="009475BC" w:rsidP="009475BC">
      <w:pPr>
        <w:pStyle w:val="Point1"/>
        <w:rPr>
          <w:noProof/>
        </w:rPr>
      </w:pPr>
      <w:r w:rsidRPr="003409C9">
        <w:rPr>
          <w:noProof/>
        </w:rPr>
        <w:t>a)</w:t>
      </w:r>
      <w:r w:rsidRPr="003409C9">
        <w:rPr>
          <w:noProof/>
        </w:rPr>
        <w:tab/>
        <w:t>koszty dotyczące funkcjonowania biura zarządzania projektami,</w:t>
      </w:r>
      <w:r w:rsidR="003409C9" w:rsidRPr="003409C9">
        <w:rPr>
          <w:noProof/>
        </w:rPr>
        <w:t xml:space="preserve"> w tym</w:t>
      </w:r>
      <w:r w:rsidRPr="003409C9">
        <w:rPr>
          <w:noProof/>
        </w:rPr>
        <w:t xml:space="preserve"> koszty posiedzeń, podróży służbowych, lokali biurowych;</w:t>
      </w:r>
    </w:p>
    <w:p w:rsidR="00780E64" w:rsidRPr="003409C9" w:rsidRDefault="009475BC" w:rsidP="009475BC">
      <w:pPr>
        <w:pStyle w:val="Point1"/>
        <w:rPr>
          <w:noProof/>
        </w:rPr>
      </w:pPr>
      <w:r w:rsidRPr="003409C9">
        <w:rPr>
          <w:noProof/>
        </w:rPr>
        <w:t>b)</w:t>
      </w:r>
      <w:r w:rsidRPr="003409C9">
        <w:rPr>
          <w:noProof/>
        </w:rPr>
        <w:tab/>
        <w:t>koszty dotyczące obsługi krajowych systemów informatycznych,</w:t>
      </w:r>
      <w:r w:rsidR="003409C9" w:rsidRPr="003409C9">
        <w:rPr>
          <w:noProof/>
        </w:rPr>
        <w:t xml:space="preserve"> w tym</w:t>
      </w:r>
      <w:r w:rsidRPr="003409C9">
        <w:rPr>
          <w:noProof/>
        </w:rPr>
        <w:t xml:space="preserve"> pomieszczeń, wdrażania, energii elektrycznej</w:t>
      </w:r>
      <w:r w:rsidR="003409C9" w:rsidRPr="003409C9">
        <w:rPr>
          <w:noProof/>
        </w:rPr>
        <w:t xml:space="preserve"> i chł</w:t>
      </w:r>
      <w:r w:rsidRPr="003409C9">
        <w:rPr>
          <w:noProof/>
        </w:rPr>
        <w:t>odzenia;</w:t>
      </w:r>
    </w:p>
    <w:p w:rsidR="00780E64" w:rsidRPr="003409C9" w:rsidRDefault="009475BC" w:rsidP="009475BC">
      <w:pPr>
        <w:pStyle w:val="Point1"/>
        <w:rPr>
          <w:noProof/>
        </w:rPr>
      </w:pPr>
      <w:r w:rsidRPr="003409C9">
        <w:rPr>
          <w:noProof/>
        </w:rPr>
        <w:t>c)</w:t>
      </w:r>
      <w:r w:rsidRPr="003409C9">
        <w:rPr>
          <w:noProof/>
        </w:rPr>
        <w:tab/>
        <w:t>koszty dotyczące funkcjonowania krajowych systemów informatycznych,</w:t>
      </w:r>
      <w:r w:rsidR="003409C9" w:rsidRPr="003409C9">
        <w:rPr>
          <w:noProof/>
        </w:rPr>
        <w:t xml:space="preserve"> w tym</w:t>
      </w:r>
      <w:r w:rsidRPr="003409C9">
        <w:rPr>
          <w:noProof/>
        </w:rPr>
        <w:t xml:space="preserve"> umów</w:t>
      </w:r>
      <w:r w:rsidR="003409C9" w:rsidRPr="003409C9">
        <w:rPr>
          <w:noProof/>
        </w:rPr>
        <w:t xml:space="preserve"> z ope</w:t>
      </w:r>
      <w:r w:rsidRPr="003409C9">
        <w:rPr>
          <w:noProof/>
        </w:rPr>
        <w:t>ratorami</w:t>
      </w:r>
      <w:r w:rsidR="003409C9" w:rsidRPr="003409C9">
        <w:rPr>
          <w:noProof/>
        </w:rPr>
        <w:t xml:space="preserve"> i umó</w:t>
      </w:r>
      <w:r w:rsidRPr="003409C9">
        <w:rPr>
          <w:noProof/>
        </w:rPr>
        <w:t>w</w:t>
      </w:r>
      <w:r w:rsidR="003409C9" w:rsidRPr="003409C9">
        <w:rPr>
          <w:noProof/>
        </w:rPr>
        <w:t xml:space="preserve"> w zak</w:t>
      </w:r>
      <w:r w:rsidRPr="003409C9">
        <w:rPr>
          <w:noProof/>
        </w:rPr>
        <w:t>resie wsparcia;</w:t>
      </w:r>
    </w:p>
    <w:p w:rsidR="00780E64" w:rsidRPr="003409C9" w:rsidRDefault="009475BC" w:rsidP="009475BC">
      <w:pPr>
        <w:pStyle w:val="Point1"/>
        <w:rPr>
          <w:noProof/>
        </w:rPr>
      </w:pPr>
      <w:r w:rsidRPr="003409C9">
        <w:rPr>
          <w:noProof/>
        </w:rPr>
        <w:t>d)</w:t>
      </w:r>
      <w:r w:rsidRPr="003409C9">
        <w:rPr>
          <w:noProof/>
        </w:rPr>
        <w:tab/>
        <w:t>koszty dotyczące projektowania, opracowania, wdrażania, funkcjonowania</w:t>
      </w:r>
      <w:r w:rsidR="003409C9" w:rsidRPr="003409C9">
        <w:rPr>
          <w:noProof/>
        </w:rPr>
        <w:t xml:space="preserve"> i utr</w:t>
      </w:r>
      <w:r w:rsidRPr="003409C9">
        <w:rPr>
          <w:noProof/>
        </w:rPr>
        <w:t>zymania krajowych sieci łączności.</w:t>
      </w:r>
    </w:p>
    <w:p w:rsidR="00780E64" w:rsidRPr="003409C9" w:rsidRDefault="009475BC" w:rsidP="009475BC">
      <w:pPr>
        <w:pStyle w:val="ManualNumPar1"/>
        <w:rPr>
          <w:noProof/>
        </w:rPr>
      </w:pPr>
      <w:r w:rsidRPr="003409C9">
        <w:rPr>
          <w:noProof/>
        </w:rPr>
        <w:t>3.</w:t>
      </w:r>
      <w:r w:rsidRPr="003409C9">
        <w:rPr>
          <w:noProof/>
        </w:rPr>
        <w:tab/>
        <w:t>Państwa członkowskie ponoszą również koszty powstałe</w:t>
      </w:r>
      <w:r w:rsidR="003409C9" w:rsidRPr="003409C9">
        <w:rPr>
          <w:noProof/>
        </w:rPr>
        <w:t xml:space="preserve"> w wyn</w:t>
      </w:r>
      <w:r w:rsidRPr="003409C9">
        <w:rPr>
          <w:noProof/>
        </w:rPr>
        <w:t>iku administrowania, użytkowania</w:t>
      </w:r>
      <w:r w:rsidR="003409C9" w:rsidRPr="003409C9">
        <w:rPr>
          <w:noProof/>
        </w:rPr>
        <w:t xml:space="preserve"> i kon</w:t>
      </w:r>
      <w:r w:rsidRPr="003409C9">
        <w:rPr>
          <w:noProof/>
        </w:rPr>
        <w:t>serwacji krajowych podłączeń do routera</w:t>
      </w:r>
      <w:r w:rsidR="003409C9" w:rsidRPr="003409C9">
        <w:rPr>
          <w:noProof/>
        </w:rPr>
        <w:t xml:space="preserve"> i int</w:t>
      </w:r>
      <w:r w:rsidRPr="003409C9">
        <w:rPr>
          <w:noProof/>
        </w:rPr>
        <w:t>egracji</w:t>
      </w:r>
      <w:r w:rsidR="003409C9" w:rsidRPr="003409C9">
        <w:rPr>
          <w:noProof/>
        </w:rPr>
        <w:t xml:space="preserve"> z nim</w:t>
      </w:r>
      <w:r w:rsidRPr="003409C9">
        <w:rPr>
          <w:noProof/>
        </w:rPr>
        <w:t>.</w:t>
      </w:r>
    </w:p>
    <w:p w:rsidR="004E1047" w:rsidRPr="00BB07AF" w:rsidRDefault="004E1047" w:rsidP="004E1047">
      <w:pPr>
        <w:pStyle w:val="Titrearticle"/>
        <w:rPr>
          <w:noProof/>
        </w:rPr>
      </w:pPr>
      <w:r w:rsidRPr="00BB07AF">
        <w:rPr>
          <w:noProof/>
        </w:rPr>
        <w:t>Artykuł 26</w:t>
      </w:r>
    </w:p>
    <w:p w:rsidR="004E1047" w:rsidRPr="00BB07AF" w:rsidRDefault="004E1047" w:rsidP="004E1047">
      <w:pPr>
        <w:jc w:val="center"/>
        <w:rPr>
          <w:b/>
          <w:noProof/>
        </w:rPr>
      </w:pPr>
      <w:r w:rsidRPr="00BB07AF">
        <w:rPr>
          <w:b/>
          <w:noProof/>
        </w:rPr>
        <w:t>Odpowiedzialność związana</w:t>
      </w:r>
      <w:r w:rsidR="003409C9" w:rsidRPr="00BB07AF">
        <w:rPr>
          <w:b/>
          <w:noProof/>
        </w:rPr>
        <w:t xml:space="preserve"> z rou</w:t>
      </w:r>
      <w:r w:rsidRPr="00BB07AF">
        <w:rPr>
          <w:b/>
          <w:noProof/>
        </w:rPr>
        <w:t>terem</w:t>
      </w:r>
    </w:p>
    <w:p w:rsidR="004E1047" w:rsidRPr="003409C9" w:rsidRDefault="004E1047" w:rsidP="004E1047">
      <w:pPr>
        <w:rPr>
          <w:noProof/>
        </w:rPr>
      </w:pPr>
      <w:r w:rsidRPr="003409C9">
        <w:rPr>
          <w:noProof/>
        </w:rPr>
        <w:t>Jeżeli niewypełnienie przez państwo członkowskie lub przewoźnika lotniczego obowiązków spoczywających na nim zgodnie</w:t>
      </w:r>
      <w:r w:rsidR="003409C9" w:rsidRPr="003409C9">
        <w:rPr>
          <w:noProof/>
        </w:rPr>
        <w:t xml:space="preserve"> z nin</w:t>
      </w:r>
      <w:r w:rsidRPr="003409C9">
        <w:rPr>
          <w:noProof/>
        </w:rPr>
        <w:t>iejszym rozporządzeniem spowoduje szkodę</w:t>
      </w:r>
      <w:r w:rsidR="003409C9" w:rsidRPr="003409C9">
        <w:rPr>
          <w:noProof/>
        </w:rPr>
        <w:t xml:space="preserve"> w rou</w:t>
      </w:r>
      <w:r w:rsidRPr="003409C9">
        <w:rPr>
          <w:noProof/>
        </w:rPr>
        <w:t>terze, wówczas dane państwo członkowskie lub dany przewoźnik lotniczy ponoszą odpowiedzialność za tę szkodę, chyba że –</w:t>
      </w:r>
      <w:r w:rsidR="003409C9" w:rsidRPr="003409C9">
        <w:rPr>
          <w:noProof/>
        </w:rPr>
        <w:t xml:space="preserve"> i w zak</w:t>
      </w:r>
      <w:r w:rsidRPr="003409C9">
        <w:rPr>
          <w:noProof/>
        </w:rPr>
        <w:t>resie,</w:t>
      </w:r>
      <w:r w:rsidR="003409C9" w:rsidRPr="003409C9">
        <w:rPr>
          <w:noProof/>
        </w:rPr>
        <w:t xml:space="preserve"> w jak</w:t>
      </w:r>
      <w:r w:rsidRPr="003409C9">
        <w:rPr>
          <w:noProof/>
        </w:rPr>
        <w:t xml:space="preserve">im – eu-LISA nie wprowadziła uzasadnionych środków zapobiegających wystąpieniu takiej szkody lub ograniczających jej skutki. </w:t>
      </w:r>
    </w:p>
    <w:p w:rsidR="00780E64" w:rsidRPr="00BB07AF" w:rsidRDefault="00780E64" w:rsidP="00780E64">
      <w:pPr>
        <w:pStyle w:val="Titrearticle"/>
        <w:rPr>
          <w:noProof/>
        </w:rPr>
      </w:pPr>
      <w:r w:rsidRPr="00BB07AF">
        <w:rPr>
          <w:noProof/>
        </w:rPr>
        <w:t>Artykuł 27</w:t>
      </w:r>
    </w:p>
    <w:p w:rsidR="00780E64" w:rsidRPr="00BB07AF" w:rsidRDefault="00780E64" w:rsidP="00780E64">
      <w:pPr>
        <w:jc w:val="center"/>
        <w:rPr>
          <w:b/>
          <w:noProof/>
        </w:rPr>
      </w:pPr>
      <w:r w:rsidRPr="00BB07AF">
        <w:rPr>
          <w:b/>
          <w:noProof/>
        </w:rPr>
        <w:t xml:space="preserve">Uruchomienie routera </w:t>
      </w:r>
    </w:p>
    <w:p w:rsidR="008B55D7" w:rsidRPr="003409C9" w:rsidRDefault="00780E64" w:rsidP="008B55D7">
      <w:pPr>
        <w:rPr>
          <w:noProof/>
        </w:rPr>
      </w:pPr>
      <w:r w:rsidRPr="003409C9">
        <w:rPr>
          <w:noProof/>
        </w:rPr>
        <w:t>Komisja określa bez zbędnej zwłoki,</w:t>
      </w:r>
      <w:r w:rsidR="003409C9" w:rsidRPr="003409C9">
        <w:rPr>
          <w:noProof/>
        </w:rPr>
        <w:t xml:space="preserve"> w dro</w:t>
      </w:r>
      <w:r w:rsidRPr="003409C9">
        <w:rPr>
          <w:noProof/>
        </w:rPr>
        <w:t>dze aktu wykonawczego, termin uruchomienia routera po otrzymaniu informacji od eu-LISA</w:t>
      </w:r>
      <w:r w:rsidR="003409C9" w:rsidRPr="003409C9">
        <w:rPr>
          <w:noProof/>
        </w:rPr>
        <w:t xml:space="preserve"> o pom</w:t>
      </w:r>
      <w:r w:rsidRPr="003409C9">
        <w:rPr>
          <w:noProof/>
        </w:rPr>
        <w:t>yślnym zakończeniu kompleksowego testu routera,</w:t>
      </w:r>
      <w:r w:rsidR="003409C9" w:rsidRPr="003409C9">
        <w:rPr>
          <w:noProof/>
        </w:rPr>
        <w:t xml:space="preserve"> o któ</w:t>
      </w:r>
      <w:r w:rsidRPr="003409C9">
        <w:rPr>
          <w:noProof/>
        </w:rPr>
        <w:t>rym mowa</w:t>
      </w:r>
      <w:r w:rsidR="003409C9" w:rsidRPr="003409C9">
        <w:rPr>
          <w:noProof/>
        </w:rPr>
        <w:t xml:space="preserve"> w art</w:t>
      </w:r>
      <w:r w:rsidRPr="003409C9">
        <w:rPr>
          <w:noProof/>
        </w:rPr>
        <w:t>.</w:t>
      </w:r>
      <w:r w:rsidR="003409C9" w:rsidRPr="003409C9">
        <w:rPr>
          <w:noProof/>
        </w:rPr>
        <w:t> </w:t>
      </w:r>
      <w:r w:rsidRPr="003409C9">
        <w:rPr>
          <w:noProof/>
        </w:rPr>
        <w:t>22 ust.</w:t>
      </w:r>
      <w:r w:rsidR="003409C9" w:rsidRPr="003409C9">
        <w:rPr>
          <w:noProof/>
        </w:rPr>
        <w:t> </w:t>
      </w:r>
      <w:r w:rsidRPr="003409C9">
        <w:rPr>
          <w:noProof/>
        </w:rPr>
        <w:t>4. Ten akt wykonawczy przyjmuje się zgodnie</w:t>
      </w:r>
      <w:r w:rsidR="003409C9" w:rsidRPr="003409C9">
        <w:rPr>
          <w:noProof/>
        </w:rPr>
        <w:t xml:space="preserve"> z pro</w:t>
      </w:r>
      <w:r w:rsidRPr="003409C9">
        <w:rPr>
          <w:noProof/>
        </w:rPr>
        <w:t>cedurą sprawdzającą,</w:t>
      </w:r>
      <w:r w:rsidR="003409C9" w:rsidRPr="003409C9">
        <w:rPr>
          <w:noProof/>
        </w:rPr>
        <w:t xml:space="preserve"> o któ</w:t>
      </w:r>
      <w:r w:rsidRPr="003409C9">
        <w:rPr>
          <w:noProof/>
        </w:rPr>
        <w:t>rej mowa</w:t>
      </w:r>
      <w:r w:rsidR="003409C9" w:rsidRPr="003409C9">
        <w:rPr>
          <w:noProof/>
        </w:rPr>
        <w:t xml:space="preserve"> w art</w:t>
      </w:r>
      <w:r w:rsidRPr="003409C9">
        <w:rPr>
          <w:noProof/>
        </w:rPr>
        <w:t>.</w:t>
      </w:r>
      <w:r w:rsidR="003409C9" w:rsidRPr="003409C9">
        <w:rPr>
          <w:noProof/>
        </w:rPr>
        <w:t> </w:t>
      </w:r>
      <w:r w:rsidRPr="003409C9">
        <w:rPr>
          <w:noProof/>
        </w:rPr>
        <w:t>36 ust.</w:t>
      </w:r>
      <w:r w:rsidR="003409C9" w:rsidRPr="003409C9">
        <w:rPr>
          <w:noProof/>
        </w:rPr>
        <w:t> </w:t>
      </w:r>
      <w:r w:rsidRPr="003409C9">
        <w:rPr>
          <w:noProof/>
        </w:rPr>
        <w:t>2.</w:t>
      </w:r>
    </w:p>
    <w:p w:rsidR="009C19E7" w:rsidRPr="003409C9" w:rsidRDefault="009C19E7" w:rsidP="008B55D7">
      <w:pPr>
        <w:rPr>
          <w:noProof/>
        </w:rPr>
      </w:pPr>
      <w:r w:rsidRPr="003409C9">
        <w:rPr>
          <w:noProof/>
        </w:rPr>
        <w:t>Komisja wyznacza termin,</w:t>
      </w:r>
      <w:r w:rsidR="003409C9" w:rsidRPr="003409C9">
        <w:rPr>
          <w:noProof/>
        </w:rPr>
        <w:t xml:space="preserve"> o któ</w:t>
      </w:r>
      <w:r w:rsidRPr="003409C9">
        <w:rPr>
          <w:noProof/>
        </w:rPr>
        <w:t>rym mowa</w:t>
      </w:r>
      <w:r w:rsidR="003409C9" w:rsidRPr="003409C9">
        <w:rPr>
          <w:noProof/>
        </w:rPr>
        <w:t xml:space="preserve"> w aka</w:t>
      </w:r>
      <w:r w:rsidRPr="003409C9">
        <w:rPr>
          <w:noProof/>
        </w:rPr>
        <w:t>picie pierwszym, na datę nie późniejszą niż 30 dni od przyjęcia tego aktu wykonawczego.</w:t>
      </w:r>
    </w:p>
    <w:p w:rsidR="00551E2D" w:rsidRPr="00BB07AF" w:rsidRDefault="00551E2D" w:rsidP="00551E2D">
      <w:pPr>
        <w:keepNext/>
        <w:spacing w:before="360"/>
        <w:jc w:val="center"/>
        <w:rPr>
          <w:rFonts w:eastAsia="Calibri"/>
          <w:i/>
          <w:noProof/>
        </w:rPr>
      </w:pPr>
      <w:r w:rsidRPr="00BB07AF">
        <w:rPr>
          <w:i/>
          <w:noProof/>
        </w:rPr>
        <w:t>Artykuł 28</w:t>
      </w:r>
    </w:p>
    <w:p w:rsidR="00551E2D" w:rsidRPr="00BB07AF" w:rsidRDefault="00551E2D" w:rsidP="00551E2D">
      <w:pPr>
        <w:jc w:val="center"/>
        <w:rPr>
          <w:rFonts w:eastAsia="Calibri"/>
          <w:b/>
          <w:noProof/>
        </w:rPr>
      </w:pPr>
      <w:r w:rsidRPr="00BB07AF">
        <w:rPr>
          <w:b/>
          <w:noProof/>
        </w:rPr>
        <w:t>Korzystanie</w:t>
      </w:r>
      <w:r w:rsidR="003409C9" w:rsidRPr="00BB07AF">
        <w:rPr>
          <w:b/>
          <w:noProof/>
        </w:rPr>
        <w:t xml:space="preserve"> z rou</w:t>
      </w:r>
      <w:r w:rsidRPr="00BB07AF">
        <w:rPr>
          <w:b/>
          <w:noProof/>
        </w:rPr>
        <w:t>tera na zasadzie dobrowolności</w:t>
      </w:r>
      <w:r w:rsidR="003409C9" w:rsidRPr="00BB07AF">
        <w:rPr>
          <w:b/>
          <w:noProof/>
        </w:rPr>
        <w:t xml:space="preserve"> w zas</w:t>
      </w:r>
      <w:r w:rsidRPr="00BB07AF">
        <w:rPr>
          <w:b/>
          <w:noProof/>
        </w:rPr>
        <w:t>tosowaniu dyrektywy 2004/81/WE</w:t>
      </w:r>
    </w:p>
    <w:p w:rsidR="00551E2D" w:rsidRPr="003409C9" w:rsidRDefault="009475BC" w:rsidP="009475BC">
      <w:pPr>
        <w:pStyle w:val="ManualNumPar1"/>
        <w:rPr>
          <w:noProof/>
        </w:rPr>
      </w:pPr>
      <w:r w:rsidRPr="003409C9">
        <w:rPr>
          <w:noProof/>
        </w:rPr>
        <w:t>1.</w:t>
      </w:r>
      <w:r w:rsidRPr="003409C9">
        <w:rPr>
          <w:noProof/>
        </w:rPr>
        <w:tab/>
        <w:t>Przewoźnicy lotniczy są uprawnieni do korzystania</w:t>
      </w:r>
      <w:r w:rsidR="003409C9" w:rsidRPr="003409C9">
        <w:rPr>
          <w:noProof/>
        </w:rPr>
        <w:t xml:space="preserve"> z rou</w:t>
      </w:r>
      <w:r w:rsidRPr="003409C9">
        <w:rPr>
          <w:noProof/>
        </w:rPr>
        <w:t>tera</w:t>
      </w:r>
      <w:r w:rsidR="003409C9" w:rsidRPr="003409C9">
        <w:rPr>
          <w:noProof/>
        </w:rPr>
        <w:t xml:space="preserve"> w cel</w:t>
      </w:r>
      <w:r w:rsidRPr="003409C9">
        <w:rPr>
          <w:noProof/>
        </w:rPr>
        <w:t>u przekazywania informacji,</w:t>
      </w:r>
      <w:r w:rsidR="003409C9" w:rsidRPr="003409C9">
        <w:rPr>
          <w:noProof/>
        </w:rPr>
        <w:t xml:space="preserve"> o któ</w:t>
      </w:r>
      <w:r w:rsidRPr="003409C9">
        <w:rPr>
          <w:noProof/>
        </w:rPr>
        <w:t>rych mowa</w:t>
      </w:r>
      <w:r w:rsidR="003409C9" w:rsidRPr="003409C9">
        <w:rPr>
          <w:noProof/>
        </w:rPr>
        <w:t xml:space="preserve"> w art</w:t>
      </w:r>
      <w:r w:rsidRPr="003409C9">
        <w:rPr>
          <w:noProof/>
        </w:rPr>
        <w:t>.</w:t>
      </w:r>
      <w:r w:rsidR="003409C9" w:rsidRPr="003409C9">
        <w:rPr>
          <w:noProof/>
        </w:rPr>
        <w:t> </w:t>
      </w:r>
      <w:r w:rsidRPr="003409C9">
        <w:rPr>
          <w:noProof/>
        </w:rPr>
        <w:t>3 ust.</w:t>
      </w:r>
      <w:r w:rsidR="003409C9" w:rsidRPr="003409C9">
        <w:rPr>
          <w:noProof/>
        </w:rPr>
        <w:t> </w:t>
      </w:r>
      <w:r w:rsidRPr="003409C9">
        <w:rPr>
          <w:noProof/>
        </w:rPr>
        <w:t>1 dyrektywy 2004/82/WE, co najmniej jednemu</w:t>
      </w:r>
      <w:r w:rsidR="003409C9" w:rsidRPr="003409C9">
        <w:rPr>
          <w:noProof/>
        </w:rPr>
        <w:t xml:space="preserve"> z odp</w:t>
      </w:r>
      <w:r w:rsidRPr="003409C9">
        <w:rPr>
          <w:noProof/>
        </w:rPr>
        <w:t>owiedzialnych organów,</w:t>
      </w:r>
      <w:r w:rsidR="003409C9" w:rsidRPr="003409C9">
        <w:rPr>
          <w:noProof/>
        </w:rPr>
        <w:t xml:space="preserve"> o któ</w:t>
      </w:r>
      <w:r w:rsidRPr="003409C9">
        <w:rPr>
          <w:noProof/>
        </w:rPr>
        <w:t>rych mowa</w:t>
      </w:r>
      <w:r w:rsidR="003409C9" w:rsidRPr="003409C9">
        <w:rPr>
          <w:noProof/>
        </w:rPr>
        <w:t xml:space="preserve"> w tej</w:t>
      </w:r>
      <w:r w:rsidRPr="003409C9">
        <w:rPr>
          <w:noProof/>
        </w:rPr>
        <w:t xml:space="preserve"> dyrektywie, zgodnie z tą dyrektywą, pod warunkiem że dany odpowiedzialny organ wyraził zgodę na takie korzystanie, od odpowiedniej daty ustalonej przez ten organ. Organ ten wyraża zgodę dopiero po ustaleniu, że –</w:t>
      </w:r>
      <w:r w:rsidR="003409C9" w:rsidRPr="003409C9">
        <w:rPr>
          <w:noProof/>
        </w:rPr>
        <w:t xml:space="preserve"> w szc</w:t>
      </w:r>
      <w:r w:rsidRPr="003409C9">
        <w:rPr>
          <w:noProof/>
        </w:rPr>
        <w:t>zególności</w:t>
      </w:r>
      <w:r w:rsidR="003409C9" w:rsidRPr="003409C9">
        <w:rPr>
          <w:noProof/>
        </w:rPr>
        <w:t xml:space="preserve"> w odn</w:t>
      </w:r>
      <w:r w:rsidRPr="003409C9">
        <w:rPr>
          <w:noProof/>
        </w:rPr>
        <w:t>iesieniu do własnego podłączenia do routera oraz podłączenia do danego przewoźnika lotniczego – informacje mogą być przekazywane</w:t>
      </w:r>
      <w:r w:rsidR="003409C9" w:rsidRPr="003409C9">
        <w:rPr>
          <w:noProof/>
        </w:rPr>
        <w:t xml:space="preserve"> w spo</w:t>
      </w:r>
      <w:r w:rsidRPr="003409C9">
        <w:rPr>
          <w:noProof/>
        </w:rPr>
        <w:t>sób zgodny</w:t>
      </w:r>
      <w:r w:rsidR="003409C9" w:rsidRPr="003409C9">
        <w:rPr>
          <w:noProof/>
        </w:rPr>
        <w:t xml:space="preserve"> z pra</w:t>
      </w:r>
      <w:r w:rsidRPr="003409C9">
        <w:rPr>
          <w:noProof/>
        </w:rPr>
        <w:t>wem, bezpieczny, skuteczny</w:t>
      </w:r>
      <w:r w:rsidR="003409C9" w:rsidRPr="003409C9">
        <w:rPr>
          <w:noProof/>
        </w:rPr>
        <w:t xml:space="preserve"> i spr</w:t>
      </w:r>
      <w:r w:rsidRPr="003409C9">
        <w:rPr>
          <w:noProof/>
        </w:rPr>
        <w:t xml:space="preserve">awny. </w:t>
      </w:r>
    </w:p>
    <w:p w:rsidR="00551E2D" w:rsidRPr="003409C9" w:rsidRDefault="009475BC" w:rsidP="009475BC">
      <w:pPr>
        <w:pStyle w:val="ManualNumPar1"/>
        <w:rPr>
          <w:noProof/>
        </w:rPr>
      </w:pPr>
      <w:r w:rsidRPr="003409C9">
        <w:rPr>
          <w:noProof/>
        </w:rPr>
        <w:t>2.</w:t>
      </w:r>
      <w:r w:rsidRPr="003409C9">
        <w:rPr>
          <w:noProof/>
        </w:rPr>
        <w:tab/>
        <w:t>Gdy przewoźnik lotniczy rozpocznie korzystanie</w:t>
      </w:r>
      <w:r w:rsidR="003409C9" w:rsidRPr="003409C9">
        <w:rPr>
          <w:noProof/>
        </w:rPr>
        <w:t xml:space="preserve"> z rou</w:t>
      </w:r>
      <w:r w:rsidRPr="003409C9">
        <w:rPr>
          <w:noProof/>
        </w:rPr>
        <w:t>tera zgodnie</w:t>
      </w:r>
      <w:r w:rsidR="003409C9" w:rsidRPr="003409C9">
        <w:rPr>
          <w:noProof/>
        </w:rPr>
        <w:t xml:space="preserve"> z ust</w:t>
      </w:r>
      <w:r w:rsidRPr="003409C9">
        <w:rPr>
          <w:noProof/>
        </w:rPr>
        <w:t>.</w:t>
      </w:r>
      <w:r w:rsidR="003409C9" w:rsidRPr="003409C9">
        <w:rPr>
          <w:noProof/>
        </w:rPr>
        <w:t> </w:t>
      </w:r>
      <w:r w:rsidRPr="003409C9">
        <w:rPr>
          <w:noProof/>
        </w:rPr>
        <w:t>1, wykorzystuje router do przekazywania takich informacji danemu właściwemu organowi do daty rozpoczęcia stosowania niniejszego rozporządzenia,</w:t>
      </w:r>
      <w:r w:rsidR="003409C9" w:rsidRPr="003409C9">
        <w:rPr>
          <w:noProof/>
        </w:rPr>
        <w:t xml:space="preserve"> o któ</w:t>
      </w:r>
      <w:r w:rsidRPr="003409C9">
        <w:rPr>
          <w:noProof/>
        </w:rPr>
        <w:t>rej mowa</w:t>
      </w:r>
      <w:r w:rsidR="003409C9" w:rsidRPr="003409C9">
        <w:rPr>
          <w:noProof/>
        </w:rPr>
        <w:t xml:space="preserve"> w art</w:t>
      </w:r>
      <w:r w:rsidRPr="003409C9">
        <w:rPr>
          <w:noProof/>
        </w:rPr>
        <w:t>.</w:t>
      </w:r>
      <w:r w:rsidR="003409C9" w:rsidRPr="003409C9">
        <w:rPr>
          <w:noProof/>
        </w:rPr>
        <w:t> </w:t>
      </w:r>
      <w:r w:rsidRPr="003409C9">
        <w:rPr>
          <w:noProof/>
        </w:rPr>
        <w:t>39 akapit drugi. Zaprzestaje się jednak tego korzystania od odpowiedniej daty ustalonej przez ten organ, jeżeli organ ten uzna, że istnieją obiektywne powody wymagające takiego zaprzestania,</w:t>
      </w:r>
      <w:r w:rsidR="003409C9" w:rsidRPr="003409C9">
        <w:rPr>
          <w:noProof/>
        </w:rPr>
        <w:t xml:space="preserve"> i poi</w:t>
      </w:r>
      <w:r w:rsidRPr="003409C9">
        <w:rPr>
          <w:noProof/>
        </w:rPr>
        <w:t>nformuje</w:t>
      </w:r>
      <w:r w:rsidR="003409C9" w:rsidRPr="003409C9">
        <w:rPr>
          <w:noProof/>
        </w:rPr>
        <w:t xml:space="preserve"> o tym</w:t>
      </w:r>
      <w:r w:rsidRPr="003409C9">
        <w:rPr>
          <w:noProof/>
        </w:rPr>
        <w:t xml:space="preserve"> przewoźnika lotniczego.</w:t>
      </w:r>
    </w:p>
    <w:p w:rsidR="00551E2D" w:rsidRPr="003409C9" w:rsidRDefault="009475BC" w:rsidP="009475BC">
      <w:pPr>
        <w:pStyle w:val="ManualNumPar1"/>
        <w:rPr>
          <w:noProof/>
        </w:rPr>
      </w:pPr>
      <w:r w:rsidRPr="003409C9">
        <w:rPr>
          <w:noProof/>
        </w:rPr>
        <w:t>3.</w:t>
      </w:r>
      <w:r w:rsidRPr="003409C9">
        <w:rPr>
          <w:noProof/>
        </w:rPr>
        <w:tab/>
        <w:t>Dany właściwy organ:</w:t>
      </w:r>
    </w:p>
    <w:p w:rsidR="00551E2D" w:rsidRPr="003409C9" w:rsidRDefault="009475BC" w:rsidP="009475BC">
      <w:pPr>
        <w:pStyle w:val="Point1"/>
        <w:rPr>
          <w:noProof/>
        </w:rPr>
      </w:pPr>
      <w:r w:rsidRPr="003409C9">
        <w:rPr>
          <w:noProof/>
        </w:rPr>
        <w:t>a)</w:t>
      </w:r>
      <w:r w:rsidRPr="003409C9">
        <w:rPr>
          <w:noProof/>
        </w:rPr>
        <w:tab/>
        <w:t>zasięga opinii eu-LISA przed wyrażeniem zgody na dobrowolne korzystanie</w:t>
      </w:r>
      <w:r w:rsidR="003409C9" w:rsidRPr="003409C9">
        <w:rPr>
          <w:noProof/>
        </w:rPr>
        <w:t xml:space="preserve"> z rou</w:t>
      </w:r>
      <w:r w:rsidRPr="003409C9">
        <w:rPr>
          <w:noProof/>
        </w:rPr>
        <w:t>tera zgodnie</w:t>
      </w:r>
      <w:r w:rsidR="003409C9" w:rsidRPr="003409C9">
        <w:rPr>
          <w:noProof/>
        </w:rPr>
        <w:t xml:space="preserve"> z ust</w:t>
      </w:r>
      <w:r w:rsidRPr="003409C9">
        <w:rPr>
          <w:noProof/>
        </w:rPr>
        <w:t>.</w:t>
      </w:r>
      <w:r w:rsidR="003409C9" w:rsidRPr="003409C9">
        <w:rPr>
          <w:noProof/>
        </w:rPr>
        <w:t> </w:t>
      </w:r>
      <w:r w:rsidRPr="003409C9">
        <w:rPr>
          <w:noProof/>
        </w:rPr>
        <w:t>1;</w:t>
      </w:r>
    </w:p>
    <w:p w:rsidR="00551E2D" w:rsidRPr="003409C9" w:rsidRDefault="009475BC" w:rsidP="009475BC">
      <w:pPr>
        <w:pStyle w:val="Point1"/>
        <w:rPr>
          <w:noProof/>
        </w:rPr>
      </w:pPr>
      <w:r w:rsidRPr="003409C9">
        <w:rPr>
          <w:noProof/>
        </w:rPr>
        <w:t>b)</w:t>
      </w:r>
      <w:r w:rsidRPr="003409C9">
        <w:rPr>
          <w:noProof/>
        </w:rPr>
        <w:tab/>
        <w:t>z wyjątkiem sytuacji należycie uzasadnionych pilną potrzebą, umożliwia zainteresowanemu przewoźnikowi lotniczemu zgłoszenie uwag na temat zamiaru zaprzestania takiego korzystania zgodnie</w:t>
      </w:r>
      <w:r w:rsidR="003409C9" w:rsidRPr="003409C9">
        <w:rPr>
          <w:noProof/>
        </w:rPr>
        <w:t xml:space="preserve"> z ust</w:t>
      </w:r>
      <w:r w:rsidRPr="003409C9">
        <w:rPr>
          <w:noProof/>
        </w:rPr>
        <w:t>.</w:t>
      </w:r>
      <w:r w:rsidR="003409C9" w:rsidRPr="003409C9">
        <w:rPr>
          <w:noProof/>
        </w:rPr>
        <w:t> </w:t>
      </w:r>
      <w:r w:rsidRPr="003409C9">
        <w:rPr>
          <w:noProof/>
        </w:rPr>
        <w:t>2 oraz,</w:t>
      </w:r>
      <w:r w:rsidR="003409C9" w:rsidRPr="003409C9">
        <w:rPr>
          <w:noProof/>
        </w:rPr>
        <w:t xml:space="preserve"> w sto</w:t>
      </w:r>
      <w:r w:rsidRPr="003409C9">
        <w:rPr>
          <w:noProof/>
        </w:rPr>
        <w:t>sownych przypadkach, zasięgnięcie opinii eu-LISA</w:t>
      </w:r>
      <w:r w:rsidR="003409C9" w:rsidRPr="003409C9">
        <w:rPr>
          <w:noProof/>
        </w:rPr>
        <w:t xml:space="preserve"> w tej</w:t>
      </w:r>
      <w:r w:rsidRPr="003409C9">
        <w:rPr>
          <w:noProof/>
        </w:rPr>
        <w:t xml:space="preserve"> sprawie;</w:t>
      </w:r>
    </w:p>
    <w:p w:rsidR="00551E2D" w:rsidRPr="003409C9" w:rsidRDefault="009475BC" w:rsidP="009475BC">
      <w:pPr>
        <w:pStyle w:val="Point1"/>
        <w:rPr>
          <w:noProof/>
        </w:rPr>
      </w:pPr>
      <w:r w:rsidRPr="003409C9">
        <w:rPr>
          <w:noProof/>
        </w:rPr>
        <w:t>c)</w:t>
      </w:r>
      <w:r w:rsidRPr="003409C9">
        <w:rPr>
          <w:noProof/>
        </w:rPr>
        <w:tab/>
        <w:t>niezwłocznie informuje eu-LISA</w:t>
      </w:r>
      <w:r w:rsidR="003409C9" w:rsidRPr="003409C9">
        <w:rPr>
          <w:noProof/>
        </w:rPr>
        <w:t xml:space="preserve"> i Kom</w:t>
      </w:r>
      <w:r w:rsidRPr="003409C9">
        <w:rPr>
          <w:noProof/>
        </w:rPr>
        <w:t>isję</w:t>
      </w:r>
      <w:r w:rsidR="003409C9" w:rsidRPr="003409C9">
        <w:rPr>
          <w:noProof/>
        </w:rPr>
        <w:t xml:space="preserve"> o każ</w:t>
      </w:r>
      <w:r w:rsidRPr="003409C9">
        <w:rPr>
          <w:noProof/>
        </w:rPr>
        <w:t>dym przypadku takiego korzystania, na które wyraził zgodę, oraz</w:t>
      </w:r>
      <w:r w:rsidR="003409C9" w:rsidRPr="003409C9">
        <w:rPr>
          <w:noProof/>
        </w:rPr>
        <w:t xml:space="preserve"> o każ</w:t>
      </w:r>
      <w:r w:rsidRPr="003409C9">
        <w:rPr>
          <w:noProof/>
        </w:rPr>
        <w:t>dym zaprzestaniu takiego korzystania</w:t>
      </w:r>
      <w:r w:rsidR="003409C9" w:rsidRPr="003409C9">
        <w:rPr>
          <w:noProof/>
        </w:rPr>
        <w:t xml:space="preserve"> i prz</w:t>
      </w:r>
      <w:r w:rsidRPr="003409C9">
        <w:rPr>
          <w:noProof/>
        </w:rPr>
        <w:t>ekazuje wszelkie niezbędne informacje,</w:t>
      </w:r>
      <w:r w:rsidR="003409C9" w:rsidRPr="003409C9">
        <w:rPr>
          <w:noProof/>
        </w:rPr>
        <w:t xml:space="preserve"> w tym</w:t>
      </w:r>
      <w:r w:rsidRPr="003409C9">
        <w:rPr>
          <w:noProof/>
        </w:rPr>
        <w:t>,</w:t>
      </w:r>
      <w:r w:rsidR="003409C9" w:rsidRPr="003409C9">
        <w:rPr>
          <w:noProof/>
        </w:rPr>
        <w:t xml:space="preserve"> w sto</w:t>
      </w:r>
      <w:r w:rsidRPr="003409C9">
        <w:rPr>
          <w:noProof/>
        </w:rPr>
        <w:t>sownych przypadkach, datę rozpoczęcia korzystania</w:t>
      </w:r>
      <w:r w:rsidR="003409C9" w:rsidRPr="003409C9">
        <w:rPr>
          <w:noProof/>
        </w:rPr>
        <w:t xml:space="preserve"> z rou</w:t>
      </w:r>
      <w:r w:rsidRPr="003409C9">
        <w:rPr>
          <w:noProof/>
        </w:rPr>
        <w:t>tera, datę zaprzestania korzystania</w:t>
      </w:r>
      <w:r w:rsidR="003409C9" w:rsidRPr="003409C9">
        <w:rPr>
          <w:noProof/>
        </w:rPr>
        <w:t xml:space="preserve"> z rou</w:t>
      </w:r>
      <w:r w:rsidRPr="003409C9">
        <w:rPr>
          <w:noProof/>
        </w:rPr>
        <w:t>tera oraz przyczyny zaprzestania korzystania</w:t>
      </w:r>
      <w:r w:rsidR="003409C9" w:rsidRPr="003409C9">
        <w:rPr>
          <w:noProof/>
        </w:rPr>
        <w:t xml:space="preserve"> z rou</w:t>
      </w:r>
      <w:r w:rsidRPr="003409C9">
        <w:rPr>
          <w:noProof/>
        </w:rPr>
        <w:t>tera.</w:t>
      </w:r>
      <w:r w:rsidR="003B5A1D" w:rsidRPr="003409C9">
        <w:rPr>
          <w:noProof/>
        </w:rPr>
        <w:t xml:space="preserve"> </w:t>
      </w:r>
    </w:p>
    <w:p w:rsidR="00780E64" w:rsidRPr="003409C9" w:rsidRDefault="00780E64" w:rsidP="004E1047">
      <w:pPr>
        <w:rPr>
          <w:noProof/>
        </w:rPr>
      </w:pPr>
    </w:p>
    <w:p w:rsidR="00CC3A8B" w:rsidRPr="00BB07AF" w:rsidRDefault="00CC3A8B" w:rsidP="00CC3A8B">
      <w:pPr>
        <w:pStyle w:val="Titrearticle"/>
        <w:rPr>
          <w:b/>
          <w:i w:val="0"/>
          <w:noProof/>
        </w:rPr>
      </w:pPr>
      <w:r w:rsidRPr="00BB07AF">
        <w:rPr>
          <w:b/>
          <w:i w:val="0"/>
          <w:noProof/>
        </w:rPr>
        <w:t>ROZDZIAŁ 6</w:t>
      </w:r>
    </w:p>
    <w:p w:rsidR="00CC3A8B" w:rsidRPr="003409C9" w:rsidRDefault="008B55D7" w:rsidP="00733841">
      <w:pPr>
        <w:jc w:val="center"/>
        <w:rPr>
          <w:noProof/>
        </w:rPr>
      </w:pPr>
      <w:r w:rsidRPr="00BB07AF">
        <w:rPr>
          <w:b/>
          <w:noProof/>
        </w:rPr>
        <w:t>NADZÓR, KARY, STATYSTYKI I PODRĘCZNIK</w:t>
      </w:r>
    </w:p>
    <w:p w:rsidR="00887981" w:rsidRPr="00BB07AF" w:rsidRDefault="00887981" w:rsidP="00733841">
      <w:pPr>
        <w:pStyle w:val="Titrearticle"/>
        <w:rPr>
          <w:noProof/>
        </w:rPr>
      </w:pPr>
      <w:r w:rsidRPr="00BB07AF">
        <w:rPr>
          <w:noProof/>
        </w:rPr>
        <w:t>Artykuł 29</w:t>
      </w:r>
    </w:p>
    <w:p w:rsidR="00887981" w:rsidRPr="00BB07AF" w:rsidRDefault="000B2C9B" w:rsidP="00733841">
      <w:pPr>
        <w:jc w:val="center"/>
        <w:rPr>
          <w:b/>
          <w:noProof/>
        </w:rPr>
      </w:pPr>
      <w:bookmarkStart w:id="42" w:name="_Hlk121067280"/>
      <w:r w:rsidRPr="00BB07AF">
        <w:rPr>
          <w:b/>
          <w:noProof/>
        </w:rPr>
        <w:t>Krajowy organ nadzorczy</w:t>
      </w:r>
    </w:p>
    <w:p w:rsidR="009574B8" w:rsidRPr="003409C9" w:rsidRDefault="009475BC" w:rsidP="009475BC">
      <w:pPr>
        <w:pStyle w:val="ManualNumPar1"/>
        <w:rPr>
          <w:noProof/>
        </w:rPr>
      </w:pPr>
      <w:bookmarkStart w:id="43" w:name="_Hlk121067145"/>
      <w:bookmarkEnd w:id="42"/>
      <w:r w:rsidRPr="003409C9">
        <w:rPr>
          <w:noProof/>
        </w:rPr>
        <w:t>1.</w:t>
      </w:r>
      <w:r w:rsidRPr="003409C9">
        <w:rPr>
          <w:noProof/>
        </w:rPr>
        <w:tab/>
        <w:t>Państwa członkowskie wyznaczają co najmniej jeden krajowy organ nadzorczy odpowiedzialny za monitorowanie stosowania przez przewoźników lotniczych przepisów niniejszego rozporządzenia na ich terytorium oraz za zapewnienie zgodności</w:t>
      </w:r>
      <w:r w:rsidR="003409C9" w:rsidRPr="003409C9">
        <w:rPr>
          <w:noProof/>
        </w:rPr>
        <w:t xml:space="preserve"> z tym</w:t>
      </w:r>
      <w:r w:rsidRPr="003409C9">
        <w:rPr>
          <w:noProof/>
        </w:rPr>
        <w:t>i przepisami.</w:t>
      </w:r>
    </w:p>
    <w:p w:rsidR="009574B8" w:rsidRPr="003409C9" w:rsidRDefault="009475BC" w:rsidP="009475BC">
      <w:pPr>
        <w:pStyle w:val="ManualNumPar1"/>
        <w:rPr>
          <w:noProof/>
        </w:rPr>
      </w:pPr>
      <w:r w:rsidRPr="003409C9">
        <w:rPr>
          <w:noProof/>
        </w:rPr>
        <w:t>2.</w:t>
      </w:r>
      <w:r w:rsidRPr="003409C9">
        <w:rPr>
          <w:noProof/>
        </w:rPr>
        <w:tab/>
        <w:t>Państwa członkowskie zapewniają, aby krajowe organy nadzorcze dysponowały wszelkimi niezbędnymi środkami oraz wszelkimi niezbędnymi uprawnieniami</w:t>
      </w:r>
      <w:r w:rsidR="003409C9" w:rsidRPr="003409C9">
        <w:rPr>
          <w:noProof/>
        </w:rPr>
        <w:t xml:space="preserve"> w zak</w:t>
      </w:r>
      <w:r w:rsidRPr="003409C9">
        <w:rPr>
          <w:noProof/>
        </w:rPr>
        <w:t>resie prowadzonych postępowań przygotowawczych</w:t>
      </w:r>
      <w:r w:rsidR="003409C9" w:rsidRPr="003409C9">
        <w:rPr>
          <w:noProof/>
        </w:rPr>
        <w:t xml:space="preserve"> i upr</w:t>
      </w:r>
      <w:r w:rsidRPr="003409C9">
        <w:rPr>
          <w:noProof/>
        </w:rPr>
        <w:t>awnieniami</w:t>
      </w:r>
      <w:r w:rsidR="003409C9" w:rsidRPr="003409C9">
        <w:rPr>
          <w:noProof/>
        </w:rPr>
        <w:t xml:space="preserve"> w zak</w:t>
      </w:r>
      <w:r w:rsidRPr="003409C9">
        <w:rPr>
          <w:noProof/>
        </w:rPr>
        <w:t>resie egzekwowania przepisów</w:t>
      </w:r>
      <w:r w:rsidR="003409C9" w:rsidRPr="003409C9">
        <w:rPr>
          <w:noProof/>
        </w:rPr>
        <w:t xml:space="preserve"> w cel</w:t>
      </w:r>
      <w:r w:rsidRPr="003409C9">
        <w:rPr>
          <w:noProof/>
        </w:rPr>
        <w:t>u wykonywania swoich zadań na podstawie niniejszego rozporządzenia, które to zadania obejmują nakładanie</w:t>
      </w:r>
      <w:r w:rsidR="003409C9" w:rsidRPr="003409C9">
        <w:rPr>
          <w:noProof/>
        </w:rPr>
        <w:t xml:space="preserve"> w sto</w:t>
      </w:r>
      <w:r w:rsidRPr="003409C9">
        <w:rPr>
          <w:noProof/>
        </w:rPr>
        <w:t>sownych przypadkach kar,</w:t>
      </w:r>
      <w:r w:rsidR="003409C9" w:rsidRPr="003409C9">
        <w:rPr>
          <w:noProof/>
        </w:rPr>
        <w:t xml:space="preserve"> o któ</w:t>
      </w:r>
      <w:r w:rsidRPr="003409C9">
        <w:rPr>
          <w:noProof/>
        </w:rPr>
        <w:t>rych mowa</w:t>
      </w:r>
      <w:r w:rsidR="003409C9" w:rsidRPr="003409C9">
        <w:rPr>
          <w:noProof/>
        </w:rPr>
        <w:t xml:space="preserve"> w art</w:t>
      </w:r>
      <w:r w:rsidRPr="003409C9">
        <w:rPr>
          <w:noProof/>
        </w:rPr>
        <w:t>.</w:t>
      </w:r>
      <w:r w:rsidR="003409C9" w:rsidRPr="003409C9">
        <w:rPr>
          <w:noProof/>
        </w:rPr>
        <w:t> </w:t>
      </w:r>
      <w:r w:rsidRPr="003409C9">
        <w:rPr>
          <w:noProof/>
        </w:rPr>
        <w:t>30. Ponadto państwa członkowskie określają szczegółowe zasady wykonywania tych zadań</w:t>
      </w:r>
      <w:r w:rsidR="003409C9" w:rsidRPr="003409C9">
        <w:rPr>
          <w:noProof/>
        </w:rPr>
        <w:t xml:space="preserve"> i kor</w:t>
      </w:r>
      <w:r w:rsidRPr="003409C9">
        <w:rPr>
          <w:noProof/>
        </w:rPr>
        <w:t>zystania</w:t>
      </w:r>
      <w:r w:rsidR="003409C9" w:rsidRPr="003409C9">
        <w:rPr>
          <w:noProof/>
        </w:rPr>
        <w:t xml:space="preserve"> z tyc</w:t>
      </w:r>
      <w:r w:rsidRPr="003409C9">
        <w:rPr>
          <w:noProof/>
        </w:rPr>
        <w:t>h uprawnień, zapewniając, aby wykonywanie tych zadań</w:t>
      </w:r>
      <w:r w:rsidR="003409C9" w:rsidRPr="003409C9">
        <w:rPr>
          <w:noProof/>
        </w:rPr>
        <w:t xml:space="preserve"> i kor</w:t>
      </w:r>
      <w:r w:rsidRPr="003409C9">
        <w:rPr>
          <w:noProof/>
        </w:rPr>
        <w:t>zystanie</w:t>
      </w:r>
      <w:r w:rsidR="003409C9" w:rsidRPr="003409C9">
        <w:rPr>
          <w:noProof/>
        </w:rPr>
        <w:t xml:space="preserve"> z tyc</w:t>
      </w:r>
      <w:r w:rsidRPr="003409C9">
        <w:rPr>
          <w:noProof/>
        </w:rPr>
        <w:t>h uprawnień było skuteczne, proporcjonalne</w:t>
      </w:r>
      <w:r w:rsidR="003409C9" w:rsidRPr="003409C9">
        <w:rPr>
          <w:noProof/>
        </w:rPr>
        <w:t xml:space="preserve"> i ods</w:t>
      </w:r>
      <w:r w:rsidRPr="003409C9">
        <w:rPr>
          <w:noProof/>
        </w:rPr>
        <w:t>traszające oraz podlegało zabezpieczeniom zgodnym</w:t>
      </w:r>
      <w:r w:rsidR="003409C9" w:rsidRPr="003409C9">
        <w:rPr>
          <w:noProof/>
        </w:rPr>
        <w:t xml:space="preserve"> z pra</w:t>
      </w:r>
      <w:r w:rsidRPr="003409C9">
        <w:rPr>
          <w:noProof/>
        </w:rPr>
        <w:t xml:space="preserve">wami podstawowymi gwarantowanymi przez prawo Unii. </w:t>
      </w:r>
    </w:p>
    <w:p w:rsidR="00E8326C" w:rsidRPr="003409C9" w:rsidRDefault="009475BC" w:rsidP="009475BC">
      <w:pPr>
        <w:pStyle w:val="ManualNumPar1"/>
        <w:rPr>
          <w:noProof/>
        </w:rPr>
      </w:pPr>
      <w:r w:rsidRPr="003409C9">
        <w:rPr>
          <w:noProof/>
        </w:rPr>
        <w:t>3.</w:t>
      </w:r>
      <w:r w:rsidRPr="003409C9">
        <w:rPr>
          <w:noProof/>
        </w:rPr>
        <w:tab/>
        <w:t>Do daty rozpoczęcia stosowania niniejszego rozporządzenia,</w:t>
      </w:r>
      <w:r w:rsidR="003409C9" w:rsidRPr="003409C9">
        <w:rPr>
          <w:noProof/>
        </w:rPr>
        <w:t xml:space="preserve"> o któ</w:t>
      </w:r>
      <w:r w:rsidRPr="003409C9">
        <w:rPr>
          <w:noProof/>
        </w:rPr>
        <w:t>rej mowa</w:t>
      </w:r>
      <w:r w:rsidR="003409C9" w:rsidRPr="003409C9">
        <w:rPr>
          <w:noProof/>
        </w:rPr>
        <w:t xml:space="preserve"> w art</w:t>
      </w:r>
      <w:r w:rsidRPr="003409C9">
        <w:rPr>
          <w:noProof/>
        </w:rPr>
        <w:t>.</w:t>
      </w:r>
      <w:r w:rsidR="003409C9" w:rsidRPr="003409C9">
        <w:rPr>
          <w:noProof/>
        </w:rPr>
        <w:t> </w:t>
      </w:r>
      <w:r w:rsidRPr="003409C9">
        <w:rPr>
          <w:noProof/>
        </w:rPr>
        <w:t>21 akapit drugi, państwa członkowskie przekazują Komisji nazwy</w:t>
      </w:r>
      <w:r w:rsidR="003409C9" w:rsidRPr="003409C9">
        <w:rPr>
          <w:noProof/>
        </w:rPr>
        <w:t xml:space="preserve"> i dan</w:t>
      </w:r>
      <w:r w:rsidRPr="003409C9">
        <w:rPr>
          <w:noProof/>
        </w:rPr>
        <w:t>e kontaktowe organów, które wyznaczyły na podstawie ust.</w:t>
      </w:r>
      <w:r w:rsidR="003409C9" w:rsidRPr="003409C9">
        <w:rPr>
          <w:noProof/>
        </w:rPr>
        <w:t> </w:t>
      </w:r>
      <w:r w:rsidRPr="003409C9">
        <w:rPr>
          <w:noProof/>
        </w:rPr>
        <w:t>1, oraz szczegółowe zasady, które ustanowiły na podstawie ust.</w:t>
      </w:r>
      <w:r w:rsidR="003409C9" w:rsidRPr="003409C9">
        <w:rPr>
          <w:noProof/>
        </w:rPr>
        <w:t> </w:t>
      </w:r>
      <w:r w:rsidRPr="003409C9">
        <w:rPr>
          <w:noProof/>
        </w:rPr>
        <w:t>2. Państwa członkowskie niezwłocznie powiadamiają Komisję</w:t>
      </w:r>
      <w:r w:rsidR="003409C9" w:rsidRPr="003409C9">
        <w:rPr>
          <w:noProof/>
        </w:rPr>
        <w:t xml:space="preserve"> o wsz</w:t>
      </w:r>
      <w:r w:rsidRPr="003409C9">
        <w:rPr>
          <w:noProof/>
        </w:rPr>
        <w:t>elkich późniejszych zmianach lub modyfikacjach tych zasad.</w:t>
      </w:r>
    </w:p>
    <w:p w:rsidR="00F10AA4" w:rsidRPr="003409C9" w:rsidRDefault="00E8326C" w:rsidP="009475BC">
      <w:pPr>
        <w:pStyle w:val="ManualNumPar1"/>
        <w:rPr>
          <w:noProof/>
        </w:rPr>
      </w:pPr>
      <w:r w:rsidRPr="003409C9">
        <w:rPr>
          <w:noProof/>
        </w:rPr>
        <w:t>4.</w:t>
      </w:r>
      <w:r w:rsidRPr="003409C9">
        <w:rPr>
          <w:noProof/>
        </w:rPr>
        <w:tab/>
        <w:t>Niniejszy artykuł nie narusza uprawnień organów nadzorczych,</w:t>
      </w:r>
      <w:r w:rsidR="003409C9" w:rsidRPr="003409C9">
        <w:rPr>
          <w:noProof/>
        </w:rPr>
        <w:t xml:space="preserve"> o któ</w:t>
      </w:r>
      <w:r w:rsidRPr="003409C9">
        <w:rPr>
          <w:noProof/>
        </w:rPr>
        <w:t>rych mowa</w:t>
      </w:r>
      <w:r w:rsidR="003409C9" w:rsidRPr="003409C9">
        <w:rPr>
          <w:noProof/>
        </w:rPr>
        <w:t xml:space="preserve"> w art</w:t>
      </w:r>
      <w:r w:rsidRPr="003409C9">
        <w:rPr>
          <w:noProof/>
        </w:rPr>
        <w:t>.</w:t>
      </w:r>
      <w:r w:rsidR="003409C9" w:rsidRPr="003409C9">
        <w:rPr>
          <w:noProof/>
        </w:rPr>
        <w:t> </w:t>
      </w:r>
      <w:r w:rsidRPr="003409C9">
        <w:rPr>
          <w:noProof/>
        </w:rPr>
        <w:t xml:space="preserve">51 rozporządzenia (UE) 2016/679. </w:t>
      </w:r>
    </w:p>
    <w:bookmarkEnd w:id="43"/>
    <w:p w:rsidR="008B55D7" w:rsidRPr="00BB07AF" w:rsidRDefault="008B55D7" w:rsidP="008B55D7">
      <w:pPr>
        <w:pStyle w:val="Titrearticle"/>
        <w:rPr>
          <w:noProof/>
        </w:rPr>
      </w:pPr>
      <w:r w:rsidRPr="00BB07AF">
        <w:rPr>
          <w:noProof/>
        </w:rPr>
        <w:t>Artykuł 30</w:t>
      </w:r>
    </w:p>
    <w:p w:rsidR="008B55D7" w:rsidRPr="00BB07AF" w:rsidRDefault="008B55D7" w:rsidP="008B55D7">
      <w:pPr>
        <w:jc w:val="center"/>
        <w:rPr>
          <w:b/>
          <w:noProof/>
        </w:rPr>
      </w:pPr>
      <w:r w:rsidRPr="00BB07AF">
        <w:rPr>
          <w:b/>
          <w:noProof/>
        </w:rPr>
        <w:t>Kary</w:t>
      </w:r>
    </w:p>
    <w:p w:rsidR="009975D7" w:rsidRPr="003409C9" w:rsidRDefault="008B55D7" w:rsidP="00B718B3">
      <w:pPr>
        <w:rPr>
          <w:noProof/>
        </w:rPr>
      </w:pPr>
      <w:r w:rsidRPr="003409C9">
        <w:rPr>
          <w:noProof/>
        </w:rPr>
        <w:t>Państwa członkowskie ustanawiają przepisy dotyczące kar mających zastosowanie</w:t>
      </w:r>
      <w:r w:rsidR="003409C9" w:rsidRPr="003409C9">
        <w:rPr>
          <w:noProof/>
        </w:rPr>
        <w:t xml:space="preserve"> w prz</w:t>
      </w:r>
      <w:r w:rsidRPr="003409C9">
        <w:rPr>
          <w:noProof/>
        </w:rPr>
        <w:t>ypadku naruszeń przepisów niniejszego rozporządzenia</w:t>
      </w:r>
      <w:r w:rsidR="003409C9" w:rsidRPr="003409C9">
        <w:rPr>
          <w:noProof/>
        </w:rPr>
        <w:t xml:space="preserve"> i pod</w:t>
      </w:r>
      <w:r w:rsidRPr="003409C9">
        <w:rPr>
          <w:noProof/>
        </w:rPr>
        <w:t>ejmują wszelkie niezbędne środki</w:t>
      </w:r>
      <w:r w:rsidR="003409C9" w:rsidRPr="003409C9">
        <w:rPr>
          <w:noProof/>
        </w:rPr>
        <w:t xml:space="preserve"> w cel</w:t>
      </w:r>
      <w:r w:rsidRPr="003409C9">
        <w:rPr>
          <w:noProof/>
        </w:rPr>
        <w:t>u zapewnienia ich wykonywania. Przewidziane kary muszą być skuteczne, proporcjonalne</w:t>
      </w:r>
      <w:r w:rsidR="003409C9" w:rsidRPr="003409C9">
        <w:rPr>
          <w:noProof/>
        </w:rPr>
        <w:t xml:space="preserve"> i ods</w:t>
      </w:r>
      <w:r w:rsidRPr="003409C9">
        <w:rPr>
          <w:noProof/>
        </w:rPr>
        <w:t xml:space="preserve">traszające. </w:t>
      </w:r>
    </w:p>
    <w:p w:rsidR="008B55D7" w:rsidRPr="003409C9" w:rsidRDefault="008B55D7" w:rsidP="00B718B3">
      <w:pPr>
        <w:rPr>
          <w:noProof/>
        </w:rPr>
      </w:pPr>
      <w:r w:rsidRPr="003409C9">
        <w:rPr>
          <w:noProof/>
        </w:rPr>
        <w:t>Do daty rozpoczęcia stosowania niniejszego rozporządzenia,</w:t>
      </w:r>
      <w:r w:rsidR="003409C9" w:rsidRPr="003409C9">
        <w:rPr>
          <w:noProof/>
        </w:rPr>
        <w:t xml:space="preserve"> o któ</w:t>
      </w:r>
      <w:r w:rsidRPr="003409C9">
        <w:rPr>
          <w:noProof/>
        </w:rPr>
        <w:t>rej mowa</w:t>
      </w:r>
      <w:r w:rsidR="003409C9" w:rsidRPr="003409C9">
        <w:rPr>
          <w:noProof/>
        </w:rPr>
        <w:t xml:space="preserve"> w art</w:t>
      </w:r>
      <w:r w:rsidRPr="003409C9">
        <w:rPr>
          <w:noProof/>
        </w:rPr>
        <w:t>.</w:t>
      </w:r>
      <w:r w:rsidR="003409C9" w:rsidRPr="003409C9">
        <w:rPr>
          <w:noProof/>
        </w:rPr>
        <w:t> </w:t>
      </w:r>
      <w:r w:rsidRPr="003409C9">
        <w:rPr>
          <w:noProof/>
        </w:rPr>
        <w:t>39 akapit drugi, państwa członkowskie powiadamiają Komisję</w:t>
      </w:r>
      <w:r w:rsidR="003409C9" w:rsidRPr="003409C9">
        <w:rPr>
          <w:noProof/>
        </w:rPr>
        <w:t xml:space="preserve"> o tyc</w:t>
      </w:r>
      <w:r w:rsidRPr="003409C9">
        <w:rPr>
          <w:noProof/>
        </w:rPr>
        <w:t>h przepisach</w:t>
      </w:r>
      <w:r w:rsidR="003409C9" w:rsidRPr="003409C9">
        <w:rPr>
          <w:noProof/>
        </w:rPr>
        <w:t xml:space="preserve"> i śro</w:t>
      </w:r>
      <w:r w:rsidRPr="003409C9">
        <w:rPr>
          <w:noProof/>
        </w:rPr>
        <w:t>dkach</w:t>
      </w:r>
      <w:r w:rsidR="003409C9" w:rsidRPr="003409C9">
        <w:rPr>
          <w:noProof/>
        </w:rPr>
        <w:t xml:space="preserve"> i nie</w:t>
      </w:r>
      <w:r w:rsidRPr="003409C9">
        <w:rPr>
          <w:noProof/>
        </w:rPr>
        <w:t>zwłocznie przekazują informacje</w:t>
      </w:r>
      <w:r w:rsidR="003409C9" w:rsidRPr="003409C9">
        <w:rPr>
          <w:noProof/>
        </w:rPr>
        <w:t xml:space="preserve"> o wsz</w:t>
      </w:r>
      <w:r w:rsidRPr="003409C9">
        <w:rPr>
          <w:noProof/>
        </w:rPr>
        <w:t xml:space="preserve">elkich późniejszych zmianach, które ich dotyczą. </w:t>
      </w:r>
    </w:p>
    <w:p w:rsidR="009E1714" w:rsidRPr="00BB07AF" w:rsidRDefault="009E1714" w:rsidP="009E1714">
      <w:pPr>
        <w:pStyle w:val="Titrearticle"/>
        <w:rPr>
          <w:noProof/>
        </w:rPr>
      </w:pPr>
      <w:r w:rsidRPr="00BB07AF">
        <w:rPr>
          <w:noProof/>
        </w:rPr>
        <w:t>Artykuł 31</w:t>
      </w:r>
    </w:p>
    <w:p w:rsidR="009E1714" w:rsidRPr="00BB07AF" w:rsidRDefault="00F10AA4" w:rsidP="009E1714">
      <w:pPr>
        <w:jc w:val="center"/>
        <w:rPr>
          <w:b/>
          <w:noProof/>
        </w:rPr>
      </w:pPr>
      <w:r w:rsidRPr="00BB07AF">
        <w:rPr>
          <w:b/>
          <w:noProof/>
        </w:rPr>
        <w:t>Statystyki</w:t>
      </w:r>
    </w:p>
    <w:p w:rsidR="009E1714" w:rsidRPr="003409C9" w:rsidRDefault="009475BC" w:rsidP="009475BC">
      <w:pPr>
        <w:pStyle w:val="ManualNumPar1"/>
        <w:rPr>
          <w:noProof/>
        </w:rPr>
      </w:pPr>
      <w:r w:rsidRPr="003409C9">
        <w:rPr>
          <w:noProof/>
        </w:rPr>
        <w:t>1.</w:t>
      </w:r>
      <w:r w:rsidRPr="003409C9">
        <w:rPr>
          <w:noProof/>
        </w:rPr>
        <w:tab/>
        <w:t>Co kwartał eu-LISA publikuje statystyki dotyczące funkcjonowania routera, obejmujące</w:t>
      </w:r>
      <w:r w:rsidR="003409C9" w:rsidRPr="003409C9">
        <w:rPr>
          <w:noProof/>
        </w:rPr>
        <w:t xml:space="preserve"> w szc</w:t>
      </w:r>
      <w:r w:rsidRPr="003409C9">
        <w:rPr>
          <w:noProof/>
        </w:rPr>
        <w:t>zególności liczbę, obywatelstwo</w:t>
      </w:r>
      <w:r w:rsidR="003409C9" w:rsidRPr="003409C9">
        <w:rPr>
          <w:noProof/>
        </w:rPr>
        <w:t xml:space="preserve"> i kra</w:t>
      </w:r>
      <w:r w:rsidRPr="003409C9">
        <w:rPr>
          <w:noProof/>
        </w:rPr>
        <w:t>j wyjazdu podróżnych, zwłaszcza tych podróżnych, którzy weszli na pokład samolotu,</w:t>
      </w:r>
      <w:r w:rsidR="003409C9" w:rsidRPr="003409C9">
        <w:rPr>
          <w:noProof/>
        </w:rPr>
        <w:t xml:space="preserve"> a pos</w:t>
      </w:r>
      <w:r w:rsidRPr="003409C9">
        <w:rPr>
          <w:noProof/>
        </w:rPr>
        <w:t>iadali niedokładne, niekompletne lub nieaktualne dane API, nieuznawany dokument podróży lub nie posiadali ważnej wizy bądź ważnego zezwolenia na wjazd, lub byli zgłoszeni jako osoby nadmiernie przedłużające pobyt,</w:t>
      </w:r>
      <w:r w:rsidR="003409C9" w:rsidRPr="003409C9">
        <w:rPr>
          <w:noProof/>
        </w:rPr>
        <w:t xml:space="preserve"> a tak</w:t>
      </w:r>
      <w:r w:rsidRPr="003409C9">
        <w:rPr>
          <w:noProof/>
        </w:rPr>
        <w:t>że liczbę</w:t>
      </w:r>
      <w:r w:rsidR="003409C9" w:rsidRPr="003409C9">
        <w:rPr>
          <w:noProof/>
        </w:rPr>
        <w:t xml:space="preserve"> i oby</w:t>
      </w:r>
      <w:r w:rsidRPr="003409C9">
        <w:rPr>
          <w:noProof/>
        </w:rPr>
        <w:t xml:space="preserve">watelstwo podróżnych. </w:t>
      </w:r>
    </w:p>
    <w:p w:rsidR="009E1714" w:rsidRPr="003409C9" w:rsidRDefault="009475BC" w:rsidP="009475BC">
      <w:pPr>
        <w:pStyle w:val="ManualNumPar1"/>
        <w:rPr>
          <w:noProof/>
        </w:rPr>
      </w:pPr>
      <w:r w:rsidRPr="003409C9">
        <w:rPr>
          <w:noProof/>
        </w:rPr>
        <w:t>2.</w:t>
      </w:r>
      <w:r w:rsidRPr="003409C9">
        <w:rPr>
          <w:noProof/>
        </w:rPr>
        <w:tab/>
        <w:t>eu-LISA przechowuje statystyki dzienne</w:t>
      </w:r>
      <w:r w:rsidR="003409C9" w:rsidRPr="003409C9">
        <w:rPr>
          <w:noProof/>
        </w:rPr>
        <w:t xml:space="preserve"> w cen</w:t>
      </w:r>
      <w:r w:rsidRPr="003409C9">
        <w:rPr>
          <w:noProof/>
        </w:rPr>
        <w:t>tralnym repozytorium sprawozdawczo-statystycznym ustanowionym</w:t>
      </w:r>
      <w:r w:rsidR="003409C9" w:rsidRPr="003409C9">
        <w:rPr>
          <w:noProof/>
        </w:rPr>
        <w:t xml:space="preserve"> w art</w:t>
      </w:r>
      <w:r w:rsidRPr="003409C9">
        <w:rPr>
          <w:noProof/>
        </w:rPr>
        <w:t>.</w:t>
      </w:r>
      <w:r w:rsidR="003409C9" w:rsidRPr="003409C9">
        <w:rPr>
          <w:noProof/>
        </w:rPr>
        <w:t> </w:t>
      </w:r>
      <w:r w:rsidRPr="003409C9">
        <w:rPr>
          <w:noProof/>
        </w:rPr>
        <w:t>39 rozporządzenia (UE) 2019/817.</w:t>
      </w:r>
    </w:p>
    <w:p w:rsidR="009E1714" w:rsidRPr="003409C9" w:rsidRDefault="009475BC" w:rsidP="009475BC">
      <w:pPr>
        <w:pStyle w:val="ManualNumPar1"/>
        <w:rPr>
          <w:noProof/>
        </w:rPr>
      </w:pPr>
      <w:r w:rsidRPr="003409C9">
        <w:rPr>
          <w:noProof/>
        </w:rPr>
        <w:t>3.</w:t>
      </w:r>
      <w:r w:rsidRPr="003409C9">
        <w:rPr>
          <w:noProof/>
        </w:rPr>
        <w:tab/>
        <w:t>Na koniec każdego roku eu-LISA zestawia dane statystyczne</w:t>
      </w:r>
      <w:r w:rsidR="003409C9" w:rsidRPr="003409C9">
        <w:rPr>
          <w:noProof/>
        </w:rPr>
        <w:t xml:space="preserve"> w spr</w:t>
      </w:r>
      <w:r w:rsidRPr="003409C9">
        <w:rPr>
          <w:noProof/>
        </w:rPr>
        <w:t>awozdaniu rocznym za dany rok. Publikuje ona to sprawozdanie roczne</w:t>
      </w:r>
      <w:r w:rsidR="003409C9" w:rsidRPr="003409C9">
        <w:rPr>
          <w:noProof/>
        </w:rPr>
        <w:t xml:space="preserve"> i prz</w:t>
      </w:r>
      <w:r w:rsidRPr="003409C9">
        <w:rPr>
          <w:noProof/>
        </w:rPr>
        <w:t>ekazuje je Parlamentowi Europejskiemu, Radzie, Komisji, Europejskiemu Inspektorowi Ochrony Danych, Europejskiej Agencji Straży Granicznej</w:t>
      </w:r>
      <w:r w:rsidR="003409C9" w:rsidRPr="003409C9">
        <w:rPr>
          <w:noProof/>
        </w:rPr>
        <w:t xml:space="preserve"> i Prz</w:t>
      </w:r>
      <w:r w:rsidRPr="003409C9">
        <w:rPr>
          <w:noProof/>
        </w:rPr>
        <w:t>ybrzeżnej oraz krajowym organom nadzorczym,</w:t>
      </w:r>
      <w:r w:rsidR="003409C9" w:rsidRPr="003409C9">
        <w:rPr>
          <w:noProof/>
        </w:rPr>
        <w:t xml:space="preserve"> o któ</w:t>
      </w:r>
      <w:r w:rsidRPr="003409C9">
        <w:rPr>
          <w:noProof/>
        </w:rPr>
        <w:t>rych mowa</w:t>
      </w:r>
      <w:r w:rsidR="003409C9" w:rsidRPr="003409C9">
        <w:rPr>
          <w:noProof/>
        </w:rPr>
        <w:t xml:space="preserve"> w art</w:t>
      </w:r>
      <w:r w:rsidRPr="003409C9">
        <w:rPr>
          <w:noProof/>
        </w:rPr>
        <w:t>.</w:t>
      </w:r>
      <w:r w:rsidR="003409C9" w:rsidRPr="003409C9">
        <w:rPr>
          <w:noProof/>
        </w:rPr>
        <w:t> </w:t>
      </w:r>
      <w:r w:rsidRPr="003409C9">
        <w:rPr>
          <w:noProof/>
        </w:rPr>
        <w:t>29.</w:t>
      </w:r>
    </w:p>
    <w:p w:rsidR="009E1714" w:rsidRPr="003409C9" w:rsidRDefault="009475BC" w:rsidP="009475BC">
      <w:pPr>
        <w:pStyle w:val="ManualNumPar1"/>
        <w:rPr>
          <w:noProof/>
        </w:rPr>
      </w:pPr>
      <w:r w:rsidRPr="003409C9">
        <w:rPr>
          <w:noProof/>
        </w:rPr>
        <w:t>4.</w:t>
      </w:r>
      <w:r w:rsidRPr="003409C9">
        <w:rPr>
          <w:noProof/>
        </w:rPr>
        <w:tab/>
        <w:t>Na wniosek Komisji eu-LISA dostarcza jej statystyki dotyczące określonych aspektów związanych</w:t>
      </w:r>
      <w:r w:rsidR="003409C9" w:rsidRPr="003409C9">
        <w:rPr>
          <w:noProof/>
        </w:rPr>
        <w:t xml:space="preserve"> z wdr</w:t>
      </w:r>
      <w:r w:rsidRPr="003409C9">
        <w:rPr>
          <w:noProof/>
        </w:rPr>
        <w:t>ożeniem niniejszego rozporządzenia</w:t>
      </w:r>
      <w:r w:rsidR="003409C9" w:rsidRPr="003409C9">
        <w:rPr>
          <w:noProof/>
        </w:rPr>
        <w:t xml:space="preserve"> i roz</w:t>
      </w:r>
      <w:r w:rsidRPr="003409C9">
        <w:rPr>
          <w:noProof/>
        </w:rPr>
        <w:t>porządzenia (UE) [w sprawie egzekwowania przepisów dotyczących API], jak również statystyki zestawiane na podstawie ust.</w:t>
      </w:r>
      <w:r w:rsidR="003409C9" w:rsidRPr="003409C9">
        <w:rPr>
          <w:noProof/>
        </w:rPr>
        <w:t> </w:t>
      </w:r>
      <w:r w:rsidRPr="003409C9">
        <w:rPr>
          <w:noProof/>
        </w:rPr>
        <w:t>3.</w:t>
      </w:r>
    </w:p>
    <w:p w:rsidR="009E1714" w:rsidRPr="003409C9" w:rsidRDefault="009475BC" w:rsidP="009475BC">
      <w:pPr>
        <w:pStyle w:val="ManualNumPar1"/>
        <w:rPr>
          <w:noProof/>
        </w:rPr>
      </w:pPr>
      <w:r w:rsidRPr="003409C9">
        <w:rPr>
          <w:noProof/>
        </w:rPr>
        <w:t>5.</w:t>
      </w:r>
      <w:r w:rsidRPr="003409C9">
        <w:rPr>
          <w:noProof/>
        </w:rPr>
        <w:tab/>
        <w:t>eu-LISA ma prawo dostępu – wyłącznie do celów sprawozdawczości,</w:t>
      </w:r>
      <w:r w:rsidR="003409C9" w:rsidRPr="003409C9">
        <w:rPr>
          <w:noProof/>
        </w:rPr>
        <w:t xml:space="preserve"> o któ</w:t>
      </w:r>
      <w:r w:rsidRPr="003409C9">
        <w:rPr>
          <w:noProof/>
        </w:rPr>
        <w:t>rej mowa</w:t>
      </w:r>
      <w:r w:rsidR="003409C9" w:rsidRPr="003409C9">
        <w:rPr>
          <w:noProof/>
        </w:rPr>
        <w:t xml:space="preserve"> w art</w:t>
      </w:r>
      <w:r w:rsidRPr="003409C9">
        <w:rPr>
          <w:noProof/>
        </w:rPr>
        <w:t>.</w:t>
      </w:r>
      <w:r w:rsidR="003409C9" w:rsidRPr="003409C9">
        <w:rPr>
          <w:noProof/>
        </w:rPr>
        <w:t> </w:t>
      </w:r>
      <w:r w:rsidRPr="003409C9">
        <w:rPr>
          <w:noProof/>
        </w:rPr>
        <w:t>38,</w:t>
      </w:r>
      <w:r w:rsidR="003409C9" w:rsidRPr="003409C9">
        <w:rPr>
          <w:noProof/>
        </w:rPr>
        <w:t xml:space="preserve"> i two</w:t>
      </w:r>
      <w:r w:rsidRPr="003409C9">
        <w:rPr>
          <w:noProof/>
        </w:rPr>
        <w:t>rzenia statystyk zgodnie</w:t>
      </w:r>
      <w:r w:rsidR="003409C9" w:rsidRPr="003409C9">
        <w:rPr>
          <w:noProof/>
        </w:rPr>
        <w:t xml:space="preserve"> z nin</w:t>
      </w:r>
      <w:r w:rsidRPr="003409C9">
        <w:rPr>
          <w:noProof/>
        </w:rPr>
        <w:t xml:space="preserve">iejszym artykułem – do następujących danych API przekazywanych za pośrednictwem routera, który to dostęp nie umożliwia jednak identyfikacji danych podróżnych: </w:t>
      </w:r>
    </w:p>
    <w:p w:rsidR="009E1714" w:rsidRPr="003409C9" w:rsidRDefault="009E1714" w:rsidP="007A53AC">
      <w:pPr>
        <w:pStyle w:val="Point1"/>
        <w:rPr>
          <w:noProof/>
        </w:rPr>
      </w:pPr>
      <w:r w:rsidRPr="003409C9">
        <w:rPr>
          <w:noProof/>
        </w:rPr>
        <w:t>a)</w:t>
      </w:r>
      <w:r w:rsidRPr="003409C9">
        <w:rPr>
          <w:noProof/>
        </w:rPr>
        <w:tab/>
        <w:t>informacji, czy podróżny jest pasażerem czy członkiem załogi;</w:t>
      </w:r>
    </w:p>
    <w:p w:rsidR="009E1714" w:rsidRPr="003409C9" w:rsidRDefault="009E1714" w:rsidP="007A53AC">
      <w:pPr>
        <w:pStyle w:val="Point1"/>
        <w:rPr>
          <w:noProof/>
        </w:rPr>
      </w:pPr>
      <w:r w:rsidRPr="003409C9">
        <w:rPr>
          <w:noProof/>
        </w:rPr>
        <w:t>b)</w:t>
      </w:r>
      <w:r w:rsidRPr="003409C9">
        <w:rPr>
          <w:noProof/>
        </w:rPr>
        <w:tab/>
        <w:t>informacji</w:t>
      </w:r>
      <w:r w:rsidR="003409C9" w:rsidRPr="003409C9">
        <w:rPr>
          <w:noProof/>
        </w:rPr>
        <w:t xml:space="preserve"> o oby</w:t>
      </w:r>
      <w:r w:rsidRPr="003409C9">
        <w:rPr>
          <w:noProof/>
        </w:rPr>
        <w:t>watelstwie, płci</w:t>
      </w:r>
      <w:r w:rsidR="003409C9" w:rsidRPr="003409C9">
        <w:rPr>
          <w:noProof/>
        </w:rPr>
        <w:t xml:space="preserve"> i rok</w:t>
      </w:r>
      <w:r w:rsidRPr="003409C9">
        <w:rPr>
          <w:noProof/>
        </w:rPr>
        <w:t>u urodzenia podróżnego;</w:t>
      </w:r>
    </w:p>
    <w:p w:rsidR="009E1714" w:rsidRPr="003409C9" w:rsidRDefault="009E1714" w:rsidP="007A53AC">
      <w:pPr>
        <w:pStyle w:val="Point1"/>
        <w:rPr>
          <w:noProof/>
        </w:rPr>
      </w:pPr>
      <w:r w:rsidRPr="003409C9">
        <w:rPr>
          <w:noProof/>
        </w:rPr>
        <w:t>c)</w:t>
      </w:r>
      <w:r w:rsidRPr="003409C9">
        <w:rPr>
          <w:noProof/>
        </w:rPr>
        <w:tab/>
        <w:t>daty</w:t>
      </w:r>
      <w:r w:rsidR="003409C9" w:rsidRPr="003409C9">
        <w:rPr>
          <w:noProof/>
        </w:rPr>
        <w:t xml:space="preserve"> i poc</w:t>
      </w:r>
      <w:r w:rsidRPr="003409C9">
        <w:rPr>
          <w:noProof/>
        </w:rPr>
        <w:t>zątkowego punktu wejścia na pokład oraz daty</w:t>
      </w:r>
      <w:r w:rsidR="003409C9" w:rsidRPr="003409C9">
        <w:rPr>
          <w:noProof/>
        </w:rPr>
        <w:t xml:space="preserve"> i por</w:t>
      </w:r>
      <w:r w:rsidRPr="003409C9">
        <w:rPr>
          <w:noProof/>
        </w:rPr>
        <w:t>tu lotniczego przylotu na terytorium docelowego państwa członkowskiego;</w:t>
      </w:r>
    </w:p>
    <w:p w:rsidR="009E1714" w:rsidRPr="003409C9" w:rsidRDefault="009E1714" w:rsidP="007A53AC">
      <w:pPr>
        <w:pStyle w:val="Point1"/>
        <w:rPr>
          <w:noProof/>
        </w:rPr>
      </w:pPr>
      <w:r w:rsidRPr="003409C9">
        <w:rPr>
          <w:noProof/>
        </w:rPr>
        <w:t>d)</w:t>
      </w:r>
      <w:r w:rsidRPr="003409C9">
        <w:rPr>
          <w:noProof/>
        </w:rPr>
        <w:tab/>
        <w:t>rodzaju dokumentu podróży, trzyliterowego kodu państwa wydającego dokument podróży oraz daty upływu ważności tego dokumentu;</w:t>
      </w:r>
    </w:p>
    <w:p w:rsidR="009E1714" w:rsidRPr="003409C9" w:rsidRDefault="009E1714" w:rsidP="007A53AC">
      <w:pPr>
        <w:pStyle w:val="Point1"/>
        <w:rPr>
          <w:noProof/>
        </w:rPr>
      </w:pPr>
      <w:r w:rsidRPr="003409C9">
        <w:rPr>
          <w:noProof/>
        </w:rPr>
        <w:t>e)</w:t>
      </w:r>
      <w:r w:rsidRPr="003409C9">
        <w:rPr>
          <w:noProof/>
        </w:rPr>
        <w:tab/>
        <w:t>informacji</w:t>
      </w:r>
      <w:r w:rsidR="003409C9" w:rsidRPr="003409C9">
        <w:rPr>
          <w:noProof/>
        </w:rPr>
        <w:t xml:space="preserve"> o lic</w:t>
      </w:r>
      <w:r w:rsidRPr="003409C9">
        <w:rPr>
          <w:noProof/>
        </w:rPr>
        <w:t>zbie podróżnych odprawionych na ten sam lot;</w:t>
      </w:r>
    </w:p>
    <w:p w:rsidR="009E1714" w:rsidRPr="003409C9" w:rsidRDefault="009E1714" w:rsidP="007A53AC">
      <w:pPr>
        <w:pStyle w:val="Point1"/>
        <w:rPr>
          <w:noProof/>
        </w:rPr>
      </w:pPr>
      <w:r w:rsidRPr="003409C9">
        <w:rPr>
          <w:noProof/>
        </w:rPr>
        <w:t>f)</w:t>
      </w:r>
      <w:r w:rsidRPr="003409C9">
        <w:rPr>
          <w:noProof/>
        </w:rPr>
        <w:tab/>
        <w:t>informacji, czy lot jest lotem regularnym czy nieregularnym;</w:t>
      </w:r>
    </w:p>
    <w:p w:rsidR="009E1714" w:rsidRPr="003409C9" w:rsidRDefault="009E1714" w:rsidP="007A53AC">
      <w:pPr>
        <w:pStyle w:val="Point1"/>
        <w:rPr>
          <w:noProof/>
        </w:rPr>
      </w:pPr>
      <w:r w:rsidRPr="003409C9">
        <w:rPr>
          <w:noProof/>
        </w:rPr>
        <w:t>g)</w:t>
      </w:r>
      <w:r w:rsidRPr="003409C9">
        <w:rPr>
          <w:noProof/>
        </w:rPr>
        <w:tab/>
        <w:t>informacji, czy dane osobowe podróżnego są dokładne, kompletne</w:t>
      </w:r>
      <w:r w:rsidR="003409C9" w:rsidRPr="003409C9">
        <w:rPr>
          <w:noProof/>
        </w:rPr>
        <w:t xml:space="preserve"> i akt</w:t>
      </w:r>
      <w:r w:rsidRPr="003409C9">
        <w:rPr>
          <w:noProof/>
        </w:rPr>
        <w:t>ualne.</w:t>
      </w:r>
    </w:p>
    <w:p w:rsidR="009E1714" w:rsidRPr="003409C9" w:rsidRDefault="009475BC" w:rsidP="009475BC">
      <w:pPr>
        <w:pStyle w:val="ManualNumPar1"/>
        <w:rPr>
          <w:noProof/>
        </w:rPr>
      </w:pPr>
      <w:bookmarkStart w:id="44" w:name="_Hlk117162782"/>
      <w:r w:rsidRPr="003409C9">
        <w:rPr>
          <w:noProof/>
        </w:rPr>
        <w:t>6.</w:t>
      </w:r>
      <w:r w:rsidRPr="003409C9">
        <w:rPr>
          <w:noProof/>
        </w:rPr>
        <w:tab/>
        <w:t xml:space="preserve">Do </w:t>
      </w:r>
      <w:bookmarkStart w:id="45" w:name="_Hlk120856954"/>
      <w:r w:rsidRPr="003409C9">
        <w:rPr>
          <w:noProof/>
        </w:rPr>
        <w:t>celów sprawozdawczości,</w:t>
      </w:r>
      <w:r w:rsidR="003409C9" w:rsidRPr="003409C9">
        <w:rPr>
          <w:noProof/>
        </w:rPr>
        <w:t xml:space="preserve"> o któ</w:t>
      </w:r>
      <w:r w:rsidRPr="003409C9">
        <w:rPr>
          <w:noProof/>
        </w:rPr>
        <w:t>rej mowa</w:t>
      </w:r>
      <w:r w:rsidR="003409C9" w:rsidRPr="003409C9">
        <w:rPr>
          <w:noProof/>
        </w:rPr>
        <w:t xml:space="preserve"> w art</w:t>
      </w:r>
      <w:r w:rsidRPr="003409C9">
        <w:rPr>
          <w:noProof/>
        </w:rPr>
        <w:t>.</w:t>
      </w:r>
      <w:r w:rsidR="003409C9" w:rsidRPr="003409C9">
        <w:rPr>
          <w:noProof/>
        </w:rPr>
        <w:t> </w:t>
      </w:r>
      <w:r w:rsidRPr="003409C9">
        <w:rPr>
          <w:noProof/>
        </w:rPr>
        <w:t>38,</w:t>
      </w:r>
      <w:r w:rsidR="003409C9" w:rsidRPr="003409C9">
        <w:rPr>
          <w:noProof/>
        </w:rPr>
        <w:t xml:space="preserve"> i two</w:t>
      </w:r>
      <w:r w:rsidRPr="003409C9">
        <w:rPr>
          <w:noProof/>
        </w:rPr>
        <w:t>rzenia statystyk zgodnie</w:t>
      </w:r>
      <w:r w:rsidR="003409C9" w:rsidRPr="003409C9">
        <w:rPr>
          <w:noProof/>
        </w:rPr>
        <w:t xml:space="preserve"> z nin</w:t>
      </w:r>
      <w:r w:rsidRPr="003409C9">
        <w:rPr>
          <w:noProof/>
        </w:rPr>
        <w:t>iejszym artykułem</w:t>
      </w:r>
      <w:bookmarkEnd w:id="45"/>
      <w:r w:rsidRPr="003409C9">
        <w:rPr>
          <w:noProof/>
        </w:rPr>
        <w:t xml:space="preserve"> eu-LISA przechowuje dane,</w:t>
      </w:r>
      <w:r w:rsidR="003409C9" w:rsidRPr="003409C9">
        <w:rPr>
          <w:noProof/>
        </w:rPr>
        <w:t xml:space="preserve"> o któ</w:t>
      </w:r>
      <w:r w:rsidRPr="003409C9">
        <w:rPr>
          <w:noProof/>
        </w:rPr>
        <w:t>rych mowa</w:t>
      </w:r>
      <w:r w:rsidR="003409C9" w:rsidRPr="003409C9">
        <w:rPr>
          <w:noProof/>
        </w:rPr>
        <w:t xml:space="preserve"> w ust</w:t>
      </w:r>
      <w:r w:rsidRPr="003409C9">
        <w:rPr>
          <w:noProof/>
        </w:rPr>
        <w:t>.</w:t>
      </w:r>
      <w:r w:rsidR="003409C9" w:rsidRPr="003409C9">
        <w:rPr>
          <w:noProof/>
        </w:rPr>
        <w:t> </w:t>
      </w:r>
      <w:r w:rsidRPr="003409C9">
        <w:rPr>
          <w:noProof/>
        </w:rPr>
        <w:t>5 niniejszego artykułu,</w:t>
      </w:r>
      <w:r w:rsidR="003409C9" w:rsidRPr="003409C9">
        <w:rPr>
          <w:noProof/>
        </w:rPr>
        <w:t xml:space="preserve"> w cen</w:t>
      </w:r>
      <w:r w:rsidRPr="003409C9">
        <w:rPr>
          <w:noProof/>
        </w:rPr>
        <w:t xml:space="preserve">tralnym repozytorium sprawozdawczo-statystycznym ustanowionym na mocy art. 39 rozporządzenia (UE) 2019/817. </w:t>
      </w:r>
      <w:bookmarkStart w:id="46" w:name="_Hlk120857096"/>
      <w:r w:rsidRPr="003409C9">
        <w:rPr>
          <w:noProof/>
        </w:rPr>
        <w:t>Wymienione</w:t>
      </w:r>
      <w:r w:rsidR="003409C9" w:rsidRPr="003409C9">
        <w:rPr>
          <w:noProof/>
        </w:rPr>
        <w:t xml:space="preserve"> w art</w:t>
      </w:r>
      <w:r w:rsidRPr="003409C9">
        <w:rPr>
          <w:noProof/>
        </w:rPr>
        <w:t>.</w:t>
      </w:r>
      <w:r w:rsidR="003409C9" w:rsidRPr="003409C9">
        <w:rPr>
          <w:noProof/>
        </w:rPr>
        <w:t> </w:t>
      </w:r>
      <w:r w:rsidRPr="003409C9">
        <w:rPr>
          <w:noProof/>
        </w:rPr>
        <w:t>39 ust.</w:t>
      </w:r>
      <w:r w:rsidR="003409C9" w:rsidRPr="003409C9">
        <w:rPr>
          <w:noProof/>
        </w:rPr>
        <w:t> </w:t>
      </w:r>
      <w:r w:rsidRPr="003409C9">
        <w:rPr>
          <w:noProof/>
        </w:rPr>
        <w:t>1 tego rozporządzenia</w:t>
      </w:r>
      <w:bookmarkEnd w:id="46"/>
      <w:r w:rsidRPr="003409C9">
        <w:rPr>
          <w:noProof/>
        </w:rPr>
        <w:t xml:space="preserve"> międzysystemowe dane statystyczne</w:t>
      </w:r>
      <w:r w:rsidR="003409C9" w:rsidRPr="003409C9">
        <w:rPr>
          <w:noProof/>
        </w:rPr>
        <w:t xml:space="preserve"> i spr</w:t>
      </w:r>
      <w:r w:rsidRPr="003409C9">
        <w:rPr>
          <w:noProof/>
        </w:rPr>
        <w:t>awozdania analityczne umożliwiają właściwym służbom granicznym</w:t>
      </w:r>
      <w:r w:rsidR="003409C9" w:rsidRPr="003409C9">
        <w:rPr>
          <w:noProof/>
        </w:rPr>
        <w:t xml:space="preserve"> i inn</w:t>
      </w:r>
      <w:r w:rsidRPr="003409C9">
        <w:rPr>
          <w:noProof/>
        </w:rPr>
        <w:t>ym odpowiednim organom państw członkowskich uzyskanie sprofilowanych do potrzeb sprawozdań</w:t>
      </w:r>
      <w:r w:rsidR="003409C9" w:rsidRPr="003409C9">
        <w:rPr>
          <w:noProof/>
        </w:rPr>
        <w:t xml:space="preserve"> i sta</w:t>
      </w:r>
      <w:r w:rsidRPr="003409C9">
        <w:rPr>
          <w:noProof/>
        </w:rPr>
        <w:t>tystyk do celów,</w:t>
      </w:r>
      <w:r w:rsidR="003409C9" w:rsidRPr="003409C9">
        <w:rPr>
          <w:noProof/>
        </w:rPr>
        <w:t xml:space="preserve"> o któ</w:t>
      </w:r>
      <w:r w:rsidRPr="003409C9">
        <w:rPr>
          <w:noProof/>
        </w:rPr>
        <w:t>rych mowa</w:t>
      </w:r>
      <w:r w:rsidR="003409C9" w:rsidRPr="003409C9">
        <w:rPr>
          <w:noProof/>
        </w:rPr>
        <w:t xml:space="preserve"> w art</w:t>
      </w:r>
      <w:r w:rsidRPr="003409C9">
        <w:rPr>
          <w:noProof/>
        </w:rPr>
        <w:t>.</w:t>
      </w:r>
      <w:r w:rsidR="003409C9" w:rsidRPr="003409C9">
        <w:rPr>
          <w:noProof/>
        </w:rPr>
        <w:t> </w:t>
      </w:r>
      <w:r w:rsidRPr="003409C9">
        <w:rPr>
          <w:noProof/>
        </w:rPr>
        <w:t>1 niniejszego rozporządzenia.</w:t>
      </w:r>
    </w:p>
    <w:bookmarkEnd w:id="44"/>
    <w:p w:rsidR="009E1714" w:rsidRPr="003409C9" w:rsidRDefault="009475BC" w:rsidP="009475BC">
      <w:pPr>
        <w:pStyle w:val="ManualNumPar1"/>
        <w:rPr>
          <w:noProof/>
        </w:rPr>
      </w:pPr>
      <w:r w:rsidRPr="003409C9">
        <w:rPr>
          <w:noProof/>
        </w:rPr>
        <w:t>7.</w:t>
      </w:r>
      <w:r w:rsidRPr="003409C9">
        <w:rPr>
          <w:noProof/>
        </w:rPr>
        <w:tab/>
        <w:t>Procedury wdrożone przez eu-LISA</w:t>
      </w:r>
      <w:r w:rsidR="003409C9" w:rsidRPr="003409C9">
        <w:rPr>
          <w:noProof/>
        </w:rPr>
        <w:t xml:space="preserve"> w cel</w:t>
      </w:r>
      <w:r w:rsidRPr="003409C9">
        <w:rPr>
          <w:noProof/>
        </w:rPr>
        <w:t>u monitorowaniu opracowania</w:t>
      </w:r>
      <w:r w:rsidR="003409C9" w:rsidRPr="003409C9">
        <w:rPr>
          <w:noProof/>
        </w:rPr>
        <w:t xml:space="preserve"> i fun</w:t>
      </w:r>
      <w:r w:rsidRPr="003409C9">
        <w:rPr>
          <w:noProof/>
        </w:rPr>
        <w:t>kcjonowania routera,</w:t>
      </w:r>
      <w:r w:rsidR="003409C9" w:rsidRPr="003409C9">
        <w:rPr>
          <w:noProof/>
        </w:rPr>
        <w:t xml:space="preserve"> o któ</w:t>
      </w:r>
      <w:r w:rsidRPr="003409C9">
        <w:rPr>
          <w:noProof/>
        </w:rPr>
        <w:t>rych mowa</w:t>
      </w:r>
      <w:r w:rsidR="003409C9" w:rsidRPr="003409C9">
        <w:rPr>
          <w:noProof/>
        </w:rPr>
        <w:t xml:space="preserve"> w art</w:t>
      </w:r>
      <w:r w:rsidRPr="003409C9">
        <w:rPr>
          <w:noProof/>
        </w:rPr>
        <w:t>. 39 ust. 1 rozporządzenia (UE) 2019/817, obejmują możliwość regularnego generowania statystyk na potrzeby tego monitorowania.</w:t>
      </w:r>
    </w:p>
    <w:p w:rsidR="00F10AA4" w:rsidRPr="00BB07AF" w:rsidRDefault="00F10AA4" w:rsidP="00F10AA4">
      <w:pPr>
        <w:pStyle w:val="Titrearticle"/>
        <w:rPr>
          <w:noProof/>
        </w:rPr>
      </w:pPr>
      <w:r w:rsidRPr="00BB07AF">
        <w:rPr>
          <w:noProof/>
        </w:rPr>
        <w:t>Artykuł 32</w:t>
      </w:r>
    </w:p>
    <w:p w:rsidR="00F10AA4" w:rsidRPr="00BB07AF" w:rsidRDefault="00F10AA4" w:rsidP="00F10AA4">
      <w:pPr>
        <w:jc w:val="center"/>
        <w:rPr>
          <w:b/>
          <w:noProof/>
        </w:rPr>
      </w:pPr>
      <w:r w:rsidRPr="00BB07AF">
        <w:rPr>
          <w:b/>
          <w:noProof/>
        </w:rPr>
        <w:t>Praktyczny podręcznik</w:t>
      </w:r>
    </w:p>
    <w:p w:rsidR="00F10AA4" w:rsidRPr="003409C9" w:rsidRDefault="00F10AA4" w:rsidP="00F10AA4">
      <w:pPr>
        <w:rPr>
          <w:noProof/>
        </w:rPr>
      </w:pPr>
      <w:r w:rsidRPr="003409C9">
        <w:rPr>
          <w:noProof/>
        </w:rPr>
        <w:t>Komisja,</w:t>
      </w:r>
      <w:r w:rsidR="003409C9" w:rsidRPr="003409C9">
        <w:rPr>
          <w:noProof/>
        </w:rPr>
        <w:t xml:space="preserve"> w ści</w:t>
      </w:r>
      <w:r w:rsidRPr="003409C9">
        <w:rPr>
          <w:noProof/>
        </w:rPr>
        <w:t>słej współpracy</w:t>
      </w:r>
      <w:r w:rsidR="003409C9" w:rsidRPr="003409C9">
        <w:rPr>
          <w:noProof/>
        </w:rPr>
        <w:t xml:space="preserve"> z wła</w:t>
      </w:r>
      <w:r w:rsidRPr="003409C9">
        <w:rPr>
          <w:noProof/>
        </w:rPr>
        <w:t>ściwymi służbami granicznymi, innymi odpowiednimi organami państw członkowskich, przewoźnikami lotniczymi</w:t>
      </w:r>
      <w:r w:rsidR="003409C9" w:rsidRPr="003409C9">
        <w:rPr>
          <w:noProof/>
        </w:rPr>
        <w:t xml:space="preserve"> i wła</w:t>
      </w:r>
      <w:r w:rsidRPr="003409C9">
        <w:rPr>
          <w:noProof/>
        </w:rPr>
        <w:t>ściwymi agencjami Unii, przygotowuje</w:t>
      </w:r>
      <w:r w:rsidR="003409C9" w:rsidRPr="003409C9">
        <w:rPr>
          <w:noProof/>
        </w:rPr>
        <w:t xml:space="preserve"> i udo</w:t>
      </w:r>
      <w:r w:rsidRPr="003409C9">
        <w:rPr>
          <w:noProof/>
        </w:rPr>
        <w:t>stępnia praktyczny podręcznik zawierający wytyczne, zalecenia</w:t>
      </w:r>
      <w:r w:rsidR="003409C9" w:rsidRPr="003409C9">
        <w:rPr>
          <w:noProof/>
        </w:rPr>
        <w:t xml:space="preserve"> i naj</w:t>
      </w:r>
      <w:r w:rsidRPr="003409C9">
        <w:rPr>
          <w:noProof/>
        </w:rPr>
        <w:t xml:space="preserve">lepsze praktyki dotyczące wdrażania niniejszego rozporządzenia. </w:t>
      </w:r>
    </w:p>
    <w:p w:rsidR="00F10AA4" w:rsidRPr="003409C9" w:rsidRDefault="00F10AA4" w:rsidP="00F10AA4">
      <w:pPr>
        <w:rPr>
          <w:noProof/>
        </w:rPr>
      </w:pPr>
      <w:r w:rsidRPr="003409C9">
        <w:rPr>
          <w:noProof/>
        </w:rPr>
        <w:t xml:space="preserve">Praktyczny podręcznik uwzględnia odpowiednie, istniejące już podręczniki. </w:t>
      </w:r>
    </w:p>
    <w:p w:rsidR="00F10AA4" w:rsidRPr="003409C9" w:rsidRDefault="00F10AA4" w:rsidP="00F10AA4">
      <w:pPr>
        <w:rPr>
          <w:noProof/>
        </w:rPr>
      </w:pPr>
      <w:r w:rsidRPr="003409C9">
        <w:rPr>
          <w:noProof/>
        </w:rPr>
        <w:t>Komisja przyjmuje praktyczny podręcznik</w:t>
      </w:r>
      <w:r w:rsidR="003409C9" w:rsidRPr="003409C9">
        <w:rPr>
          <w:noProof/>
        </w:rPr>
        <w:t xml:space="preserve"> w for</w:t>
      </w:r>
      <w:r w:rsidRPr="003409C9">
        <w:rPr>
          <w:noProof/>
        </w:rPr>
        <w:t>mie zalecenia.</w:t>
      </w:r>
    </w:p>
    <w:p w:rsidR="00F10AA4" w:rsidRPr="003409C9" w:rsidRDefault="00F10AA4" w:rsidP="004E1047">
      <w:pPr>
        <w:rPr>
          <w:noProof/>
        </w:rPr>
      </w:pPr>
    </w:p>
    <w:p w:rsidR="004E1047" w:rsidRPr="003409C9" w:rsidRDefault="004E1047" w:rsidP="004E1047">
      <w:pPr>
        <w:pStyle w:val="Titrearticle"/>
        <w:rPr>
          <w:i w:val="0"/>
          <w:noProof/>
        </w:rPr>
      </w:pPr>
      <w:r w:rsidRPr="003409C9">
        <w:rPr>
          <w:i w:val="0"/>
          <w:noProof/>
        </w:rPr>
        <w:t>ROZDZIAŁ 7</w:t>
      </w:r>
    </w:p>
    <w:p w:rsidR="00250117" w:rsidRPr="00BB07AF" w:rsidRDefault="00CD5FB3" w:rsidP="00250117">
      <w:pPr>
        <w:jc w:val="center"/>
        <w:rPr>
          <w:b/>
          <w:noProof/>
        </w:rPr>
      </w:pPr>
      <w:r w:rsidRPr="00BB07AF">
        <w:rPr>
          <w:b/>
          <w:noProof/>
        </w:rPr>
        <w:t>STOSUNEK DO INNYCH OBOWIĄZUJĄCYCH AKTÓW</w:t>
      </w:r>
    </w:p>
    <w:p w:rsidR="00250117" w:rsidRPr="00BB07AF" w:rsidRDefault="00250117" w:rsidP="00250117">
      <w:pPr>
        <w:pStyle w:val="Titrearticle"/>
        <w:rPr>
          <w:noProof/>
        </w:rPr>
      </w:pPr>
      <w:r w:rsidRPr="00BB07AF">
        <w:rPr>
          <w:noProof/>
        </w:rPr>
        <w:t>Artykuł 33</w:t>
      </w:r>
    </w:p>
    <w:p w:rsidR="00250117" w:rsidRPr="00BB07AF" w:rsidRDefault="00A67017" w:rsidP="00250117">
      <w:pPr>
        <w:jc w:val="center"/>
        <w:rPr>
          <w:b/>
          <w:noProof/>
        </w:rPr>
      </w:pPr>
      <w:r w:rsidRPr="00BB07AF">
        <w:rPr>
          <w:b/>
          <w:noProof/>
        </w:rPr>
        <w:t>Uchylenie dyrektywy 2004/82/WE</w:t>
      </w:r>
    </w:p>
    <w:p w:rsidR="00250117" w:rsidRPr="003409C9" w:rsidRDefault="00250117" w:rsidP="00B65481">
      <w:pPr>
        <w:rPr>
          <w:noProof/>
        </w:rPr>
      </w:pPr>
      <w:r w:rsidRPr="003409C9">
        <w:rPr>
          <w:noProof/>
        </w:rPr>
        <w:t>Dyrektywa 2004/82/WE traci moc</w:t>
      </w:r>
      <w:r w:rsidR="003409C9" w:rsidRPr="003409C9">
        <w:rPr>
          <w:noProof/>
        </w:rPr>
        <w:t xml:space="preserve"> z dni</w:t>
      </w:r>
      <w:r w:rsidRPr="003409C9">
        <w:rPr>
          <w:noProof/>
        </w:rPr>
        <w:t>em rozpoczęcia stosowania niniejszego rozporządzenia,</w:t>
      </w:r>
      <w:r w:rsidR="003409C9" w:rsidRPr="003409C9">
        <w:rPr>
          <w:noProof/>
        </w:rPr>
        <w:t xml:space="preserve"> o czy</w:t>
      </w:r>
      <w:r w:rsidRPr="003409C9">
        <w:rPr>
          <w:noProof/>
        </w:rPr>
        <w:t>m mowa</w:t>
      </w:r>
      <w:r w:rsidR="003409C9" w:rsidRPr="003409C9">
        <w:rPr>
          <w:noProof/>
        </w:rPr>
        <w:t xml:space="preserve"> w art</w:t>
      </w:r>
      <w:r w:rsidRPr="003409C9">
        <w:rPr>
          <w:noProof/>
        </w:rPr>
        <w:t>.</w:t>
      </w:r>
      <w:r w:rsidR="003409C9" w:rsidRPr="003409C9">
        <w:rPr>
          <w:noProof/>
        </w:rPr>
        <w:t> </w:t>
      </w:r>
      <w:r w:rsidRPr="003409C9">
        <w:rPr>
          <w:noProof/>
        </w:rPr>
        <w:t xml:space="preserve">39 akapit drugi. </w:t>
      </w:r>
    </w:p>
    <w:p w:rsidR="00250117" w:rsidRPr="00BB07AF" w:rsidRDefault="00250117" w:rsidP="00250117">
      <w:pPr>
        <w:pStyle w:val="Titrearticle"/>
        <w:rPr>
          <w:noProof/>
        </w:rPr>
      </w:pPr>
      <w:r w:rsidRPr="00BB07AF">
        <w:rPr>
          <w:noProof/>
        </w:rPr>
        <w:t>Artykuł 34</w:t>
      </w:r>
    </w:p>
    <w:p w:rsidR="00250117" w:rsidRPr="00BB07AF" w:rsidRDefault="00250117" w:rsidP="00250117">
      <w:pPr>
        <w:jc w:val="center"/>
        <w:rPr>
          <w:b/>
          <w:noProof/>
        </w:rPr>
      </w:pPr>
      <w:r w:rsidRPr="00BB07AF">
        <w:rPr>
          <w:b/>
          <w:noProof/>
        </w:rPr>
        <w:t>Zmiany</w:t>
      </w:r>
      <w:r w:rsidR="003409C9" w:rsidRPr="00BB07AF">
        <w:rPr>
          <w:b/>
          <w:noProof/>
        </w:rPr>
        <w:t xml:space="preserve"> w roz</w:t>
      </w:r>
      <w:r w:rsidRPr="00BB07AF">
        <w:rPr>
          <w:b/>
          <w:noProof/>
        </w:rPr>
        <w:t>porządzeniu (UE) 2018/1726</w:t>
      </w:r>
    </w:p>
    <w:p w:rsidR="00250117" w:rsidRPr="003409C9" w:rsidRDefault="00250117" w:rsidP="00250117">
      <w:pPr>
        <w:rPr>
          <w:noProof/>
        </w:rPr>
      </w:pPr>
      <w:r w:rsidRPr="003409C9">
        <w:rPr>
          <w:noProof/>
        </w:rPr>
        <w:t>W rozporządzeniu (UE) 2018/1726 wprowadza się następujące zmiany:</w:t>
      </w:r>
    </w:p>
    <w:p w:rsidR="00250117" w:rsidRPr="003409C9" w:rsidRDefault="00250117" w:rsidP="00250117">
      <w:pPr>
        <w:pStyle w:val="Point0"/>
        <w:rPr>
          <w:noProof/>
          <w:sz w:val="16"/>
        </w:rPr>
      </w:pPr>
      <w:r w:rsidRPr="003409C9">
        <w:rPr>
          <w:noProof/>
        </w:rPr>
        <w:t>(1)</w:t>
      </w:r>
      <w:r w:rsidRPr="003409C9">
        <w:rPr>
          <w:noProof/>
        </w:rPr>
        <w:tab/>
        <w:t>dodaje się art.</w:t>
      </w:r>
      <w:r w:rsidR="003409C9" w:rsidRPr="003409C9">
        <w:rPr>
          <w:noProof/>
        </w:rPr>
        <w:t> </w:t>
      </w:r>
      <w:r w:rsidRPr="003409C9">
        <w:rPr>
          <w:noProof/>
        </w:rPr>
        <w:t>13b</w:t>
      </w:r>
      <w:r w:rsidR="003409C9" w:rsidRPr="003409C9">
        <w:rPr>
          <w:noProof/>
        </w:rPr>
        <w:t xml:space="preserve"> w brz</w:t>
      </w:r>
      <w:r w:rsidRPr="003409C9">
        <w:rPr>
          <w:noProof/>
        </w:rPr>
        <w:t>mieniu:</w:t>
      </w:r>
    </w:p>
    <w:p w:rsidR="00250117" w:rsidRPr="003409C9" w:rsidRDefault="00250117" w:rsidP="00250117">
      <w:pPr>
        <w:ind w:left="3600" w:firstLine="720"/>
        <w:rPr>
          <w:noProof/>
        </w:rPr>
      </w:pPr>
      <w:r w:rsidRPr="003409C9">
        <w:rPr>
          <w:noProof/>
        </w:rPr>
        <w:t>„Artykuł 13b</w:t>
      </w:r>
    </w:p>
    <w:p w:rsidR="00250117" w:rsidRPr="003409C9" w:rsidRDefault="00250117" w:rsidP="00250117">
      <w:pPr>
        <w:ind w:left="2880" w:firstLine="720"/>
        <w:rPr>
          <w:noProof/>
        </w:rPr>
      </w:pPr>
      <w:r w:rsidRPr="00BB07AF">
        <w:rPr>
          <w:b/>
          <w:noProof/>
        </w:rPr>
        <w:t>Zadania związane</w:t>
      </w:r>
      <w:r w:rsidR="003409C9" w:rsidRPr="00BB07AF">
        <w:rPr>
          <w:b/>
          <w:noProof/>
        </w:rPr>
        <w:t xml:space="preserve"> z rou</w:t>
      </w:r>
      <w:r w:rsidRPr="00BB07AF">
        <w:rPr>
          <w:b/>
          <w:noProof/>
        </w:rPr>
        <w:t>terem</w:t>
      </w:r>
      <w:r w:rsidRPr="003409C9">
        <w:rPr>
          <w:noProof/>
        </w:rPr>
        <w:t xml:space="preserve"> </w:t>
      </w:r>
    </w:p>
    <w:p w:rsidR="00250117" w:rsidRPr="003409C9" w:rsidRDefault="00250117" w:rsidP="00250117">
      <w:pPr>
        <w:pStyle w:val="ListParagraph"/>
        <w:ind w:left="1417"/>
        <w:rPr>
          <w:noProof/>
        </w:rPr>
      </w:pPr>
    </w:p>
    <w:p w:rsidR="00250117" w:rsidRPr="003409C9" w:rsidRDefault="00250117" w:rsidP="00250117">
      <w:pPr>
        <w:rPr>
          <w:noProof/>
        </w:rPr>
      </w:pPr>
      <w:r w:rsidRPr="003409C9">
        <w:rPr>
          <w:noProof/>
        </w:rPr>
        <w:t>W odniesieniu do rozporządzenia Parlamentu Europejskiego</w:t>
      </w:r>
      <w:r w:rsidR="003409C9" w:rsidRPr="003409C9">
        <w:rPr>
          <w:noProof/>
        </w:rPr>
        <w:t xml:space="preserve"> i Rad</w:t>
      </w:r>
      <w:r w:rsidRPr="003409C9">
        <w:rPr>
          <w:noProof/>
        </w:rPr>
        <w:t>y (UE) …/…* [</w:t>
      </w:r>
      <w:r w:rsidRPr="00BB07AF">
        <w:rPr>
          <w:i/>
          <w:noProof/>
        </w:rPr>
        <w:t>niniejsze rozporządzenie</w:t>
      </w:r>
      <w:r w:rsidRPr="003409C9">
        <w:rPr>
          <w:noProof/>
          <w:color w:val="000000"/>
        </w:rPr>
        <w:t>] oraz rozporządzenia (UE) [w sprawie egzekwowania przepisów dotyczących API]</w:t>
      </w:r>
      <w:r w:rsidRPr="003409C9">
        <w:rPr>
          <w:noProof/>
        </w:rPr>
        <w:t xml:space="preserve"> Agencja wykonuje zadania związane</w:t>
      </w:r>
      <w:r w:rsidR="003409C9" w:rsidRPr="003409C9">
        <w:rPr>
          <w:noProof/>
        </w:rPr>
        <w:t xml:space="preserve"> z rou</w:t>
      </w:r>
      <w:r w:rsidRPr="003409C9">
        <w:rPr>
          <w:noProof/>
        </w:rPr>
        <w:t>terem powierzone jej na mocy tych rozporządzeń.</w:t>
      </w:r>
    </w:p>
    <w:p w:rsidR="00250117" w:rsidRPr="003409C9" w:rsidRDefault="00250117" w:rsidP="00250117">
      <w:pPr>
        <w:pStyle w:val="ListParagraph"/>
        <w:ind w:left="1417"/>
        <w:rPr>
          <w:noProof/>
        </w:rPr>
      </w:pPr>
      <w:r w:rsidRPr="003409C9">
        <w:rPr>
          <w:noProof/>
        </w:rPr>
        <w:t>___________</w:t>
      </w:r>
    </w:p>
    <w:p w:rsidR="00250117" w:rsidRPr="003409C9" w:rsidRDefault="00250117" w:rsidP="00250117">
      <w:pPr>
        <w:pStyle w:val="ListParagraph"/>
        <w:ind w:left="1417"/>
        <w:rPr>
          <w:noProof/>
        </w:rPr>
      </w:pPr>
      <w:r w:rsidRPr="003409C9">
        <w:rPr>
          <w:noProof/>
        </w:rPr>
        <w:t>*</w:t>
      </w:r>
      <w:r w:rsidRPr="003409C9">
        <w:rPr>
          <w:noProof/>
        </w:rPr>
        <w:tab/>
        <w:t>Rozporządzenie Parlamentu Europejskiego</w:t>
      </w:r>
      <w:r w:rsidR="003409C9" w:rsidRPr="003409C9">
        <w:rPr>
          <w:noProof/>
        </w:rPr>
        <w:t xml:space="preserve"> i Rad</w:t>
      </w:r>
      <w:r w:rsidRPr="003409C9">
        <w:rPr>
          <w:noProof/>
        </w:rPr>
        <w:t>y (UE) [numer]</w:t>
      </w:r>
      <w:r w:rsidR="003409C9" w:rsidRPr="003409C9">
        <w:rPr>
          <w:noProof/>
        </w:rPr>
        <w:t xml:space="preserve"> z dni</w:t>
      </w:r>
      <w:r w:rsidRPr="003409C9">
        <w:rPr>
          <w:noProof/>
        </w:rPr>
        <w:t>a xy r.</w:t>
      </w:r>
      <w:r w:rsidR="003409C9" w:rsidRPr="003409C9">
        <w:rPr>
          <w:noProof/>
        </w:rPr>
        <w:t xml:space="preserve"> w spr</w:t>
      </w:r>
      <w:r w:rsidRPr="003409C9">
        <w:rPr>
          <w:noProof/>
        </w:rPr>
        <w:t>awie [oficjalnie przyjęty tytuł] (Dz.U. L … z …, s. …).”;</w:t>
      </w:r>
    </w:p>
    <w:p w:rsidR="00A67017" w:rsidRPr="003409C9" w:rsidRDefault="00A67017" w:rsidP="00250117">
      <w:pPr>
        <w:pStyle w:val="ListParagraph"/>
        <w:ind w:left="1417"/>
        <w:rPr>
          <w:noProof/>
        </w:rPr>
      </w:pPr>
    </w:p>
    <w:p w:rsidR="00250117" w:rsidRPr="003409C9" w:rsidRDefault="009475BC" w:rsidP="009475BC">
      <w:pPr>
        <w:pStyle w:val="Point0"/>
        <w:rPr>
          <w:noProof/>
        </w:rPr>
      </w:pPr>
      <w:r w:rsidRPr="003409C9">
        <w:rPr>
          <w:noProof/>
        </w:rPr>
        <w:t>(1)</w:t>
      </w:r>
      <w:r w:rsidRPr="003409C9">
        <w:rPr>
          <w:noProof/>
        </w:rPr>
        <w:tab/>
        <w:t>art.</w:t>
      </w:r>
      <w:r w:rsidR="003409C9" w:rsidRPr="003409C9">
        <w:rPr>
          <w:noProof/>
        </w:rPr>
        <w:t> </w:t>
      </w:r>
      <w:r w:rsidRPr="003409C9">
        <w:rPr>
          <w:noProof/>
        </w:rPr>
        <w:t>17 ust.</w:t>
      </w:r>
      <w:r w:rsidR="003409C9" w:rsidRPr="003409C9">
        <w:rPr>
          <w:noProof/>
        </w:rPr>
        <w:t> </w:t>
      </w:r>
      <w:r w:rsidRPr="003409C9">
        <w:rPr>
          <w:noProof/>
        </w:rPr>
        <w:t>3 otrzymuje brzmienie:</w:t>
      </w:r>
    </w:p>
    <w:p w:rsidR="00250117" w:rsidRPr="003409C9" w:rsidRDefault="00250117" w:rsidP="00250117">
      <w:pPr>
        <w:pStyle w:val="ListParagraph"/>
        <w:ind w:left="1417"/>
        <w:rPr>
          <w:noProof/>
        </w:rPr>
      </w:pPr>
    </w:p>
    <w:p w:rsidR="00250117" w:rsidRPr="003409C9" w:rsidRDefault="00A67017" w:rsidP="00250117">
      <w:pPr>
        <w:pStyle w:val="ListParagraph"/>
        <w:ind w:left="1417"/>
        <w:rPr>
          <w:noProof/>
        </w:rPr>
      </w:pPr>
      <w:r w:rsidRPr="003409C9">
        <w:rPr>
          <w:noProof/>
        </w:rPr>
        <w:t>„3. Siedzibą Agencji jest Tallin (Estonia).</w:t>
      </w:r>
    </w:p>
    <w:p w:rsidR="00250117" w:rsidRPr="003409C9" w:rsidRDefault="00250117" w:rsidP="00250117">
      <w:pPr>
        <w:pStyle w:val="ListParagraph"/>
        <w:ind w:left="1417"/>
        <w:rPr>
          <w:noProof/>
        </w:rPr>
      </w:pPr>
    </w:p>
    <w:p w:rsidR="00250117" w:rsidRPr="003409C9" w:rsidRDefault="00250117" w:rsidP="00250117">
      <w:pPr>
        <w:pStyle w:val="ListParagraph"/>
        <w:ind w:left="1417"/>
        <w:rPr>
          <w:noProof/>
        </w:rPr>
      </w:pPr>
      <w:r w:rsidRPr="003409C9">
        <w:rPr>
          <w:noProof/>
        </w:rPr>
        <w:t>Zadania związane</w:t>
      </w:r>
      <w:r w:rsidR="003409C9" w:rsidRPr="003409C9">
        <w:rPr>
          <w:noProof/>
        </w:rPr>
        <w:t xml:space="preserve"> z roz</w:t>
      </w:r>
      <w:r w:rsidRPr="003409C9">
        <w:rPr>
          <w:noProof/>
        </w:rPr>
        <w:t>wojem</w:t>
      </w:r>
      <w:r w:rsidR="003409C9" w:rsidRPr="003409C9">
        <w:rPr>
          <w:noProof/>
        </w:rPr>
        <w:t xml:space="preserve"> i zar</w:t>
      </w:r>
      <w:r w:rsidRPr="003409C9">
        <w:rPr>
          <w:noProof/>
        </w:rPr>
        <w:t>ządzaniem operacyjnym,</w:t>
      </w:r>
      <w:r w:rsidR="003409C9" w:rsidRPr="003409C9">
        <w:rPr>
          <w:noProof/>
        </w:rPr>
        <w:t xml:space="preserve"> o któ</w:t>
      </w:r>
      <w:r w:rsidRPr="003409C9">
        <w:rPr>
          <w:noProof/>
        </w:rPr>
        <w:t>rych mowa</w:t>
      </w:r>
      <w:r w:rsidR="003409C9" w:rsidRPr="003409C9">
        <w:rPr>
          <w:noProof/>
        </w:rPr>
        <w:t xml:space="preserve"> w art</w:t>
      </w:r>
      <w:r w:rsidRPr="003409C9">
        <w:rPr>
          <w:noProof/>
        </w:rPr>
        <w:t>.</w:t>
      </w:r>
      <w:r w:rsidR="003409C9" w:rsidRPr="003409C9">
        <w:rPr>
          <w:noProof/>
        </w:rPr>
        <w:t> </w:t>
      </w:r>
      <w:r w:rsidRPr="003409C9">
        <w:rPr>
          <w:noProof/>
        </w:rPr>
        <w:t>1 ust.</w:t>
      </w:r>
      <w:r w:rsidR="003409C9" w:rsidRPr="003409C9">
        <w:rPr>
          <w:noProof/>
        </w:rPr>
        <w:t> </w:t>
      </w:r>
      <w:r w:rsidRPr="003409C9">
        <w:rPr>
          <w:noProof/>
        </w:rPr>
        <w:t>4</w:t>
      </w:r>
      <w:r w:rsidR="003409C9" w:rsidRPr="003409C9">
        <w:rPr>
          <w:noProof/>
        </w:rPr>
        <w:t xml:space="preserve"> i 5</w:t>
      </w:r>
      <w:r w:rsidRPr="003409C9">
        <w:rPr>
          <w:noProof/>
        </w:rPr>
        <w:t>, art.</w:t>
      </w:r>
      <w:r w:rsidR="003409C9" w:rsidRPr="003409C9">
        <w:rPr>
          <w:noProof/>
        </w:rPr>
        <w:t> </w:t>
      </w:r>
      <w:r w:rsidRPr="003409C9">
        <w:rPr>
          <w:noProof/>
        </w:rPr>
        <w:t>3–9 oraz art.</w:t>
      </w:r>
      <w:r w:rsidR="003409C9" w:rsidRPr="003409C9">
        <w:rPr>
          <w:noProof/>
        </w:rPr>
        <w:t> </w:t>
      </w:r>
      <w:r w:rsidRPr="003409C9">
        <w:rPr>
          <w:noProof/>
        </w:rPr>
        <w:t>11, [13a]</w:t>
      </w:r>
      <w:r w:rsidR="003409C9" w:rsidRPr="003409C9">
        <w:rPr>
          <w:noProof/>
        </w:rPr>
        <w:t xml:space="preserve"> i 1</w:t>
      </w:r>
      <w:r w:rsidRPr="003409C9">
        <w:rPr>
          <w:noProof/>
        </w:rPr>
        <w:t>3b są wykonywane</w:t>
      </w:r>
      <w:r w:rsidR="003409C9" w:rsidRPr="003409C9">
        <w:rPr>
          <w:noProof/>
        </w:rPr>
        <w:t xml:space="preserve"> w cen</w:t>
      </w:r>
      <w:r w:rsidRPr="003409C9">
        <w:rPr>
          <w:noProof/>
        </w:rPr>
        <w:t>trum technicznym</w:t>
      </w:r>
      <w:r w:rsidR="003409C9" w:rsidRPr="003409C9">
        <w:rPr>
          <w:noProof/>
        </w:rPr>
        <w:t xml:space="preserve"> w Str</w:t>
      </w:r>
      <w:r w:rsidRPr="003409C9">
        <w:rPr>
          <w:noProof/>
        </w:rPr>
        <w:t>asburgu, we Francji.</w:t>
      </w:r>
    </w:p>
    <w:p w:rsidR="00250117" w:rsidRPr="003409C9" w:rsidRDefault="00250117" w:rsidP="00250117">
      <w:pPr>
        <w:pStyle w:val="ListParagraph"/>
        <w:ind w:left="1417"/>
        <w:rPr>
          <w:noProof/>
        </w:rPr>
      </w:pPr>
    </w:p>
    <w:p w:rsidR="00250117" w:rsidRPr="003409C9" w:rsidRDefault="00250117" w:rsidP="00250117">
      <w:pPr>
        <w:pStyle w:val="ListParagraph"/>
        <w:ind w:left="1417"/>
        <w:rPr>
          <w:noProof/>
        </w:rPr>
      </w:pPr>
      <w:r w:rsidRPr="003409C9">
        <w:rPr>
          <w:noProof/>
        </w:rPr>
        <w:t>Obiekt zapasowy, który umożliwia zapewnienie działania wielkoskalowego systemu informatycznego</w:t>
      </w:r>
      <w:r w:rsidR="003409C9" w:rsidRPr="003409C9">
        <w:rPr>
          <w:noProof/>
        </w:rPr>
        <w:t xml:space="preserve"> w prz</w:t>
      </w:r>
      <w:r w:rsidRPr="003409C9">
        <w:rPr>
          <w:noProof/>
        </w:rPr>
        <w:t>ypadku awarii takiego systemu, jest zlokalizowany</w:t>
      </w:r>
      <w:r w:rsidR="003409C9" w:rsidRPr="003409C9">
        <w:rPr>
          <w:noProof/>
        </w:rPr>
        <w:t xml:space="preserve"> w San</w:t>
      </w:r>
      <w:r w:rsidRPr="003409C9">
        <w:rPr>
          <w:noProof/>
        </w:rPr>
        <w:t>kt Johann im Pongau,</w:t>
      </w:r>
      <w:r w:rsidR="003409C9" w:rsidRPr="003409C9">
        <w:rPr>
          <w:noProof/>
        </w:rPr>
        <w:t xml:space="preserve"> w Aus</w:t>
      </w:r>
      <w:r w:rsidRPr="003409C9">
        <w:rPr>
          <w:noProof/>
        </w:rPr>
        <w:t>trii.”;</w:t>
      </w:r>
    </w:p>
    <w:p w:rsidR="00A67017" w:rsidRPr="003409C9" w:rsidRDefault="009475BC" w:rsidP="009475BC">
      <w:pPr>
        <w:pStyle w:val="Point0"/>
        <w:rPr>
          <w:noProof/>
        </w:rPr>
      </w:pPr>
      <w:r w:rsidRPr="003409C9">
        <w:rPr>
          <w:noProof/>
        </w:rPr>
        <w:t>(2)</w:t>
      </w:r>
      <w:r w:rsidRPr="003409C9">
        <w:rPr>
          <w:noProof/>
        </w:rPr>
        <w:tab/>
        <w:t>w art.</w:t>
      </w:r>
      <w:r w:rsidR="003409C9" w:rsidRPr="003409C9">
        <w:rPr>
          <w:noProof/>
        </w:rPr>
        <w:t> </w:t>
      </w:r>
      <w:r w:rsidRPr="003409C9">
        <w:rPr>
          <w:noProof/>
        </w:rPr>
        <w:t>19 ust. 1 wprowadza się następujące zmiany:</w:t>
      </w:r>
    </w:p>
    <w:p w:rsidR="00250117" w:rsidRPr="003409C9" w:rsidRDefault="009475BC" w:rsidP="009475BC">
      <w:pPr>
        <w:pStyle w:val="Point0"/>
        <w:rPr>
          <w:noProof/>
        </w:rPr>
      </w:pPr>
      <w:r w:rsidRPr="003409C9">
        <w:rPr>
          <w:noProof/>
        </w:rPr>
        <w:t>a)</w:t>
      </w:r>
      <w:r w:rsidRPr="003409C9">
        <w:rPr>
          <w:noProof/>
        </w:rPr>
        <w:tab/>
        <w:t>dodaje się lit. eeb)</w:t>
      </w:r>
      <w:r w:rsidR="003409C9" w:rsidRPr="003409C9">
        <w:rPr>
          <w:noProof/>
        </w:rPr>
        <w:t xml:space="preserve"> w brz</w:t>
      </w:r>
      <w:r w:rsidRPr="003409C9">
        <w:rPr>
          <w:noProof/>
        </w:rPr>
        <w:t xml:space="preserve">mieniu: </w:t>
      </w:r>
    </w:p>
    <w:p w:rsidR="00250117" w:rsidRPr="003409C9" w:rsidRDefault="00250117" w:rsidP="00250117">
      <w:pPr>
        <w:rPr>
          <w:noProof/>
        </w:rPr>
      </w:pPr>
      <w:r w:rsidRPr="003409C9">
        <w:rPr>
          <w:noProof/>
        </w:rPr>
        <w:t>„eeb) przyjmuje sprawozdania ze stanu prac nad opracowaniem routera zgodnie</w:t>
      </w:r>
      <w:r w:rsidR="003409C9" w:rsidRPr="003409C9">
        <w:rPr>
          <w:noProof/>
        </w:rPr>
        <w:t xml:space="preserve"> z art</w:t>
      </w:r>
      <w:r w:rsidRPr="003409C9">
        <w:rPr>
          <w:noProof/>
        </w:rPr>
        <w:t>. 38 ust. 2 rozporządzenia Parlamentu Europejskiego</w:t>
      </w:r>
      <w:r w:rsidR="003409C9" w:rsidRPr="003409C9">
        <w:rPr>
          <w:noProof/>
        </w:rPr>
        <w:t xml:space="preserve"> i Rad</w:t>
      </w:r>
      <w:r w:rsidRPr="003409C9">
        <w:rPr>
          <w:noProof/>
        </w:rPr>
        <w:t>y (UE) .../... * [</w:t>
      </w:r>
      <w:r w:rsidRPr="00BB07AF">
        <w:rPr>
          <w:i/>
          <w:noProof/>
        </w:rPr>
        <w:t>niniejsze rozporządzenie</w:t>
      </w:r>
      <w:r w:rsidRPr="003409C9">
        <w:rPr>
          <w:noProof/>
        </w:rPr>
        <w:t xml:space="preserve">]; </w:t>
      </w:r>
    </w:p>
    <w:p w:rsidR="00A67017" w:rsidRPr="003409C9" w:rsidRDefault="00A67017" w:rsidP="00A67017">
      <w:pPr>
        <w:rPr>
          <w:noProof/>
        </w:rPr>
      </w:pPr>
      <w:r w:rsidRPr="003409C9">
        <w:rPr>
          <w:noProof/>
        </w:rPr>
        <w:t>___________</w:t>
      </w:r>
    </w:p>
    <w:p w:rsidR="00A67017" w:rsidRPr="003409C9" w:rsidRDefault="00A67017" w:rsidP="00A67017">
      <w:pPr>
        <w:ind w:left="720" w:hanging="720"/>
        <w:rPr>
          <w:noProof/>
        </w:rPr>
      </w:pPr>
      <w:r w:rsidRPr="003409C9">
        <w:rPr>
          <w:noProof/>
        </w:rPr>
        <w:t>*</w:t>
      </w:r>
      <w:r w:rsidRPr="003409C9">
        <w:rPr>
          <w:noProof/>
        </w:rPr>
        <w:tab/>
        <w:t>Rozporządzenie Parlamentu Europejskiego</w:t>
      </w:r>
      <w:r w:rsidR="003409C9" w:rsidRPr="003409C9">
        <w:rPr>
          <w:noProof/>
        </w:rPr>
        <w:t xml:space="preserve"> i Rad</w:t>
      </w:r>
      <w:r w:rsidRPr="003409C9">
        <w:rPr>
          <w:noProof/>
        </w:rPr>
        <w:t>y (UE) [numer]</w:t>
      </w:r>
      <w:r w:rsidR="003409C9" w:rsidRPr="003409C9">
        <w:rPr>
          <w:noProof/>
        </w:rPr>
        <w:t xml:space="preserve"> z dni</w:t>
      </w:r>
      <w:r w:rsidRPr="003409C9">
        <w:rPr>
          <w:noProof/>
        </w:rPr>
        <w:t>a xy r.</w:t>
      </w:r>
      <w:r w:rsidR="003409C9" w:rsidRPr="003409C9">
        <w:rPr>
          <w:noProof/>
        </w:rPr>
        <w:t xml:space="preserve"> w spr</w:t>
      </w:r>
      <w:r w:rsidRPr="003409C9">
        <w:rPr>
          <w:noProof/>
        </w:rPr>
        <w:t>awie [oficjalnie przyjęty tytuł] (Dz.U. L … z …, s. …).”;</w:t>
      </w:r>
    </w:p>
    <w:p w:rsidR="00A67017" w:rsidRPr="003409C9" w:rsidRDefault="009475BC" w:rsidP="009475BC">
      <w:pPr>
        <w:pStyle w:val="Point0"/>
        <w:rPr>
          <w:noProof/>
        </w:rPr>
      </w:pPr>
      <w:r w:rsidRPr="003409C9">
        <w:rPr>
          <w:noProof/>
        </w:rPr>
        <w:t>b)</w:t>
      </w:r>
      <w:r w:rsidRPr="003409C9">
        <w:rPr>
          <w:noProof/>
        </w:rPr>
        <w:tab/>
        <w:t>lit. ff) otrzymuje brzmienie:</w:t>
      </w:r>
    </w:p>
    <w:p w:rsidR="00A67017" w:rsidRPr="003409C9" w:rsidRDefault="00250117" w:rsidP="00B65481">
      <w:pPr>
        <w:rPr>
          <w:noProof/>
        </w:rPr>
      </w:pPr>
      <w:r w:rsidRPr="003409C9">
        <w:rPr>
          <w:noProof/>
        </w:rPr>
        <w:t>„ff) przyjmuje sprawozdania dotyczące technicznego funkcjonowania:</w:t>
      </w:r>
    </w:p>
    <w:p w:rsidR="00A67017" w:rsidRPr="003409C9" w:rsidRDefault="009475BC" w:rsidP="009475BC">
      <w:pPr>
        <w:pStyle w:val="Point1"/>
        <w:rPr>
          <w:noProof/>
        </w:rPr>
      </w:pPr>
      <w:r w:rsidRPr="003409C9">
        <w:rPr>
          <w:noProof/>
        </w:rPr>
        <w:t>(1)</w:t>
      </w:r>
      <w:r w:rsidRPr="003409C9">
        <w:rPr>
          <w:noProof/>
        </w:rPr>
        <w:tab/>
        <w:t>systemu SIS – na podstawie art.</w:t>
      </w:r>
      <w:r w:rsidR="003409C9" w:rsidRPr="003409C9">
        <w:rPr>
          <w:noProof/>
        </w:rPr>
        <w:t> </w:t>
      </w:r>
      <w:r w:rsidRPr="003409C9">
        <w:rPr>
          <w:noProof/>
        </w:rPr>
        <w:t>60 ust.</w:t>
      </w:r>
      <w:r w:rsidR="003409C9" w:rsidRPr="003409C9">
        <w:rPr>
          <w:noProof/>
        </w:rPr>
        <w:t> </w:t>
      </w:r>
      <w:r w:rsidRPr="003409C9">
        <w:rPr>
          <w:noProof/>
        </w:rPr>
        <w:t>7 rozporządzenia Parlamentu Europejskiego</w:t>
      </w:r>
      <w:r w:rsidR="003409C9" w:rsidRPr="003409C9">
        <w:rPr>
          <w:noProof/>
        </w:rPr>
        <w:t xml:space="preserve"> i Rad</w:t>
      </w:r>
      <w:r w:rsidRPr="003409C9">
        <w:rPr>
          <w:noProof/>
        </w:rPr>
        <w:t>y (UE) 2018/1861* oraz art.</w:t>
      </w:r>
      <w:r w:rsidR="003409C9" w:rsidRPr="003409C9">
        <w:rPr>
          <w:noProof/>
        </w:rPr>
        <w:t> </w:t>
      </w:r>
      <w:r w:rsidRPr="003409C9">
        <w:rPr>
          <w:noProof/>
        </w:rPr>
        <w:t>74 ust.</w:t>
      </w:r>
      <w:r w:rsidR="003409C9" w:rsidRPr="003409C9">
        <w:rPr>
          <w:noProof/>
        </w:rPr>
        <w:t> </w:t>
      </w:r>
      <w:r w:rsidRPr="003409C9">
        <w:rPr>
          <w:noProof/>
        </w:rPr>
        <w:t>8 rozporządzenia Parlamentu Europejskiego</w:t>
      </w:r>
      <w:r w:rsidR="003409C9" w:rsidRPr="003409C9">
        <w:rPr>
          <w:noProof/>
        </w:rPr>
        <w:t xml:space="preserve"> i Rad</w:t>
      </w:r>
      <w:r w:rsidRPr="003409C9">
        <w:rPr>
          <w:noProof/>
        </w:rPr>
        <w:t xml:space="preserve">y (UE) 2018/1862**; </w:t>
      </w:r>
    </w:p>
    <w:p w:rsidR="00A67017" w:rsidRPr="003409C9" w:rsidRDefault="009475BC" w:rsidP="009475BC">
      <w:pPr>
        <w:pStyle w:val="Point1"/>
        <w:rPr>
          <w:noProof/>
        </w:rPr>
      </w:pPr>
      <w:r w:rsidRPr="003409C9">
        <w:rPr>
          <w:noProof/>
        </w:rPr>
        <w:t>(2)</w:t>
      </w:r>
      <w:r w:rsidRPr="003409C9">
        <w:rPr>
          <w:noProof/>
        </w:rPr>
        <w:tab/>
        <w:t>systemu VIS – na podstawie art.</w:t>
      </w:r>
      <w:r w:rsidR="003409C9" w:rsidRPr="003409C9">
        <w:rPr>
          <w:noProof/>
        </w:rPr>
        <w:t> </w:t>
      </w:r>
      <w:r w:rsidRPr="003409C9">
        <w:rPr>
          <w:noProof/>
        </w:rPr>
        <w:t>50 ust.</w:t>
      </w:r>
      <w:r w:rsidR="003409C9" w:rsidRPr="003409C9">
        <w:rPr>
          <w:noProof/>
        </w:rPr>
        <w:t> </w:t>
      </w:r>
      <w:r w:rsidRPr="003409C9">
        <w:rPr>
          <w:noProof/>
        </w:rPr>
        <w:t>3 rozporządzenia (WE) nr</w:t>
      </w:r>
      <w:r w:rsidR="003409C9" w:rsidRPr="003409C9">
        <w:rPr>
          <w:noProof/>
        </w:rPr>
        <w:t> </w:t>
      </w:r>
      <w:r w:rsidRPr="003409C9">
        <w:rPr>
          <w:noProof/>
        </w:rPr>
        <w:t>767/2008</w:t>
      </w:r>
      <w:r w:rsidR="003409C9" w:rsidRPr="003409C9">
        <w:rPr>
          <w:noProof/>
        </w:rPr>
        <w:t xml:space="preserve"> i art</w:t>
      </w:r>
      <w:r w:rsidRPr="003409C9">
        <w:rPr>
          <w:noProof/>
        </w:rPr>
        <w:t>.</w:t>
      </w:r>
      <w:r w:rsidR="003409C9" w:rsidRPr="003409C9">
        <w:rPr>
          <w:noProof/>
        </w:rPr>
        <w:t> </w:t>
      </w:r>
      <w:r w:rsidRPr="003409C9">
        <w:rPr>
          <w:noProof/>
        </w:rPr>
        <w:t>17 ust.</w:t>
      </w:r>
      <w:r w:rsidR="003409C9" w:rsidRPr="003409C9">
        <w:rPr>
          <w:noProof/>
        </w:rPr>
        <w:t> </w:t>
      </w:r>
      <w:r w:rsidRPr="003409C9">
        <w:rPr>
          <w:noProof/>
        </w:rPr>
        <w:t>3 decyzji 2008/633/WSiSW;</w:t>
      </w:r>
    </w:p>
    <w:p w:rsidR="00A67017" w:rsidRPr="003409C9" w:rsidRDefault="009475BC" w:rsidP="009475BC">
      <w:pPr>
        <w:pStyle w:val="Point1"/>
        <w:rPr>
          <w:noProof/>
        </w:rPr>
      </w:pPr>
      <w:r w:rsidRPr="003409C9">
        <w:rPr>
          <w:noProof/>
        </w:rPr>
        <w:t>(3)</w:t>
      </w:r>
      <w:r w:rsidRPr="003409C9">
        <w:rPr>
          <w:noProof/>
        </w:rPr>
        <w:tab/>
        <w:t>systemu EES – na podstawie art.</w:t>
      </w:r>
      <w:r w:rsidR="003409C9" w:rsidRPr="003409C9">
        <w:rPr>
          <w:noProof/>
        </w:rPr>
        <w:t> </w:t>
      </w:r>
      <w:r w:rsidRPr="003409C9">
        <w:rPr>
          <w:noProof/>
        </w:rPr>
        <w:t>72 ust.</w:t>
      </w:r>
      <w:r w:rsidR="003409C9" w:rsidRPr="003409C9">
        <w:rPr>
          <w:noProof/>
        </w:rPr>
        <w:t> </w:t>
      </w:r>
      <w:r w:rsidRPr="003409C9">
        <w:rPr>
          <w:noProof/>
        </w:rPr>
        <w:t xml:space="preserve">4 rozporządzenia (UE) 2017/2226; </w:t>
      </w:r>
    </w:p>
    <w:p w:rsidR="00A67017" w:rsidRPr="003409C9" w:rsidRDefault="009475BC" w:rsidP="009475BC">
      <w:pPr>
        <w:pStyle w:val="Point1"/>
        <w:rPr>
          <w:noProof/>
        </w:rPr>
      </w:pPr>
      <w:r w:rsidRPr="003409C9">
        <w:rPr>
          <w:noProof/>
        </w:rPr>
        <w:t>(4)</w:t>
      </w:r>
      <w:r w:rsidRPr="003409C9">
        <w:rPr>
          <w:noProof/>
        </w:rPr>
        <w:tab/>
        <w:t>systemu ETIAS – na podstawie art.</w:t>
      </w:r>
      <w:r w:rsidR="003409C9" w:rsidRPr="003409C9">
        <w:rPr>
          <w:noProof/>
        </w:rPr>
        <w:t> </w:t>
      </w:r>
      <w:r w:rsidRPr="003409C9">
        <w:rPr>
          <w:noProof/>
        </w:rPr>
        <w:t>92 ust.</w:t>
      </w:r>
      <w:r w:rsidR="003409C9" w:rsidRPr="003409C9">
        <w:rPr>
          <w:noProof/>
        </w:rPr>
        <w:t> </w:t>
      </w:r>
      <w:r w:rsidRPr="003409C9">
        <w:rPr>
          <w:noProof/>
        </w:rPr>
        <w:t xml:space="preserve">4 rozporządzenia (UE) 2018/1240; </w:t>
      </w:r>
    </w:p>
    <w:p w:rsidR="00A67017" w:rsidRPr="003409C9" w:rsidRDefault="009475BC" w:rsidP="009475BC">
      <w:pPr>
        <w:pStyle w:val="Point1"/>
        <w:rPr>
          <w:noProof/>
        </w:rPr>
      </w:pPr>
      <w:r w:rsidRPr="003409C9">
        <w:rPr>
          <w:noProof/>
        </w:rPr>
        <w:t>(5)</w:t>
      </w:r>
      <w:r w:rsidRPr="003409C9">
        <w:rPr>
          <w:noProof/>
        </w:rPr>
        <w:tab/>
        <w:t>systemu ECRIS-TCN</w:t>
      </w:r>
      <w:r w:rsidR="003409C9" w:rsidRPr="003409C9">
        <w:rPr>
          <w:noProof/>
        </w:rPr>
        <w:t xml:space="preserve"> i opr</w:t>
      </w:r>
      <w:r w:rsidRPr="003409C9">
        <w:rPr>
          <w:noProof/>
        </w:rPr>
        <w:t>ogramowania wzorcowego ECRIS – na podstawie art. 36 ust. 8 rozporządzenia (UE) 2019/816;</w:t>
      </w:r>
    </w:p>
    <w:p w:rsidR="00A67017" w:rsidRPr="003409C9" w:rsidRDefault="009475BC" w:rsidP="009475BC">
      <w:pPr>
        <w:pStyle w:val="Point1"/>
        <w:rPr>
          <w:noProof/>
        </w:rPr>
      </w:pPr>
      <w:r w:rsidRPr="003409C9">
        <w:rPr>
          <w:noProof/>
        </w:rPr>
        <w:t>(6)</w:t>
      </w:r>
      <w:r w:rsidRPr="003409C9">
        <w:rPr>
          <w:noProof/>
        </w:rPr>
        <w:tab/>
        <w:t>elementów interoperacyjności – na podstawie art.</w:t>
      </w:r>
      <w:r w:rsidR="003409C9" w:rsidRPr="003409C9">
        <w:rPr>
          <w:noProof/>
        </w:rPr>
        <w:t> </w:t>
      </w:r>
      <w:r w:rsidRPr="003409C9">
        <w:rPr>
          <w:noProof/>
        </w:rPr>
        <w:t>78 ust.</w:t>
      </w:r>
      <w:r w:rsidR="003409C9" w:rsidRPr="003409C9">
        <w:rPr>
          <w:noProof/>
        </w:rPr>
        <w:t> </w:t>
      </w:r>
      <w:r w:rsidRPr="003409C9">
        <w:rPr>
          <w:noProof/>
        </w:rPr>
        <w:t>3 rozporządzenia (UE) 2019/817</w:t>
      </w:r>
      <w:r w:rsidR="003409C9" w:rsidRPr="003409C9">
        <w:rPr>
          <w:noProof/>
        </w:rPr>
        <w:t xml:space="preserve"> i art</w:t>
      </w:r>
      <w:r w:rsidRPr="003409C9">
        <w:rPr>
          <w:noProof/>
        </w:rPr>
        <w:t>.</w:t>
      </w:r>
      <w:r w:rsidR="003409C9" w:rsidRPr="003409C9">
        <w:rPr>
          <w:noProof/>
        </w:rPr>
        <w:t> </w:t>
      </w:r>
      <w:r w:rsidRPr="003409C9">
        <w:rPr>
          <w:noProof/>
        </w:rPr>
        <w:t>74 ust.</w:t>
      </w:r>
      <w:r w:rsidR="003409C9" w:rsidRPr="003409C9">
        <w:rPr>
          <w:noProof/>
        </w:rPr>
        <w:t> </w:t>
      </w:r>
      <w:r w:rsidRPr="003409C9">
        <w:rPr>
          <w:noProof/>
        </w:rPr>
        <w:t>3 rozporządzenia (UE) 2019/818 – oraz routera – na podstawie art.</w:t>
      </w:r>
      <w:r w:rsidR="003409C9" w:rsidRPr="003409C9">
        <w:rPr>
          <w:noProof/>
        </w:rPr>
        <w:t> </w:t>
      </w:r>
      <w:r w:rsidRPr="003409C9">
        <w:rPr>
          <w:noProof/>
        </w:rPr>
        <w:t>79 ust.</w:t>
      </w:r>
      <w:r w:rsidR="003409C9" w:rsidRPr="003409C9">
        <w:rPr>
          <w:noProof/>
        </w:rPr>
        <w:t> </w:t>
      </w:r>
      <w:r w:rsidRPr="003409C9">
        <w:rPr>
          <w:noProof/>
        </w:rPr>
        <w:t>5 rozporządzenia Parlamentu Europejskiego</w:t>
      </w:r>
      <w:r w:rsidR="003409C9" w:rsidRPr="003409C9">
        <w:rPr>
          <w:noProof/>
        </w:rPr>
        <w:t xml:space="preserve"> i Rad</w:t>
      </w:r>
      <w:r w:rsidRPr="003409C9">
        <w:rPr>
          <w:noProof/>
        </w:rPr>
        <w:t>y (UE) .../...* [rozporządzenie Prüm II]</w:t>
      </w:r>
      <w:r w:rsidR="003409C9" w:rsidRPr="003409C9">
        <w:rPr>
          <w:noProof/>
        </w:rPr>
        <w:t xml:space="preserve"> i art</w:t>
      </w:r>
      <w:r w:rsidRPr="003409C9">
        <w:rPr>
          <w:noProof/>
        </w:rPr>
        <w:t>.</w:t>
      </w:r>
      <w:r w:rsidR="003409C9" w:rsidRPr="003409C9">
        <w:rPr>
          <w:noProof/>
        </w:rPr>
        <w:t> </w:t>
      </w:r>
      <w:r w:rsidRPr="003409C9">
        <w:rPr>
          <w:noProof/>
        </w:rPr>
        <w:t>38 ust.</w:t>
      </w:r>
      <w:r w:rsidR="003409C9" w:rsidRPr="003409C9">
        <w:rPr>
          <w:noProof/>
        </w:rPr>
        <w:t> </w:t>
      </w:r>
      <w:r w:rsidRPr="003409C9">
        <w:rPr>
          <w:noProof/>
        </w:rPr>
        <w:t>5 rozporządzenia Parlamentu Europejskiego</w:t>
      </w:r>
      <w:r w:rsidR="003409C9" w:rsidRPr="003409C9">
        <w:rPr>
          <w:noProof/>
        </w:rPr>
        <w:t xml:space="preserve"> i Rad</w:t>
      </w:r>
      <w:r w:rsidRPr="003409C9">
        <w:rPr>
          <w:noProof/>
        </w:rPr>
        <w:t>y (UE) .../...* [</w:t>
      </w:r>
      <w:r w:rsidRPr="00BB07AF">
        <w:rPr>
          <w:i/>
          <w:noProof/>
        </w:rPr>
        <w:t>niniejsze rozporządzenie</w:t>
      </w:r>
      <w:r w:rsidRPr="003409C9">
        <w:rPr>
          <w:noProof/>
        </w:rPr>
        <w:t>];</w:t>
      </w:r>
    </w:p>
    <w:p w:rsidR="00A67017" w:rsidRPr="003409C9" w:rsidRDefault="009475BC" w:rsidP="009475BC">
      <w:pPr>
        <w:pStyle w:val="Point0"/>
        <w:rPr>
          <w:noProof/>
        </w:rPr>
      </w:pPr>
      <w:r w:rsidRPr="003409C9">
        <w:rPr>
          <w:noProof/>
        </w:rPr>
        <w:t>(3)</w:t>
      </w:r>
      <w:r w:rsidRPr="003409C9">
        <w:rPr>
          <w:noProof/>
        </w:rPr>
        <w:tab/>
        <w:t xml:space="preserve">systemu e-CODEX – na podstawie art. 16 ust. 1 rozporządzenia (UE) 2022/850; </w:t>
      </w:r>
    </w:p>
    <w:p w:rsidR="00A67017" w:rsidRPr="003409C9" w:rsidRDefault="00A67017" w:rsidP="00B65481">
      <w:pPr>
        <w:rPr>
          <w:noProof/>
        </w:rPr>
      </w:pPr>
      <w:r w:rsidRPr="003409C9">
        <w:rPr>
          <w:noProof/>
        </w:rPr>
        <w:t>___________</w:t>
      </w:r>
    </w:p>
    <w:p w:rsidR="00A67017" w:rsidRPr="003409C9" w:rsidRDefault="00A67017" w:rsidP="00B65481">
      <w:pPr>
        <w:rPr>
          <w:noProof/>
        </w:rPr>
      </w:pPr>
      <w:r w:rsidRPr="003409C9">
        <w:rPr>
          <w:noProof/>
        </w:rPr>
        <w:t>*Rozporządzenie Parlamentu Europejskiego</w:t>
      </w:r>
      <w:r w:rsidR="003409C9" w:rsidRPr="003409C9">
        <w:rPr>
          <w:noProof/>
        </w:rPr>
        <w:t xml:space="preserve"> i Rad</w:t>
      </w:r>
      <w:r w:rsidRPr="003409C9">
        <w:rPr>
          <w:noProof/>
        </w:rPr>
        <w:t>y (UE) 2018/1861</w:t>
      </w:r>
      <w:r w:rsidR="003409C9" w:rsidRPr="003409C9">
        <w:rPr>
          <w:noProof/>
        </w:rPr>
        <w:t xml:space="preserve"> z dni</w:t>
      </w:r>
      <w:r w:rsidRPr="003409C9">
        <w:rPr>
          <w:noProof/>
        </w:rPr>
        <w:t>a 28 listopada 2018</w:t>
      </w:r>
      <w:r w:rsidR="003409C9" w:rsidRPr="003409C9">
        <w:rPr>
          <w:noProof/>
        </w:rPr>
        <w:t> </w:t>
      </w:r>
      <w:r w:rsidRPr="003409C9">
        <w:rPr>
          <w:noProof/>
        </w:rPr>
        <w:t>r.</w:t>
      </w:r>
      <w:r w:rsidR="003409C9" w:rsidRPr="003409C9">
        <w:rPr>
          <w:noProof/>
        </w:rPr>
        <w:t xml:space="preserve"> w spr</w:t>
      </w:r>
      <w:r w:rsidRPr="003409C9">
        <w:rPr>
          <w:noProof/>
        </w:rPr>
        <w:t>awie utworzenia, funkcjonowania</w:t>
      </w:r>
      <w:r w:rsidR="003409C9" w:rsidRPr="003409C9">
        <w:rPr>
          <w:noProof/>
        </w:rPr>
        <w:t xml:space="preserve"> i uży</w:t>
      </w:r>
      <w:r w:rsidRPr="003409C9">
        <w:rPr>
          <w:noProof/>
        </w:rPr>
        <w:t>tkowania Systemu Informacyjnego Schengen (SIS)</w:t>
      </w:r>
      <w:r w:rsidR="003409C9" w:rsidRPr="003409C9">
        <w:rPr>
          <w:noProof/>
        </w:rPr>
        <w:t xml:space="preserve"> w dzi</w:t>
      </w:r>
      <w:r w:rsidRPr="003409C9">
        <w:rPr>
          <w:noProof/>
        </w:rPr>
        <w:t>edzinie odpraw granicznych, zmiany konwencji wykonawczej do układu</w:t>
      </w:r>
      <w:r w:rsidR="003409C9" w:rsidRPr="003409C9">
        <w:rPr>
          <w:noProof/>
        </w:rPr>
        <w:t xml:space="preserve"> z Sch</w:t>
      </w:r>
      <w:r w:rsidRPr="003409C9">
        <w:rPr>
          <w:noProof/>
        </w:rPr>
        <w:t>engen oraz zmiany</w:t>
      </w:r>
      <w:r w:rsidR="003409C9" w:rsidRPr="003409C9">
        <w:rPr>
          <w:noProof/>
        </w:rPr>
        <w:t xml:space="preserve"> i uch</w:t>
      </w:r>
      <w:r w:rsidRPr="003409C9">
        <w:rPr>
          <w:noProof/>
        </w:rPr>
        <w:t>ylenia rozporządzenia (WE) nr</w:t>
      </w:r>
      <w:r w:rsidR="003409C9" w:rsidRPr="003409C9">
        <w:rPr>
          <w:noProof/>
        </w:rPr>
        <w:t> </w:t>
      </w:r>
      <w:r w:rsidRPr="003409C9">
        <w:rPr>
          <w:noProof/>
        </w:rPr>
        <w:t>1987/2006 (Dz.U. L 312</w:t>
      </w:r>
      <w:r w:rsidR="003409C9" w:rsidRPr="003409C9">
        <w:rPr>
          <w:noProof/>
        </w:rPr>
        <w:t xml:space="preserve"> z 7</w:t>
      </w:r>
      <w:r w:rsidRPr="003409C9">
        <w:rPr>
          <w:noProof/>
        </w:rPr>
        <w:t>.12.2018, s. 14).</w:t>
      </w:r>
    </w:p>
    <w:p w:rsidR="00A67017" w:rsidRPr="003409C9" w:rsidRDefault="00A67017" w:rsidP="00B65481">
      <w:pPr>
        <w:rPr>
          <w:noProof/>
        </w:rPr>
      </w:pPr>
    </w:p>
    <w:p w:rsidR="00A67017" w:rsidRPr="003409C9" w:rsidRDefault="00A67017" w:rsidP="00B65481">
      <w:pPr>
        <w:rPr>
          <w:noProof/>
        </w:rPr>
      </w:pPr>
      <w:r w:rsidRPr="003409C9">
        <w:rPr>
          <w:noProof/>
        </w:rPr>
        <w:t>**Rozporządzenie Parlamentu Europejskiego</w:t>
      </w:r>
      <w:r w:rsidR="003409C9" w:rsidRPr="003409C9">
        <w:rPr>
          <w:noProof/>
        </w:rPr>
        <w:t xml:space="preserve"> i Rad</w:t>
      </w:r>
      <w:r w:rsidRPr="003409C9">
        <w:rPr>
          <w:noProof/>
        </w:rPr>
        <w:t>y (UE) 2018/1862</w:t>
      </w:r>
      <w:r w:rsidR="003409C9" w:rsidRPr="003409C9">
        <w:rPr>
          <w:noProof/>
        </w:rPr>
        <w:t xml:space="preserve"> z dni</w:t>
      </w:r>
      <w:r w:rsidRPr="003409C9">
        <w:rPr>
          <w:noProof/>
        </w:rPr>
        <w:t>a 28 listopada 2018</w:t>
      </w:r>
      <w:r w:rsidR="003409C9" w:rsidRPr="003409C9">
        <w:rPr>
          <w:noProof/>
        </w:rPr>
        <w:t> </w:t>
      </w:r>
      <w:r w:rsidRPr="003409C9">
        <w:rPr>
          <w:noProof/>
        </w:rPr>
        <w:t>r.</w:t>
      </w:r>
      <w:r w:rsidR="003409C9" w:rsidRPr="003409C9">
        <w:rPr>
          <w:noProof/>
        </w:rPr>
        <w:t xml:space="preserve"> w spr</w:t>
      </w:r>
      <w:r w:rsidRPr="003409C9">
        <w:rPr>
          <w:noProof/>
        </w:rPr>
        <w:t>awie utworzenia, funkcjonowania</w:t>
      </w:r>
      <w:r w:rsidR="003409C9" w:rsidRPr="003409C9">
        <w:rPr>
          <w:noProof/>
        </w:rPr>
        <w:t xml:space="preserve"> i uży</w:t>
      </w:r>
      <w:r w:rsidRPr="003409C9">
        <w:rPr>
          <w:noProof/>
        </w:rPr>
        <w:t>tkowania Systemu Informacyjnego Schengen (SIS)</w:t>
      </w:r>
      <w:r w:rsidR="003409C9" w:rsidRPr="003409C9">
        <w:rPr>
          <w:noProof/>
        </w:rPr>
        <w:t xml:space="preserve"> w dzi</w:t>
      </w:r>
      <w:r w:rsidRPr="003409C9">
        <w:rPr>
          <w:noProof/>
        </w:rPr>
        <w:t>edzinie współpracy policyjnej</w:t>
      </w:r>
      <w:r w:rsidR="003409C9" w:rsidRPr="003409C9">
        <w:rPr>
          <w:noProof/>
        </w:rPr>
        <w:t xml:space="preserve"> i wsp</w:t>
      </w:r>
      <w:r w:rsidRPr="003409C9">
        <w:rPr>
          <w:noProof/>
        </w:rPr>
        <w:t>ółpracy wymiarów sprawiedliwości</w:t>
      </w:r>
      <w:r w:rsidR="003409C9" w:rsidRPr="003409C9">
        <w:rPr>
          <w:noProof/>
        </w:rPr>
        <w:t xml:space="preserve"> w spr</w:t>
      </w:r>
      <w:r w:rsidRPr="003409C9">
        <w:rPr>
          <w:noProof/>
        </w:rPr>
        <w:t>awach karnych, zmiany</w:t>
      </w:r>
      <w:r w:rsidR="003409C9" w:rsidRPr="003409C9">
        <w:rPr>
          <w:noProof/>
        </w:rPr>
        <w:t xml:space="preserve"> i uch</w:t>
      </w:r>
      <w:r w:rsidRPr="003409C9">
        <w:rPr>
          <w:noProof/>
        </w:rPr>
        <w:t>ylenia decyzji Rady 2007/533/WSiSW oraz uchylenia rozporządzenia Parlamentu Europejskiego</w:t>
      </w:r>
      <w:r w:rsidR="003409C9" w:rsidRPr="003409C9">
        <w:rPr>
          <w:noProof/>
        </w:rPr>
        <w:t xml:space="preserve"> i Rad</w:t>
      </w:r>
      <w:r w:rsidRPr="003409C9">
        <w:rPr>
          <w:noProof/>
        </w:rPr>
        <w:t>y (WE) nr</w:t>
      </w:r>
      <w:r w:rsidR="003409C9" w:rsidRPr="003409C9">
        <w:rPr>
          <w:noProof/>
        </w:rPr>
        <w:t> </w:t>
      </w:r>
      <w:r w:rsidRPr="003409C9">
        <w:rPr>
          <w:noProof/>
        </w:rPr>
        <w:t>1986/2006</w:t>
      </w:r>
      <w:r w:rsidR="003409C9" w:rsidRPr="003409C9">
        <w:rPr>
          <w:noProof/>
        </w:rPr>
        <w:t xml:space="preserve"> i dec</w:t>
      </w:r>
      <w:r w:rsidRPr="003409C9">
        <w:rPr>
          <w:noProof/>
        </w:rPr>
        <w:t>yzji Komisji 2010/261/UE (</w:t>
      </w:r>
      <w:hyperlink r:id="rId15" w:history="1">
        <w:r w:rsidRPr="00BB07AF">
          <w:rPr>
            <w:rStyle w:val="Hyperlink"/>
            <w:noProof/>
          </w:rPr>
          <w:t>Dz.U. L 312</w:t>
        </w:r>
        <w:r w:rsidR="003409C9" w:rsidRPr="00BB07AF">
          <w:rPr>
            <w:rStyle w:val="Hyperlink"/>
            <w:noProof/>
          </w:rPr>
          <w:t xml:space="preserve"> z 7</w:t>
        </w:r>
        <w:r w:rsidRPr="00BB07AF">
          <w:rPr>
            <w:rStyle w:val="Hyperlink"/>
            <w:noProof/>
          </w:rPr>
          <w:t>.12.2018, s. 56</w:t>
        </w:r>
      </w:hyperlink>
      <w:r w:rsidRPr="003409C9">
        <w:rPr>
          <w:noProof/>
        </w:rPr>
        <w:t>).”;</w:t>
      </w:r>
    </w:p>
    <w:p w:rsidR="00A67017" w:rsidRPr="003409C9" w:rsidRDefault="00A67017" w:rsidP="00B65481">
      <w:pPr>
        <w:rPr>
          <w:noProof/>
        </w:rPr>
      </w:pPr>
    </w:p>
    <w:p w:rsidR="00A67017" w:rsidRPr="003409C9" w:rsidRDefault="00A67017" w:rsidP="00B65481">
      <w:pPr>
        <w:rPr>
          <w:noProof/>
        </w:rPr>
      </w:pPr>
      <w:r w:rsidRPr="003409C9">
        <w:rPr>
          <w:noProof/>
        </w:rPr>
        <w:t xml:space="preserve">c) lit. hh) otrzymuje brzmienie: </w:t>
      </w:r>
    </w:p>
    <w:p w:rsidR="00A67017" w:rsidRPr="003409C9" w:rsidRDefault="00A67017" w:rsidP="00B65481">
      <w:pPr>
        <w:rPr>
          <w:noProof/>
        </w:rPr>
      </w:pPr>
      <w:r w:rsidRPr="003409C9">
        <w:rPr>
          <w:noProof/>
        </w:rPr>
        <w:t>„hh) przyjmuje oficjalne uwagi do sprawozdań Europejskiego Inspektora Ochrony Danych</w:t>
      </w:r>
      <w:r w:rsidR="003409C9" w:rsidRPr="003409C9">
        <w:rPr>
          <w:noProof/>
        </w:rPr>
        <w:t xml:space="preserve"> z aud</w:t>
      </w:r>
      <w:r w:rsidRPr="003409C9">
        <w:rPr>
          <w:noProof/>
        </w:rPr>
        <w:t>ytów, na podstawie art. 56 ust. 2 rozporządzenia (UE) 2018/1861, art. 42 ust. 2 rozporządzenia (WE) nr 767/2008</w:t>
      </w:r>
      <w:r w:rsidR="003409C9" w:rsidRPr="003409C9">
        <w:rPr>
          <w:noProof/>
        </w:rPr>
        <w:t xml:space="preserve"> i art</w:t>
      </w:r>
      <w:r w:rsidRPr="003409C9">
        <w:rPr>
          <w:noProof/>
        </w:rPr>
        <w:t>. 31 ust. 2 rozporządzenia (UE) nr 603/2013, art. 56 ust. 2 rozporządzenia (UE) 2017/2226, art. 67 rozporządzenia (UE) 2018/1240, art. 29 ust. 2 rozporządzenia (UE) 2019/816, art. 52 rozporządzeń (UE) 2019/817 i (UE) 2019/818, art.</w:t>
      </w:r>
      <w:r w:rsidR="003409C9" w:rsidRPr="003409C9">
        <w:rPr>
          <w:noProof/>
        </w:rPr>
        <w:t> </w:t>
      </w:r>
      <w:r w:rsidRPr="003409C9">
        <w:rPr>
          <w:noProof/>
        </w:rPr>
        <w:t>60 ust.</w:t>
      </w:r>
      <w:r w:rsidR="003409C9" w:rsidRPr="003409C9">
        <w:rPr>
          <w:noProof/>
        </w:rPr>
        <w:t> </w:t>
      </w:r>
      <w:r w:rsidRPr="003409C9">
        <w:rPr>
          <w:noProof/>
        </w:rPr>
        <w:t>1 rozporządzenia Parlamentu Europejskiego</w:t>
      </w:r>
      <w:r w:rsidR="003409C9" w:rsidRPr="003409C9">
        <w:rPr>
          <w:noProof/>
        </w:rPr>
        <w:t xml:space="preserve"> i Rad</w:t>
      </w:r>
      <w:r w:rsidRPr="003409C9">
        <w:rPr>
          <w:noProof/>
        </w:rPr>
        <w:t>y (UE) .../...* [Prüm II]</w:t>
      </w:r>
      <w:r w:rsidR="003409C9" w:rsidRPr="003409C9">
        <w:rPr>
          <w:noProof/>
        </w:rPr>
        <w:t xml:space="preserve"> i art</w:t>
      </w:r>
      <w:r w:rsidRPr="003409C9">
        <w:rPr>
          <w:noProof/>
        </w:rPr>
        <w:t>.</w:t>
      </w:r>
      <w:r w:rsidR="003409C9" w:rsidRPr="003409C9">
        <w:rPr>
          <w:noProof/>
        </w:rPr>
        <w:t> </w:t>
      </w:r>
      <w:r w:rsidRPr="003409C9">
        <w:rPr>
          <w:noProof/>
        </w:rPr>
        <w:t>19 ust.</w:t>
      </w:r>
      <w:r w:rsidR="003409C9" w:rsidRPr="003409C9">
        <w:rPr>
          <w:noProof/>
        </w:rPr>
        <w:t> </w:t>
      </w:r>
      <w:r w:rsidRPr="003409C9">
        <w:rPr>
          <w:noProof/>
        </w:rPr>
        <w:t>3 rozporządzenia Parlamentu Europejskiego</w:t>
      </w:r>
      <w:r w:rsidR="003409C9" w:rsidRPr="003409C9">
        <w:rPr>
          <w:noProof/>
        </w:rPr>
        <w:t xml:space="preserve"> i Rad</w:t>
      </w:r>
      <w:r w:rsidRPr="003409C9">
        <w:rPr>
          <w:noProof/>
        </w:rPr>
        <w:t xml:space="preserve">y (UE) .../...* </w:t>
      </w:r>
      <w:r w:rsidRPr="00BB07AF">
        <w:rPr>
          <w:i/>
          <w:noProof/>
        </w:rPr>
        <w:t>[niniejsze rozporządzenie],</w:t>
      </w:r>
      <w:r w:rsidR="003409C9" w:rsidRPr="003409C9">
        <w:rPr>
          <w:noProof/>
        </w:rPr>
        <w:t xml:space="preserve"> a tak</w:t>
      </w:r>
      <w:r w:rsidRPr="003409C9">
        <w:rPr>
          <w:noProof/>
        </w:rPr>
        <w:t>że zapewnia odpowiednie działania następcze</w:t>
      </w:r>
      <w:r w:rsidR="003409C9" w:rsidRPr="003409C9">
        <w:rPr>
          <w:noProof/>
        </w:rPr>
        <w:t xml:space="preserve"> w spr</w:t>
      </w:r>
      <w:r w:rsidRPr="003409C9">
        <w:rPr>
          <w:noProof/>
        </w:rPr>
        <w:t>awie tych audytów;</w:t>
      </w:r>
    </w:p>
    <w:p w:rsidR="00A67017" w:rsidRPr="003409C9" w:rsidRDefault="00A67017" w:rsidP="00B65481">
      <w:pPr>
        <w:rPr>
          <w:noProof/>
        </w:rPr>
      </w:pPr>
      <w:r w:rsidRPr="003409C9">
        <w:rPr>
          <w:noProof/>
        </w:rPr>
        <w:t>___________</w:t>
      </w:r>
    </w:p>
    <w:p w:rsidR="00250117" w:rsidRPr="003409C9" w:rsidRDefault="009475BC" w:rsidP="009475BC">
      <w:pPr>
        <w:pStyle w:val="Point0"/>
        <w:rPr>
          <w:noProof/>
        </w:rPr>
      </w:pPr>
      <w:r w:rsidRPr="003409C9">
        <w:rPr>
          <w:noProof/>
        </w:rPr>
        <w:t>(4)</w:t>
      </w:r>
      <w:r w:rsidRPr="003409C9">
        <w:rPr>
          <w:noProof/>
        </w:rPr>
        <w:tab/>
        <w:t>* Rozporządzenie Parlamentu Europejskiego</w:t>
      </w:r>
      <w:r w:rsidR="003409C9" w:rsidRPr="003409C9">
        <w:rPr>
          <w:noProof/>
        </w:rPr>
        <w:t xml:space="preserve"> i Rad</w:t>
      </w:r>
      <w:r w:rsidRPr="003409C9">
        <w:rPr>
          <w:noProof/>
        </w:rPr>
        <w:t>y (UE) [numer]</w:t>
      </w:r>
      <w:r w:rsidR="003409C9" w:rsidRPr="003409C9">
        <w:rPr>
          <w:noProof/>
        </w:rPr>
        <w:t xml:space="preserve"> z dni</w:t>
      </w:r>
      <w:r w:rsidRPr="003409C9">
        <w:rPr>
          <w:noProof/>
        </w:rPr>
        <w:t>a xy r.</w:t>
      </w:r>
      <w:r w:rsidR="003409C9" w:rsidRPr="003409C9">
        <w:rPr>
          <w:noProof/>
        </w:rPr>
        <w:t xml:space="preserve"> w spr</w:t>
      </w:r>
      <w:r w:rsidRPr="003409C9">
        <w:rPr>
          <w:noProof/>
        </w:rPr>
        <w:t>awie [oficjalnie przyjęty tytuł] (Dz.U. L … z …, s. …).”.</w:t>
      </w:r>
    </w:p>
    <w:p w:rsidR="00250117" w:rsidRPr="00BB07AF" w:rsidRDefault="00250117" w:rsidP="00250117">
      <w:pPr>
        <w:pStyle w:val="Titrearticle"/>
        <w:rPr>
          <w:noProof/>
        </w:rPr>
      </w:pPr>
      <w:r w:rsidRPr="00BB07AF">
        <w:rPr>
          <w:noProof/>
        </w:rPr>
        <w:t>Artykuł 35</w:t>
      </w:r>
    </w:p>
    <w:p w:rsidR="00250117" w:rsidRPr="00BB07AF" w:rsidRDefault="00250117" w:rsidP="00250117">
      <w:pPr>
        <w:jc w:val="center"/>
        <w:rPr>
          <w:b/>
          <w:noProof/>
        </w:rPr>
      </w:pPr>
      <w:r w:rsidRPr="00BB07AF">
        <w:rPr>
          <w:b/>
          <w:noProof/>
        </w:rPr>
        <w:t>Zmiany</w:t>
      </w:r>
      <w:r w:rsidR="003409C9" w:rsidRPr="00BB07AF">
        <w:rPr>
          <w:b/>
          <w:noProof/>
        </w:rPr>
        <w:t xml:space="preserve"> w roz</w:t>
      </w:r>
      <w:r w:rsidRPr="00BB07AF">
        <w:rPr>
          <w:b/>
          <w:noProof/>
        </w:rPr>
        <w:t>porządzeniu (UE) 2019/817</w:t>
      </w:r>
    </w:p>
    <w:p w:rsidR="00250117" w:rsidRPr="003409C9" w:rsidRDefault="00250117" w:rsidP="00250117">
      <w:pPr>
        <w:ind w:left="697" w:firstLine="720"/>
        <w:rPr>
          <w:noProof/>
        </w:rPr>
      </w:pPr>
      <w:r w:rsidRPr="003409C9">
        <w:rPr>
          <w:noProof/>
        </w:rPr>
        <w:t>___________</w:t>
      </w:r>
    </w:p>
    <w:p w:rsidR="00250117" w:rsidRPr="003409C9" w:rsidRDefault="009475BC" w:rsidP="009475BC">
      <w:pPr>
        <w:pStyle w:val="Point1"/>
        <w:rPr>
          <w:noProof/>
        </w:rPr>
      </w:pPr>
      <w:r w:rsidRPr="003409C9">
        <w:rPr>
          <w:noProof/>
        </w:rPr>
        <w:t>(1)</w:t>
      </w:r>
      <w:r w:rsidRPr="003409C9">
        <w:rPr>
          <w:noProof/>
        </w:rPr>
        <w:tab/>
      </w:r>
      <w:r w:rsidRPr="003409C9">
        <w:rPr>
          <w:noProof/>
        </w:rPr>
        <w:tab/>
        <w:t>W art.</w:t>
      </w:r>
      <w:r w:rsidR="003409C9" w:rsidRPr="003409C9">
        <w:rPr>
          <w:noProof/>
        </w:rPr>
        <w:t> </w:t>
      </w:r>
      <w:r w:rsidRPr="003409C9">
        <w:rPr>
          <w:noProof/>
        </w:rPr>
        <w:t>39 ust.</w:t>
      </w:r>
      <w:r w:rsidR="003409C9" w:rsidRPr="003409C9">
        <w:rPr>
          <w:noProof/>
        </w:rPr>
        <w:t> </w:t>
      </w:r>
      <w:r w:rsidRPr="003409C9">
        <w:rPr>
          <w:noProof/>
        </w:rPr>
        <w:t>1</w:t>
      </w:r>
      <w:r w:rsidR="003409C9" w:rsidRPr="003409C9">
        <w:rPr>
          <w:noProof/>
        </w:rPr>
        <w:t xml:space="preserve"> i 2</w:t>
      </w:r>
      <w:r w:rsidRPr="003409C9">
        <w:rPr>
          <w:noProof/>
        </w:rPr>
        <w:t xml:space="preserve"> otrzymują brzmienie:</w:t>
      </w:r>
    </w:p>
    <w:p w:rsidR="00250117" w:rsidRPr="003409C9" w:rsidRDefault="00250117" w:rsidP="00250117">
      <w:pPr>
        <w:pStyle w:val="ListParagraph"/>
        <w:rPr>
          <w:noProof/>
        </w:rPr>
      </w:pPr>
    </w:p>
    <w:p w:rsidR="00250117" w:rsidRPr="003409C9" w:rsidRDefault="00250117" w:rsidP="00250117">
      <w:pPr>
        <w:pStyle w:val="ListParagraph"/>
        <w:rPr>
          <w:noProof/>
        </w:rPr>
      </w:pPr>
      <w:r w:rsidRPr="003409C9">
        <w:rPr>
          <w:noProof/>
        </w:rPr>
        <w:t>„1. Centralne repozytorium sprawozdawczo-statystyczne ustanawia się, aby wspierać realizację celów systemów EES, VIS, ETIAS i SIS zgodnie</w:t>
      </w:r>
      <w:r w:rsidR="003409C9" w:rsidRPr="003409C9">
        <w:rPr>
          <w:noProof/>
        </w:rPr>
        <w:t xml:space="preserve"> z odp</w:t>
      </w:r>
      <w:r w:rsidRPr="003409C9">
        <w:rPr>
          <w:noProof/>
        </w:rPr>
        <w:t>owiednimi aktami prawnymi regulującymi te systemy oraz zapewniać międzysystemowe dane statystyczne</w:t>
      </w:r>
      <w:r w:rsidR="003409C9" w:rsidRPr="003409C9">
        <w:rPr>
          <w:noProof/>
        </w:rPr>
        <w:t xml:space="preserve"> i spr</w:t>
      </w:r>
      <w:r w:rsidRPr="003409C9">
        <w:rPr>
          <w:noProof/>
        </w:rPr>
        <w:t>awozdania analityczne służące strategiom politycznym, celom operacyjnym</w:t>
      </w:r>
      <w:r w:rsidR="003409C9" w:rsidRPr="003409C9">
        <w:rPr>
          <w:noProof/>
        </w:rPr>
        <w:t xml:space="preserve"> i cel</w:t>
      </w:r>
      <w:r w:rsidRPr="003409C9">
        <w:rPr>
          <w:noProof/>
        </w:rPr>
        <w:t>om związanym</w:t>
      </w:r>
      <w:r w:rsidR="003409C9" w:rsidRPr="003409C9">
        <w:rPr>
          <w:noProof/>
        </w:rPr>
        <w:t xml:space="preserve"> z jak</w:t>
      </w:r>
      <w:r w:rsidRPr="003409C9">
        <w:rPr>
          <w:noProof/>
        </w:rPr>
        <w:t>ością danych. Centralne repozytorium sprawozdawczo-statystyczne wspiera również cele rozporządzenia Parlamentu Europejskiego</w:t>
      </w:r>
      <w:r w:rsidR="003409C9" w:rsidRPr="003409C9">
        <w:rPr>
          <w:noProof/>
        </w:rPr>
        <w:t xml:space="preserve"> i Rad</w:t>
      </w:r>
      <w:r w:rsidRPr="003409C9">
        <w:rPr>
          <w:noProof/>
        </w:rPr>
        <w:t>y (UE) …/…* [</w:t>
      </w:r>
      <w:r w:rsidRPr="00BB07AF">
        <w:rPr>
          <w:i/>
          <w:noProof/>
        </w:rPr>
        <w:t>niniejsze rozporządzenia</w:t>
      </w:r>
      <w:r w:rsidRPr="003409C9">
        <w:rPr>
          <w:noProof/>
          <w:color w:val="000000"/>
        </w:rPr>
        <w:t>]</w:t>
      </w:r>
      <w:r w:rsidRPr="003409C9">
        <w:rPr>
          <w:noProof/>
        </w:rPr>
        <w:t>.</w:t>
      </w:r>
    </w:p>
    <w:p w:rsidR="00250117" w:rsidRPr="003409C9" w:rsidRDefault="00250117" w:rsidP="00250117">
      <w:pPr>
        <w:pStyle w:val="ListParagraph"/>
        <w:rPr>
          <w:noProof/>
        </w:rPr>
      </w:pPr>
    </w:p>
    <w:p w:rsidR="00250117" w:rsidRPr="003409C9" w:rsidRDefault="00250117" w:rsidP="00250117">
      <w:pPr>
        <w:pStyle w:val="ListParagraph"/>
        <w:ind w:left="1417"/>
        <w:rPr>
          <w:noProof/>
        </w:rPr>
      </w:pPr>
      <w:r w:rsidRPr="003409C9">
        <w:rPr>
          <w:noProof/>
        </w:rPr>
        <w:t>*</w:t>
      </w:r>
      <w:r w:rsidRPr="003409C9">
        <w:rPr>
          <w:noProof/>
        </w:rPr>
        <w:tab/>
        <w:t>Rozporządzenie Parlamentu Europejskiego</w:t>
      </w:r>
      <w:r w:rsidR="003409C9" w:rsidRPr="003409C9">
        <w:rPr>
          <w:noProof/>
        </w:rPr>
        <w:t xml:space="preserve"> i Rad</w:t>
      </w:r>
      <w:r w:rsidRPr="003409C9">
        <w:rPr>
          <w:noProof/>
        </w:rPr>
        <w:t>y (UE) [numer]</w:t>
      </w:r>
      <w:r w:rsidR="003409C9" w:rsidRPr="003409C9">
        <w:rPr>
          <w:noProof/>
        </w:rPr>
        <w:t xml:space="preserve"> z dni</w:t>
      </w:r>
      <w:r w:rsidRPr="003409C9">
        <w:rPr>
          <w:noProof/>
        </w:rPr>
        <w:t>a xy r.</w:t>
      </w:r>
      <w:r w:rsidR="003409C9" w:rsidRPr="003409C9">
        <w:rPr>
          <w:noProof/>
        </w:rPr>
        <w:t xml:space="preserve"> w spr</w:t>
      </w:r>
      <w:r w:rsidRPr="003409C9">
        <w:rPr>
          <w:noProof/>
        </w:rPr>
        <w:t>awie [oficjalnie przyjęty tytuł] (Dz.U. L … z …, s. …).</w:t>
      </w:r>
    </w:p>
    <w:p w:rsidR="00250117" w:rsidRPr="003409C9" w:rsidRDefault="00250117" w:rsidP="00250117">
      <w:pPr>
        <w:pStyle w:val="ListParagraph"/>
        <w:rPr>
          <w:noProof/>
        </w:rPr>
      </w:pPr>
    </w:p>
    <w:p w:rsidR="00250117" w:rsidRPr="003409C9" w:rsidRDefault="00A67017" w:rsidP="00250117">
      <w:pPr>
        <w:ind w:left="720"/>
        <w:rPr>
          <w:noProof/>
          <w:color w:val="000000"/>
        </w:rPr>
      </w:pPr>
      <w:r w:rsidRPr="003409C9">
        <w:rPr>
          <w:noProof/>
        </w:rPr>
        <w:t xml:space="preserve"> </w:t>
      </w:r>
      <w:r w:rsidRPr="003409C9">
        <w:rPr>
          <w:noProof/>
          <w:color w:val="000000"/>
        </w:rPr>
        <w:t xml:space="preserve">2. </w:t>
      </w:r>
      <w:r w:rsidRPr="003409C9">
        <w:rPr>
          <w:noProof/>
        </w:rPr>
        <w:t>eu-LISA ustanawia, wdraża</w:t>
      </w:r>
      <w:r w:rsidR="003409C9" w:rsidRPr="003409C9">
        <w:rPr>
          <w:noProof/>
        </w:rPr>
        <w:t xml:space="preserve"> i obs</w:t>
      </w:r>
      <w:r w:rsidRPr="003409C9">
        <w:rPr>
          <w:noProof/>
        </w:rPr>
        <w:t>ługuje</w:t>
      </w:r>
      <w:r w:rsidR="003409C9" w:rsidRPr="003409C9">
        <w:rPr>
          <w:noProof/>
        </w:rPr>
        <w:t xml:space="preserve"> w swo</w:t>
      </w:r>
      <w:r w:rsidRPr="003409C9">
        <w:rPr>
          <w:noProof/>
        </w:rPr>
        <w:t>ich centrach technicznych centralne repozytorium sprawozdawczo-statystyczne zawierające dane</w:t>
      </w:r>
      <w:r w:rsidR="003409C9" w:rsidRPr="003409C9">
        <w:rPr>
          <w:noProof/>
        </w:rPr>
        <w:t xml:space="preserve"> i sta</w:t>
      </w:r>
      <w:r w:rsidRPr="003409C9">
        <w:rPr>
          <w:noProof/>
        </w:rPr>
        <w:t>tystyki,</w:t>
      </w:r>
      <w:r w:rsidR="003409C9" w:rsidRPr="003409C9">
        <w:rPr>
          <w:noProof/>
        </w:rPr>
        <w:t xml:space="preserve"> o któ</w:t>
      </w:r>
      <w:r w:rsidRPr="003409C9">
        <w:rPr>
          <w:noProof/>
        </w:rPr>
        <w:t>rych mowa</w:t>
      </w:r>
      <w:r w:rsidR="003409C9" w:rsidRPr="003409C9">
        <w:rPr>
          <w:noProof/>
        </w:rPr>
        <w:t xml:space="preserve"> w art</w:t>
      </w:r>
      <w:r w:rsidRPr="003409C9">
        <w:rPr>
          <w:noProof/>
        </w:rPr>
        <w:t>. 63 rozporządzenia (UE) 2017/2226, art.</w:t>
      </w:r>
      <w:r w:rsidR="003409C9" w:rsidRPr="003409C9">
        <w:rPr>
          <w:noProof/>
        </w:rPr>
        <w:t> </w:t>
      </w:r>
      <w:r w:rsidRPr="003409C9">
        <w:rPr>
          <w:noProof/>
        </w:rPr>
        <w:t>17 rozporządzenia (WE) nr</w:t>
      </w:r>
      <w:r w:rsidR="003409C9" w:rsidRPr="003409C9">
        <w:rPr>
          <w:noProof/>
        </w:rPr>
        <w:t> </w:t>
      </w:r>
      <w:r w:rsidRPr="003409C9">
        <w:rPr>
          <w:noProof/>
        </w:rPr>
        <w:t>767/2008, art.</w:t>
      </w:r>
      <w:r w:rsidR="003409C9" w:rsidRPr="003409C9">
        <w:rPr>
          <w:noProof/>
        </w:rPr>
        <w:t> </w:t>
      </w:r>
      <w:r w:rsidRPr="003409C9">
        <w:rPr>
          <w:noProof/>
        </w:rPr>
        <w:t>84 rozporządzenia (UE) 2018/1240, art.</w:t>
      </w:r>
      <w:r w:rsidR="003409C9" w:rsidRPr="003409C9">
        <w:rPr>
          <w:noProof/>
        </w:rPr>
        <w:t> </w:t>
      </w:r>
      <w:r w:rsidRPr="003409C9">
        <w:rPr>
          <w:noProof/>
        </w:rPr>
        <w:t>60 rozporządzenia (UE) 2018/1861 oraz art.</w:t>
      </w:r>
      <w:r w:rsidR="003409C9" w:rsidRPr="003409C9">
        <w:rPr>
          <w:noProof/>
        </w:rPr>
        <w:t> </w:t>
      </w:r>
      <w:r w:rsidRPr="003409C9">
        <w:rPr>
          <w:noProof/>
        </w:rPr>
        <w:t xml:space="preserve">16 rozporządzenia (UE) 2018/1860, logicznie oddzielone według systemu informacyjnego UE. </w:t>
      </w:r>
      <w:r w:rsidRPr="003409C9">
        <w:rPr>
          <w:noProof/>
          <w:color w:val="000000"/>
        </w:rPr>
        <w:t>eu-LISA gromadzi również dane</w:t>
      </w:r>
      <w:r w:rsidR="003409C9" w:rsidRPr="003409C9">
        <w:rPr>
          <w:noProof/>
          <w:color w:val="000000"/>
        </w:rPr>
        <w:t xml:space="preserve"> i sta</w:t>
      </w:r>
      <w:r w:rsidRPr="003409C9">
        <w:rPr>
          <w:noProof/>
          <w:color w:val="000000"/>
        </w:rPr>
        <w:t>tystyki</w:t>
      </w:r>
      <w:r w:rsidR="003409C9" w:rsidRPr="003409C9">
        <w:rPr>
          <w:noProof/>
          <w:color w:val="000000"/>
        </w:rPr>
        <w:t xml:space="preserve"> z rou</w:t>
      </w:r>
      <w:r w:rsidRPr="003409C9">
        <w:rPr>
          <w:noProof/>
          <w:color w:val="000000"/>
        </w:rPr>
        <w:t>tera,</w:t>
      </w:r>
      <w:r w:rsidR="003409C9" w:rsidRPr="003409C9">
        <w:rPr>
          <w:noProof/>
          <w:color w:val="000000"/>
        </w:rPr>
        <w:t xml:space="preserve"> o któ</w:t>
      </w:r>
      <w:r w:rsidRPr="003409C9">
        <w:rPr>
          <w:noProof/>
          <w:color w:val="000000"/>
        </w:rPr>
        <w:t>rych mowa</w:t>
      </w:r>
      <w:r w:rsidR="003409C9" w:rsidRPr="003409C9">
        <w:rPr>
          <w:noProof/>
          <w:color w:val="000000"/>
        </w:rPr>
        <w:t xml:space="preserve"> w art</w:t>
      </w:r>
      <w:r w:rsidRPr="003409C9">
        <w:rPr>
          <w:noProof/>
          <w:color w:val="000000"/>
        </w:rPr>
        <w:t>.</w:t>
      </w:r>
      <w:r w:rsidR="003409C9" w:rsidRPr="003409C9">
        <w:rPr>
          <w:noProof/>
          <w:color w:val="000000"/>
        </w:rPr>
        <w:t> </w:t>
      </w:r>
      <w:r w:rsidRPr="003409C9">
        <w:rPr>
          <w:noProof/>
          <w:color w:val="000000"/>
        </w:rPr>
        <w:t>31 ust.</w:t>
      </w:r>
      <w:r w:rsidR="003409C9" w:rsidRPr="003409C9">
        <w:rPr>
          <w:noProof/>
          <w:color w:val="000000"/>
        </w:rPr>
        <w:t> </w:t>
      </w:r>
      <w:r w:rsidRPr="003409C9">
        <w:rPr>
          <w:noProof/>
          <w:color w:val="000000"/>
        </w:rPr>
        <w:t xml:space="preserve">1 rozporządzenia (UE) </w:t>
      </w:r>
      <w:r w:rsidRPr="003409C9">
        <w:rPr>
          <w:noProof/>
        </w:rPr>
        <w:t>.../... * [</w:t>
      </w:r>
      <w:r w:rsidRPr="00BB07AF">
        <w:rPr>
          <w:i/>
          <w:noProof/>
        </w:rPr>
        <w:t>niniejsze rozporządzenie</w:t>
      </w:r>
      <w:r w:rsidRPr="003409C9">
        <w:rPr>
          <w:noProof/>
          <w:color w:val="000000"/>
        </w:rPr>
        <w:t xml:space="preserve">]. </w:t>
      </w:r>
      <w:r w:rsidRPr="003409C9">
        <w:rPr>
          <w:noProof/>
        </w:rPr>
        <w:t>Dostęp do centralnego repozytorium sprawozdawczo-statystycznego</w:t>
      </w:r>
      <w:r w:rsidR="003409C9" w:rsidRPr="003409C9">
        <w:rPr>
          <w:noProof/>
        </w:rPr>
        <w:t xml:space="preserve"> w pos</w:t>
      </w:r>
      <w:r w:rsidRPr="003409C9">
        <w:rPr>
          <w:noProof/>
        </w:rPr>
        <w:t>taci kontrolowanego, bezpiecznego dostępu</w:t>
      </w:r>
      <w:r w:rsidR="003409C9" w:rsidRPr="003409C9">
        <w:rPr>
          <w:noProof/>
        </w:rPr>
        <w:t xml:space="preserve"> i okr</w:t>
      </w:r>
      <w:r w:rsidRPr="003409C9">
        <w:rPr>
          <w:noProof/>
        </w:rPr>
        <w:t>eślonych profili użytkowników przyznaje się – wyłącznie</w:t>
      </w:r>
      <w:r w:rsidR="003409C9" w:rsidRPr="003409C9">
        <w:rPr>
          <w:noProof/>
        </w:rPr>
        <w:t xml:space="preserve"> w cel</w:t>
      </w:r>
      <w:r w:rsidRPr="003409C9">
        <w:rPr>
          <w:noProof/>
        </w:rPr>
        <w:t>ach sprawozdawczo-statystycznych – organom,</w:t>
      </w:r>
      <w:r w:rsidR="003409C9" w:rsidRPr="003409C9">
        <w:rPr>
          <w:noProof/>
        </w:rPr>
        <w:t xml:space="preserve"> o któ</w:t>
      </w:r>
      <w:r w:rsidRPr="003409C9">
        <w:rPr>
          <w:noProof/>
        </w:rPr>
        <w:t>rych mowa</w:t>
      </w:r>
      <w:r w:rsidR="003409C9" w:rsidRPr="003409C9">
        <w:rPr>
          <w:noProof/>
        </w:rPr>
        <w:t xml:space="preserve"> w art</w:t>
      </w:r>
      <w:r w:rsidRPr="003409C9">
        <w:rPr>
          <w:noProof/>
        </w:rPr>
        <w:t>. 63 rozporządzenia (UE) 2017/2226, art.</w:t>
      </w:r>
      <w:r w:rsidR="003409C9" w:rsidRPr="003409C9">
        <w:rPr>
          <w:noProof/>
        </w:rPr>
        <w:t> </w:t>
      </w:r>
      <w:r w:rsidRPr="003409C9">
        <w:rPr>
          <w:noProof/>
        </w:rPr>
        <w:t>17 rozporządzenia (WE) nr</w:t>
      </w:r>
      <w:r w:rsidR="003409C9" w:rsidRPr="003409C9">
        <w:rPr>
          <w:noProof/>
        </w:rPr>
        <w:t> </w:t>
      </w:r>
      <w:r w:rsidRPr="003409C9">
        <w:rPr>
          <w:noProof/>
        </w:rPr>
        <w:t>767/2008, art. 84 rozporządzenia (UE) 2018/1240, art.</w:t>
      </w:r>
      <w:r w:rsidR="003409C9" w:rsidRPr="003409C9">
        <w:rPr>
          <w:noProof/>
        </w:rPr>
        <w:t> </w:t>
      </w:r>
      <w:r w:rsidRPr="003409C9">
        <w:rPr>
          <w:noProof/>
        </w:rPr>
        <w:t>60 rozporządzenia (UE) 2018/1861</w:t>
      </w:r>
      <w:r w:rsidR="003409C9" w:rsidRPr="003409C9">
        <w:rPr>
          <w:noProof/>
        </w:rPr>
        <w:t xml:space="preserve"> i </w:t>
      </w:r>
      <w:r w:rsidR="003409C9" w:rsidRPr="003409C9">
        <w:rPr>
          <w:noProof/>
          <w:color w:val="000000"/>
        </w:rPr>
        <w:t>art</w:t>
      </w:r>
      <w:r w:rsidRPr="003409C9">
        <w:rPr>
          <w:noProof/>
          <w:color w:val="000000"/>
        </w:rPr>
        <w:t>.</w:t>
      </w:r>
      <w:r w:rsidR="003409C9" w:rsidRPr="003409C9">
        <w:rPr>
          <w:noProof/>
          <w:color w:val="000000"/>
        </w:rPr>
        <w:t> </w:t>
      </w:r>
      <w:r w:rsidRPr="003409C9">
        <w:rPr>
          <w:noProof/>
          <w:color w:val="000000"/>
        </w:rPr>
        <w:t>38 ust.</w:t>
      </w:r>
      <w:r w:rsidR="003409C9" w:rsidRPr="003409C9">
        <w:rPr>
          <w:noProof/>
          <w:color w:val="000000"/>
        </w:rPr>
        <w:t> </w:t>
      </w:r>
      <w:r w:rsidRPr="003409C9">
        <w:rPr>
          <w:noProof/>
          <w:color w:val="000000"/>
        </w:rPr>
        <w:t xml:space="preserve">2 rozporządzenia (UE) </w:t>
      </w:r>
      <w:r w:rsidRPr="003409C9">
        <w:rPr>
          <w:noProof/>
        </w:rPr>
        <w:t>.../... [</w:t>
      </w:r>
      <w:r w:rsidRPr="00BB07AF">
        <w:rPr>
          <w:i/>
          <w:noProof/>
        </w:rPr>
        <w:t>niniejsze rozporządzenie</w:t>
      </w:r>
      <w:r w:rsidRPr="003409C9">
        <w:rPr>
          <w:noProof/>
          <w:color w:val="000000"/>
        </w:rPr>
        <w:t>]</w:t>
      </w:r>
      <w:r w:rsidRPr="003409C9">
        <w:rPr>
          <w:noProof/>
        </w:rPr>
        <w:t>.”.</w:t>
      </w:r>
    </w:p>
    <w:p w:rsidR="00250117" w:rsidRPr="003409C9" w:rsidRDefault="00250117" w:rsidP="00250117">
      <w:pPr>
        <w:pStyle w:val="ListParagraph"/>
        <w:ind w:left="1417"/>
        <w:rPr>
          <w:noProof/>
        </w:rPr>
      </w:pPr>
    </w:p>
    <w:p w:rsidR="00250117" w:rsidRPr="003409C9" w:rsidRDefault="00250117" w:rsidP="00250117">
      <w:pPr>
        <w:pStyle w:val="Titrearticle"/>
        <w:rPr>
          <w:i w:val="0"/>
          <w:noProof/>
        </w:rPr>
      </w:pPr>
      <w:r w:rsidRPr="003409C9">
        <w:rPr>
          <w:i w:val="0"/>
          <w:noProof/>
        </w:rPr>
        <w:t>ROZDZIAŁ 8</w:t>
      </w:r>
    </w:p>
    <w:p w:rsidR="00250117" w:rsidRPr="003409C9" w:rsidRDefault="00250117" w:rsidP="00250117">
      <w:pPr>
        <w:jc w:val="center"/>
        <w:rPr>
          <w:noProof/>
        </w:rPr>
      </w:pPr>
      <w:r w:rsidRPr="00BB07AF">
        <w:rPr>
          <w:b/>
          <w:noProof/>
        </w:rPr>
        <w:t xml:space="preserve">PRZEPISY KOŃCOWE </w:t>
      </w:r>
    </w:p>
    <w:p w:rsidR="00250117" w:rsidRPr="00BB07AF" w:rsidRDefault="00250117" w:rsidP="00250117">
      <w:pPr>
        <w:pStyle w:val="Titrearticle"/>
        <w:rPr>
          <w:noProof/>
        </w:rPr>
      </w:pPr>
      <w:r w:rsidRPr="00BB07AF">
        <w:rPr>
          <w:noProof/>
        </w:rPr>
        <w:t>Artykuł 36</w:t>
      </w:r>
    </w:p>
    <w:p w:rsidR="00250117" w:rsidRPr="00BB07AF" w:rsidRDefault="00250117" w:rsidP="00250117">
      <w:pPr>
        <w:jc w:val="center"/>
        <w:rPr>
          <w:b/>
          <w:noProof/>
        </w:rPr>
      </w:pPr>
      <w:r w:rsidRPr="00BB07AF">
        <w:rPr>
          <w:b/>
          <w:noProof/>
        </w:rPr>
        <w:t>Procedura komitetowa</w:t>
      </w:r>
    </w:p>
    <w:p w:rsidR="00250117" w:rsidRPr="003409C9" w:rsidRDefault="009475BC" w:rsidP="009475BC">
      <w:pPr>
        <w:pStyle w:val="ManualNumPar1"/>
        <w:rPr>
          <w:noProof/>
        </w:rPr>
      </w:pPr>
      <w:bookmarkStart w:id="47" w:name="_Hlk117182088"/>
      <w:r w:rsidRPr="003409C9">
        <w:rPr>
          <w:noProof/>
        </w:rPr>
        <w:t>1.</w:t>
      </w:r>
      <w:r w:rsidRPr="003409C9">
        <w:rPr>
          <w:noProof/>
        </w:rPr>
        <w:tab/>
        <w:t>Komisję wspomaga komitet. Komitet ten jest komitetem</w:t>
      </w:r>
      <w:r w:rsidR="003409C9" w:rsidRPr="003409C9">
        <w:rPr>
          <w:noProof/>
        </w:rPr>
        <w:t xml:space="preserve"> w roz</w:t>
      </w:r>
      <w:r w:rsidRPr="003409C9">
        <w:rPr>
          <w:noProof/>
        </w:rPr>
        <w:t xml:space="preserve">umieniu rozporządzenia (UE) nr 182/2011. </w:t>
      </w:r>
    </w:p>
    <w:p w:rsidR="00250117" w:rsidRPr="003409C9" w:rsidRDefault="009475BC" w:rsidP="009475BC">
      <w:pPr>
        <w:pStyle w:val="ManualNumPar1"/>
        <w:rPr>
          <w:noProof/>
        </w:rPr>
      </w:pPr>
      <w:r w:rsidRPr="003409C9">
        <w:rPr>
          <w:noProof/>
        </w:rPr>
        <w:t>2.</w:t>
      </w:r>
      <w:r w:rsidRPr="003409C9">
        <w:rPr>
          <w:noProof/>
        </w:rPr>
        <w:tab/>
        <w:t>W przypadku odesłania do niniejszego ustępu stosuje się art.</w:t>
      </w:r>
      <w:r w:rsidR="003409C9" w:rsidRPr="003409C9">
        <w:rPr>
          <w:noProof/>
        </w:rPr>
        <w:t> </w:t>
      </w:r>
      <w:r w:rsidRPr="003409C9">
        <w:rPr>
          <w:noProof/>
        </w:rPr>
        <w:t>5 rozporządzenia (UE) nr 182/2011</w:t>
      </w:r>
      <w:r w:rsidR="003409C9" w:rsidRPr="003409C9">
        <w:rPr>
          <w:noProof/>
        </w:rPr>
        <w:t>. W prz</w:t>
      </w:r>
      <w:r w:rsidRPr="003409C9">
        <w:rPr>
          <w:noProof/>
        </w:rPr>
        <w:t>ypadku gdy komitet nie wyda żadnej opinii, Komisja nie przyjmuje projektu aktu wykonawczego</w:t>
      </w:r>
      <w:r w:rsidR="003409C9" w:rsidRPr="003409C9">
        <w:rPr>
          <w:noProof/>
        </w:rPr>
        <w:t xml:space="preserve"> i sto</w:t>
      </w:r>
      <w:r w:rsidRPr="003409C9">
        <w:rPr>
          <w:noProof/>
        </w:rPr>
        <w:t>suje się art.</w:t>
      </w:r>
      <w:r w:rsidR="003409C9" w:rsidRPr="003409C9">
        <w:rPr>
          <w:noProof/>
        </w:rPr>
        <w:t> </w:t>
      </w:r>
      <w:r w:rsidRPr="003409C9">
        <w:rPr>
          <w:noProof/>
        </w:rPr>
        <w:t>5 ust.</w:t>
      </w:r>
      <w:r w:rsidR="003409C9" w:rsidRPr="003409C9">
        <w:rPr>
          <w:noProof/>
        </w:rPr>
        <w:t> </w:t>
      </w:r>
      <w:r w:rsidRPr="003409C9">
        <w:rPr>
          <w:noProof/>
        </w:rPr>
        <w:t>4 akapit trzeci rozporządzenia (UE) nr 182/2011.</w:t>
      </w:r>
    </w:p>
    <w:bookmarkEnd w:id="47"/>
    <w:p w:rsidR="00250117" w:rsidRPr="00BB07AF" w:rsidRDefault="00250117" w:rsidP="00250117">
      <w:pPr>
        <w:pStyle w:val="Titrearticle"/>
        <w:rPr>
          <w:noProof/>
        </w:rPr>
      </w:pPr>
      <w:r w:rsidRPr="00BB07AF">
        <w:rPr>
          <w:noProof/>
        </w:rPr>
        <w:t>Artykuł 37</w:t>
      </w:r>
    </w:p>
    <w:p w:rsidR="00250117" w:rsidRPr="00BB07AF" w:rsidRDefault="00250117" w:rsidP="00250117">
      <w:pPr>
        <w:jc w:val="center"/>
        <w:rPr>
          <w:b/>
          <w:noProof/>
        </w:rPr>
      </w:pPr>
      <w:r w:rsidRPr="00BB07AF">
        <w:rPr>
          <w:b/>
          <w:noProof/>
        </w:rPr>
        <w:t>Wykonywanie przekazanych uprawnień</w:t>
      </w:r>
    </w:p>
    <w:p w:rsidR="00250117" w:rsidRPr="003409C9" w:rsidRDefault="009475BC" w:rsidP="009475BC">
      <w:pPr>
        <w:pStyle w:val="ManualNumPar1"/>
        <w:rPr>
          <w:noProof/>
        </w:rPr>
      </w:pPr>
      <w:r w:rsidRPr="003409C9">
        <w:rPr>
          <w:noProof/>
        </w:rPr>
        <w:t>1.</w:t>
      </w:r>
      <w:r w:rsidRPr="003409C9">
        <w:rPr>
          <w:noProof/>
        </w:rPr>
        <w:tab/>
        <w:t>Powierzenie Komisji uprawnień do przyjmowania aktów delegowanych podlega warunkom określonym</w:t>
      </w:r>
      <w:r w:rsidR="003409C9" w:rsidRPr="003409C9">
        <w:rPr>
          <w:noProof/>
        </w:rPr>
        <w:t xml:space="preserve"> w nin</w:t>
      </w:r>
      <w:r w:rsidRPr="003409C9">
        <w:rPr>
          <w:noProof/>
        </w:rPr>
        <w:t>iejszym artykule.</w:t>
      </w:r>
    </w:p>
    <w:p w:rsidR="00250117" w:rsidRPr="003409C9" w:rsidRDefault="009475BC" w:rsidP="009475BC">
      <w:pPr>
        <w:pStyle w:val="ManualNumPar1"/>
        <w:rPr>
          <w:noProof/>
        </w:rPr>
      </w:pPr>
      <w:r w:rsidRPr="003409C9">
        <w:rPr>
          <w:noProof/>
        </w:rPr>
        <w:t>2.</w:t>
      </w:r>
      <w:r w:rsidRPr="003409C9">
        <w:rPr>
          <w:noProof/>
        </w:rPr>
        <w:tab/>
        <w:t>Uprawnienia do przyjmowania aktów delegowanych,</w:t>
      </w:r>
      <w:r w:rsidR="003409C9" w:rsidRPr="003409C9">
        <w:rPr>
          <w:noProof/>
        </w:rPr>
        <w:t xml:space="preserve"> o któ</w:t>
      </w:r>
      <w:r w:rsidRPr="003409C9">
        <w:rPr>
          <w:noProof/>
        </w:rPr>
        <w:t>rych mowa</w:t>
      </w:r>
      <w:r w:rsidR="003409C9" w:rsidRPr="003409C9">
        <w:rPr>
          <w:noProof/>
        </w:rPr>
        <w:t xml:space="preserve"> w art</w:t>
      </w:r>
      <w:r w:rsidRPr="003409C9">
        <w:rPr>
          <w:noProof/>
        </w:rPr>
        <w:t>.</w:t>
      </w:r>
      <w:r w:rsidR="003409C9" w:rsidRPr="003409C9">
        <w:rPr>
          <w:noProof/>
        </w:rPr>
        <w:t> </w:t>
      </w:r>
      <w:r w:rsidRPr="003409C9">
        <w:rPr>
          <w:noProof/>
        </w:rPr>
        <w:t>5 ust.</w:t>
      </w:r>
      <w:r w:rsidR="003409C9" w:rsidRPr="003409C9">
        <w:rPr>
          <w:noProof/>
        </w:rPr>
        <w:t> </w:t>
      </w:r>
      <w:r w:rsidRPr="003409C9">
        <w:rPr>
          <w:noProof/>
        </w:rPr>
        <w:t>4, art.</w:t>
      </w:r>
      <w:r w:rsidR="003409C9" w:rsidRPr="003409C9">
        <w:rPr>
          <w:noProof/>
        </w:rPr>
        <w:t> </w:t>
      </w:r>
      <w:r w:rsidRPr="003409C9">
        <w:rPr>
          <w:noProof/>
        </w:rPr>
        <w:t>6 ust.</w:t>
      </w:r>
      <w:r w:rsidR="003409C9" w:rsidRPr="003409C9">
        <w:rPr>
          <w:noProof/>
        </w:rPr>
        <w:t> </w:t>
      </w:r>
      <w:r w:rsidRPr="003409C9">
        <w:rPr>
          <w:noProof/>
        </w:rPr>
        <w:t>3, art.</w:t>
      </w:r>
      <w:r w:rsidR="003409C9" w:rsidRPr="003409C9">
        <w:rPr>
          <w:noProof/>
        </w:rPr>
        <w:t> </w:t>
      </w:r>
      <w:r w:rsidRPr="003409C9">
        <w:rPr>
          <w:noProof/>
        </w:rPr>
        <w:t>11 ust.</w:t>
      </w:r>
      <w:r w:rsidR="003409C9" w:rsidRPr="003409C9">
        <w:rPr>
          <w:noProof/>
        </w:rPr>
        <w:t> </w:t>
      </w:r>
      <w:r w:rsidRPr="003409C9">
        <w:rPr>
          <w:noProof/>
        </w:rPr>
        <w:t>4, art.</w:t>
      </w:r>
      <w:r w:rsidR="003409C9" w:rsidRPr="003409C9">
        <w:rPr>
          <w:noProof/>
        </w:rPr>
        <w:t> </w:t>
      </w:r>
      <w:r w:rsidRPr="003409C9">
        <w:rPr>
          <w:noProof/>
        </w:rPr>
        <w:t>20 ust.</w:t>
      </w:r>
      <w:r w:rsidR="003409C9" w:rsidRPr="003409C9">
        <w:rPr>
          <w:noProof/>
        </w:rPr>
        <w:t> </w:t>
      </w:r>
      <w:r w:rsidRPr="003409C9">
        <w:rPr>
          <w:noProof/>
        </w:rPr>
        <w:t>2</w:t>
      </w:r>
      <w:r w:rsidR="003409C9" w:rsidRPr="003409C9">
        <w:rPr>
          <w:noProof/>
        </w:rPr>
        <w:t xml:space="preserve"> i art</w:t>
      </w:r>
      <w:r w:rsidRPr="003409C9">
        <w:rPr>
          <w:noProof/>
        </w:rPr>
        <w:t>.</w:t>
      </w:r>
      <w:r w:rsidR="003409C9" w:rsidRPr="003409C9">
        <w:rPr>
          <w:noProof/>
        </w:rPr>
        <w:t> </w:t>
      </w:r>
      <w:r w:rsidRPr="003409C9">
        <w:rPr>
          <w:noProof/>
        </w:rPr>
        <w:t>21 ust.</w:t>
      </w:r>
      <w:r w:rsidR="003409C9" w:rsidRPr="003409C9">
        <w:rPr>
          <w:noProof/>
        </w:rPr>
        <w:t> </w:t>
      </w:r>
      <w:r w:rsidRPr="003409C9">
        <w:rPr>
          <w:noProof/>
        </w:rPr>
        <w:t>2, powierza się Komisji na okres pięciu lat od dnia [</w:t>
      </w:r>
      <w:r w:rsidRPr="00BB07AF">
        <w:rPr>
          <w:i/>
          <w:noProof/>
        </w:rPr>
        <w:t>data przyjęcia rozporządzenia</w:t>
      </w:r>
      <w:r w:rsidRPr="003409C9">
        <w:rPr>
          <w:noProof/>
        </w:rPr>
        <w:t>]. Komisja sporządza sprawozdanie dotyczące przekazania uprawnień nie później niż dziewięć miesięcy przed końcem okresu pięciu lat. Przekazanie uprawnień zostaje automatycznie przedłużone na takie same okresy, chyba że Parlament Europejski lub Rada sprzeciwią się takiemu przedłużeniu nie później niż trzy miesiące przed końcem każdego okresu.</w:t>
      </w:r>
    </w:p>
    <w:p w:rsidR="00250117" w:rsidRPr="003409C9" w:rsidRDefault="009475BC" w:rsidP="009475BC">
      <w:pPr>
        <w:pStyle w:val="ManualNumPar1"/>
        <w:rPr>
          <w:noProof/>
        </w:rPr>
      </w:pPr>
      <w:r w:rsidRPr="003409C9">
        <w:rPr>
          <w:noProof/>
        </w:rPr>
        <w:t>3.</w:t>
      </w:r>
      <w:r w:rsidRPr="003409C9">
        <w:rPr>
          <w:noProof/>
        </w:rPr>
        <w:tab/>
        <w:t>Przekazanie uprawnień,</w:t>
      </w:r>
      <w:r w:rsidR="003409C9" w:rsidRPr="003409C9">
        <w:rPr>
          <w:noProof/>
        </w:rPr>
        <w:t xml:space="preserve"> o któ</w:t>
      </w:r>
      <w:r w:rsidRPr="003409C9">
        <w:rPr>
          <w:noProof/>
        </w:rPr>
        <w:t>rym mowa</w:t>
      </w:r>
      <w:r w:rsidR="003409C9" w:rsidRPr="003409C9">
        <w:rPr>
          <w:noProof/>
        </w:rPr>
        <w:t xml:space="preserve"> w art</w:t>
      </w:r>
      <w:r w:rsidRPr="003409C9">
        <w:rPr>
          <w:noProof/>
        </w:rPr>
        <w:t>.</w:t>
      </w:r>
      <w:r w:rsidR="003409C9" w:rsidRPr="003409C9">
        <w:rPr>
          <w:noProof/>
        </w:rPr>
        <w:t> </w:t>
      </w:r>
      <w:r w:rsidRPr="003409C9">
        <w:rPr>
          <w:noProof/>
        </w:rPr>
        <w:t>5 ust.</w:t>
      </w:r>
      <w:r w:rsidR="003409C9" w:rsidRPr="003409C9">
        <w:rPr>
          <w:noProof/>
        </w:rPr>
        <w:t> </w:t>
      </w:r>
      <w:r w:rsidRPr="003409C9">
        <w:rPr>
          <w:noProof/>
        </w:rPr>
        <w:t>4, art.</w:t>
      </w:r>
      <w:r w:rsidR="003409C9" w:rsidRPr="003409C9">
        <w:rPr>
          <w:noProof/>
        </w:rPr>
        <w:t> </w:t>
      </w:r>
      <w:r w:rsidRPr="003409C9">
        <w:rPr>
          <w:noProof/>
        </w:rPr>
        <w:t>6 ust.</w:t>
      </w:r>
      <w:r w:rsidR="003409C9" w:rsidRPr="003409C9">
        <w:rPr>
          <w:noProof/>
        </w:rPr>
        <w:t> </w:t>
      </w:r>
      <w:r w:rsidRPr="003409C9">
        <w:rPr>
          <w:noProof/>
        </w:rPr>
        <w:t>3, art.</w:t>
      </w:r>
      <w:r w:rsidR="003409C9" w:rsidRPr="003409C9">
        <w:rPr>
          <w:noProof/>
        </w:rPr>
        <w:t> </w:t>
      </w:r>
      <w:r w:rsidRPr="003409C9">
        <w:rPr>
          <w:noProof/>
        </w:rPr>
        <w:t>11 ust.</w:t>
      </w:r>
      <w:r w:rsidR="003409C9" w:rsidRPr="003409C9">
        <w:rPr>
          <w:noProof/>
        </w:rPr>
        <w:t> </w:t>
      </w:r>
      <w:r w:rsidRPr="003409C9">
        <w:rPr>
          <w:noProof/>
        </w:rPr>
        <w:t>4, art.</w:t>
      </w:r>
      <w:r w:rsidR="003409C9" w:rsidRPr="003409C9">
        <w:rPr>
          <w:noProof/>
        </w:rPr>
        <w:t> </w:t>
      </w:r>
      <w:r w:rsidRPr="003409C9">
        <w:rPr>
          <w:noProof/>
        </w:rPr>
        <w:t>20 ust.</w:t>
      </w:r>
      <w:r w:rsidR="003409C9" w:rsidRPr="003409C9">
        <w:rPr>
          <w:noProof/>
        </w:rPr>
        <w:t> </w:t>
      </w:r>
      <w:r w:rsidRPr="003409C9">
        <w:rPr>
          <w:noProof/>
        </w:rPr>
        <w:t>2</w:t>
      </w:r>
      <w:r w:rsidR="003409C9" w:rsidRPr="003409C9">
        <w:rPr>
          <w:noProof/>
        </w:rPr>
        <w:t xml:space="preserve"> i art</w:t>
      </w:r>
      <w:r w:rsidRPr="003409C9">
        <w:rPr>
          <w:noProof/>
        </w:rPr>
        <w:t>.</w:t>
      </w:r>
      <w:r w:rsidR="003409C9" w:rsidRPr="003409C9">
        <w:rPr>
          <w:noProof/>
        </w:rPr>
        <w:t> </w:t>
      </w:r>
      <w:r w:rsidRPr="003409C9">
        <w:rPr>
          <w:noProof/>
        </w:rPr>
        <w:t>21 ust.</w:t>
      </w:r>
      <w:r w:rsidR="003409C9" w:rsidRPr="003409C9">
        <w:rPr>
          <w:noProof/>
        </w:rPr>
        <w:t> </w:t>
      </w:r>
      <w:r w:rsidRPr="003409C9">
        <w:rPr>
          <w:noProof/>
        </w:rPr>
        <w:t>2, może zostać</w:t>
      </w:r>
      <w:r w:rsidR="003409C9" w:rsidRPr="003409C9">
        <w:rPr>
          <w:noProof/>
        </w:rPr>
        <w:t xml:space="preserve"> w dow</w:t>
      </w:r>
      <w:r w:rsidRPr="003409C9">
        <w:rPr>
          <w:noProof/>
        </w:rPr>
        <w:t>olnym momencie odwołane przez Parlament Europejski lub przez Radę. Decyzja</w:t>
      </w:r>
      <w:r w:rsidR="003409C9" w:rsidRPr="003409C9">
        <w:rPr>
          <w:noProof/>
        </w:rPr>
        <w:t xml:space="preserve"> o odw</w:t>
      </w:r>
      <w:r w:rsidRPr="003409C9">
        <w:rPr>
          <w:noProof/>
        </w:rPr>
        <w:t>ołaniu kończy przekazanie określonych</w:t>
      </w:r>
      <w:r w:rsidR="003409C9" w:rsidRPr="003409C9">
        <w:rPr>
          <w:noProof/>
        </w:rPr>
        <w:t xml:space="preserve"> w nie</w:t>
      </w:r>
      <w:r w:rsidRPr="003409C9">
        <w:rPr>
          <w:noProof/>
        </w:rPr>
        <w:t>j uprawnień. Decyzja</w:t>
      </w:r>
      <w:r w:rsidR="003409C9" w:rsidRPr="003409C9">
        <w:rPr>
          <w:noProof/>
        </w:rPr>
        <w:t xml:space="preserve"> o odw</w:t>
      </w:r>
      <w:r w:rsidRPr="003409C9">
        <w:rPr>
          <w:noProof/>
        </w:rPr>
        <w:t>ołaniu staje się skuteczna następnego dnia po jej opublikowaniu</w:t>
      </w:r>
      <w:r w:rsidR="003409C9" w:rsidRPr="003409C9">
        <w:rPr>
          <w:noProof/>
        </w:rPr>
        <w:t xml:space="preserve"> w Dzi</w:t>
      </w:r>
      <w:r w:rsidRPr="003409C9">
        <w:rPr>
          <w:noProof/>
        </w:rPr>
        <w:t>enniku Urzędowym Unii Europejskiej lub</w:t>
      </w:r>
      <w:r w:rsidR="003409C9" w:rsidRPr="003409C9">
        <w:rPr>
          <w:noProof/>
        </w:rPr>
        <w:t xml:space="preserve"> w póź</w:t>
      </w:r>
      <w:r w:rsidRPr="003409C9">
        <w:rPr>
          <w:noProof/>
        </w:rPr>
        <w:t>niejszym terminie określonym</w:t>
      </w:r>
      <w:r w:rsidR="003409C9" w:rsidRPr="003409C9">
        <w:rPr>
          <w:noProof/>
        </w:rPr>
        <w:t xml:space="preserve"> w tej</w:t>
      </w:r>
      <w:r w:rsidRPr="003409C9">
        <w:rPr>
          <w:noProof/>
        </w:rPr>
        <w:t xml:space="preserve"> decyzji. Nie wpływa ona na ważność już obowiązujących aktów delegowanych.</w:t>
      </w:r>
    </w:p>
    <w:p w:rsidR="00250117" w:rsidRPr="003409C9" w:rsidRDefault="009475BC" w:rsidP="009475BC">
      <w:pPr>
        <w:pStyle w:val="ManualNumPar1"/>
        <w:rPr>
          <w:noProof/>
        </w:rPr>
      </w:pPr>
      <w:r w:rsidRPr="003409C9">
        <w:rPr>
          <w:noProof/>
        </w:rPr>
        <w:t>4.</w:t>
      </w:r>
      <w:r w:rsidRPr="003409C9">
        <w:rPr>
          <w:noProof/>
        </w:rPr>
        <w:tab/>
        <w:t>Przed przyjęciem aktu delegowanego Komisja konsultuje się</w:t>
      </w:r>
      <w:r w:rsidR="003409C9" w:rsidRPr="003409C9">
        <w:rPr>
          <w:noProof/>
        </w:rPr>
        <w:t xml:space="preserve"> z eks</w:t>
      </w:r>
      <w:r w:rsidRPr="003409C9">
        <w:rPr>
          <w:noProof/>
        </w:rPr>
        <w:t>pertami wyznaczonymi przez każde państwo członkowskie zgodnie</w:t>
      </w:r>
      <w:r w:rsidR="003409C9" w:rsidRPr="003409C9">
        <w:rPr>
          <w:noProof/>
        </w:rPr>
        <w:t xml:space="preserve"> z zas</w:t>
      </w:r>
      <w:r w:rsidRPr="003409C9">
        <w:rPr>
          <w:noProof/>
        </w:rPr>
        <w:t>adami określonymi</w:t>
      </w:r>
      <w:r w:rsidR="003409C9" w:rsidRPr="003409C9">
        <w:rPr>
          <w:noProof/>
        </w:rPr>
        <w:t xml:space="preserve"> w Por</w:t>
      </w:r>
      <w:r w:rsidRPr="003409C9">
        <w:rPr>
          <w:noProof/>
        </w:rPr>
        <w:t>ozumieniu międzyinstytucjonalnym</w:t>
      </w:r>
      <w:r w:rsidR="003409C9" w:rsidRPr="003409C9">
        <w:rPr>
          <w:noProof/>
        </w:rPr>
        <w:t xml:space="preserve"> z dni</w:t>
      </w:r>
      <w:r w:rsidRPr="003409C9">
        <w:rPr>
          <w:noProof/>
        </w:rPr>
        <w:t>a 13 kwietnia 2016</w:t>
      </w:r>
      <w:r w:rsidR="003409C9" w:rsidRPr="003409C9">
        <w:rPr>
          <w:noProof/>
        </w:rPr>
        <w:t> </w:t>
      </w:r>
      <w:r w:rsidRPr="003409C9">
        <w:rPr>
          <w:noProof/>
        </w:rPr>
        <w:t>r.</w:t>
      </w:r>
      <w:r w:rsidR="003409C9" w:rsidRPr="003409C9">
        <w:rPr>
          <w:noProof/>
        </w:rPr>
        <w:t xml:space="preserve"> w spr</w:t>
      </w:r>
      <w:r w:rsidRPr="003409C9">
        <w:rPr>
          <w:noProof/>
        </w:rPr>
        <w:t>awie lepszego stanowienia prawa.</w:t>
      </w:r>
    </w:p>
    <w:p w:rsidR="00250117" w:rsidRPr="003409C9" w:rsidRDefault="009475BC" w:rsidP="009475BC">
      <w:pPr>
        <w:pStyle w:val="ManualNumPar1"/>
        <w:rPr>
          <w:noProof/>
        </w:rPr>
      </w:pPr>
      <w:r w:rsidRPr="003409C9">
        <w:rPr>
          <w:noProof/>
        </w:rPr>
        <w:t>5.</w:t>
      </w:r>
      <w:r w:rsidRPr="003409C9">
        <w:rPr>
          <w:noProof/>
        </w:rPr>
        <w:tab/>
        <w:t>Niezwłocznie po przyjęciu aktu delegowanego Komisja przekazuje go równocześnie Parlamentowi Europejskiemu</w:t>
      </w:r>
      <w:r w:rsidR="003409C9" w:rsidRPr="003409C9">
        <w:rPr>
          <w:noProof/>
        </w:rPr>
        <w:t xml:space="preserve"> i Rad</w:t>
      </w:r>
      <w:r w:rsidRPr="003409C9">
        <w:rPr>
          <w:noProof/>
        </w:rPr>
        <w:t>zie.</w:t>
      </w:r>
    </w:p>
    <w:p w:rsidR="00250117" w:rsidRPr="00BB07AF" w:rsidRDefault="00250117" w:rsidP="00250117">
      <w:pPr>
        <w:pStyle w:val="Titrearticle"/>
        <w:rPr>
          <w:noProof/>
        </w:rPr>
      </w:pPr>
      <w:r w:rsidRPr="00BB07AF">
        <w:rPr>
          <w:noProof/>
        </w:rPr>
        <w:t>Artykuł 38</w:t>
      </w:r>
    </w:p>
    <w:p w:rsidR="00250117" w:rsidRPr="00BB07AF" w:rsidRDefault="00250117" w:rsidP="00250117">
      <w:pPr>
        <w:jc w:val="center"/>
        <w:rPr>
          <w:b/>
          <w:noProof/>
        </w:rPr>
      </w:pPr>
      <w:r w:rsidRPr="00BB07AF">
        <w:rPr>
          <w:b/>
          <w:noProof/>
        </w:rPr>
        <w:t>Monitorowanie</w:t>
      </w:r>
      <w:r w:rsidR="003409C9" w:rsidRPr="00BB07AF">
        <w:rPr>
          <w:b/>
          <w:noProof/>
        </w:rPr>
        <w:t xml:space="preserve"> i oce</w:t>
      </w:r>
      <w:r w:rsidRPr="00BB07AF">
        <w:rPr>
          <w:b/>
          <w:noProof/>
        </w:rPr>
        <w:t>na</w:t>
      </w:r>
    </w:p>
    <w:p w:rsidR="00250117" w:rsidRPr="003409C9" w:rsidRDefault="009475BC" w:rsidP="009475BC">
      <w:pPr>
        <w:pStyle w:val="ManualNumPar1"/>
        <w:rPr>
          <w:noProof/>
        </w:rPr>
      </w:pPr>
      <w:bookmarkStart w:id="48" w:name="_Hlk120730691"/>
      <w:r w:rsidRPr="003409C9">
        <w:rPr>
          <w:noProof/>
        </w:rPr>
        <w:t>1.</w:t>
      </w:r>
      <w:r w:rsidRPr="003409C9">
        <w:rPr>
          <w:noProof/>
        </w:rPr>
        <w:tab/>
        <w:t>eu-LISA zapewnia wdrożenie procedur</w:t>
      </w:r>
      <w:r w:rsidR="003409C9" w:rsidRPr="003409C9">
        <w:rPr>
          <w:noProof/>
        </w:rPr>
        <w:t xml:space="preserve"> w zak</w:t>
      </w:r>
      <w:r w:rsidRPr="003409C9">
        <w:rPr>
          <w:noProof/>
        </w:rPr>
        <w:t>resie monitorowania opracowania routera pod kątem celów dotyczących planowania</w:t>
      </w:r>
      <w:r w:rsidR="003409C9" w:rsidRPr="003409C9">
        <w:rPr>
          <w:noProof/>
        </w:rPr>
        <w:t xml:space="preserve"> i kos</w:t>
      </w:r>
      <w:r w:rsidRPr="003409C9">
        <w:rPr>
          <w:noProof/>
        </w:rPr>
        <w:t>ztów oraz procedur</w:t>
      </w:r>
      <w:r w:rsidR="003409C9" w:rsidRPr="003409C9">
        <w:rPr>
          <w:noProof/>
        </w:rPr>
        <w:t xml:space="preserve"> w zak</w:t>
      </w:r>
      <w:r w:rsidRPr="003409C9">
        <w:rPr>
          <w:noProof/>
        </w:rPr>
        <w:t>resie monitorowania funkcjonowania routera pod kątem celów</w:t>
      </w:r>
      <w:r w:rsidR="003409C9" w:rsidRPr="003409C9">
        <w:rPr>
          <w:noProof/>
        </w:rPr>
        <w:t xml:space="preserve"> w zak</w:t>
      </w:r>
      <w:r w:rsidRPr="003409C9">
        <w:rPr>
          <w:noProof/>
        </w:rPr>
        <w:t>resie rezultatów technicznych, efektywności kosztowej, bezpieczeństwa</w:t>
      </w:r>
      <w:r w:rsidR="003409C9" w:rsidRPr="003409C9">
        <w:rPr>
          <w:noProof/>
        </w:rPr>
        <w:t xml:space="preserve"> i jak</w:t>
      </w:r>
      <w:r w:rsidRPr="003409C9">
        <w:rPr>
          <w:noProof/>
        </w:rPr>
        <w:t>ości działania.</w:t>
      </w:r>
    </w:p>
    <w:bookmarkEnd w:id="48"/>
    <w:p w:rsidR="00250117" w:rsidRPr="003409C9" w:rsidRDefault="009475BC" w:rsidP="009475BC">
      <w:pPr>
        <w:pStyle w:val="ManualNumPar1"/>
        <w:rPr>
          <w:noProof/>
        </w:rPr>
      </w:pPr>
      <w:r w:rsidRPr="003409C9">
        <w:rPr>
          <w:noProof/>
        </w:rPr>
        <w:t>2.</w:t>
      </w:r>
      <w:r w:rsidRPr="003409C9">
        <w:rPr>
          <w:noProof/>
        </w:rPr>
        <w:tab/>
        <w:t>Do dnia [</w:t>
      </w:r>
      <w:bookmarkStart w:id="49" w:name="_Hlk120730703"/>
      <w:r w:rsidRPr="00BB07AF">
        <w:rPr>
          <w:i/>
          <w:noProof/>
        </w:rPr>
        <w:t>rok po</w:t>
      </w:r>
      <w:r w:rsidRPr="003409C9">
        <w:rPr>
          <w:noProof/>
        </w:rPr>
        <w:t xml:space="preserve"> </w:t>
      </w:r>
      <w:r w:rsidRPr="00BB07AF">
        <w:rPr>
          <w:i/>
          <w:noProof/>
        </w:rPr>
        <w:t>dacie wejścia</w:t>
      </w:r>
      <w:r w:rsidR="003409C9" w:rsidRPr="00BB07AF">
        <w:rPr>
          <w:i/>
          <w:noProof/>
        </w:rPr>
        <w:t xml:space="preserve"> w życ</w:t>
      </w:r>
      <w:r w:rsidRPr="00BB07AF">
        <w:rPr>
          <w:i/>
          <w:noProof/>
        </w:rPr>
        <w:t>ie niniejszego rozporządzenia</w:t>
      </w:r>
      <w:r w:rsidRPr="003409C9">
        <w:rPr>
          <w:noProof/>
        </w:rPr>
        <w:t>],</w:t>
      </w:r>
      <w:bookmarkEnd w:id="49"/>
      <w:r w:rsidR="003409C9" w:rsidRPr="003409C9">
        <w:rPr>
          <w:noProof/>
        </w:rPr>
        <w:t xml:space="preserve"> a nas</w:t>
      </w:r>
      <w:r w:rsidRPr="003409C9">
        <w:rPr>
          <w:noProof/>
        </w:rPr>
        <w:t>tępnie co roku</w:t>
      </w:r>
      <w:r w:rsidR="003409C9" w:rsidRPr="003409C9">
        <w:rPr>
          <w:noProof/>
        </w:rPr>
        <w:t xml:space="preserve"> w tra</w:t>
      </w:r>
      <w:r w:rsidRPr="003409C9">
        <w:rPr>
          <w:noProof/>
        </w:rPr>
        <w:t>kcie fazy opracowania routera, eu-LISA sporządza</w:t>
      </w:r>
      <w:r w:rsidR="003409C9" w:rsidRPr="003409C9">
        <w:rPr>
          <w:noProof/>
        </w:rPr>
        <w:t xml:space="preserve"> i prz</w:t>
      </w:r>
      <w:r w:rsidRPr="003409C9">
        <w:rPr>
          <w:noProof/>
        </w:rPr>
        <w:t>edstawia Parlamentowi Europejskiemu</w:t>
      </w:r>
      <w:r w:rsidR="003409C9" w:rsidRPr="003409C9">
        <w:rPr>
          <w:noProof/>
        </w:rPr>
        <w:t xml:space="preserve"> i Rad</w:t>
      </w:r>
      <w:r w:rsidRPr="003409C9">
        <w:rPr>
          <w:noProof/>
        </w:rPr>
        <w:t>zie sprawozdanie</w:t>
      </w:r>
      <w:r w:rsidR="003409C9" w:rsidRPr="003409C9">
        <w:rPr>
          <w:noProof/>
        </w:rPr>
        <w:t xml:space="preserve"> z akt</w:t>
      </w:r>
      <w:r w:rsidRPr="003409C9">
        <w:rPr>
          <w:noProof/>
        </w:rPr>
        <w:t>ualnej sytuacji</w:t>
      </w:r>
      <w:r w:rsidR="003409C9" w:rsidRPr="003409C9">
        <w:rPr>
          <w:noProof/>
        </w:rPr>
        <w:t xml:space="preserve"> w zak</w:t>
      </w:r>
      <w:r w:rsidRPr="003409C9">
        <w:rPr>
          <w:noProof/>
        </w:rPr>
        <w:t>resie opracowania routera. Sprawozdanie to zawiera szczegółowe informacje na temat poniesionych kosztów oraz wszelkich rodzajów ryzyka, które mogą mieć wpływ na ogólne koszty pokrywane</w:t>
      </w:r>
      <w:r w:rsidR="003409C9" w:rsidRPr="003409C9">
        <w:rPr>
          <w:noProof/>
        </w:rPr>
        <w:t xml:space="preserve"> z bud</w:t>
      </w:r>
      <w:r w:rsidRPr="003409C9">
        <w:rPr>
          <w:noProof/>
        </w:rPr>
        <w:t>żetu ogólnego Unii zgodnie</w:t>
      </w:r>
      <w:r w:rsidR="003409C9" w:rsidRPr="003409C9">
        <w:rPr>
          <w:noProof/>
        </w:rPr>
        <w:t xml:space="preserve"> z art</w:t>
      </w:r>
      <w:r w:rsidRPr="003409C9">
        <w:rPr>
          <w:noProof/>
        </w:rPr>
        <w:t>. 25.</w:t>
      </w:r>
    </w:p>
    <w:p w:rsidR="00250117" w:rsidRPr="003409C9" w:rsidRDefault="009475BC" w:rsidP="009475BC">
      <w:pPr>
        <w:pStyle w:val="ManualNumPar1"/>
        <w:rPr>
          <w:noProof/>
        </w:rPr>
      </w:pPr>
      <w:r w:rsidRPr="003409C9">
        <w:rPr>
          <w:noProof/>
        </w:rPr>
        <w:t>3.</w:t>
      </w:r>
      <w:r w:rsidRPr="003409C9">
        <w:rPr>
          <w:noProof/>
        </w:rPr>
        <w:tab/>
        <w:t>Po uruchomieniu routera eu-LISA sporządza</w:t>
      </w:r>
      <w:r w:rsidR="003409C9" w:rsidRPr="003409C9">
        <w:rPr>
          <w:noProof/>
        </w:rPr>
        <w:t xml:space="preserve"> i prz</w:t>
      </w:r>
      <w:r w:rsidRPr="003409C9">
        <w:rPr>
          <w:noProof/>
        </w:rPr>
        <w:t>ekazuje Parlamentowi Europejskiemu</w:t>
      </w:r>
      <w:r w:rsidR="003409C9" w:rsidRPr="003409C9">
        <w:rPr>
          <w:noProof/>
        </w:rPr>
        <w:t xml:space="preserve"> i Rad</w:t>
      </w:r>
      <w:r w:rsidRPr="003409C9">
        <w:rPr>
          <w:noProof/>
        </w:rPr>
        <w:t>zie sprawozdanie zawierające szczegółowe wyjaśnienia dotyczące sposobu osiągnięcia celów,</w:t>
      </w:r>
      <w:r w:rsidR="003409C9" w:rsidRPr="003409C9">
        <w:rPr>
          <w:noProof/>
        </w:rPr>
        <w:t xml:space="preserve"> w szc</w:t>
      </w:r>
      <w:r w:rsidRPr="003409C9">
        <w:rPr>
          <w:noProof/>
        </w:rPr>
        <w:t>zególności</w:t>
      </w:r>
      <w:r w:rsidR="003409C9" w:rsidRPr="003409C9">
        <w:rPr>
          <w:noProof/>
        </w:rPr>
        <w:t xml:space="preserve"> w zak</w:t>
      </w:r>
      <w:r w:rsidRPr="003409C9">
        <w:rPr>
          <w:noProof/>
        </w:rPr>
        <w:t>resie planowania</w:t>
      </w:r>
      <w:r w:rsidR="003409C9" w:rsidRPr="003409C9">
        <w:rPr>
          <w:noProof/>
        </w:rPr>
        <w:t xml:space="preserve"> i kos</w:t>
      </w:r>
      <w:r w:rsidRPr="003409C9">
        <w:rPr>
          <w:noProof/>
        </w:rPr>
        <w:t>ztów,</w:t>
      </w:r>
      <w:r w:rsidR="003409C9" w:rsidRPr="003409C9">
        <w:rPr>
          <w:noProof/>
        </w:rPr>
        <w:t xml:space="preserve"> a tak</w:t>
      </w:r>
      <w:r w:rsidRPr="003409C9">
        <w:rPr>
          <w:noProof/>
        </w:rPr>
        <w:t>że zawierające uzasadnienie wszelkich rozbieżności.</w:t>
      </w:r>
    </w:p>
    <w:p w:rsidR="00250117" w:rsidRPr="003409C9" w:rsidRDefault="009475BC" w:rsidP="009475BC">
      <w:pPr>
        <w:pStyle w:val="ManualNumPar1"/>
        <w:rPr>
          <w:noProof/>
        </w:rPr>
      </w:pPr>
      <w:bookmarkStart w:id="50" w:name="_Hlk117182192"/>
      <w:r w:rsidRPr="003409C9">
        <w:rPr>
          <w:noProof/>
        </w:rPr>
        <w:t>4.</w:t>
      </w:r>
      <w:r w:rsidRPr="003409C9">
        <w:rPr>
          <w:noProof/>
        </w:rPr>
        <w:tab/>
        <w:t>Do dnia [</w:t>
      </w:r>
      <w:bookmarkStart w:id="51" w:name="_Hlk120730800"/>
      <w:r w:rsidRPr="00BB07AF">
        <w:rPr>
          <w:i/>
          <w:noProof/>
        </w:rPr>
        <w:t>cztery lata od daty wejścia</w:t>
      </w:r>
      <w:r w:rsidR="003409C9" w:rsidRPr="00BB07AF">
        <w:rPr>
          <w:i/>
          <w:noProof/>
        </w:rPr>
        <w:t xml:space="preserve"> w życ</w:t>
      </w:r>
      <w:r w:rsidRPr="00BB07AF">
        <w:rPr>
          <w:i/>
          <w:noProof/>
        </w:rPr>
        <w:t>ie niniejszego rozporządzeni</w:t>
      </w:r>
      <w:bookmarkEnd w:id="51"/>
      <w:r w:rsidR="003409C9" w:rsidRPr="00BB07AF">
        <w:rPr>
          <w:i/>
          <w:noProof/>
        </w:rPr>
        <w:t>a</w:t>
      </w:r>
      <w:r w:rsidR="003409C9" w:rsidRPr="003409C9">
        <w:rPr>
          <w:noProof/>
        </w:rPr>
        <w:t>]</w:t>
      </w:r>
      <w:r w:rsidRPr="003409C9">
        <w:rPr>
          <w:noProof/>
        </w:rPr>
        <w:t>,</w:t>
      </w:r>
      <w:r w:rsidR="003409C9" w:rsidRPr="003409C9">
        <w:rPr>
          <w:noProof/>
        </w:rPr>
        <w:t xml:space="preserve"> a nas</w:t>
      </w:r>
      <w:r w:rsidRPr="003409C9">
        <w:rPr>
          <w:noProof/>
        </w:rPr>
        <w:t xml:space="preserve">tępnie co cztery lata Komisja sporządza </w:t>
      </w:r>
      <w:bookmarkStart w:id="52" w:name="_Hlk120730817"/>
      <w:r w:rsidRPr="003409C9">
        <w:rPr>
          <w:noProof/>
        </w:rPr>
        <w:t xml:space="preserve">sprawozdanie zawierające </w:t>
      </w:r>
      <w:bookmarkEnd w:id="52"/>
      <w:r w:rsidRPr="003409C9">
        <w:rPr>
          <w:noProof/>
        </w:rPr>
        <w:t>ogólną ocenę niniejszego rozporządzenia,</w:t>
      </w:r>
      <w:r w:rsidR="003409C9" w:rsidRPr="003409C9">
        <w:rPr>
          <w:noProof/>
        </w:rPr>
        <w:t xml:space="preserve"> w tym</w:t>
      </w:r>
      <w:r w:rsidRPr="003409C9">
        <w:rPr>
          <w:noProof/>
        </w:rPr>
        <w:t xml:space="preserve"> ocenę:</w:t>
      </w:r>
    </w:p>
    <w:p w:rsidR="00250117" w:rsidRPr="003409C9" w:rsidRDefault="009475BC" w:rsidP="009475BC">
      <w:pPr>
        <w:pStyle w:val="Point1"/>
        <w:rPr>
          <w:noProof/>
        </w:rPr>
      </w:pPr>
      <w:r w:rsidRPr="003409C9">
        <w:rPr>
          <w:noProof/>
        </w:rPr>
        <w:t>a)</w:t>
      </w:r>
      <w:r w:rsidRPr="003409C9">
        <w:rPr>
          <w:noProof/>
        </w:rPr>
        <w:tab/>
        <w:t>stosowania niniejszego rozporządzenia;</w:t>
      </w:r>
    </w:p>
    <w:p w:rsidR="004D2863" w:rsidRPr="003409C9" w:rsidRDefault="009475BC" w:rsidP="009475BC">
      <w:pPr>
        <w:pStyle w:val="Point1"/>
        <w:rPr>
          <w:noProof/>
        </w:rPr>
      </w:pPr>
      <w:r w:rsidRPr="003409C9">
        <w:rPr>
          <w:noProof/>
        </w:rPr>
        <w:t>b)</w:t>
      </w:r>
      <w:r w:rsidRPr="003409C9">
        <w:rPr>
          <w:noProof/>
        </w:rPr>
        <w:tab/>
        <w:t>zakresu,</w:t>
      </w:r>
      <w:r w:rsidR="003409C9" w:rsidRPr="003409C9">
        <w:rPr>
          <w:noProof/>
        </w:rPr>
        <w:t xml:space="preserve"> w jak</w:t>
      </w:r>
      <w:r w:rsidRPr="003409C9">
        <w:rPr>
          <w:noProof/>
        </w:rPr>
        <w:t xml:space="preserve">im niniejsze rozporządzenie osiągnęło swoje cele; </w:t>
      </w:r>
    </w:p>
    <w:p w:rsidR="00250117" w:rsidRPr="003409C9" w:rsidRDefault="009475BC" w:rsidP="009475BC">
      <w:pPr>
        <w:pStyle w:val="Point1"/>
        <w:rPr>
          <w:noProof/>
        </w:rPr>
      </w:pPr>
      <w:r w:rsidRPr="003409C9">
        <w:rPr>
          <w:noProof/>
        </w:rPr>
        <w:t>c)</w:t>
      </w:r>
      <w:r w:rsidRPr="003409C9">
        <w:rPr>
          <w:noProof/>
        </w:rPr>
        <w:tab/>
        <w:t>wpływu niniejszego rozporządzenia na odpowiednie prawa podstawowe chronione prawem Unii.</w:t>
      </w:r>
    </w:p>
    <w:p w:rsidR="00250117" w:rsidRPr="003409C9" w:rsidRDefault="009475BC" w:rsidP="009475BC">
      <w:pPr>
        <w:pStyle w:val="ManualNumPar1"/>
        <w:rPr>
          <w:noProof/>
        </w:rPr>
      </w:pPr>
      <w:r w:rsidRPr="003409C9">
        <w:rPr>
          <w:noProof/>
        </w:rPr>
        <w:t>5.</w:t>
      </w:r>
      <w:r w:rsidRPr="003409C9">
        <w:rPr>
          <w:noProof/>
        </w:rPr>
        <w:tab/>
      </w:r>
      <w:bookmarkStart w:id="53" w:name="_Hlk121417516"/>
      <w:r w:rsidRPr="003409C9">
        <w:rPr>
          <w:noProof/>
        </w:rPr>
        <w:t>Komisja przekazuje powyższe sprawozdanie oceniające Parlamentowi Europejskiemu, Radzie, Europejskiemu Inspektorowi Ochrony Danych</w:t>
      </w:r>
      <w:r w:rsidR="003409C9" w:rsidRPr="003409C9">
        <w:rPr>
          <w:noProof/>
        </w:rPr>
        <w:t xml:space="preserve"> i Age</w:t>
      </w:r>
      <w:r w:rsidRPr="003409C9">
        <w:rPr>
          <w:noProof/>
        </w:rPr>
        <w:t>ncji Praw Podstawowych Unii Europejskiej</w:t>
      </w:r>
      <w:r w:rsidR="003409C9" w:rsidRPr="003409C9">
        <w:rPr>
          <w:noProof/>
        </w:rPr>
        <w:t>. W sto</w:t>
      </w:r>
      <w:r w:rsidRPr="003409C9">
        <w:rPr>
          <w:noProof/>
        </w:rPr>
        <w:t>sownych przypadkach,</w:t>
      </w:r>
      <w:r w:rsidR="003409C9" w:rsidRPr="003409C9">
        <w:rPr>
          <w:noProof/>
        </w:rPr>
        <w:t xml:space="preserve"> w świ</w:t>
      </w:r>
      <w:r w:rsidRPr="003409C9">
        <w:rPr>
          <w:noProof/>
        </w:rPr>
        <w:t>etle przeprowadzonej oceny, Komisja przedstawia Parlamentowi Europejskiemu</w:t>
      </w:r>
      <w:r w:rsidR="003409C9" w:rsidRPr="003409C9">
        <w:rPr>
          <w:noProof/>
        </w:rPr>
        <w:t xml:space="preserve"> i Rad</w:t>
      </w:r>
      <w:r w:rsidRPr="003409C9">
        <w:rPr>
          <w:noProof/>
        </w:rPr>
        <w:t>zie wniosek ustawodawczy</w:t>
      </w:r>
      <w:r w:rsidR="003409C9" w:rsidRPr="003409C9">
        <w:rPr>
          <w:noProof/>
        </w:rPr>
        <w:t xml:space="preserve"> w cel</w:t>
      </w:r>
      <w:r w:rsidRPr="003409C9">
        <w:rPr>
          <w:noProof/>
        </w:rPr>
        <w:t>u zmiany niniejszego rozporządzenia</w:t>
      </w:r>
      <w:bookmarkEnd w:id="53"/>
      <w:r w:rsidRPr="003409C9">
        <w:rPr>
          <w:noProof/>
        </w:rPr>
        <w:t>.</w:t>
      </w:r>
    </w:p>
    <w:p w:rsidR="00250117" w:rsidRPr="003409C9" w:rsidRDefault="009475BC" w:rsidP="009475BC">
      <w:pPr>
        <w:pStyle w:val="ManualNumPar1"/>
        <w:rPr>
          <w:noProof/>
        </w:rPr>
      </w:pPr>
      <w:r w:rsidRPr="003409C9">
        <w:rPr>
          <w:noProof/>
        </w:rPr>
        <w:t>6.</w:t>
      </w:r>
      <w:r w:rsidRPr="003409C9">
        <w:rPr>
          <w:noProof/>
        </w:rPr>
        <w:tab/>
        <w:t>Państwa członkowskie</w:t>
      </w:r>
      <w:r w:rsidR="003409C9" w:rsidRPr="003409C9">
        <w:rPr>
          <w:noProof/>
        </w:rPr>
        <w:t xml:space="preserve"> i prz</w:t>
      </w:r>
      <w:r w:rsidRPr="003409C9">
        <w:rPr>
          <w:noProof/>
        </w:rPr>
        <w:t>ewoźnicy lotniczy przekazują eu-LISA</w:t>
      </w:r>
      <w:r w:rsidR="003409C9" w:rsidRPr="003409C9">
        <w:rPr>
          <w:noProof/>
        </w:rPr>
        <w:t xml:space="preserve"> i Kom</w:t>
      </w:r>
      <w:r w:rsidRPr="003409C9">
        <w:rPr>
          <w:noProof/>
        </w:rPr>
        <w:t>isji, na ich wniosek, informacje niezbędne do sporządzania sprawozdań,</w:t>
      </w:r>
      <w:r w:rsidR="003409C9" w:rsidRPr="003409C9">
        <w:rPr>
          <w:noProof/>
        </w:rPr>
        <w:t xml:space="preserve"> o któ</w:t>
      </w:r>
      <w:r w:rsidRPr="003409C9">
        <w:rPr>
          <w:noProof/>
        </w:rPr>
        <w:t>rych mowa</w:t>
      </w:r>
      <w:r w:rsidR="003409C9" w:rsidRPr="003409C9">
        <w:rPr>
          <w:noProof/>
        </w:rPr>
        <w:t xml:space="preserve"> w ust</w:t>
      </w:r>
      <w:r w:rsidRPr="003409C9">
        <w:rPr>
          <w:noProof/>
        </w:rPr>
        <w:t>. 2, 3</w:t>
      </w:r>
      <w:r w:rsidR="003409C9" w:rsidRPr="003409C9">
        <w:rPr>
          <w:noProof/>
        </w:rPr>
        <w:t xml:space="preserve"> i 4</w:t>
      </w:r>
      <w:r w:rsidRPr="003409C9">
        <w:rPr>
          <w:noProof/>
        </w:rPr>
        <w:t>,</w:t>
      </w:r>
      <w:r w:rsidR="003409C9" w:rsidRPr="003409C9">
        <w:rPr>
          <w:noProof/>
        </w:rPr>
        <w:t xml:space="preserve"> w tym</w:t>
      </w:r>
      <w:r w:rsidRPr="003409C9">
        <w:rPr>
          <w:noProof/>
        </w:rPr>
        <w:t xml:space="preserve"> informacje niestanowiące danych osobowych związane</w:t>
      </w:r>
      <w:r w:rsidR="003409C9" w:rsidRPr="003409C9">
        <w:rPr>
          <w:noProof/>
        </w:rPr>
        <w:t xml:space="preserve"> z wyn</w:t>
      </w:r>
      <w:r w:rsidRPr="003409C9">
        <w:rPr>
          <w:noProof/>
        </w:rPr>
        <w:t>ikami wstępnych kontroli unijnych systemów informacyjnych</w:t>
      </w:r>
      <w:r w:rsidR="003409C9" w:rsidRPr="003409C9">
        <w:rPr>
          <w:noProof/>
        </w:rPr>
        <w:t xml:space="preserve"> i kra</w:t>
      </w:r>
      <w:r w:rsidRPr="003409C9">
        <w:rPr>
          <w:noProof/>
        </w:rPr>
        <w:t>jowych baz danych przeprowadzonych na granicach zewnętrznych</w:t>
      </w:r>
      <w:r w:rsidR="003409C9" w:rsidRPr="003409C9">
        <w:rPr>
          <w:noProof/>
        </w:rPr>
        <w:t xml:space="preserve"> z wyk</w:t>
      </w:r>
      <w:r w:rsidRPr="003409C9">
        <w:rPr>
          <w:noProof/>
        </w:rPr>
        <w:t>orzystaniem danych API.</w:t>
      </w:r>
      <w:bookmarkStart w:id="54" w:name="_Hlk120730937"/>
      <w:r w:rsidRPr="003409C9">
        <w:rPr>
          <w:noProof/>
        </w:rPr>
        <w:t xml:space="preserve"> Państwa członkowskie mogą jednak powstrzymać się od przekazania takich informacji, jeżeli jest to niezbędne –</w:t>
      </w:r>
      <w:r w:rsidR="003409C9" w:rsidRPr="003409C9">
        <w:rPr>
          <w:noProof/>
        </w:rPr>
        <w:t xml:space="preserve"> i w sto</w:t>
      </w:r>
      <w:r w:rsidRPr="003409C9">
        <w:rPr>
          <w:noProof/>
        </w:rPr>
        <w:t>pniu,</w:t>
      </w:r>
      <w:r w:rsidR="003409C9" w:rsidRPr="003409C9">
        <w:rPr>
          <w:noProof/>
        </w:rPr>
        <w:t xml:space="preserve"> w jak</w:t>
      </w:r>
      <w:r w:rsidRPr="003409C9">
        <w:rPr>
          <w:noProof/>
        </w:rPr>
        <w:t xml:space="preserve">im jest to niezbędne – aby nie ujawniać poufnych metod pracy ani nie zagrażać trwającym postępowaniom przygotowawczym prowadzonym przez właściwe służby graniczne. </w:t>
      </w:r>
      <w:bookmarkStart w:id="55" w:name="_Hlk120730958"/>
      <w:bookmarkEnd w:id="50"/>
      <w:bookmarkEnd w:id="54"/>
      <w:r w:rsidRPr="003409C9">
        <w:rPr>
          <w:noProof/>
        </w:rPr>
        <w:t>Komisja zapewnia odpowiednią ochronę wszelkich przekazanych informacji poufnych.</w:t>
      </w:r>
      <w:bookmarkEnd w:id="55"/>
    </w:p>
    <w:p w:rsidR="00250117" w:rsidRPr="00BB07AF" w:rsidRDefault="00250117" w:rsidP="00250117">
      <w:pPr>
        <w:pStyle w:val="Titrearticle"/>
        <w:rPr>
          <w:noProof/>
        </w:rPr>
      </w:pPr>
      <w:r w:rsidRPr="00BB07AF">
        <w:rPr>
          <w:noProof/>
        </w:rPr>
        <w:t>Artykuł 39</w:t>
      </w:r>
    </w:p>
    <w:p w:rsidR="00250117" w:rsidRPr="00BB07AF" w:rsidRDefault="00250117" w:rsidP="00250117">
      <w:pPr>
        <w:jc w:val="center"/>
        <w:rPr>
          <w:b/>
          <w:noProof/>
        </w:rPr>
      </w:pPr>
      <w:r w:rsidRPr="00BB07AF">
        <w:rPr>
          <w:b/>
          <w:noProof/>
        </w:rPr>
        <w:t>Wejście</w:t>
      </w:r>
      <w:r w:rsidR="003409C9" w:rsidRPr="00BB07AF">
        <w:rPr>
          <w:b/>
          <w:noProof/>
        </w:rPr>
        <w:t xml:space="preserve"> w życ</w:t>
      </w:r>
      <w:r w:rsidRPr="00BB07AF">
        <w:rPr>
          <w:b/>
          <w:noProof/>
        </w:rPr>
        <w:t>ie</w:t>
      </w:r>
      <w:r w:rsidR="003409C9" w:rsidRPr="00BB07AF">
        <w:rPr>
          <w:b/>
          <w:noProof/>
        </w:rPr>
        <w:t xml:space="preserve"> i roz</w:t>
      </w:r>
      <w:r w:rsidRPr="00BB07AF">
        <w:rPr>
          <w:b/>
          <w:noProof/>
        </w:rPr>
        <w:t>poczęcie stosowania</w:t>
      </w:r>
    </w:p>
    <w:p w:rsidR="00250117" w:rsidRPr="003409C9" w:rsidRDefault="00250117" w:rsidP="00250117">
      <w:pPr>
        <w:rPr>
          <w:noProof/>
        </w:rPr>
      </w:pPr>
      <w:r w:rsidRPr="003409C9">
        <w:rPr>
          <w:noProof/>
        </w:rPr>
        <w:t>Niniejsze rozporządzenie wchodzi</w:t>
      </w:r>
      <w:r w:rsidR="003409C9" w:rsidRPr="003409C9">
        <w:rPr>
          <w:noProof/>
        </w:rPr>
        <w:t xml:space="preserve"> w życ</w:t>
      </w:r>
      <w:r w:rsidRPr="003409C9">
        <w:rPr>
          <w:noProof/>
        </w:rPr>
        <w:t>ie dwudziestego dnia po jego opublikowaniu</w:t>
      </w:r>
      <w:r w:rsidR="003409C9" w:rsidRPr="003409C9">
        <w:rPr>
          <w:noProof/>
        </w:rPr>
        <w:t xml:space="preserve"> w </w:t>
      </w:r>
      <w:r w:rsidR="003409C9" w:rsidRPr="00BB07AF">
        <w:rPr>
          <w:i/>
          <w:noProof/>
        </w:rPr>
        <w:t>Dzi</w:t>
      </w:r>
      <w:r w:rsidRPr="00BB07AF">
        <w:rPr>
          <w:i/>
          <w:noProof/>
        </w:rPr>
        <w:t>enniku Urzędowym Unii Europejskiej</w:t>
      </w:r>
      <w:r w:rsidRPr="003409C9">
        <w:rPr>
          <w:noProof/>
        </w:rPr>
        <w:t>.</w:t>
      </w:r>
    </w:p>
    <w:p w:rsidR="00551E2D" w:rsidRPr="00BB07AF" w:rsidRDefault="00551E2D" w:rsidP="00250117">
      <w:pPr>
        <w:rPr>
          <w:rFonts w:eastAsia="Calibri"/>
          <w:i/>
          <w:noProof/>
        </w:rPr>
      </w:pPr>
      <w:bookmarkStart w:id="56" w:name="_Hlk120887120"/>
      <w:r w:rsidRPr="003409C9">
        <w:rPr>
          <w:noProof/>
        </w:rPr>
        <w:t>Niniejsze rozporządzenie stosuje się po upływie dwóch lat od daty uruchomienia routera, którą to datę określa Komisja zgodnie</w:t>
      </w:r>
      <w:r w:rsidR="003409C9" w:rsidRPr="003409C9">
        <w:rPr>
          <w:noProof/>
        </w:rPr>
        <w:t xml:space="preserve"> z art</w:t>
      </w:r>
      <w:r w:rsidRPr="003409C9">
        <w:rPr>
          <w:noProof/>
        </w:rPr>
        <w:t>.</w:t>
      </w:r>
      <w:r w:rsidR="003409C9" w:rsidRPr="003409C9">
        <w:rPr>
          <w:noProof/>
        </w:rPr>
        <w:t> </w:t>
      </w:r>
      <w:r w:rsidRPr="003409C9">
        <w:rPr>
          <w:noProof/>
        </w:rPr>
        <w:t>27.</w:t>
      </w:r>
    </w:p>
    <w:bookmarkEnd w:id="56"/>
    <w:p w:rsidR="00551E2D" w:rsidRPr="003409C9" w:rsidRDefault="00551E2D" w:rsidP="00250117">
      <w:pPr>
        <w:rPr>
          <w:rFonts w:eastAsia="Calibri"/>
          <w:iCs/>
          <w:noProof/>
        </w:rPr>
      </w:pPr>
      <w:r w:rsidRPr="003409C9">
        <w:rPr>
          <w:noProof/>
        </w:rPr>
        <w:t>Jednakże:</w:t>
      </w:r>
    </w:p>
    <w:p w:rsidR="00B0458E" w:rsidRPr="003409C9" w:rsidRDefault="009475BC" w:rsidP="009475BC">
      <w:pPr>
        <w:pStyle w:val="Point0"/>
        <w:rPr>
          <w:noProof/>
        </w:rPr>
      </w:pPr>
      <w:bookmarkStart w:id="57" w:name="_Hlk120872630"/>
      <w:r w:rsidRPr="003409C9">
        <w:rPr>
          <w:noProof/>
        </w:rPr>
        <w:t>a)</w:t>
      </w:r>
      <w:r w:rsidRPr="003409C9">
        <w:rPr>
          <w:noProof/>
        </w:rPr>
        <w:tab/>
        <w:t>art.</w:t>
      </w:r>
      <w:r w:rsidR="003409C9" w:rsidRPr="003409C9">
        <w:rPr>
          <w:noProof/>
        </w:rPr>
        <w:t> </w:t>
      </w:r>
      <w:r w:rsidRPr="003409C9">
        <w:rPr>
          <w:noProof/>
        </w:rPr>
        <w:t>5 ust.</w:t>
      </w:r>
      <w:r w:rsidR="003409C9" w:rsidRPr="003409C9">
        <w:rPr>
          <w:noProof/>
        </w:rPr>
        <w:t> </w:t>
      </w:r>
      <w:r w:rsidRPr="003409C9">
        <w:rPr>
          <w:noProof/>
        </w:rPr>
        <w:t>4</w:t>
      </w:r>
      <w:r w:rsidR="003409C9" w:rsidRPr="003409C9">
        <w:rPr>
          <w:noProof/>
        </w:rPr>
        <w:t xml:space="preserve"> i 5</w:t>
      </w:r>
      <w:r w:rsidRPr="003409C9">
        <w:rPr>
          <w:noProof/>
        </w:rPr>
        <w:t>, art.</w:t>
      </w:r>
      <w:r w:rsidR="003409C9" w:rsidRPr="003409C9">
        <w:rPr>
          <w:noProof/>
        </w:rPr>
        <w:t> </w:t>
      </w:r>
      <w:r w:rsidRPr="003409C9">
        <w:rPr>
          <w:noProof/>
        </w:rPr>
        <w:t>6 ust.</w:t>
      </w:r>
      <w:r w:rsidR="003409C9" w:rsidRPr="003409C9">
        <w:rPr>
          <w:noProof/>
        </w:rPr>
        <w:t> </w:t>
      </w:r>
      <w:r w:rsidRPr="003409C9">
        <w:rPr>
          <w:noProof/>
        </w:rPr>
        <w:t>3, art.</w:t>
      </w:r>
      <w:r w:rsidR="003409C9" w:rsidRPr="003409C9">
        <w:rPr>
          <w:noProof/>
        </w:rPr>
        <w:t> </w:t>
      </w:r>
      <w:r w:rsidRPr="003409C9">
        <w:rPr>
          <w:noProof/>
        </w:rPr>
        <w:t>11 ust.</w:t>
      </w:r>
      <w:r w:rsidR="003409C9" w:rsidRPr="003409C9">
        <w:rPr>
          <w:noProof/>
        </w:rPr>
        <w:t> </w:t>
      </w:r>
      <w:r w:rsidRPr="003409C9">
        <w:rPr>
          <w:noProof/>
        </w:rPr>
        <w:t>4, art.</w:t>
      </w:r>
      <w:r w:rsidR="003409C9" w:rsidRPr="003409C9">
        <w:rPr>
          <w:noProof/>
        </w:rPr>
        <w:t> </w:t>
      </w:r>
      <w:r w:rsidRPr="003409C9">
        <w:rPr>
          <w:noProof/>
        </w:rPr>
        <w:t>20 ust.</w:t>
      </w:r>
      <w:r w:rsidR="003409C9" w:rsidRPr="003409C9">
        <w:rPr>
          <w:noProof/>
        </w:rPr>
        <w:t> </w:t>
      </w:r>
      <w:r w:rsidRPr="003409C9">
        <w:rPr>
          <w:noProof/>
        </w:rPr>
        <w:t>2, art.</w:t>
      </w:r>
      <w:r w:rsidR="003409C9" w:rsidRPr="003409C9">
        <w:rPr>
          <w:noProof/>
        </w:rPr>
        <w:t> </w:t>
      </w:r>
      <w:r w:rsidRPr="003409C9">
        <w:rPr>
          <w:noProof/>
        </w:rPr>
        <w:t>21 ust.</w:t>
      </w:r>
      <w:r w:rsidR="003409C9" w:rsidRPr="003409C9">
        <w:rPr>
          <w:noProof/>
        </w:rPr>
        <w:t> </w:t>
      </w:r>
      <w:r w:rsidRPr="003409C9">
        <w:rPr>
          <w:noProof/>
        </w:rPr>
        <w:t>2, art.</w:t>
      </w:r>
      <w:r w:rsidR="003409C9" w:rsidRPr="003409C9">
        <w:rPr>
          <w:noProof/>
        </w:rPr>
        <w:t> </w:t>
      </w:r>
      <w:r w:rsidRPr="003409C9">
        <w:rPr>
          <w:noProof/>
        </w:rPr>
        <w:t>22, art.</w:t>
      </w:r>
      <w:r w:rsidR="003409C9" w:rsidRPr="003409C9">
        <w:rPr>
          <w:noProof/>
        </w:rPr>
        <w:t> </w:t>
      </w:r>
      <w:r w:rsidRPr="003409C9">
        <w:rPr>
          <w:noProof/>
        </w:rPr>
        <w:t>25 ust.</w:t>
      </w:r>
      <w:r w:rsidR="003409C9" w:rsidRPr="003409C9">
        <w:rPr>
          <w:noProof/>
        </w:rPr>
        <w:t> </w:t>
      </w:r>
      <w:r w:rsidRPr="003409C9">
        <w:rPr>
          <w:noProof/>
        </w:rPr>
        <w:t>1, art.</w:t>
      </w:r>
      <w:r w:rsidR="003409C9" w:rsidRPr="003409C9">
        <w:rPr>
          <w:noProof/>
        </w:rPr>
        <w:t> </w:t>
      </w:r>
      <w:r w:rsidRPr="003409C9">
        <w:rPr>
          <w:noProof/>
        </w:rPr>
        <w:t>27, 36</w:t>
      </w:r>
      <w:r w:rsidR="003409C9" w:rsidRPr="003409C9">
        <w:rPr>
          <w:noProof/>
        </w:rPr>
        <w:t xml:space="preserve"> i 3</w:t>
      </w:r>
      <w:r w:rsidRPr="003409C9">
        <w:rPr>
          <w:noProof/>
        </w:rPr>
        <w:t xml:space="preserve">7 stosuje się od </w:t>
      </w:r>
      <w:r w:rsidRPr="00BB07AF">
        <w:rPr>
          <w:i/>
          <w:noProof/>
        </w:rPr>
        <w:t>[data wejścia</w:t>
      </w:r>
      <w:r w:rsidR="003409C9" w:rsidRPr="00BB07AF">
        <w:rPr>
          <w:i/>
          <w:noProof/>
        </w:rPr>
        <w:t xml:space="preserve"> w życ</w:t>
      </w:r>
      <w:r w:rsidRPr="00BB07AF">
        <w:rPr>
          <w:i/>
          <w:noProof/>
        </w:rPr>
        <w:t>ie niniejszego rozporządzenia]</w:t>
      </w:r>
      <w:r w:rsidRPr="003409C9">
        <w:rPr>
          <w:noProof/>
        </w:rPr>
        <w:t xml:space="preserve">; </w:t>
      </w:r>
    </w:p>
    <w:p w:rsidR="00B0458E" w:rsidRPr="003409C9" w:rsidRDefault="009475BC" w:rsidP="009475BC">
      <w:pPr>
        <w:pStyle w:val="Point0"/>
        <w:rPr>
          <w:iCs/>
          <w:noProof/>
        </w:rPr>
      </w:pPr>
      <w:r w:rsidRPr="003409C9">
        <w:rPr>
          <w:noProof/>
        </w:rPr>
        <w:t>b)</w:t>
      </w:r>
      <w:r w:rsidRPr="003409C9">
        <w:rPr>
          <w:noProof/>
        </w:rPr>
        <w:tab/>
        <w:t>art.</w:t>
      </w:r>
      <w:r w:rsidR="003409C9" w:rsidRPr="003409C9">
        <w:rPr>
          <w:noProof/>
        </w:rPr>
        <w:t> </w:t>
      </w:r>
      <w:r w:rsidRPr="003409C9">
        <w:rPr>
          <w:noProof/>
        </w:rPr>
        <w:t>10, art.</w:t>
      </w:r>
      <w:r w:rsidR="003409C9" w:rsidRPr="003409C9">
        <w:rPr>
          <w:noProof/>
        </w:rPr>
        <w:t> </w:t>
      </w:r>
      <w:r w:rsidRPr="003409C9">
        <w:rPr>
          <w:noProof/>
        </w:rPr>
        <w:t>13 ust.</w:t>
      </w:r>
      <w:r w:rsidR="003409C9" w:rsidRPr="003409C9">
        <w:rPr>
          <w:noProof/>
        </w:rPr>
        <w:t> </w:t>
      </w:r>
      <w:r w:rsidRPr="003409C9">
        <w:rPr>
          <w:noProof/>
        </w:rPr>
        <w:t>1, 3</w:t>
      </w:r>
      <w:r w:rsidR="003409C9" w:rsidRPr="003409C9">
        <w:rPr>
          <w:noProof/>
        </w:rPr>
        <w:t xml:space="preserve"> i 4</w:t>
      </w:r>
      <w:r w:rsidRPr="003409C9">
        <w:rPr>
          <w:noProof/>
        </w:rPr>
        <w:t>, art.</w:t>
      </w:r>
      <w:r w:rsidR="003409C9" w:rsidRPr="003409C9">
        <w:rPr>
          <w:noProof/>
        </w:rPr>
        <w:t> </w:t>
      </w:r>
      <w:r w:rsidRPr="003409C9">
        <w:rPr>
          <w:noProof/>
        </w:rPr>
        <w:t>15, 16, 17, 23, 24, 26</w:t>
      </w:r>
      <w:r w:rsidR="003409C9" w:rsidRPr="00BB07AF">
        <w:rPr>
          <w:i/>
          <w:noProof/>
        </w:rPr>
        <w:t xml:space="preserve"> </w:t>
      </w:r>
      <w:r w:rsidR="003409C9" w:rsidRPr="003409C9">
        <w:rPr>
          <w:noProof/>
        </w:rPr>
        <w:t>i</w:t>
      </w:r>
      <w:r w:rsidR="003409C9" w:rsidRPr="00BB07AF">
        <w:rPr>
          <w:i/>
          <w:noProof/>
        </w:rPr>
        <w:t> </w:t>
      </w:r>
      <w:r w:rsidR="003409C9" w:rsidRPr="003409C9">
        <w:rPr>
          <w:noProof/>
        </w:rPr>
        <w:t>2</w:t>
      </w:r>
      <w:r w:rsidRPr="003409C9">
        <w:rPr>
          <w:noProof/>
        </w:rPr>
        <w:t>8</w:t>
      </w:r>
      <w:r w:rsidRPr="00BB07AF">
        <w:rPr>
          <w:i/>
          <w:noProof/>
        </w:rPr>
        <w:t xml:space="preserve"> </w:t>
      </w:r>
      <w:r w:rsidRPr="003409C9">
        <w:rPr>
          <w:noProof/>
        </w:rPr>
        <w:t>stosuje się od daty uruchomienia routera, którą to datę określa Komisja zgodnie</w:t>
      </w:r>
      <w:r w:rsidR="003409C9" w:rsidRPr="003409C9">
        <w:rPr>
          <w:noProof/>
        </w:rPr>
        <w:t xml:space="preserve"> z art</w:t>
      </w:r>
      <w:r w:rsidRPr="003409C9">
        <w:rPr>
          <w:noProof/>
        </w:rPr>
        <w:t>.</w:t>
      </w:r>
      <w:r w:rsidR="003409C9" w:rsidRPr="003409C9">
        <w:rPr>
          <w:noProof/>
        </w:rPr>
        <w:t> </w:t>
      </w:r>
      <w:r w:rsidRPr="003409C9">
        <w:rPr>
          <w:noProof/>
        </w:rPr>
        <w:t xml:space="preserve">27. </w:t>
      </w:r>
    </w:p>
    <w:bookmarkEnd w:id="57"/>
    <w:p w:rsidR="00AE6FB3" w:rsidRPr="003409C9" w:rsidRDefault="00AE6FB3" w:rsidP="00AE6FB3">
      <w:pPr>
        <w:rPr>
          <w:rFonts w:eastAsia="Calibri"/>
          <w:noProof/>
        </w:rPr>
      </w:pPr>
    </w:p>
    <w:p w:rsidR="00250117" w:rsidRPr="003409C9" w:rsidRDefault="00250117" w:rsidP="00AE6FB3">
      <w:pPr>
        <w:rPr>
          <w:iCs/>
          <w:noProof/>
        </w:rPr>
      </w:pPr>
      <w:r w:rsidRPr="003409C9">
        <w:rPr>
          <w:noProof/>
        </w:rPr>
        <w:t>Niniejsze rozporządzenie wiąże</w:t>
      </w:r>
      <w:r w:rsidR="003409C9" w:rsidRPr="003409C9">
        <w:rPr>
          <w:noProof/>
        </w:rPr>
        <w:t xml:space="preserve"> w cał</w:t>
      </w:r>
      <w:r w:rsidRPr="003409C9">
        <w:rPr>
          <w:noProof/>
        </w:rPr>
        <w:t>ości</w:t>
      </w:r>
      <w:r w:rsidR="003409C9" w:rsidRPr="003409C9">
        <w:rPr>
          <w:noProof/>
        </w:rPr>
        <w:t xml:space="preserve"> i jes</w:t>
      </w:r>
      <w:r w:rsidRPr="003409C9">
        <w:rPr>
          <w:noProof/>
        </w:rPr>
        <w:t>t bezpośrednio stosowane</w:t>
      </w:r>
      <w:r w:rsidR="003409C9" w:rsidRPr="003409C9">
        <w:rPr>
          <w:noProof/>
        </w:rPr>
        <w:t xml:space="preserve"> w pań</w:t>
      </w:r>
      <w:r w:rsidRPr="003409C9">
        <w:rPr>
          <w:noProof/>
        </w:rPr>
        <w:t>stwach członkowskich zgodnie</w:t>
      </w:r>
      <w:r w:rsidR="003409C9" w:rsidRPr="003409C9">
        <w:rPr>
          <w:noProof/>
        </w:rPr>
        <w:t xml:space="preserve"> z Tra</w:t>
      </w:r>
      <w:r w:rsidRPr="003409C9">
        <w:rPr>
          <w:noProof/>
        </w:rPr>
        <w:t>ktatami.</w:t>
      </w:r>
    </w:p>
    <w:p w:rsidR="00250117" w:rsidRPr="003409C9" w:rsidRDefault="004B55E2" w:rsidP="006B0808">
      <w:pPr>
        <w:pStyle w:val="Fait"/>
        <w:rPr>
          <w:noProof/>
        </w:rPr>
      </w:pPr>
      <w:r w:rsidRPr="004B55E2">
        <w:t>Sporządzono w Strasburgu dnia  r.</w:t>
      </w:r>
    </w:p>
    <w:p w:rsidR="00832116" w:rsidRPr="00BB07AF" w:rsidRDefault="00832116" w:rsidP="006B0808">
      <w:pPr>
        <w:pStyle w:val="Institutionquisigne"/>
        <w:rPr>
          <w:noProof/>
        </w:rPr>
      </w:pPr>
      <w:r w:rsidRPr="00BB07AF">
        <w:rPr>
          <w:noProof/>
        </w:rPr>
        <w:t>W imieniu Parlamentu Europejskiego</w:t>
      </w:r>
      <w:r w:rsidRPr="00BB07AF">
        <w:rPr>
          <w:noProof/>
        </w:rPr>
        <w:tab/>
        <w:t>W imieniu Rady</w:t>
      </w:r>
    </w:p>
    <w:p w:rsidR="003B44E1" w:rsidRPr="00BB07AF" w:rsidRDefault="00832116" w:rsidP="00A85B60">
      <w:pPr>
        <w:pStyle w:val="Personnequisigne"/>
        <w:rPr>
          <w:noProof/>
        </w:rPr>
        <w:sectPr w:rsidR="003B44E1" w:rsidRPr="00BB07AF" w:rsidSect="00883BC7">
          <w:pgSz w:w="11907" w:h="16840" w:code="9"/>
          <w:pgMar w:top="1134" w:right="1418" w:bottom="1134" w:left="1418" w:header="709" w:footer="709" w:gutter="0"/>
          <w:cols w:space="708"/>
          <w:docGrid w:linePitch="360"/>
        </w:sectPr>
      </w:pPr>
      <w:r w:rsidRPr="00BB07AF">
        <w:rPr>
          <w:noProof/>
        </w:rPr>
        <w:t>Przewodnicząca</w:t>
      </w:r>
      <w:r w:rsidRPr="00BB07AF">
        <w:rPr>
          <w:noProof/>
        </w:rPr>
        <w:tab/>
        <w:t>Przewodniczący</w:t>
      </w:r>
    </w:p>
    <w:p w:rsidR="008A5088" w:rsidRPr="00BB07AF" w:rsidRDefault="008A5088" w:rsidP="00EA0500">
      <w:pPr>
        <w:pStyle w:val="Fichefinanciretitre"/>
        <w:keepNext/>
        <w:rPr>
          <w:noProof/>
        </w:rPr>
      </w:pPr>
      <w:bookmarkStart w:id="58" w:name="_Toc514938007"/>
      <w:bookmarkStart w:id="59" w:name="_Toc117796966"/>
      <w:r w:rsidRPr="00BB07AF">
        <w:rPr>
          <w:noProof/>
        </w:rPr>
        <w:t>OCENA SKUTKÓW FINANSOWYCH REGULACJI</w:t>
      </w:r>
    </w:p>
    <w:p w:rsidR="008A5088" w:rsidRPr="00BB07AF" w:rsidRDefault="008A5088" w:rsidP="00EA0500">
      <w:pPr>
        <w:pStyle w:val="ManualHeading1"/>
        <w:rPr>
          <w:noProof/>
        </w:rPr>
      </w:pPr>
      <w:r w:rsidRPr="00BB07AF">
        <w:rPr>
          <w:noProof/>
        </w:rPr>
        <w:t>1.</w:t>
      </w:r>
      <w:r w:rsidRPr="00BB07AF">
        <w:rPr>
          <w:noProof/>
        </w:rPr>
        <w:tab/>
        <w:t>STRUKTURA WNIOSKU/INICJATYWY</w:t>
      </w:r>
    </w:p>
    <w:p w:rsidR="008A5088" w:rsidRPr="00BB07AF" w:rsidRDefault="008A5088" w:rsidP="00EA0500">
      <w:pPr>
        <w:pStyle w:val="ManualHeading2"/>
        <w:rPr>
          <w:noProof/>
        </w:rPr>
      </w:pPr>
      <w:r w:rsidRPr="00BB07AF">
        <w:rPr>
          <w:noProof/>
        </w:rPr>
        <w:tab/>
        <w:t>1.1.</w:t>
      </w:r>
      <w:r w:rsidRPr="00BB07AF">
        <w:rPr>
          <w:noProof/>
        </w:rPr>
        <w:tab/>
        <w:t>Tytuł wniosku/inicjatywy</w:t>
      </w:r>
    </w:p>
    <w:p w:rsidR="008A5088" w:rsidRPr="00BB07AF" w:rsidRDefault="008A5088" w:rsidP="00EA0500">
      <w:pPr>
        <w:pStyle w:val="ManualHeading2"/>
        <w:rPr>
          <w:noProof/>
        </w:rPr>
      </w:pPr>
      <w:r w:rsidRPr="00BB07AF">
        <w:rPr>
          <w:noProof/>
        </w:rPr>
        <w:tab/>
        <w:t>1.2.</w:t>
      </w:r>
      <w:r w:rsidRPr="00BB07AF">
        <w:rPr>
          <w:noProof/>
        </w:rPr>
        <w:tab/>
        <w:t>Obszary polityki, których dotyczy wniosek/inicjatywa</w:t>
      </w:r>
    </w:p>
    <w:p w:rsidR="008A5088" w:rsidRPr="00BB07AF" w:rsidRDefault="008A5088" w:rsidP="00EA0500">
      <w:pPr>
        <w:pStyle w:val="ManualHeading2"/>
        <w:rPr>
          <w:noProof/>
        </w:rPr>
      </w:pPr>
      <w:r w:rsidRPr="00BB07AF">
        <w:rPr>
          <w:noProof/>
        </w:rPr>
        <w:tab/>
        <w:t>1.3.</w:t>
      </w:r>
      <w:r w:rsidRPr="00BB07AF">
        <w:rPr>
          <w:noProof/>
        </w:rPr>
        <w:tab/>
        <w:t>Wniosek/inicjatywa dotyczy:</w:t>
      </w:r>
    </w:p>
    <w:p w:rsidR="008A5088" w:rsidRPr="00BB07AF" w:rsidRDefault="008A5088" w:rsidP="00EA0500">
      <w:pPr>
        <w:pStyle w:val="ManualHeading2"/>
        <w:rPr>
          <w:noProof/>
        </w:rPr>
      </w:pPr>
      <w:r w:rsidRPr="00BB07AF">
        <w:rPr>
          <w:noProof/>
        </w:rPr>
        <w:tab/>
        <w:t>1.4.</w:t>
      </w:r>
      <w:r w:rsidRPr="00BB07AF">
        <w:rPr>
          <w:noProof/>
        </w:rPr>
        <w:tab/>
        <w:t>Cel(e)</w:t>
      </w:r>
    </w:p>
    <w:p w:rsidR="008A5088" w:rsidRPr="00BB07AF" w:rsidRDefault="008A5088" w:rsidP="00EA0500">
      <w:pPr>
        <w:pStyle w:val="ManualHeading3"/>
        <w:rPr>
          <w:noProof/>
        </w:rPr>
      </w:pPr>
      <w:r w:rsidRPr="00BB07AF">
        <w:rPr>
          <w:noProof/>
        </w:rPr>
        <w:tab/>
        <w:t>1.4.1.</w:t>
      </w:r>
      <w:r w:rsidRPr="00BB07AF">
        <w:rPr>
          <w:noProof/>
        </w:rPr>
        <w:tab/>
        <w:t>Cel(e) ogólny(e)</w:t>
      </w:r>
    </w:p>
    <w:p w:rsidR="008A5088" w:rsidRPr="00BB07AF" w:rsidRDefault="008A5088" w:rsidP="00EA0500">
      <w:pPr>
        <w:pStyle w:val="ManualHeading3"/>
        <w:rPr>
          <w:noProof/>
        </w:rPr>
      </w:pPr>
      <w:r w:rsidRPr="00BB07AF">
        <w:rPr>
          <w:noProof/>
        </w:rPr>
        <w:tab/>
        <w:t>1.4.2.</w:t>
      </w:r>
      <w:r w:rsidRPr="00BB07AF">
        <w:rPr>
          <w:noProof/>
        </w:rPr>
        <w:tab/>
        <w:t>Cel(e) szczegółowy(e)</w:t>
      </w:r>
    </w:p>
    <w:p w:rsidR="008A5088" w:rsidRPr="00BB07AF" w:rsidRDefault="008A5088" w:rsidP="00EA0500">
      <w:pPr>
        <w:pStyle w:val="ManualHeading3"/>
        <w:rPr>
          <w:noProof/>
        </w:rPr>
      </w:pPr>
      <w:r w:rsidRPr="00BB07AF">
        <w:rPr>
          <w:noProof/>
        </w:rPr>
        <w:tab/>
        <w:t>1.4.3.</w:t>
      </w:r>
      <w:r w:rsidRPr="00BB07AF">
        <w:rPr>
          <w:noProof/>
        </w:rPr>
        <w:tab/>
        <w:t>Oczekiwane wyniki</w:t>
      </w:r>
      <w:r w:rsidR="003409C9" w:rsidRPr="00BB07AF">
        <w:rPr>
          <w:noProof/>
        </w:rPr>
        <w:t xml:space="preserve"> i wpł</w:t>
      </w:r>
      <w:r w:rsidRPr="00BB07AF">
        <w:rPr>
          <w:noProof/>
        </w:rPr>
        <w:t>yw</w:t>
      </w:r>
    </w:p>
    <w:p w:rsidR="008A5088" w:rsidRPr="00BB07AF" w:rsidRDefault="008A5088" w:rsidP="00EA0500">
      <w:pPr>
        <w:pStyle w:val="ManualHeading3"/>
        <w:rPr>
          <w:noProof/>
        </w:rPr>
      </w:pPr>
      <w:r w:rsidRPr="00BB07AF">
        <w:rPr>
          <w:noProof/>
        </w:rPr>
        <w:tab/>
        <w:t>1.4.4.</w:t>
      </w:r>
      <w:r w:rsidRPr="00BB07AF">
        <w:rPr>
          <w:noProof/>
        </w:rPr>
        <w:tab/>
        <w:t>Wskaźniki dotyczące realizacji celów</w:t>
      </w:r>
    </w:p>
    <w:p w:rsidR="008A5088" w:rsidRPr="00BB07AF" w:rsidRDefault="008A5088" w:rsidP="00EA0500">
      <w:pPr>
        <w:pStyle w:val="ManualHeading2"/>
        <w:rPr>
          <w:noProof/>
        </w:rPr>
      </w:pPr>
      <w:r w:rsidRPr="00BB07AF">
        <w:rPr>
          <w:noProof/>
        </w:rPr>
        <w:tab/>
        <w:t>1.5.</w:t>
      </w:r>
      <w:r w:rsidRPr="00BB07AF">
        <w:rPr>
          <w:noProof/>
        </w:rPr>
        <w:tab/>
        <w:t>Uzasadnienie wniosku/inicjatywy</w:t>
      </w:r>
    </w:p>
    <w:p w:rsidR="008A5088" w:rsidRPr="00BB07AF" w:rsidRDefault="008A5088" w:rsidP="00EA0500">
      <w:pPr>
        <w:pStyle w:val="ManualHeading3"/>
        <w:rPr>
          <w:noProof/>
        </w:rPr>
      </w:pPr>
      <w:r w:rsidRPr="00BB07AF">
        <w:rPr>
          <w:noProof/>
        </w:rPr>
        <w:tab/>
        <w:t>1.5.1.</w:t>
      </w:r>
      <w:r w:rsidRPr="00BB07AF">
        <w:rPr>
          <w:noProof/>
        </w:rPr>
        <w:tab/>
        <w:t>Potrzeby, które należy zaspokoić</w:t>
      </w:r>
      <w:r w:rsidR="003409C9" w:rsidRPr="00BB07AF">
        <w:rPr>
          <w:noProof/>
        </w:rPr>
        <w:t xml:space="preserve"> w per</w:t>
      </w:r>
      <w:r w:rsidRPr="00BB07AF">
        <w:rPr>
          <w:noProof/>
        </w:rPr>
        <w:t>spektywie krótko- lub długoterminowej,</w:t>
      </w:r>
      <w:r w:rsidR="003409C9" w:rsidRPr="00BB07AF">
        <w:rPr>
          <w:noProof/>
        </w:rPr>
        <w:t xml:space="preserve"> w tym</w:t>
      </w:r>
      <w:r w:rsidRPr="00BB07AF">
        <w:rPr>
          <w:noProof/>
        </w:rPr>
        <w:t xml:space="preserve"> szczegółowy terminarz przebiegu realizacji inicjatywy</w:t>
      </w:r>
    </w:p>
    <w:p w:rsidR="008A5088" w:rsidRPr="00BB07AF" w:rsidRDefault="008A5088" w:rsidP="00EA0500">
      <w:pPr>
        <w:pStyle w:val="ManualHeading3"/>
        <w:rPr>
          <w:noProof/>
        </w:rPr>
      </w:pPr>
      <w:r w:rsidRPr="00BB07AF">
        <w:rPr>
          <w:noProof/>
        </w:rPr>
        <w:tab/>
        <w:t>1.5.2.</w:t>
      </w:r>
      <w:r w:rsidRPr="00BB07AF">
        <w:rPr>
          <w:noProof/>
        </w:rPr>
        <w:tab/>
        <w:t>Wartość dodana</w:t>
      </w:r>
      <w:r w:rsidR="003409C9" w:rsidRPr="00BB07AF">
        <w:rPr>
          <w:noProof/>
        </w:rPr>
        <w:t xml:space="preserve"> z tyt</w:t>
      </w:r>
      <w:r w:rsidRPr="00BB07AF">
        <w:rPr>
          <w:noProof/>
        </w:rPr>
        <w:t>ułu zaangażowania Unii Europejskiej (może wynikać</w:t>
      </w:r>
      <w:r w:rsidR="003409C9" w:rsidRPr="00BB07AF">
        <w:rPr>
          <w:noProof/>
        </w:rPr>
        <w:t xml:space="preserve"> z róż</w:t>
      </w:r>
      <w:r w:rsidRPr="00BB07AF">
        <w:rPr>
          <w:noProof/>
        </w:rPr>
        <w:t>nych czynników, na przykład korzyści koordynacyjnych, pewności prawa, większej efektywności lub komplementarności). Na potrzeby tego punktu „wartość dodaną</w:t>
      </w:r>
      <w:r w:rsidR="003409C9" w:rsidRPr="00BB07AF">
        <w:rPr>
          <w:noProof/>
        </w:rPr>
        <w:t xml:space="preserve"> z tyt</w:t>
      </w:r>
      <w:r w:rsidRPr="00BB07AF">
        <w:rPr>
          <w:noProof/>
        </w:rPr>
        <w:t>ułu zaangażowania Unii” należy rozumieć jako wartość wynikającą</w:t>
      </w:r>
      <w:r w:rsidR="003409C9" w:rsidRPr="00BB07AF">
        <w:rPr>
          <w:noProof/>
        </w:rPr>
        <w:t xml:space="preserve"> z uni</w:t>
      </w:r>
      <w:r w:rsidRPr="00BB07AF">
        <w:rPr>
          <w:noProof/>
        </w:rPr>
        <w:t>jnej interwencji, wykraczającą poza wartość, która zostałaby wytworzona przez same państwa członkowskie.</w:t>
      </w:r>
    </w:p>
    <w:p w:rsidR="008A5088" w:rsidRPr="00BB07AF" w:rsidRDefault="008A5088" w:rsidP="00EA0500">
      <w:pPr>
        <w:pStyle w:val="ManualHeading3"/>
        <w:rPr>
          <w:noProof/>
        </w:rPr>
      </w:pPr>
      <w:r w:rsidRPr="00BB07AF">
        <w:rPr>
          <w:noProof/>
        </w:rPr>
        <w:tab/>
        <w:t>1.5.3.</w:t>
      </w:r>
      <w:r w:rsidRPr="00BB07AF">
        <w:rPr>
          <w:noProof/>
        </w:rPr>
        <w:tab/>
        <w:t>Główne wnioski wyciągnięte</w:t>
      </w:r>
      <w:r w:rsidR="003409C9" w:rsidRPr="00BB07AF">
        <w:rPr>
          <w:noProof/>
        </w:rPr>
        <w:t xml:space="preserve"> z pod</w:t>
      </w:r>
      <w:r w:rsidRPr="00BB07AF">
        <w:rPr>
          <w:noProof/>
        </w:rPr>
        <w:t>obnych działań</w:t>
      </w:r>
    </w:p>
    <w:p w:rsidR="008A5088" w:rsidRPr="00BB07AF" w:rsidRDefault="008A5088" w:rsidP="00EA0500">
      <w:pPr>
        <w:pStyle w:val="ManualHeading3"/>
        <w:rPr>
          <w:noProof/>
        </w:rPr>
      </w:pPr>
      <w:r w:rsidRPr="00BB07AF">
        <w:rPr>
          <w:noProof/>
        </w:rPr>
        <w:tab/>
        <w:t>1.5.4.</w:t>
      </w:r>
      <w:r w:rsidRPr="00BB07AF">
        <w:rPr>
          <w:noProof/>
        </w:rPr>
        <w:tab/>
        <w:t>Spójność</w:t>
      </w:r>
      <w:r w:rsidR="003409C9" w:rsidRPr="00BB07AF">
        <w:rPr>
          <w:noProof/>
        </w:rPr>
        <w:t xml:space="preserve"> z wie</w:t>
      </w:r>
      <w:r w:rsidRPr="00BB07AF">
        <w:rPr>
          <w:noProof/>
        </w:rPr>
        <w:t>loletnimi ramami finansowymi oraz możliwa synergia</w:t>
      </w:r>
      <w:r w:rsidR="003409C9" w:rsidRPr="00BB07AF">
        <w:rPr>
          <w:noProof/>
        </w:rPr>
        <w:t xml:space="preserve"> z inn</w:t>
      </w:r>
      <w:r w:rsidRPr="00BB07AF">
        <w:rPr>
          <w:noProof/>
        </w:rPr>
        <w:t>ymi właściwymi instrumentami</w:t>
      </w:r>
    </w:p>
    <w:p w:rsidR="008A5088" w:rsidRPr="00BB07AF" w:rsidRDefault="008A5088" w:rsidP="00EA0500">
      <w:pPr>
        <w:pStyle w:val="ManualHeading3"/>
        <w:rPr>
          <w:noProof/>
        </w:rPr>
      </w:pPr>
      <w:r w:rsidRPr="00BB07AF">
        <w:rPr>
          <w:noProof/>
        </w:rPr>
        <w:tab/>
        <w:t>1.5.5.</w:t>
      </w:r>
      <w:r w:rsidRPr="00BB07AF">
        <w:rPr>
          <w:noProof/>
        </w:rPr>
        <w:tab/>
        <w:t>Ocena różnych dostępnych możliwości finansowania,</w:t>
      </w:r>
      <w:r w:rsidR="003409C9" w:rsidRPr="00BB07AF">
        <w:rPr>
          <w:noProof/>
        </w:rPr>
        <w:t xml:space="preserve"> w tym</w:t>
      </w:r>
      <w:r w:rsidRPr="00BB07AF">
        <w:rPr>
          <w:noProof/>
        </w:rPr>
        <w:t xml:space="preserve"> zakresu przegrupowania środków</w:t>
      </w:r>
    </w:p>
    <w:p w:rsidR="008A5088" w:rsidRPr="00BB07AF" w:rsidRDefault="008A5088" w:rsidP="00EA0500">
      <w:pPr>
        <w:pStyle w:val="ManualHeading2"/>
        <w:rPr>
          <w:noProof/>
        </w:rPr>
      </w:pPr>
      <w:r w:rsidRPr="00BB07AF">
        <w:rPr>
          <w:noProof/>
        </w:rPr>
        <w:tab/>
        <w:t>1.6.</w:t>
      </w:r>
      <w:r w:rsidRPr="00BB07AF">
        <w:rPr>
          <w:noProof/>
        </w:rPr>
        <w:tab/>
        <w:t>Czas trwania</w:t>
      </w:r>
      <w:r w:rsidR="003409C9" w:rsidRPr="00BB07AF">
        <w:rPr>
          <w:noProof/>
        </w:rPr>
        <w:t xml:space="preserve"> i wpł</w:t>
      </w:r>
      <w:r w:rsidRPr="00BB07AF">
        <w:rPr>
          <w:noProof/>
        </w:rPr>
        <w:t>yw finansowy wniosku/inicjatywy</w:t>
      </w:r>
    </w:p>
    <w:p w:rsidR="008A5088" w:rsidRPr="00BB07AF" w:rsidRDefault="008A5088" w:rsidP="00EA0500">
      <w:pPr>
        <w:pStyle w:val="ManualHeading2"/>
        <w:rPr>
          <w:noProof/>
        </w:rPr>
      </w:pPr>
      <w:r w:rsidRPr="00BB07AF">
        <w:rPr>
          <w:noProof/>
        </w:rPr>
        <w:tab/>
        <w:t>1.7.</w:t>
      </w:r>
      <w:r w:rsidRPr="00BB07AF">
        <w:rPr>
          <w:noProof/>
        </w:rPr>
        <w:tab/>
        <w:t>Planowane tryby zarządzania</w:t>
      </w:r>
    </w:p>
    <w:p w:rsidR="008A5088" w:rsidRPr="00BB07AF" w:rsidRDefault="008A5088" w:rsidP="00EA0500">
      <w:pPr>
        <w:pStyle w:val="ManualHeading1"/>
        <w:rPr>
          <w:noProof/>
        </w:rPr>
      </w:pPr>
      <w:r w:rsidRPr="00BB07AF">
        <w:rPr>
          <w:noProof/>
        </w:rPr>
        <w:tab/>
        <w:t>2.</w:t>
      </w:r>
      <w:r w:rsidRPr="00BB07AF">
        <w:rPr>
          <w:noProof/>
        </w:rPr>
        <w:tab/>
        <w:t>ŚRODKI ZARZĄDZANIA</w:t>
      </w:r>
    </w:p>
    <w:p w:rsidR="008A5088" w:rsidRPr="00BB07AF" w:rsidRDefault="008A5088" w:rsidP="00EA0500">
      <w:pPr>
        <w:pStyle w:val="ManualHeading2"/>
        <w:rPr>
          <w:noProof/>
        </w:rPr>
      </w:pPr>
      <w:r w:rsidRPr="00BB07AF">
        <w:rPr>
          <w:noProof/>
        </w:rPr>
        <w:tab/>
        <w:t>2.1.</w:t>
      </w:r>
      <w:r w:rsidRPr="00BB07AF">
        <w:rPr>
          <w:noProof/>
        </w:rPr>
        <w:tab/>
        <w:t>Zasady nadzoru</w:t>
      </w:r>
      <w:r w:rsidR="003409C9" w:rsidRPr="00BB07AF">
        <w:rPr>
          <w:noProof/>
        </w:rPr>
        <w:t xml:space="preserve"> i spr</w:t>
      </w:r>
      <w:r w:rsidRPr="00BB07AF">
        <w:rPr>
          <w:noProof/>
        </w:rPr>
        <w:t>awozdawczości</w:t>
      </w:r>
    </w:p>
    <w:p w:rsidR="008A5088" w:rsidRPr="00BB07AF" w:rsidRDefault="008A5088" w:rsidP="00EA0500">
      <w:pPr>
        <w:pStyle w:val="ManualHeading2"/>
        <w:rPr>
          <w:noProof/>
        </w:rPr>
      </w:pPr>
      <w:r w:rsidRPr="00BB07AF">
        <w:rPr>
          <w:noProof/>
        </w:rPr>
        <w:tab/>
        <w:t>2.2.</w:t>
      </w:r>
      <w:r w:rsidRPr="00BB07AF">
        <w:rPr>
          <w:noProof/>
        </w:rPr>
        <w:tab/>
        <w:t>System zarządzania</w:t>
      </w:r>
      <w:r w:rsidR="003409C9" w:rsidRPr="00BB07AF">
        <w:rPr>
          <w:noProof/>
        </w:rPr>
        <w:t xml:space="preserve"> i kon</w:t>
      </w:r>
      <w:r w:rsidRPr="00BB07AF">
        <w:rPr>
          <w:noProof/>
        </w:rPr>
        <w:t>troli</w:t>
      </w:r>
    </w:p>
    <w:p w:rsidR="008A5088" w:rsidRPr="00BB07AF" w:rsidRDefault="008A5088" w:rsidP="00EA0500">
      <w:pPr>
        <w:pStyle w:val="ManualHeading3"/>
        <w:rPr>
          <w:noProof/>
        </w:rPr>
      </w:pPr>
      <w:r w:rsidRPr="00BB07AF">
        <w:rPr>
          <w:noProof/>
        </w:rPr>
        <w:tab/>
        <w:t>2.2.1.</w:t>
      </w:r>
      <w:r w:rsidRPr="00BB07AF">
        <w:rPr>
          <w:noProof/>
        </w:rPr>
        <w:tab/>
        <w:t>Uzasadnienie dla systemu zarządzania, mechanizmów finansowania wykonania, warunków płatności</w:t>
      </w:r>
      <w:r w:rsidR="003409C9" w:rsidRPr="00BB07AF">
        <w:rPr>
          <w:noProof/>
        </w:rPr>
        <w:t xml:space="preserve"> i pro</w:t>
      </w:r>
      <w:r w:rsidRPr="00BB07AF">
        <w:rPr>
          <w:noProof/>
        </w:rPr>
        <w:t>ponowanej strategii kontroli</w:t>
      </w:r>
    </w:p>
    <w:p w:rsidR="008A5088" w:rsidRPr="00BB07AF" w:rsidRDefault="008A5088" w:rsidP="00EA0500">
      <w:pPr>
        <w:pStyle w:val="ManualHeading3"/>
        <w:rPr>
          <w:noProof/>
        </w:rPr>
      </w:pPr>
      <w:r w:rsidRPr="00BB07AF">
        <w:rPr>
          <w:noProof/>
        </w:rPr>
        <w:tab/>
        <w:t>2.2.2.</w:t>
      </w:r>
      <w:r w:rsidRPr="00BB07AF">
        <w:rPr>
          <w:noProof/>
        </w:rPr>
        <w:tab/>
        <w:t>Informacje dotyczące zidentyfikowanego ryzyka</w:t>
      </w:r>
      <w:r w:rsidR="003409C9" w:rsidRPr="00BB07AF">
        <w:rPr>
          <w:noProof/>
        </w:rPr>
        <w:t xml:space="preserve"> i sys</w:t>
      </w:r>
      <w:r w:rsidRPr="00BB07AF">
        <w:rPr>
          <w:noProof/>
        </w:rPr>
        <w:t>temów kontroli wewnętrznej ustanowionych</w:t>
      </w:r>
      <w:r w:rsidR="003409C9" w:rsidRPr="00BB07AF">
        <w:rPr>
          <w:noProof/>
        </w:rPr>
        <w:t xml:space="preserve"> w cel</w:t>
      </w:r>
      <w:r w:rsidRPr="00BB07AF">
        <w:rPr>
          <w:noProof/>
        </w:rPr>
        <w:t>u jego ograniczenia</w:t>
      </w:r>
    </w:p>
    <w:p w:rsidR="008A5088" w:rsidRPr="00BB07AF" w:rsidRDefault="008A5088" w:rsidP="00EA0500">
      <w:pPr>
        <w:pStyle w:val="ManualHeading3"/>
        <w:rPr>
          <w:noProof/>
        </w:rPr>
      </w:pPr>
      <w:r w:rsidRPr="00BB07AF">
        <w:rPr>
          <w:noProof/>
        </w:rPr>
        <w:tab/>
        <w:t>2.2.3.</w:t>
      </w:r>
      <w:r w:rsidRPr="00BB07AF">
        <w:rPr>
          <w:noProof/>
        </w:rPr>
        <w:tab/>
        <w:t>Oszacowanie</w:t>
      </w:r>
      <w:r w:rsidR="003409C9" w:rsidRPr="00BB07AF">
        <w:rPr>
          <w:noProof/>
        </w:rPr>
        <w:t xml:space="preserve"> i uza</w:t>
      </w:r>
      <w:r w:rsidRPr="00BB07AF">
        <w:rPr>
          <w:noProof/>
        </w:rPr>
        <w:t>sadnienie efektywności kosztowej kontroli (relacja kosztów kontroli do wartości zarządzanych funduszy powiązanych) oraz ocena prawdopodobnego ryzyka błędu (przy płatności</w:t>
      </w:r>
      <w:r w:rsidR="003409C9" w:rsidRPr="00BB07AF">
        <w:rPr>
          <w:noProof/>
        </w:rPr>
        <w:t xml:space="preserve"> i prz</w:t>
      </w:r>
      <w:r w:rsidRPr="00BB07AF">
        <w:rPr>
          <w:noProof/>
        </w:rPr>
        <w:t>y zamykaniu)</w:t>
      </w:r>
    </w:p>
    <w:p w:rsidR="008A5088" w:rsidRPr="00BB07AF" w:rsidRDefault="008A5088" w:rsidP="00EA0500">
      <w:pPr>
        <w:pStyle w:val="ManualHeading2"/>
        <w:rPr>
          <w:noProof/>
        </w:rPr>
      </w:pPr>
      <w:r w:rsidRPr="00BB07AF">
        <w:rPr>
          <w:noProof/>
        </w:rPr>
        <w:tab/>
        <w:t>2.3.</w:t>
      </w:r>
      <w:r w:rsidRPr="00BB07AF">
        <w:rPr>
          <w:noProof/>
        </w:rPr>
        <w:tab/>
        <w:t>Środki zapobiegania nadużyciom finansowym</w:t>
      </w:r>
      <w:r w:rsidR="003409C9" w:rsidRPr="00BB07AF">
        <w:rPr>
          <w:noProof/>
        </w:rPr>
        <w:t xml:space="preserve"> i nie</w:t>
      </w:r>
      <w:r w:rsidRPr="00BB07AF">
        <w:rPr>
          <w:noProof/>
        </w:rPr>
        <w:t>prawidłowościom</w:t>
      </w:r>
    </w:p>
    <w:p w:rsidR="008A5088" w:rsidRPr="00BB07AF" w:rsidRDefault="008A5088" w:rsidP="00EA0500">
      <w:pPr>
        <w:pStyle w:val="ManualHeading1"/>
        <w:rPr>
          <w:noProof/>
        </w:rPr>
      </w:pPr>
      <w:r w:rsidRPr="00BB07AF">
        <w:rPr>
          <w:noProof/>
        </w:rPr>
        <w:t>3.</w:t>
      </w:r>
      <w:r w:rsidRPr="00BB07AF">
        <w:rPr>
          <w:noProof/>
        </w:rPr>
        <w:tab/>
        <w:t>SZACUNKOWY WPŁYW FINANSOWY WNIOSKU/INICJATYWY</w:t>
      </w:r>
      <w:r w:rsidRPr="00BB07AF">
        <w:rPr>
          <w:noProof/>
        </w:rPr>
        <w:tab/>
      </w:r>
    </w:p>
    <w:p w:rsidR="008A5088" w:rsidRPr="00BB07AF" w:rsidRDefault="008A5088" w:rsidP="00EA0500">
      <w:pPr>
        <w:pStyle w:val="ManualHeading2"/>
        <w:rPr>
          <w:noProof/>
        </w:rPr>
      </w:pPr>
      <w:r w:rsidRPr="00BB07AF">
        <w:rPr>
          <w:noProof/>
        </w:rPr>
        <w:tab/>
        <w:t>3.1.</w:t>
      </w:r>
      <w:r w:rsidRPr="00BB07AF">
        <w:rPr>
          <w:noProof/>
        </w:rPr>
        <w:tab/>
        <w:t>Działy wieloletnich ram finansowych</w:t>
      </w:r>
      <w:r w:rsidR="003409C9" w:rsidRPr="00BB07AF">
        <w:rPr>
          <w:noProof/>
        </w:rPr>
        <w:t xml:space="preserve"> i lin</w:t>
      </w:r>
      <w:r w:rsidRPr="00BB07AF">
        <w:rPr>
          <w:noProof/>
        </w:rPr>
        <w:t>ie budżetowe po stronie wydatków, na które wniosek/inicjatywa ma wpływ</w:t>
      </w:r>
    </w:p>
    <w:p w:rsidR="008A5088" w:rsidRPr="00BB07AF" w:rsidRDefault="008A5088" w:rsidP="00EA0500">
      <w:pPr>
        <w:pStyle w:val="ManualHeading2"/>
        <w:rPr>
          <w:noProof/>
        </w:rPr>
      </w:pPr>
      <w:r w:rsidRPr="00BB07AF">
        <w:rPr>
          <w:noProof/>
        </w:rPr>
        <w:tab/>
        <w:t>3.2.</w:t>
      </w:r>
      <w:r w:rsidRPr="00BB07AF">
        <w:rPr>
          <w:noProof/>
        </w:rPr>
        <w:tab/>
        <w:t>Szacunkowy wpływ finansowy wniosku na środki</w:t>
      </w:r>
    </w:p>
    <w:p w:rsidR="008A5088" w:rsidRPr="00BB07AF" w:rsidRDefault="008A5088" w:rsidP="00EA0500">
      <w:pPr>
        <w:pStyle w:val="ManualHeading3"/>
        <w:rPr>
          <w:noProof/>
        </w:rPr>
      </w:pPr>
      <w:r w:rsidRPr="00BB07AF">
        <w:rPr>
          <w:noProof/>
        </w:rPr>
        <w:tab/>
        <w:t>3.2.1.</w:t>
      </w:r>
      <w:r w:rsidRPr="00BB07AF">
        <w:rPr>
          <w:noProof/>
        </w:rPr>
        <w:tab/>
        <w:t>Podsumowanie szacunkowego wpływu na środki operacyjne</w:t>
      </w:r>
    </w:p>
    <w:p w:rsidR="008A5088" w:rsidRPr="00BB07AF" w:rsidRDefault="008A5088" w:rsidP="00EA0500">
      <w:pPr>
        <w:pStyle w:val="ManualHeading3"/>
        <w:rPr>
          <w:noProof/>
        </w:rPr>
      </w:pPr>
      <w:r w:rsidRPr="00BB07AF">
        <w:rPr>
          <w:noProof/>
        </w:rPr>
        <w:tab/>
        <w:t>3.2.2.</w:t>
      </w:r>
      <w:r w:rsidRPr="00BB07AF">
        <w:rPr>
          <w:noProof/>
        </w:rPr>
        <w:tab/>
        <w:t>Przewidywany produkt finansowany ze środków operacyjnych</w:t>
      </w:r>
    </w:p>
    <w:p w:rsidR="008A5088" w:rsidRPr="00BB07AF" w:rsidRDefault="008A5088" w:rsidP="00EA0500">
      <w:pPr>
        <w:pStyle w:val="ManualHeading3"/>
        <w:rPr>
          <w:noProof/>
        </w:rPr>
      </w:pPr>
      <w:r w:rsidRPr="00BB07AF">
        <w:rPr>
          <w:noProof/>
        </w:rPr>
        <w:tab/>
        <w:t>3.2.3.</w:t>
      </w:r>
      <w:r w:rsidRPr="00BB07AF">
        <w:rPr>
          <w:noProof/>
        </w:rPr>
        <w:tab/>
        <w:t>Podsumowanie szacunkowego wpływu na środki administracyjne</w:t>
      </w:r>
    </w:p>
    <w:p w:rsidR="008A5088" w:rsidRPr="00BB07AF" w:rsidRDefault="008A5088" w:rsidP="00EA0500">
      <w:pPr>
        <w:pStyle w:val="ManualHeading3"/>
        <w:rPr>
          <w:noProof/>
        </w:rPr>
      </w:pPr>
      <w:r w:rsidRPr="00BB07AF">
        <w:rPr>
          <w:noProof/>
        </w:rPr>
        <w:tab/>
        <w:t>3.2.4.</w:t>
      </w:r>
      <w:r w:rsidRPr="00BB07AF">
        <w:rPr>
          <w:noProof/>
        </w:rPr>
        <w:tab/>
        <w:t>Zgodność</w:t>
      </w:r>
      <w:r w:rsidR="003409C9" w:rsidRPr="00BB07AF">
        <w:rPr>
          <w:noProof/>
        </w:rPr>
        <w:t xml:space="preserve"> z obo</w:t>
      </w:r>
      <w:r w:rsidRPr="00BB07AF">
        <w:rPr>
          <w:noProof/>
        </w:rPr>
        <w:t>wiązującymi wieloletnimi ramami finansowymi</w:t>
      </w:r>
    </w:p>
    <w:p w:rsidR="008A5088" w:rsidRPr="00BB07AF" w:rsidRDefault="008A5088" w:rsidP="00EA0500">
      <w:pPr>
        <w:pStyle w:val="ManualHeading3"/>
        <w:rPr>
          <w:noProof/>
        </w:rPr>
      </w:pPr>
      <w:r w:rsidRPr="00BB07AF">
        <w:rPr>
          <w:noProof/>
        </w:rPr>
        <w:tab/>
        <w:t>3.2.5.</w:t>
      </w:r>
      <w:r w:rsidRPr="00BB07AF">
        <w:rPr>
          <w:noProof/>
        </w:rPr>
        <w:tab/>
        <w:t>Udział osób trzecich</w:t>
      </w:r>
      <w:r w:rsidR="003409C9" w:rsidRPr="00BB07AF">
        <w:rPr>
          <w:noProof/>
        </w:rPr>
        <w:t xml:space="preserve"> w fin</w:t>
      </w:r>
      <w:r w:rsidRPr="00BB07AF">
        <w:rPr>
          <w:noProof/>
        </w:rPr>
        <w:t>ansowaniu</w:t>
      </w:r>
    </w:p>
    <w:p w:rsidR="008A5088" w:rsidRPr="00BB07AF" w:rsidRDefault="008A5088" w:rsidP="00EA0500">
      <w:pPr>
        <w:pStyle w:val="ManualHeading2"/>
        <w:rPr>
          <w:noProof/>
        </w:rPr>
      </w:pPr>
      <w:r w:rsidRPr="00BB07AF">
        <w:rPr>
          <w:noProof/>
        </w:rPr>
        <w:tab/>
        <w:t>3.3.</w:t>
      </w:r>
      <w:r w:rsidRPr="00BB07AF">
        <w:rPr>
          <w:noProof/>
        </w:rPr>
        <w:tab/>
        <w:t>Szacunkowy wpływ na dochody</w:t>
      </w:r>
    </w:p>
    <w:p w:rsidR="008A5088" w:rsidRPr="003409C9" w:rsidRDefault="008A5088" w:rsidP="00EA0500">
      <w:pPr>
        <w:rPr>
          <w:noProof/>
        </w:rPr>
        <w:sectPr w:rsidR="008A5088" w:rsidRPr="003409C9" w:rsidSect="00883BC7">
          <w:pgSz w:w="11907" w:h="16840" w:code="9"/>
          <w:pgMar w:top="1134" w:right="1418" w:bottom="1134" w:left="1418" w:header="709" w:footer="709" w:gutter="0"/>
          <w:cols w:space="708"/>
          <w:docGrid w:linePitch="360"/>
        </w:sectPr>
      </w:pPr>
    </w:p>
    <w:p w:rsidR="00CD7E2F" w:rsidRPr="00BB07AF" w:rsidRDefault="009475BC" w:rsidP="009475BC">
      <w:pPr>
        <w:pStyle w:val="ManualHeading1"/>
        <w:rPr>
          <w:noProof/>
        </w:rPr>
      </w:pPr>
      <w:r w:rsidRPr="00BB07AF">
        <w:rPr>
          <w:noProof/>
        </w:rPr>
        <w:t>1.</w:t>
      </w:r>
      <w:r w:rsidRPr="00BB07AF">
        <w:rPr>
          <w:noProof/>
        </w:rPr>
        <w:tab/>
        <w:t>STRUKTURA WNIOSKÓW</w:t>
      </w:r>
      <w:bookmarkEnd w:id="58"/>
      <w:bookmarkEnd w:id="59"/>
    </w:p>
    <w:p w:rsidR="00CD7E2F" w:rsidRPr="00BB07AF" w:rsidRDefault="009475BC" w:rsidP="009475BC">
      <w:pPr>
        <w:pStyle w:val="ManualHeading2"/>
        <w:rPr>
          <w:noProof/>
        </w:rPr>
      </w:pPr>
      <w:bookmarkStart w:id="60" w:name="_Toc514938008"/>
      <w:bookmarkStart w:id="61" w:name="_Toc117796967"/>
      <w:r w:rsidRPr="00BB07AF">
        <w:rPr>
          <w:noProof/>
        </w:rPr>
        <w:t>1.1.</w:t>
      </w:r>
      <w:r w:rsidRPr="00BB07AF">
        <w:rPr>
          <w:noProof/>
        </w:rPr>
        <w:tab/>
        <w:t>Tytuł wniosków</w:t>
      </w:r>
      <w:bookmarkEnd w:id="60"/>
      <w:bookmarkEnd w:id="61"/>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bookmarkStart w:id="62" w:name="_Hlk118440179"/>
      <w:r w:rsidRPr="003409C9">
        <w:rPr>
          <w:noProof/>
        </w:rPr>
        <w:t>1. Rozporządzenie Parlamentu Europejskiego</w:t>
      </w:r>
      <w:r w:rsidR="003409C9" w:rsidRPr="003409C9">
        <w:rPr>
          <w:noProof/>
        </w:rPr>
        <w:t xml:space="preserve"> i Rad</w:t>
      </w:r>
      <w:r w:rsidRPr="003409C9">
        <w:rPr>
          <w:noProof/>
        </w:rPr>
        <w:t>y</w:t>
      </w:r>
      <w:r w:rsidR="003409C9" w:rsidRPr="003409C9">
        <w:rPr>
          <w:noProof/>
        </w:rPr>
        <w:t xml:space="preserve"> w spr</w:t>
      </w:r>
      <w:r w:rsidRPr="003409C9">
        <w:rPr>
          <w:noProof/>
        </w:rPr>
        <w:t>awie gromadzenia</w:t>
      </w:r>
      <w:r w:rsidR="003409C9" w:rsidRPr="003409C9">
        <w:rPr>
          <w:noProof/>
        </w:rPr>
        <w:t xml:space="preserve"> i prz</w:t>
      </w:r>
      <w:r w:rsidRPr="003409C9">
        <w:rPr>
          <w:noProof/>
        </w:rPr>
        <w:t>ekazywania danych pasażera przekazywanych przed podróżą (API)</w:t>
      </w:r>
      <w:r w:rsidR="003409C9" w:rsidRPr="003409C9">
        <w:rPr>
          <w:noProof/>
        </w:rPr>
        <w:t xml:space="preserve"> w cel</w:t>
      </w:r>
      <w:r w:rsidRPr="003409C9">
        <w:rPr>
          <w:noProof/>
        </w:rPr>
        <w:t>u ułatwienia kontroli na granicach zewnętrznych</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2. Rozporządzenie Parlamentu Europejskiego</w:t>
      </w:r>
      <w:r w:rsidR="003409C9" w:rsidRPr="003409C9">
        <w:rPr>
          <w:noProof/>
        </w:rPr>
        <w:t xml:space="preserve"> i Rad</w:t>
      </w:r>
      <w:r w:rsidRPr="003409C9">
        <w:rPr>
          <w:noProof/>
        </w:rPr>
        <w:t>y</w:t>
      </w:r>
      <w:r w:rsidR="003409C9" w:rsidRPr="003409C9">
        <w:rPr>
          <w:noProof/>
        </w:rPr>
        <w:t xml:space="preserve"> w spr</w:t>
      </w:r>
      <w:r w:rsidRPr="003409C9">
        <w:rPr>
          <w:noProof/>
        </w:rPr>
        <w:t>awie gromadzenia</w:t>
      </w:r>
      <w:r w:rsidR="003409C9" w:rsidRPr="003409C9">
        <w:rPr>
          <w:noProof/>
        </w:rPr>
        <w:t xml:space="preserve"> i prz</w:t>
      </w:r>
      <w:r w:rsidRPr="003409C9">
        <w:rPr>
          <w:noProof/>
        </w:rPr>
        <w:t>ekazywania danych pasażera przekazywanych przed podróżą</w:t>
      </w:r>
      <w:r w:rsidR="003409C9" w:rsidRPr="003409C9">
        <w:rPr>
          <w:noProof/>
        </w:rPr>
        <w:t xml:space="preserve"> w cel</w:t>
      </w:r>
      <w:r w:rsidRPr="003409C9">
        <w:rPr>
          <w:noProof/>
        </w:rPr>
        <w:t>u zapobiegania przestępstwom terrorystycznym</w:t>
      </w:r>
      <w:r w:rsidR="003409C9" w:rsidRPr="003409C9">
        <w:rPr>
          <w:noProof/>
        </w:rPr>
        <w:t xml:space="preserve"> i pow</w:t>
      </w:r>
      <w:r w:rsidRPr="003409C9">
        <w:rPr>
          <w:noProof/>
        </w:rPr>
        <w:t>ażnej przestępczości, ich wykrywania, prowadzenia postępowań przygotowawczych</w:t>
      </w:r>
      <w:r w:rsidR="003409C9" w:rsidRPr="003409C9">
        <w:rPr>
          <w:noProof/>
        </w:rPr>
        <w:t xml:space="preserve"> w ich</w:t>
      </w:r>
      <w:r w:rsidRPr="003409C9">
        <w:rPr>
          <w:noProof/>
        </w:rPr>
        <w:t xml:space="preserve"> sprawie</w:t>
      </w:r>
      <w:r w:rsidR="003409C9" w:rsidRPr="003409C9">
        <w:rPr>
          <w:noProof/>
        </w:rPr>
        <w:t xml:space="preserve"> i ich</w:t>
      </w:r>
      <w:r w:rsidRPr="003409C9">
        <w:rPr>
          <w:noProof/>
        </w:rPr>
        <w:t xml:space="preserve"> ścigania</w:t>
      </w:r>
      <w:bookmarkEnd w:id="62"/>
    </w:p>
    <w:p w:rsidR="00CD7E2F" w:rsidRPr="00BB07AF" w:rsidRDefault="009475BC" w:rsidP="009475BC">
      <w:pPr>
        <w:pStyle w:val="ManualHeading2"/>
        <w:rPr>
          <w:i/>
          <w:noProof/>
        </w:rPr>
      </w:pPr>
      <w:bookmarkStart w:id="63" w:name="_Toc514938011"/>
      <w:bookmarkStart w:id="64" w:name="_Toc117796968"/>
      <w:r w:rsidRPr="00BB07AF">
        <w:rPr>
          <w:noProof/>
        </w:rPr>
        <w:t>1.2.</w:t>
      </w:r>
      <w:r w:rsidRPr="00BB07AF">
        <w:rPr>
          <w:noProof/>
        </w:rPr>
        <w:tab/>
        <w:t>Obszary polityki, których dotyczy wniosek/inicjatywa</w:t>
      </w:r>
      <w:bookmarkEnd w:id="63"/>
      <w:bookmarkEnd w:id="64"/>
      <w:r w:rsidRPr="00BB07AF">
        <w:rPr>
          <w:i/>
          <w:noProof/>
        </w:rPr>
        <w:t xml:space="preserve">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bookmarkStart w:id="65" w:name="_Hlk118440191"/>
      <w:r w:rsidRPr="003409C9">
        <w:rPr>
          <w:noProof/>
        </w:rPr>
        <w:t xml:space="preserve">Sprawy wewnętrzne </w:t>
      </w:r>
    </w:p>
    <w:p w:rsidR="00CD7E2F" w:rsidRPr="00BB07AF" w:rsidRDefault="009475BC" w:rsidP="009475BC">
      <w:pPr>
        <w:pStyle w:val="ManualHeading2"/>
        <w:rPr>
          <w:bCs/>
          <w:noProof/>
          <w:szCs w:val="24"/>
        </w:rPr>
      </w:pPr>
      <w:bookmarkStart w:id="66" w:name="_Toc514938014"/>
      <w:bookmarkStart w:id="67" w:name="_Toc117796969"/>
      <w:bookmarkEnd w:id="65"/>
      <w:r w:rsidRPr="00BB07AF">
        <w:rPr>
          <w:noProof/>
        </w:rPr>
        <w:t>1.3.</w:t>
      </w:r>
      <w:r w:rsidRPr="00BB07AF">
        <w:rPr>
          <w:noProof/>
        </w:rPr>
        <w:tab/>
        <w:t>Wniosek/inicjatywa dotyczy:</w:t>
      </w:r>
      <w:bookmarkEnd w:id="66"/>
      <w:bookmarkEnd w:id="67"/>
      <w:r w:rsidRPr="00BB07AF">
        <w:rPr>
          <w:noProof/>
        </w:rPr>
        <w:t xml:space="preserve"> </w:t>
      </w:r>
    </w:p>
    <w:p w:rsidR="00CD7E2F" w:rsidRPr="00BB07AF" w:rsidRDefault="00CD7E2F" w:rsidP="009B05A0">
      <w:pPr>
        <w:pStyle w:val="Text11"/>
        <w:rPr>
          <w:b/>
          <w:noProof/>
          <w:sz w:val="22"/>
        </w:rPr>
      </w:pPr>
      <w:r w:rsidRPr="003409C9">
        <w:rPr>
          <w:noProof/>
          <w:sz w:val="22"/>
        </w:rPr>
        <w:sym w:font="Wingdings" w:char="F0A8"/>
      </w:r>
      <w:r w:rsidRPr="00BB07AF">
        <w:rPr>
          <w:b/>
          <w:i/>
          <w:noProof/>
          <w:sz w:val="22"/>
        </w:rPr>
        <w:t xml:space="preserve"> </w:t>
      </w:r>
      <w:r w:rsidRPr="00BB07AF">
        <w:rPr>
          <w:b/>
          <w:noProof/>
        </w:rPr>
        <w:t>nowego działania</w:t>
      </w:r>
      <w:r w:rsidRPr="00BB07AF">
        <w:rPr>
          <w:b/>
          <w:noProof/>
          <w:sz w:val="22"/>
        </w:rPr>
        <w:t xml:space="preserve"> </w:t>
      </w:r>
    </w:p>
    <w:p w:rsidR="00CD7E2F" w:rsidRPr="003409C9" w:rsidRDefault="00CD7E2F" w:rsidP="009B05A0">
      <w:pPr>
        <w:pStyle w:val="Text11"/>
        <w:rPr>
          <w:noProof/>
          <w:sz w:val="22"/>
        </w:rPr>
      </w:pPr>
      <w:r w:rsidRPr="003409C9">
        <w:rPr>
          <w:noProof/>
          <w:sz w:val="22"/>
        </w:rPr>
        <w:sym w:font="Wingdings" w:char="F0A8"/>
      </w:r>
      <w:r w:rsidRPr="00BB07AF">
        <w:rPr>
          <w:i/>
          <w:noProof/>
          <w:sz w:val="22"/>
        </w:rPr>
        <w:t xml:space="preserve"> </w:t>
      </w:r>
      <w:r w:rsidRPr="00BB07AF">
        <w:rPr>
          <w:b/>
          <w:noProof/>
        </w:rPr>
        <w:t>nowego działania, będącego następstwem projektu pilotażowego/działania przygotowawczego</w:t>
      </w:r>
      <w:r w:rsidRPr="00BB07AF">
        <w:rPr>
          <w:rStyle w:val="FootnoteReference0"/>
          <w:b/>
          <w:noProof/>
        </w:rPr>
        <w:footnoteReference w:id="52"/>
      </w:r>
      <w:r w:rsidRPr="003409C9">
        <w:rPr>
          <w:noProof/>
          <w:sz w:val="22"/>
        </w:rPr>
        <w:t xml:space="preserve"> </w:t>
      </w:r>
    </w:p>
    <w:p w:rsidR="00CD7E2F" w:rsidRPr="003409C9" w:rsidRDefault="00CD7E2F" w:rsidP="009B05A0">
      <w:pPr>
        <w:pStyle w:val="Text11"/>
        <w:rPr>
          <w:noProof/>
          <w:sz w:val="22"/>
        </w:rPr>
      </w:pPr>
      <w:r w:rsidRPr="003409C9">
        <w:rPr>
          <w:noProof/>
          <w:sz w:val="22"/>
        </w:rPr>
        <w:sym w:font="Wingdings" w:char="F078"/>
      </w:r>
      <w:r w:rsidRPr="003409C9">
        <w:rPr>
          <w:noProof/>
          <w:sz w:val="22"/>
        </w:rPr>
        <w:t xml:space="preserve"> </w:t>
      </w:r>
      <w:r w:rsidRPr="00BB07AF">
        <w:rPr>
          <w:b/>
          <w:noProof/>
        </w:rPr>
        <w:t>przedłużenia bieżącego działania</w:t>
      </w:r>
      <w:r w:rsidRPr="003409C9">
        <w:rPr>
          <w:noProof/>
          <w:sz w:val="22"/>
        </w:rPr>
        <w:t xml:space="preserve"> </w:t>
      </w:r>
    </w:p>
    <w:p w:rsidR="00CD7E2F" w:rsidRPr="003409C9" w:rsidRDefault="00CD7E2F" w:rsidP="009B05A0">
      <w:pPr>
        <w:pStyle w:val="Text11"/>
        <w:rPr>
          <w:noProof/>
        </w:rPr>
      </w:pPr>
      <w:r w:rsidRPr="003409C9">
        <w:rPr>
          <w:noProof/>
          <w:sz w:val="22"/>
        </w:rPr>
        <w:sym w:font="Wingdings" w:char="F0A8"/>
      </w:r>
      <w:r w:rsidRPr="00BB07AF">
        <w:rPr>
          <w:i/>
          <w:noProof/>
          <w:sz w:val="22"/>
        </w:rPr>
        <w:t xml:space="preserve"> </w:t>
      </w:r>
      <w:r w:rsidRPr="00BB07AF">
        <w:rPr>
          <w:b/>
          <w:noProof/>
        </w:rPr>
        <w:t>połączenia lub przekształcenia co najmniej jednego działania pod kątem innego/nowego działania</w:t>
      </w:r>
      <w:r w:rsidRPr="003409C9">
        <w:rPr>
          <w:noProof/>
        </w:rPr>
        <w:t xml:space="preserve"> </w:t>
      </w:r>
    </w:p>
    <w:p w:rsidR="00CD7E2F" w:rsidRPr="003E0B2E" w:rsidRDefault="009475BC" w:rsidP="009475BC">
      <w:pPr>
        <w:pStyle w:val="ManualHeading2"/>
        <w:rPr>
          <w:bCs/>
          <w:noProof/>
          <w:szCs w:val="24"/>
          <w:lang w:val="es-ES"/>
        </w:rPr>
      </w:pPr>
      <w:bookmarkStart w:id="68" w:name="_Toc514938015"/>
      <w:bookmarkStart w:id="69" w:name="_Toc117796970"/>
      <w:r w:rsidRPr="003E0B2E">
        <w:rPr>
          <w:noProof/>
          <w:lang w:val="es-ES"/>
        </w:rPr>
        <w:t>1.4.</w:t>
      </w:r>
      <w:r w:rsidRPr="003E0B2E">
        <w:rPr>
          <w:noProof/>
          <w:lang w:val="es-ES"/>
        </w:rPr>
        <w:tab/>
        <w:t>Cel(e)</w:t>
      </w:r>
      <w:bookmarkEnd w:id="68"/>
      <w:bookmarkEnd w:id="69"/>
    </w:p>
    <w:p w:rsidR="00CD7E2F" w:rsidRPr="003E0B2E" w:rsidRDefault="009475BC" w:rsidP="009475BC">
      <w:pPr>
        <w:pStyle w:val="ManualHeading3"/>
        <w:rPr>
          <w:noProof/>
          <w:lang w:val="es-ES"/>
        </w:rPr>
      </w:pPr>
      <w:bookmarkStart w:id="70" w:name="_Toc514938016"/>
      <w:bookmarkStart w:id="71" w:name="_Toc117796971"/>
      <w:r w:rsidRPr="003E0B2E">
        <w:rPr>
          <w:noProof/>
          <w:lang w:val="es-ES"/>
        </w:rPr>
        <w:t>1.4.1.</w:t>
      </w:r>
      <w:r w:rsidRPr="003E0B2E">
        <w:rPr>
          <w:noProof/>
          <w:lang w:val="es-ES"/>
        </w:rPr>
        <w:tab/>
        <w:t>Cel(e) ogólny(e)</w:t>
      </w:r>
      <w:bookmarkEnd w:id="70"/>
      <w:bookmarkEnd w:id="71"/>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bookmarkStart w:id="72" w:name="_Hlk118440211"/>
      <w:r w:rsidRPr="003409C9">
        <w:rPr>
          <w:noProof/>
        </w:rPr>
        <w:t>1. Poprawa zarządzania granicami zewnętrznymi</w:t>
      </w:r>
      <w:r w:rsidR="003409C9" w:rsidRPr="003409C9">
        <w:rPr>
          <w:noProof/>
        </w:rPr>
        <w:t xml:space="preserve"> i zwa</w:t>
      </w:r>
      <w:r w:rsidRPr="003409C9">
        <w:rPr>
          <w:noProof/>
        </w:rPr>
        <w:t>lczanie nielegalnej imigracji poprzez zapewnienie, aby każda osoba przekraczająca odpowiednie granice zewnętrzne drogą powietrzną była poddawana podobnej</w:t>
      </w:r>
      <w:r w:rsidR="003409C9" w:rsidRPr="003409C9">
        <w:rPr>
          <w:noProof/>
        </w:rPr>
        <w:t xml:space="preserve"> i nie</w:t>
      </w:r>
      <w:r w:rsidRPr="003409C9">
        <w:rPr>
          <w:noProof/>
        </w:rPr>
        <w:t>zbędnej odprawie przed wjazdem.</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2. Zwiększenie bezpieczeństwa wewnętrznego UE poprzez zapewnienie organom ścigania państw członkowskich dostępu, za pośrednictwem podlegających im jednostek do spraw informacji</w:t>
      </w:r>
      <w:r w:rsidR="003409C9" w:rsidRPr="003409C9">
        <w:rPr>
          <w:noProof/>
        </w:rPr>
        <w:t xml:space="preserve"> o pas</w:t>
      </w:r>
      <w:r w:rsidRPr="003409C9">
        <w:rPr>
          <w:noProof/>
        </w:rPr>
        <w:t>ażerach, do danych osób podróżujących drogą powietrzną, które to dane są niezbędne do zapobiegania poważnym przestępstwom</w:t>
      </w:r>
      <w:r w:rsidR="003409C9" w:rsidRPr="003409C9">
        <w:rPr>
          <w:noProof/>
        </w:rPr>
        <w:t xml:space="preserve"> i ter</w:t>
      </w:r>
      <w:r w:rsidRPr="003409C9">
        <w:rPr>
          <w:noProof/>
        </w:rPr>
        <w:t>roryzmowi, ich wykrywania</w:t>
      </w:r>
      <w:r w:rsidR="003409C9" w:rsidRPr="003409C9">
        <w:rPr>
          <w:noProof/>
        </w:rPr>
        <w:t xml:space="preserve"> i pro</w:t>
      </w:r>
      <w:r w:rsidRPr="003409C9">
        <w:rPr>
          <w:noProof/>
        </w:rPr>
        <w:t>wadzenia postępowań przygotowawczych</w:t>
      </w:r>
      <w:r w:rsidR="003409C9" w:rsidRPr="003409C9">
        <w:rPr>
          <w:noProof/>
        </w:rPr>
        <w:t xml:space="preserve"> w ich</w:t>
      </w:r>
      <w:r w:rsidRPr="003409C9">
        <w:rPr>
          <w:noProof/>
        </w:rPr>
        <w:t xml:space="preserve"> sprawie.</w:t>
      </w:r>
    </w:p>
    <w:p w:rsidR="00CD7E2F" w:rsidRPr="00BB07AF" w:rsidRDefault="009475BC" w:rsidP="009475BC">
      <w:pPr>
        <w:pStyle w:val="ManualHeading3"/>
        <w:rPr>
          <w:bCs/>
          <w:noProof/>
          <w:szCs w:val="24"/>
        </w:rPr>
      </w:pPr>
      <w:bookmarkStart w:id="73" w:name="_Toc514938018"/>
      <w:bookmarkStart w:id="74" w:name="_Toc117796972"/>
      <w:bookmarkEnd w:id="72"/>
      <w:r w:rsidRPr="00BB07AF">
        <w:rPr>
          <w:noProof/>
        </w:rPr>
        <w:t>1.4.2.</w:t>
      </w:r>
      <w:r w:rsidRPr="00BB07AF">
        <w:rPr>
          <w:noProof/>
        </w:rPr>
        <w:tab/>
        <w:t>Cel(e) szczegółowy(e)</w:t>
      </w:r>
      <w:bookmarkEnd w:id="73"/>
      <w:bookmarkEnd w:id="74"/>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bookmarkStart w:id="75" w:name="_Hlk118440236"/>
      <w:r w:rsidRPr="00BB07AF">
        <w:rPr>
          <w:noProof/>
          <w:u w:val="single"/>
        </w:rPr>
        <w:t>Cel szczegółowy nr</w:t>
      </w:r>
      <w:r w:rsidR="003409C9" w:rsidRPr="00BB07AF">
        <w:rPr>
          <w:noProof/>
          <w:u w:val="single"/>
        </w:rPr>
        <w:t> </w:t>
      </w:r>
      <w:r w:rsidRPr="00BB07AF">
        <w:rPr>
          <w:noProof/>
          <w:u w:val="single"/>
        </w:rPr>
        <w:t>1</w:t>
      </w:r>
      <w:r w:rsidRPr="003409C9">
        <w:rPr>
          <w:noProof/>
        </w:rPr>
        <w:t>: Poprawa wstępnych kontroli na odpowiednich granicach zewnętrznych</w:t>
      </w:r>
      <w:r w:rsidR="003409C9" w:rsidRPr="003409C9">
        <w:rPr>
          <w:noProof/>
        </w:rPr>
        <w:t xml:space="preserve"> z wyk</w:t>
      </w:r>
      <w:r w:rsidRPr="003409C9">
        <w:rPr>
          <w:noProof/>
        </w:rPr>
        <w:t>orzystaniem danych API cechujących się wysoką jakością</w:t>
      </w:r>
      <w:r w:rsidR="003409C9" w:rsidRPr="003409C9">
        <w:rPr>
          <w:noProof/>
        </w:rPr>
        <w:t xml:space="preserve"> i kom</w:t>
      </w:r>
      <w:r w:rsidRPr="003409C9">
        <w:rPr>
          <w:noProof/>
        </w:rPr>
        <w:t>pletnością oraz usprawnienie przepływu podróżnych (w przypadku wszystkich objętych kontrolą lotów przychodzących,</w:t>
      </w:r>
      <w:r w:rsidR="003409C9" w:rsidRPr="003409C9">
        <w:rPr>
          <w:noProof/>
        </w:rPr>
        <w:t xml:space="preserve"> w tym</w:t>
      </w:r>
      <w:r w:rsidRPr="003409C9">
        <w:rPr>
          <w:noProof/>
        </w:rPr>
        <w:t xml:space="preserve"> lotnictwa czarterowego</w:t>
      </w:r>
      <w:r w:rsidR="003409C9" w:rsidRPr="003409C9">
        <w:rPr>
          <w:noProof/>
        </w:rPr>
        <w:t xml:space="preserve"> i kor</w:t>
      </w:r>
      <w:r w:rsidRPr="003409C9">
        <w:rPr>
          <w:noProof/>
        </w:rPr>
        <w:t>poracyjnego).</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BB07AF">
        <w:rPr>
          <w:noProof/>
          <w:u w:val="single"/>
        </w:rPr>
        <w:t>Cel szczegółowy nr</w:t>
      </w:r>
      <w:r w:rsidR="003409C9" w:rsidRPr="00BB07AF">
        <w:rPr>
          <w:noProof/>
          <w:u w:val="single"/>
        </w:rPr>
        <w:t> </w:t>
      </w:r>
      <w:r w:rsidRPr="00BB07AF">
        <w:rPr>
          <w:noProof/>
          <w:u w:val="single"/>
        </w:rPr>
        <w:t>2</w:t>
      </w:r>
      <w:r w:rsidRPr="003409C9">
        <w:rPr>
          <w:noProof/>
        </w:rPr>
        <w:t>: Zapobieganie poważnym przestępstwom</w:t>
      </w:r>
      <w:r w:rsidR="003409C9" w:rsidRPr="003409C9">
        <w:rPr>
          <w:noProof/>
        </w:rPr>
        <w:t xml:space="preserve"> i akt</w:t>
      </w:r>
      <w:r w:rsidRPr="003409C9">
        <w:rPr>
          <w:noProof/>
        </w:rPr>
        <w:t>om terroryzmu, ich wykrywanie</w:t>
      </w:r>
      <w:r w:rsidR="003409C9" w:rsidRPr="003409C9">
        <w:rPr>
          <w:noProof/>
        </w:rPr>
        <w:t xml:space="preserve"> i pro</w:t>
      </w:r>
      <w:r w:rsidRPr="003409C9">
        <w:rPr>
          <w:noProof/>
        </w:rPr>
        <w:t>wadzenie postępowań przygotowawczych</w:t>
      </w:r>
      <w:r w:rsidR="003409C9" w:rsidRPr="003409C9">
        <w:rPr>
          <w:noProof/>
        </w:rPr>
        <w:t xml:space="preserve"> w ich</w:t>
      </w:r>
      <w:r w:rsidRPr="003409C9">
        <w:rPr>
          <w:noProof/>
        </w:rPr>
        <w:t xml:space="preserve"> sprawie</w:t>
      </w:r>
      <w:r w:rsidR="003409C9" w:rsidRPr="003409C9">
        <w:rPr>
          <w:noProof/>
        </w:rPr>
        <w:t xml:space="preserve"> z wyk</w:t>
      </w:r>
      <w:r w:rsidRPr="003409C9">
        <w:rPr>
          <w:noProof/>
        </w:rPr>
        <w:t>orzystaniem danych API uzupełniających dane PNR dotyczące wszystkich pozaunijnych lotów przychodzących</w:t>
      </w:r>
      <w:r w:rsidR="003409C9" w:rsidRPr="003409C9">
        <w:rPr>
          <w:noProof/>
        </w:rPr>
        <w:t xml:space="preserve"> i wyc</w:t>
      </w:r>
      <w:r w:rsidRPr="003409C9">
        <w:rPr>
          <w:noProof/>
        </w:rPr>
        <w:t>hodzących oraz wybranych lotów wewnątrzunijnych.</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Aby osiągnąć cele szczegółowe nr</w:t>
      </w:r>
      <w:r w:rsidR="003409C9" w:rsidRPr="003409C9">
        <w:rPr>
          <w:noProof/>
        </w:rPr>
        <w:t> </w:t>
      </w:r>
      <w:r w:rsidRPr="003409C9">
        <w:rPr>
          <w:noProof/>
        </w:rPr>
        <w:t>1 i nr</w:t>
      </w:r>
      <w:r w:rsidR="003409C9" w:rsidRPr="003409C9">
        <w:rPr>
          <w:noProof/>
        </w:rPr>
        <w:t> </w:t>
      </w:r>
      <w:r w:rsidRPr="003409C9">
        <w:rPr>
          <w:noProof/>
        </w:rPr>
        <w:t>2, we wniosku przewiduje się utworzenie centralnego routera API.</w:t>
      </w:r>
      <w:bookmarkEnd w:id="75"/>
    </w:p>
    <w:p w:rsidR="00CD7E2F" w:rsidRPr="00BB07AF" w:rsidRDefault="009475BC" w:rsidP="009475BC">
      <w:pPr>
        <w:pStyle w:val="ManualHeading3"/>
        <w:rPr>
          <w:noProof/>
        </w:rPr>
      </w:pPr>
      <w:bookmarkStart w:id="76" w:name="_Toc514938019"/>
      <w:bookmarkStart w:id="77" w:name="_Toc117796973"/>
      <w:r w:rsidRPr="00BB07AF">
        <w:rPr>
          <w:noProof/>
        </w:rPr>
        <w:t>1.4.3.</w:t>
      </w:r>
      <w:r w:rsidRPr="00BB07AF">
        <w:rPr>
          <w:noProof/>
        </w:rPr>
        <w:tab/>
        <w:t>Oczekiwane wyniki</w:t>
      </w:r>
      <w:r w:rsidR="003409C9" w:rsidRPr="00BB07AF">
        <w:rPr>
          <w:noProof/>
        </w:rPr>
        <w:t xml:space="preserve"> i wpł</w:t>
      </w:r>
      <w:r w:rsidRPr="00BB07AF">
        <w:rPr>
          <w:noProof/>
        </w:rPr>
        <w:t>yw</w:t>
      </w:r>
      <w:bookmarkEnd w:id="76"/>
      <w:bookmarkEnd w:id="77"/>
    </w:p>
    <w:p w:rsidR="00CD7E2F" w:rsidRPr="00BB07AF" w:rsidRDefault="00CD7E2F" w:rsidP="009B05A0">
      <w:pPr>
        <w:pStyle w:val="Text11"/>
        <w:rPr>
          <w:i/>
          <w:noProof/>
          <w:sz w:val="20"/>
        </w:rPr>
      </w:pPr>
      <w:r w:rsidRPr="00BB07AF">
        <w:rPr>
          <w:i/>
          <w:noProof/>
          <w:sz w:val="20"/>
        </w:rPr>
        <w:t>Należy wskazać, jakie efekty przyniesie wniosek/inicjatywa beneficjentom/grupie docelowej.</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bookmarkStart w:id="78" w:name="_Hlk118440253"/>
      <w:r w:rsidRPr="003409C9">
        <w:rPr>
          <w:noProof/>
        </w:rPr>
        <w:t xml:space="preserve">Wjazd na terytorium Unii </w:t>
      </w:r>
      <w:r w:rsidRPr="00BB07AF">
        <w:rPr>
          <w:b/>
          <w:noProof/>
        </w:rPr>
        <w:t>wszystkich</w:t>
      </w:r>
      <w:r w:rsidRPr="003409C9">
        <w:rPr>
          <w:noProof/>
        </w:rPr>
        <w:t xml:space="preserve"> </w:t>
      </w:r>
      <w:r w:rsidRPr="00BB07AF">
        <w:rPr>
          <w:b/>
          <w:noProof/>
        </w:rPr>
        <w:t xml:space="preserve">osób podróżujących liniami lotniczymi, </w:t>
      </w:r>
      <w:r w:rsidRPr="003409C9">
        <w:rPr>
          <w:noProof/>
        </w:rPr>
        <w:t>niezależnie od obywatelstwa, jest usprawniony</w:t>
      </w:r>
      <w:r w:rsidR="003409C9" w:rsidRPr="003409C9">
        <w:rPr>
          <w:noProof/>
        </w:rPr>
        <w:t xml:space="preserve"> i prz</w:t>
      </w:r>
      <w:r w:rsidRPr="003409C9">
        <w:rPr>
          <w:noProof/>
        </w:rPr>
        <w:t>yspieszony dzięki wydajniejszym odprawom granicznym, opartym na wynikach systematycznych wstępnych kontroli przeprowadzanych przed przybyciem podróżnego do portu lotniczego. Odprawa takich podróżnych zostanie usprawniona dzięki automatycznemu odczytowi informacji</w:t>
      </w:r>
      <w:r w:rsidR="003409C9" w:rsidRPr="003409C9">
        <w:rPr>
          <w:noProof/>
        </w:rPr>
        <w:t xml:space="preserve"> z dok</w:t>
      </w:r>
      <w:r w:rsidRPr="003409C9">
        <w:rPr>
          <w:noProof/>
        </w:rPr>
        <w:t>umentów podróży.</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BB07AF">
        <w:rPr>
          <w:b/>
          <w:noProof/>
        </w:rPr>
        <w:t xml:space="preserve">eu-LISA </w:t>
      </w:r>
      <w:r w:rsidRPr="003409C9">
        <w:rPr>
          <w:noProof/>
        </w:rPr>
        <w:t>utworzy</w:t>
      </w:r>
      <w:r w:rsidR="003409C9" w:rsidRPr="003409C9">
        <w:rPr>
          <w:noProof/>
        </w:rPr>
        <w:t xml:space="preserve"> i będ</w:t>
      </w:r>
      <w:r w:rsidRPr="003409C9">
        <w:rPr>
          <w:noProof/>
        </w:rPr>
        <w:t>zie obsługiwać centralny router API</w:t>
      </w:r>
      <w:r w:rsidR="003409C9" w:rsidRPr="003409C9">
        <w:rPr>
          <w:noProof/>
        </w:rPr>
        <w:t xml:space="preserve"> w jak</w:t>
      </w:r>
      <w:r w:rsidRPr="003409C9">
        <w:rPr>
          <w:noProof/>
        </w:rPr>
        <w:t xml:space="preserve"> najkrótszym czasie od daty przyjęcia obu wniosków ustawodawczych.</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BB07AF">
        <w:rPr>
          <w:b/>
          <w:noProof/>
        </w:rPr>
        <w:t>Przewoźnicy lotniczy,</w:t>
      </w:r>
      <w:r w:rsidRPr="003409C9">
        <w:rPr>
          <w:noProof/>
        </w:rPr>
        <w:t xml:space="preserve"> zwłaszcza ci, którzy obsługują wyłącznie loty wewnątrzunijne, będą musieli dokonać inwestycji</w:t>
      </w:r>
      <w:r w:rsidR="003409C9" w:rsidRPr="003409C9">
        <w:rPr>
          <w:noProof/>
        </w:rPr>
        <w:t xml:space="preserve"> w cel</w:t>
      </w:r>
      <w:r w:rsidRPr="003409C9">
        <w:rPr>
          <w:noProof/>
        </w:rPr>
        <w:t>u przekazywania danych API do routera (75 mln EUR</w:t>
      </w:r>
      <w:r w:rsidRPr="003409C9">
        <w:rPr>
          <w:rStyle w:val="FootnoteReference0"/>
          <w:noProof/>
        </w:rPr>
        <w:footnoteReference w:id="53"/>
      </w:r>
      <w:r w:rsidRPr="003409C9">
        <w:rPr>
          <w:noProof/>
        </w:rPr>
        <w:t>). Dla całego przemysłu lotniczego koszty te zostaną jednak zrekompensowane dzięki zracjonalizowanemu</w:t>
      </w:r>
      <w:r w:rsidR="003409C9" w:rsidRPr="003409C9">
        <w:rPr>
          <w:noProof/>
        </w:rPr>
        <w:t xml:space="preserve"> i sce</w:t>
      </w:r>
      <w:r w:rsidRPr="003409C9">
        <w:rPr>
          <w:noProof/>
        </w:rPr>
        <w:t>ntralizowanemu podejściu do przekazywania informacji właściwym organom krajowym. Przykładowo przekazywanie danych API służbom granicznym</w:t>
      </w:r>
      <w:r w:rsidR="003409C9" w:rsidRPr="003409C9">
        <w:rPr>
          <w:noProof/>
        </w:rPr>
        <w:t xml:space="preserve"> i jed</w:t>
      </w:r>
      <w:r w:rsidRPr="003409C9">
        <w:rPr>
          <w:noProof/>
        </w:rPr>
        <w:t>nostkom do spraw informacji</w:t>
      </w:r>
      <w:r w:rsidR="003409C9" w:rsidRPr="003409C9">
        <w:rPr>
          <w:noProof/>
        </w:rPr>
        <w:t xml:space="preserve"> o pas</w:t>
      </w:r>
      <w:r w:rsidRPr="003409C9">
        <w:rPr>
          <w:noProof/>
        </w:rPr>
        <w:t>ażerach (JIP) za pośrednictwem pojedynczego punktu kontaktowego przyczyni się do znacznego zmniejszenia liczby podłączeń,</w:t>
      </w:r>
      <w:r w:rsidR="003409C9" w:rsidRPr="003409C9">
        <w:rPr>
          <w:noProof/>
        </w:rPr>
        <w:t xml:space="preserve"> a tym</w:t>
      </w:r>
      <w:r w:rsidRPr="003409C9">
        <w:rPr>
          <w:noProof/>
        </w:rPr>
        <w:t xml:space="preserve"> samym do ograniczenia kosztów operacyjnych (+12 545 mln EUR rocznie zamiast +40,3 mln EUR) oraz do zmniejszenia kar nakładanych zazwyczaj</w:t>
      </w:r>
      <w:r w:rsidR="003409C9" w:rsidRPr="003409C9">
        <w:rPr>
          <w:noProof/>
        </w:rPr>
        <w:t xml:space="preserve"> w zwi</w:t>
      </w:r>
      <w:r w:rsidRPr="003409C9">
        <w:rPr>
          <w:noProof/>
        </w:rPr>
        <w:t>ązku</w:t>
      </w:r>
      <w:r w:rsidR="003409C9" w:rsidRPr="003409C9">
        <w:rPr>
          <w:noProof/>
        </w:rPr>
        <w:t xml:space="preserve"> z nie</w:t>
      </w:r>
      <w:r w:rsidRPr="003409C9">
        <w:rPr>
          <w:noProof/>
        </w:rPr>
        <w:t>dostatecznymi danymi</w:t>
      </w:r>
      <w:r w:rsidR="003409C9" w:rsidRPr="003409C9">
        <w:rPr>
          <w:noProof/>
        </w:rPr>
        <w:t xml:space="preserve"> o pod</w:t>
      </w:r>
      <w:r w:rsidRPr="003409C9">
        <w:rPr>
          <w:noProof/>
        </w:rPr>
        <w:t xml:space="preserve">róży lub brakiem tych danych (80 mln EUR rocznie).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BB07AF">
        <w:rPr>
          <w:b/>
          <w:noProof/>
        </w:rPr>
        <w:t>Porty lotnicze</w:t>
      </w:r>
      <w:r w:rsidRPr="003409C9">
        <w:rPr>
          <w:noProof/>
        </w:rPr>
        <w:t xml:space="preserve"> zyskają na krótszym czasie przekraczania granicy, co pośrednio przyczyni się do ograniczenia potrzeby postoju oraz zapewni większą niezawodność transferów (węzeł lotniczy).</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 xml:space="preserve">Głównymi beneficjentami są </w:t>
      </w:r>
      <w:r w:rsidRPr="00BB07AF">
        <w:rPr>
          <w:b/>
          <w:noProof/>
        </w:rPr>
        <w:t>organy ścigania (jednostki do spraw informacji</w:t>
      </w:r>
      <w:r w:rsidR="003409C9" w:rsidRPr="00BB07AF">
        <w:rPr>
          <w:b/>
          <w:noProof/>
        </w:rPr>
        <w:t xml:space="preserve"> o pas</w:t>
      </w:r>
      <w:r w:rsidRPr="00BB07AF">
        <w:rPr>
          <w:b/>
          <w:noProof/>
        </w:rPr>
        <w:t>ażerach) oraz krajowe organy zarządzania granicami</w:t>
      </w:r>
      <w:r w:rsidRPr="003409C9">
        <w:rPr>
          <w:noProof/>
        </w:rPr>
        <w:t>. Wzajemne gromadzenie danych będzie</w:t>
      </w:r>
      <w:r w:rsidR="003409C9" w:rsidRPr="003409C9">
        <w:rPr>
          <w:noProof/>
        </w:rPr>
        <w:t xml:space="preserve"> w dłu</w:t>
      </w:r>
      <w:r w:rsidRPr="003409C9">
        <w:rPr>
          <w:noProof/>
        </w:rPr>
        <w:t>ższej perspektywie mniej kosztowne (20 mln EUR rocznie). Systematyczne</w:t>
      </w:r>
      <w:r w:rsidR="003409C9" w:rsidRPr="003409C9">
        <w:rPr>
          <w:noProof/>
        </w:rPr>
        <w:t xml:space="preserve"> i spó</w:t>
      </w:r>
      <w:r w:rsidRPr="003409C9">
        <w:rPr>
          <w:noProof/>
        </w:rPr>
        <w:t>jne podejście umożliwi efektywniejsze wykorzystanie zasobów do celów odpraw granicznych</w:t>
      </w:r>
      <w:r w:rsidR="003409C9" w:rsidRPr="003409C9">
        <w:rPr>
          <w:noProof/>
        </w:rPr>
        <w:t xml:space="preserve"> w por</w:t>
      </w:r>
      <w:r w:rsidRPr="003409C9">
        <w:rPr>
          <w:noProof/>
        </w:rPr>
        <w:t>tach lotniczych. Dostępne</w:t>
      </w:r>
      <w:r w:rsidR="003409C9" w:rsidRPr="003409C9">
        <w:rPr>
          <w:noProof/>
        </w:rPr>
        <w:t xml:space="preserve"> i dok</w:t>
      </w:r>
      <w:r w:rsidRPr="003409C9">
        <w:rPr>
          <w:noProof/>
        </w:rPr>
        <w:t>ładne dane podróżnych umożliwią jednostkom do spraw informacji</w:t>
      </w:r>
      <w:r w:rsidR="003409C9" w:rsidRPr="003409C9">
        <w:rPr>
          <w:noProof/>
        </w:rPr>
        <w:t xml:space="preserve"> o pas</w:t>
      </w:r>
      <w:r w:rsidRPr="003409C9">
        <w:rPr>
          <w:noProof/>
        </w:rPr>
        <w:t>ażerach bardziej wiarygodne</w:t>
      </w:r>
      <w:r w:rsidR="003409C9" w:rsidRPr="003409C9">
        <w:rPr>
          <w:noProof/>
        </w:rPr>
        <w:t xml:space="preserve"> i wyd</w:t>
      </w:r>
      <w:r w:rsidRPr="003409C9">
        <w:rPr>
          <w:noProof/>
        </w:rPr>
        <w:t>ajne monitorowanie przemieszczania się znanych podejrzanych osób oraz identyfikowanie podejrzanych wzorców podróżowania nieznanych osób, które mogą być zaangażowane</w:t>
      </w:r>
      <w:r w:rsidR="003409C9" w:rsidRPr="003409C9">
        <w:rPr>
          <w:noProof/>
        </w:rPr>
        <w:t xml:space="preserve"> w pow</w:t>
      </w:r>
      <w:r w:rsidRPr="003409C9">
        <w:rPr>
          <w:noProof/>
        </w:rPr>
        <w:t>ażną działalność przestępczą lub terrorystyczną.</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BB07AF">
        <w:rPr>
          <w:b/>
          <w:noProof/>
        </w:rPr>
        <w:t>Obywatele</w:t>
      </w:r>
      <w:r w:rsidRPr="003409C9">
        <w:rPr>
          <w:noProof/>
        </w:rPr>
        <w:t xml:space="preserve"> odczują pośrednie</w:t>
      </w:r>
      <w:r w:rsidR="003409C9" w:rsidRPr="003409C9">
        <w:rPr>
          <w:noProof/>
        </w:rPr>
        <w:t xml:space="preserve"> i bez</w:t>
      </w:r>
      <w:r w:rsidRPr="003409C9">
        <w:rPr>
          <w:noProof/>
        </w:rPr>
        <w:t>pośrednie korzyści wynikające</w:t>
      </w:r>
      <w:r w:rsidR="003409C9" w:rsidRPr="003409C9">
        <w:rPr>
          <w:noProof/>
        </w:rPr>
        <w:t xml:space="preserve"> z uła</w:t>
      </w:r>
      <w:r w:rsidRPr="003409C9">
        <w:rPr>
          <w:noProof/>
        </w:rPr>
        <w:t>twień</w:t>
      </w:r>
      <w:r w:rsidR="003409C9" w:rsidRPr="003409C9">
        <w:rPr>
          <w:noProof/>
        </w:rPr>
        <w:t xml:space="preserve"> w pod</w:t>
      </w:r>
      <w:r w:rsidRPr="003409C9">
        <w:rPr>
          <w:noProof/>
        </w:rPr>
        <w:t>różowaniu</w:t>
      </w:r>
      <w:r w:rsidR="003409C9" w:rsidRPr="003409C9">
        <w:rPr>
          <w:noProof/>
        </w:rPr>
        <w:t xml:space="preserve"> i wje</w:t>
      </w:r>
      <w:r w:rsidRPr="003409C9">
        <w:rPr>
          <w:noProof/>
        </w:rPr>
        <w:t>ździe do strefy Schengen,</w:t>
      </w:r>
      <w:r w:rsidR="003409C9" w:rsidRPr="003409C9">
        <w:rPr>
          <w:noProof/>
        </w:rPr>
        <w:t xml:space="preserve"> a tak</w:t>
      </w:r>
      <w:r w:rsidRPr="003409C9">
        <w:rPr>
          <w:noProof/>
        </w:rPr>
        <w:t>że</w:t>
      </w:r>
      <w:r w:rsidR="003409C9" w:rsidRPr="003409C9">
        <w:rPr>
          <w:noProof/>
        </w:rPr>
        <w:t xml:space="preserve"> z lep</w:t>
      </w:r>
      <w:r w:rsidRPr="003409C9">
        <w:rPr>
          <w:noProof/>
        </w:rPr>
        <w:t>szego zwalczania przestępstw</w:t>
      </w:r>
      <w:r w:rsidR="003409C9" w:rsidRPr="003409C9">
        <w:rPr>
          <w:noProof/>
        </w:rPr>
        <w:t xml:space="preserve"> i obn</w:t>
      </w:r>
      <w:r w:rsidRPr="003409C9">
        <w:rPr>
          <w:noProof/>
        </w:rPr>
        <w:t>iżenia wskaźników przestępczości. To oni są prawdziwymi beneficjentami tej inicjatywy, która przyczyni się do zwiększenia ich ochrony.</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p>
    <w:p w:rsidR="00CD7E2F" w:rsidRPr="00BB07AF" w:rsidRDefault="009475BC" w:rsidP="009475BC">
      <w:pPr>
        <w:pStyle w:val="ManualHeading3"/>
        <w:rPr>
          <w:noProof/>
          <w:szCs w:val="24"/>
        </w:rPr>
      </w:pPr>
      <w:bookmarkStart w:id="79" w:name="_Toc514938023"/>
      <w:bookmarkStart w:id="80" w:name="_Toc117796974"/>
      <w:bookmarkEnd w:id="78"/>
      <w:r w:rsidRPr="00BB07AF">
        <w:rPr>
          <w:noProof/>
        </w:rPr>
        <w:t>1.4.4.</w:t>
      </w:r>
      <w:r w:rsidRPr="00BB07AF">
        <w:rPr>
          <w:noProof/>
        </w:rPr>
        <w:tab/>
        <w:t>Wskaźniki dotyczące realizacji celów</w:t>
      </w:r>
      <w:bookmarkEnd w:id="79"/>
      <w:bookmarkEnd w:id="80"/>
    </w:p>
    <w:p w:rsidR="00CD7E2F" w:rsidRPr="00BB07AF" w:rsidRDefault="00CD7E2F" w:rsidP="009B05A0">
      <w:pPr>
        <w:pStyle w:val="Text11"/>
        <w:rPr>
          <w:i/>
          <w:noProof/>
          <w:sz w:val="20"/>
        </w:rPr>
      </w:pPr>
      <w:r w:rsidRPr="00BB07AF">
        <w:rPr>
          <w:i/>
          <w:noProof/>
          <w:sz w:val="20"/>
        </w:rPr>
        <w:t>Należy wskazać wskaźniki stosowane do monitorowania postępów</w:t>
      </w:r>
      <w:r w:rsidR="003409C9" w:rsidRPr="00BB07AF">
        <w:rPr>
          <w:i/>
          <w:noProof/>
          <w:sz w:val="20"/>
        </w:rPr>
        <w:t xml:space="preserve"> i osi</w:t>
      </w:r>
      <w:r w:rsidRPr="00BB07AF">
        <w:rPr>
          <w:i/>
          <w:noProof/>
          <w:sz w:val="20"/>
        </w:rPr>
        <w:t>ągnięć.</w:t>
      </w:r>
    </w:p>
    <w:p w:rsidR="00CD7E2F" w:rsidRPr="003409C9" w:rsidRDefault="00CD7E2F" w:rsidP="009B05A0">
      <w:pPr>
        <w:pStyle w:val="Text11"/>
        <w:pBdr>
          <w:top w:val="single" w:sz="4" w:space="0" w:color="auto"/>
          <w:left w:val="single" w:sz="4" w:space="4" w:color="auto"/>
          <w:bottom w:val="single" w:sz="4" w:space="1" w:color="auto"/>
          <w:right w:val="single" w:sz="4" w:space="4" w:color="auto"/>
        </w:pBdr>
        <w:rPr>
          <w:noProof/>
        </w:rPr>
      </w:pPr>
      <w:bookmarkStart w:id="81" w:name="_Hlk118440275"/>
      <w:r w:rsidRPr="003409C9">
        <w:rPr>
          <w:noProof/>
        </w:rPr>
        <w:t>Wdrożenie routera centralnego:</w:t>
      </w:r>
    </w:p>
    <w:p w:rsidR="00CD7E2F" w:rsidRPr="003409C9" w:rsidRDefault="00CD7E2F" w:rsidP="00DC3579">
      <w:pPr>
        <w:pStyle w:val="Tiret1"/>
        <w:rPr>
          <w:noProof/>
        </w:rPr>
      </w:pPr>
      <w:r w:rsidRPr="003409C9">
        <w:rPr>
          <w:noProof/>
        </w:rPr>
        <w:t>termin uruchomienia (przewidywany</w:t>
      </w:r>
      <w:r w:rsidR="003409C9" w:rsidRPr="003409C9">
        <w:rPr>
          <w:noProof/>
        </w:rPr>
        <w:t xml:space="preserve"> i reg</w:t>
      </w:r>
      <w:r w:rsidRPr="003409C9">
        <w:rPr>
          <w:noProof/>
        </w:rPr>
        <w:t>ularnie zgłaszany przez zarząd eu-LISA) (docelowo T0+5 lat)</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Cel szczegółowy nr</w:t>
      </w:r>
      <w:r w:rsidR="003409C9" w:rsidRPr="003409C9">
        <w:rPr>
          <w:noProof/>
        </w:rPr>
        <w:t> </w:t>
      </w:r>
      <w:r w:rsidRPr="003409C9">
        <w:rPr>
          <w:noProof/>
        </w:rPr>
        <w:t xml:space="preserve">1: </w:t>
      </w:r>
    </w:p>
    <w:p w:rsidR="00CD7E2F" w:rsidRPr="003409C9" w:rsidRDefault="00CD7E2F" w:rsidP="00DC3579">
      <w:pPr>
        <w:pStyle w:val="Tiret1"/>
        <w:rPr>
          <w:noProof/>
        </w:rPr>
      </w:pPr>
      <w:r w:rsidRPr="003409C9">
        <w:rPr>
          <w:noProof/>
        </w:rPr>
        <w:t>Odsetek linii lotniczych podłączonych do centralnego routera, obsługujących trasy poza strefą Schengen (docelowo 100</w:t>
      </w:r>
      <w:r w:rsidR="003409C9" w:rsidRPr="003409C9">
        <w:rPr>
          <w:noProof/>
        </w:rPr>
        <w:t> </w:t>
      </w:r>
      <w:r w:rsidRPr="003409C9">
        <w:rPr>
          <w:noProof/>
        </w:rPr>
        <w:t xml:space="preserve">%) </w:t>
      </w:r>
    </w:p>
    <w:p w:rsidR="00CD7E2F" w:rsidRPr="003409C9" w:rsidRDefault="00CD7E2F" w:rsidP="00DC3579">
      <w:pPr>
        <w:pStyle w:val="Tiret1"/>
        <w:rPr>
          <w:noProof/>
        </w:rPr>
      </w:pPr>
      <w:r w:rsidRPr="003409C9">
        <w:rPr>
          <w:noProof/>
        </w:rPr>
        <w:t>Liczba krajowych organów zarządzania granicami otrzymujących informacje</w:t>
      </w:r>
      <w:r w:rsidR="003409C9" w:rsidRPr="003409C9">
        <w:rPr>
          <w:noProof/>
        </w:rPr>
        <w:t xml:space="preserve"> z rou</w:t>
      </w:r>
      <w:r w:rsidRPr="003409C9">
        <w:rPr>
          <w:noProof/>
        </w:rPr>
        <w:t xml:space="preserve">tera centralnego </w:t>
      </w:r>
    </w:p>
    <w:p w:rsidR="00CD7E2F" w:rsidRPr="003409C9" w:rsidRDefault="00CD7E2F" w:rsidP="00DC3579">
      <w:pPr>
        <w:pStyle w:val="Tiret1"/>
        <w:rPr>
          <w:noProof/>
        </w:rPr>
      </w:pPr>
      <w:r w:rsidRPr="003409C9">
        <w:rPr>
          <w:noProof/>
        </w:rPr>
        <w:t>Liczba bezpośrednich połączeń między liniami lotniczymi</w:t>
      </w:r>
      <w:r w:rsidR="003409C9" w:rsidRPr="003409C9">
        <w:rPr>
          <w:noProof/>
        </w:rPr>
        <w:t xml:space="preserve"> a kra</w:t>
      </w:r>
      <w:r w:rsidRPr="003409C9">
        <w:rPr>
          <w:noProof/>
        </w:rPr>
        <w:t>jowymi organami zarządzania granicami do celów API (docelowo 0)</w:t>
      </w:r>
    </w:p>
    <w:p w:rsidR="00CD7E2F" w:rsidRPr="003409C9" w:rsidRDefault="00CD7E2F" w:rsidP="00DC3579">
      <w:pPr>
        <w:pStyle w:val="Tiret1"/>
        <w:rPr>
          <w:noProof/>
        </w:rPr>
      </w:pPr>
      <w:r w:rsidRPr="003409C9">
        <w:rPr>
          <w:noProof/>
        </w:rPr>
        <w:t>Wskaźnik: Liczba zbiorów danych API przekazanych bezpośrednio krajowym organom zarządzania granicami/liczba zbiorów danych API przekazanych do routera (docelowo 0</w:t>
      </w:r>
      <w:r w:rsidR="003409C9" w:rsidRPr="003409C9">
        <w:rPr>
          <w:noProof/>
        </w:rPr>
        <w:t> </w:t>
      </w:r>
      <w:r w:rsidRPr="003409C9">
        <w:rPr>
          <w:noProof/>
        </w:rPr>
        <w:t>%)</w:t>
      </w:r>
    </w:p>
    <w:p w:rsidR="00CD7E2F" w:rsidRPr="003409C9" w:rsidRDefault="00CD7E2F" w:rsidP="00DC3579">
      <w:pPr>
        <w:pStyle w:val="Tiret1"/>
        <w:rPr>
          <w:noProof/>
        </w:rPr>
      </w:pPr>
      <w:r w:rsidRPr="003409C9">
        <w:rPr>
          <w:noProof/>
        </w:rPr>
        <w:t>Odsetek lotów,</w:t>
      </w:r>
      <w:r w:rsidR="003409C9" w:rsidRPr="003409C9">
        <w:rPr>
          <w:noProof/>
        </w:rPr>
        <w:t xml:space="preserve"> w prz</w:t>
      </w:r>
      <w:r w:rsidRPr="003409C9">
        <w:rPr>
          <w:noProof/>
        </w:rPr>
        <w:t>ypadku których krajowe organy zarządzania granicami otrzymały zbiory danych API (docelowo 100</w:t>
      </w:r>
      <w:r w:rsidR="003409C9" w:rsidRPr="003409C9">
        <w:rPr>
          <w:noProof/>
        </w:rPr>
        <w:t> </w:t>
      </w:r>
      <w:r w:rsidRPr="003409C9">
        <w:rPr>
          <w:noProof/>
        </w:rPr>
        <w:t>%)</w:t>
      </w:r>
    </w:p>
    <w:p w:rsidR="00CD7E2F" w:rsidRPr="003409C9" w:rsidRDefault="00CD7E2F" w:rsidP="00DC3579">
      <w:pPr>
        <w:pStyle w:val="Tiret1"/>
        <w:rPr>
          <w:noProof/>
        </w:rPr>
      </w:pPr>
      <w:r w:rsidRPr="003409C9">
        <w:rPr>
          <w:noProof/>
        </w:rPr>
        <w:t>Odsetek lotów,</w:t>
      </w:r>
      <w:r w:rsidR="003409C9" w:rsidRPr="003409C9">
        <w:rPr>
          <w:noProof/>
        </w:rPr>
        <w:t xml:space="preserve"> w prz</w:t>
      </w:r>
      <w:r w:rsidRPr="003409C9">
        <w:rPr>
          <w:noProof/>
        </w:rPr>
        <w:t>ypadku których krajowe organy zarządzania granicami otrzymały zbiory danych API</w:t>
      </w:r>
      <w:r w:rsidR="003409C9" w:rsidRPr="003409C9">
        <w:rPr>
          <w:noProof/>
        </w:rPr>
        <w:t xml:space="preserve"> w cza</w:t>
      </w:r>
      <w:r w:rsidRPr="003409C9">
        <w:rPr>
          <w:noProof/>
        </w:rPr>
        <w:t>sie krótszym niż 30 minut od startu (docelowo 100</w:t>
      </w:r>
      <w:r w:rsidR="003409C9" w:rsidRPr="003409C9">
        <w:rPr>
          <w:noProof/>
        </w:rPr>
        <w:t> </w:t>
      </w:r>
      <w:r w:rsidRPr="003409C9">
        <w:rPr>
          <w:noProof/>
        </w:rPr>
        <w:t>%)</w:t>
      </w:r>
    </w:p>
    <w:p w:rsidR="00CD7E2F" w:rsidRPr="003409C9" w:rsidRDefault="00CD7E2F" w:rsidP="00DC3579">
      <w:pPr>
        <w:pStyle w:val="Tiret1"/>
        <w:rPr>
          <w:noProof/>
        </w:rPr>
      </w:pPr>
      <w:r w:rsidRPr="003409C9">
        <w:rPr>
          <w:noProof/>
        </w:rPr>
        <w:t>Liczba</w:t>
      </w:r>
      <w:r w:rsidR="003409C9" w:rsidRPr="003409C9">
        <w:rPr>
          <w:noProof/>
        </w:rPr>
        <w:t xml:space="preserve"> i wys</w:t>
      </w:r>
      <w:r w:rsidRPr="003409C9">
        <w:rPr>
          <w:noProof/>
        </w:rPr>
        <w:t>okość kar nałożonych na linie lotnicze za przyjęcie na pokład podróżnego na podstawie dokumentu podróży zawierającego dane przeznaczone do odczytu maszynowego, które są nieprawdziwe (docelowo 0)</w:t>
      </w:r>
    </w:p>
    <w:p w:rsidR="00CD7E2F" w:rsidRPr="003409C9" w:rsidRDefault="00CD7E2F" w:rsidP="00DC3579">
      <w:pPr>
        <w:pStyle w:val="Tiret1"/>
        <w:rPr>
          <w:noProof/>
        </w:rPr>
      </w:pPr>
      <w:r w:rsidRPr="003409C9">
        <w:rPr>
          <w:noProof/>
        </w:rPr>
        <w:t>Liczba</w:t>
      </w:r>
      <w:r w:rsidR="003409C9" w:rsidRPr="003409C9">
        <w:rPr>
          <w:noProof/>
        </w:rPr>
        <w:t xml:space="preserve"> i wys</w:t>
      </w:r>
      <w:r w:rsidRPr="003409C9">
        <w:rPr>
          <w:noProof/>
        </w:rPr>
        <w:t>okość kar nałożonych na linie lotnicze</w:t>
      </w:r>
      <w:r w:rsidR="003409C9" w:rsidRPr="003409C9">
        <w:rPr>
          <w:noProof/>
        </w:rPr>
        <w:t xml:space="preserve"> w zwi</w:t>
      </w:r>
      <w:r w:rsidRPr="003409C9">
        <w:rPr>
          <w:noProof/>
        </w:rPr>
        <w:t>ązku</w:t>
      </w:r>
      <w:r w:rsidR="003409C9" w:rsidRPr="003409C9">
        <w:rPr>
          <w:noProof/>
        </w:rPr>
        <w:t xml:space="preserve"> z prz</w:t>
      </w:r>
      <w:r w:rsidRPr="003409C9">
        <w:rPr>
          <w:noProof/>
        </w:rPr>
        <w:t>ekazywaniem niedokładnych lub niekompletnych zbiorów danych (docelowo 0)</w:t>
      </w:r>
    </w:p>
    <w:p w:rsidR="00CD7E2F" w:rsidRPr="003409C9" w:rsidRDefault="00CD7E2F" w:rsidP="00DC3579">
      <w:pPr>
        <w:pStyle w:val="Tiret1"/>
        <w:rPr>
          <w:noProof/>
        </w:rPr>
      </w:pPr>
      <w:r w:rsidRPr="003409C9">
        <w:rPr>
          <w:noProof/>
        </w:rPr>
        <w:t>Liczba</w:t>
      </w:r>
      <w:r w:rsidR="003409C9" w:rsidRPr="003409C9">
        <w:rPr>
          <w:noProof/>
        </w:rPr>
        <w:t xml:space="preserve"> i wys</w:t>
      </w:r>
      <w:r w:rsidRPr="003409C9">
        <w:rPr>
          <w:noProof/>
        </w:rPr>
        <w:t>okość kar nałożonych na linie lotnicze</w:t>
      </w:r>
      <w:r w:rsidR="003409C9" w:rsidRPr="003409C9">
        <w:rPr>
          <w:noProof/>
        </w:rPr>
        <w:t xml:space="preserve"> w zwi</w:t>
      </w:r>
      <w:r w:rsidRPr="003409C9">
        <w:rPr>
          <w:noProof/>
        </w:rPr>
        <w:t>ązku</w:t>
      </w:r>
      <w:r w:rsidR="003409C9" w:rsidRPr="003409C9">
        <w:rPr>
          <w:noProof/>
        </w:rPr>
        <w:t xml:space="preserve"> z bra</w:t>
      </w:r>
      <w:r w:rsidRPr="003409C9">
        <w:rPr>
          <w:noProof/>
        </w:rPr>
        <w:t>kiem zbiorów danych (docelowo 0)</w:t>
      </w:r>
    </w:p>
    <w:p w:rsidR="00CD7E2F" w:rsidRPr="003409C9" w:rsidRDefault="00CD7E2F" w:rsidP="00DC3579">
      <w:pPr>
        <w:pStyle w:val="Tiret1"/>
        <w:rPr>
          <w:noProof/>
        </w:rPr>
      </w:pPr>
      <w:r w:rsidRPr="003409C9">
        <w:rPr>
          <w:noProof/>
        </w:rPr>
        <w:t>Odsetek zbiorów danych API zawierających pełny zestaw danych dotyczących tożsamości (100</w:t>
      </w:r>
      <w:r w:rsidR="003409C9" w:rsidRPr="003409C9">
        <w:rPr>
          <w:noProof/>
        </w:rPr>
        <w:t> </w:t>
      </w:r>
      <w:r w:rsidRPr="003409C9">
        <w:rPr>
          <w:noProof/>
        </w:rPr>
        <w:t xml:space="preserve">%) </w:t>
      </w:r>
    </w:p>
    <w:p w:rsidR="00CD7E2F" w:rsidRPr="003409C9" w:rsidRDefault="00CD7E2F" w:rsidP="00DC3579">
      <w:pPr>
        <w:pStyle w:val="Tiret1"/>
        <w:rPr>
          <w:noProof/>
        </w:rPr>
      </w:pPr>
      <w:r w:rsidRPr="003409C9">
        <w:rPr>
          <w:noProof/>
        </w:rPr>
        <w:t>Odsetek zbiorów danych API poprawnych pod względem syntaktycznym (100</w:t>
      </w:r>
      <w:r w:rsidR="003409C9" w:rsidRPr="003409C9">
        <w:rPr>
          <w:noProof/>
        </w:rPr>
        <w:t> </w:t>
      </w:r>
      <w:r w:rsidRPr="003409C9">
        <w:rPr>
          <w:noProof/>
        </w:rPr>
        <w:t xml:space="preserve">%) </w:t>
      </w:r>
    </w:p>
    <w:p w:rsidR="00CD7E2F" w:rsidRPr="003409C9" w:rsidRDefault="00CD7E2F" w:rsidP="00DC3579">
      <w:pPr>
        <w:pStyle w:val="Tiret1"/>
        <w:rPr>
          <w:noProof/>
        </w:rPr>
      </w:pPr>
      <w:r w:rsidRPr="003409C9">
        <w:rPr>
          <w:noProof/>
        </w:rPr>
        <w:t>Liczba podróżnych objętych wstępną kontrolą</w:t>
      </w:r>
      <w:r w:rsidR="003409C9" w:rsidRPr="003409C9">
        <w:rPr>
          <w:noProof/>
        </w:rPr>
        <w:t xml:space="preserve"> w prz</w:t>
      </w:r>
      <w:r w:rsidRPr="003409C9">
        <w:rPr>
          <w:noProof/>
        </w:rPr>
        <w:t>ypadku lotów przychodzących objętych kontrolą: (taka sama liczba, jak liczba przybywających podróżnych)</w:t>
      </w:r>
    </w:p>
    <w:p w:rsidR="00CD7E2F" w:rsidRPr="003409C9" w:rsidRDefault="00CD7E2F" w:rsidP="00DC3579">
      <w:pPr>
        <w:pStyle w:val="Tiret1"/>
        <w:rPr>
          <w:noProof/>
        </w:rPr>
      </w:pPr>
      <w:r w:rsidRPr="003409C9">
        <w:rPr>
          <w:noProof/>
        </w:rPr>
        <w:t>Odsetek trafień stwierdzonych na granicy, które zostały już wykryte podczas wstępnych kontroli dotyczących lotów przychodzących objętych kontrolą: docelowo 100</w:t>
      </w:r>
      <w:r w:rsidR="003409C9" w:rsidRPr="003409C9">
        <w:rPr>
          <w:noProof/>
        </w:rPr>
        <w:t> </w:t>
      </w:r>
      <w:r w:rsidRPr="003409C9">
        <w:rPr>
          <w:noProof/>
        </w:rPr>
        <w:t>%</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Cel szczegółowy nr</w:t>
      </w:r>
      <w:r w:rsidR="003409C9" w:rsidRPr="003409C9">
        <w:rPr>
          <w:noProof/>
        </w:rPr>
        <w:t> </w:t>
      </w:r>
      <w:r w:rsidRPr="003409C9">
        <w:rPr>
          <w:noProof/>
        </w:rPr>
        <w:t xml:space="preserve">2: </w:t>
      </w:r>
    </w:p>
    <w:p w:rsidR="00CD7E2F" w:rsidRPr="003409C9" w:rsidRDefault="00CD7E2F" w:rsidP="00DC3579">
      <w:pPr>
        <w:pStyle w:val="Tiret1"/>
        <w:rPr>
          <w:noProof/>
        </w:rPr>
      </w:pPr>
      <w:r w:rsidRPr="003409C9">
        <w:rPr>
          <w:noProof/>
        </w:rPr>
        <w:t>Odsetek linii lotniczych podłączonych do interfejsu przewoźnika/routera centralnego, obsługujących trasy wewnątrzunijne (docelowo 100</w:t>
      </w:r>
      <w:r w:rsidR="003409C9" w:rsidRPr="003409C9">
        <w:rPr>
          <w:noProof/>
        </w:rPr>
        <w:t> </w:t>
      </w:r>
      <w:r w:rsidRPr="003409C9">
        <w:rPr>
          <w:noProof/>
        </w:rPr>
        <w:t>%)</w:t>
      </w:r>
    </w:p>
    <w:p w:rsidR="00CD7E2F" w:rsidRPr="003409C9" w:rsidRDefault="00CD7E2F" w:rsidP="00DC3579">
      <w:pPr>
        <w:pStyle w:val="Tiret1"/>
        <w:rPr>
          <w:noProof/>
        </w:rPr>
      </w:pPr>
      <w:r w:rsidRPr="003409C9">
        <w:rPr>
          <w:noProof/>
        </w:rPr>
        <w:t>Liczba JIP podłączonych do routera centralnego (docelowo 26)</w:t>
      </w:r>
    </w:p>
    <w:p w:rsidR="00CD7E2F" w:rsidRPr="003409C9" w:rsidRDefault="00CD7E2F" w:rsidP="00DC3579">
      <w:pPr>
        <w:pStyle w:val="Tiret1"/>
        <w:rPr>
          <w:noProof/>
        </w:rPr>
      </w:pPr>
      <w:r w:rsidRPr="003409C9">
        <w:rPr>
          <w:noProof/>
        </w:rPr>
        <w:t>Liczba bezpośrednich połączeń między liniami lotniczymi a JIP do celów API (docelowo 0)</w:t>
      </w:r>
    </w:p>
    <w:p w:rsidR="00CD7E2F" w:rsidRPr="003409C9" w:rsidRDefault="00CD7E2F" w:rsidP="00DC3579">
      <w:pPr>
        <w:pStyle w:val="Tiret1"/>
        <w:rPr>
          <w:noProof/>
        </w:rPr>
      </w:pPr>
      <w:r w:rsidRPr="003409C9">
        <w:rPr>
          <w:noProof/>
        </w:rPr>
        <w:t>Wskaźnik: Liczba zbiorów danych API przekazanych bezpośrednio JIP/liczba zbiorów danych API przekazanych do routera (docelowo 0</w:t>
      </w:r>
      <w:r w:rsidR="003409C9" w:rsidRPr="003409C9">
        <w:rPr>
          <w:noProof/>
        </w:rPr>
        <w:t> </w:t>
      </w:r>
      <w:r w:rsidRPr="003409C9">
        <w:rPr>
          <w:noProof/>
        </w:rPr>
        <w:t>%)</w:t>
      </w:r>
    </w:p>
    <w:p w:rsidR="00CD7E2F" w:rsidRPr="003409C9" w:rsidRDefault="00CD7E2F" w:rsidP="00DC3579">
      <w:pPr>
        <w:pStyle w:val="Tiret1"/>
        <w:rPr>
          <w:noProof/>
        </w:rPr>
      </w:pPr>
      <w:r w:rsidRPr="003409C9">
        <w:rPr>
          <w:noProof/>
        </w:rPr>
        <w:t>Odsetek otrzymanych danych PNR</w:t>
      </w:r>
      <w:r w:rsidR="003409C9" w:rsidRPr="003409C9">
        <w:rPr>
          <w:noProof/>
        </w:rPr>
        <w:t xml:space="preserve"> z odp</w:t>
      </w:r>
      <w:r w:rsidRPr="003409C9">
        <w:rPr>
          <w:noProof/>
        </w:rPr>
        <w:t>owiadającymi im danymi API (docelowo 100</w:t>
      </w:r>
      <w:r w:rsidR="003409C9" w:rsidRPr="003409C9">
        <w:rPr>
          <w:noProof/>
        </w:rPr>
        <w:t> </w:t>
      </w:r>
      <w:r w:rsidRPr="003409C9">
        <w:rPr>
          <w:noProof/>
        </w:rPr>
        <w:t>%)</w:t>
      </w:r>
    </w:p>
    <w:p w:rsidR="00CD7E2F" w:rsidRPr="003409C9" w:rsidRDefault="00CD7E2F" w:rsidP="00DC3579">
      <w:pPr>
        <w:pStyle w:val="Tiret1"/>
        <w:rPr>
          <w:noProof/>
        </w:rPr>
      </w:pPr>
      <w:r w:rsidRPr="003409C9">
        <w:rPr>
          <w:noProof/>
        </w:rPr>
        <w:t>Liczba automatycznych dopasowań</w:t>
      </w:r>
      <w:r w:rsidR="003409C9" w:rsidRPr="003409C9">
        <w:rPr>
          <w:noProof/>
        </w:rPr>
        <w:t xml:space="preserve"> i tra</w:t>
      </w:r>
      <w:r w:rsidRPr="003409C9">
        <w:rPr>
          <w:noProof/>
        </w:rPr>
        <w:t>fień (tylko</w:t>
      </w:r>
      <w:r w:rsidR="003409C9" w:rsidRPr="003409C9">
        <w:rPr>
          <w:noProof/>
        </w:rPr>
        <w:t xml:space="preserve"> z dan</w:t>
      </w:r>
      <w:r w:rsidRPr="003409C9">
        <w:rPr>
          <w:noProof/>
        </w:rPr>
        <w:t>ymi PNR, tylko</w:t>
      </w:r>
      <w:r w:rsidR="003409C9" w:rsidRPr="003409C9">
        <w:rPr>
          <w:noProof/>
        </w:rPr>
        <w:t xml:space="preserve"> z dan</w:t>
      </w:r>
      <w:r w:rsidRPr="003409C9">
        <w:rPr>
          <w:noProof/>
        </w:rPr>
        <w:t>ymi API,</w:t>
      </w:r>
      <w:r w:rsidR="003409C9" w:rsidRPr="003409C9">
        <w:rPr>
          <w:noProof/>
        </w:rPr>
        <w:t xml:space="preserve"> z dan</w:t>
      </w:r>
      <w:r w:rsidRPr="003409C9">
        <w:rPr>
          <w:noProof/>
        </w:rPr>
        <w:t xml:space="preserve">ymi PNR i API) </w:t>
      </w:r>
      <w:bookmarkEnd w:id="81"/>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p>
    <w:p w:rsidR="00CD7E2F" w:rsidRPr="00BB07AF" w:rsidRDefault="009475BC" w:rsidP="009475BC">
      <w:pPr>
        <w:pStyle w:val="ManualHeading2"/>
        <w:rPr>
          <w:bCs/>
          <w:noProof/>
          <w:szCs w:val="24"/>
        </w:rPr>
      </w:pPr>
      <w:bookmarkStart w:id="82" w:name="_Toc514938025"/>
      <w:bookmarkStart w:id="83" w:name="_Toc117796975"/>
      <w:r w:rsidRPr="00BB07AF">
        <w:rPr>
          <w:noProof/>
        </w:rPr>
        <w:t>1.5.</w:t>
      </w:r>
      <w:r w:rsidRPr="00BB07AF">
        <w:rPr>
          <w:noProof/>
        </w:rPr>
        <w:tab/>
        <w:t>Uzasadnienie wniosku/inicjatywy</w:t>
      </w:r>
      <w:bookmarkEnd w:id="82"/>
      <w:bookmarkEnd w:id="83"/>
      <w:r w:rsidRPr="00BB07AF">
        <w:rPr>
          <w:noProof/>
        </w:rPr>
        <w:t xml:space="preserve"> </w:t>
      </w:r>
    </w:p>
    <w:p w:rsidR="00CD7E2F" w:rsidRPr="00BB07AF" w:rsidRDefault="009475BC" w:rsidP="009475BC">
      <w:pPr>
        <w:pStyle w:val="ManualHeading3"/>
        <w:rPr>
          <w:noProof/>
        </w:rPr>
      </w:pPr>
      <w:bookmarkStart w:id="84" w:name="_Toc514938026"/>
      <w:bookmarkStart w:id="85" w:name="_Toc117796976"/>
      <w:r w:rsidRPr="00BB07AF">
        <w:rPr>
          <w:noProof/>
        </w:rPr>
        <w:t>1.5.1.</w:t>
      </w:r>
      <w:r w:rsidRPr="00BB07AF">
        <w:rPr>
          <w:noProof/>
        </w:rPr>
        <w:tab/>
        <w:t>Potrzeby, które należy zaspokoić</w:t>
      </w:r>
      <w:r w:rsidR="003409C9" w:rsidRPr="00BB07AF">
        <w:rPr>
          <w:noProof/>
        </w:rPr>
        <w:t xml:space="preserve"> w per</w:t>
      </w:r>
      <w:r w:rsidRPr="00BB07AF">
        <w:rPr>
          <w:noProof/>
        </w:rPr>
        <w:t>spektywie krótko- lub długoterminowej,</w:t>
      </w:r>
      <w:r w:rsidR="003409C9" w:rsidRPr="00BB07AF">
        <w:rPr>
          <w:noProof/>
        </w:rPr>
        <w:t xml:space="preserve"> w tym</w:t>
      </w:r>
      <w:r w:rsidRPr="00BB07AF">
        <w:rPr>
          <w:noProof/>
        </w:rPr>
        <w:t xml:space="preserve"> szczegółowy terminarz przebiegu realizacji inicjatywy</w:t>
      </w:r>
      <w:bookmarkEnd w:id="84"/>
      <w:bookmarkEnd w:id="85"/>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bookmarkStart w:id="86" w:name="_Hlk118440336"/>
      <w:r w:rsidRPr="003409C9">
        <w:rPr>
          <w:noProof/>
        </w:rPr>
        <w:t>Obie inicjatywy wymagają opracowania,</w:t>
      </w:r>
      <w:r w:rsidR="003409C9" w:rsidRPr="003409C9">
        <w:rPr>
          <w:noProof/>
        </w:rPr>
        <w:t xml:space="preserve"> a nas</w:t>
      </w:r>
      <w:r w:rsidRPr="003409C9">
        <w:rPr>
          <w:noProof/>
        </w:rPr>
        <w:t>tępnie utrzymania</w:t>
      </w:r>
      <w:r w:rsidR="003409C9" w:rsidRPr="003409C9">
        <w:rPr>
          <w:noProof/>
        </w:rPr>
        <w:t xml:space="preserve"> i obs</w:t>
      </w:r>
      <w:r w:rsidRPr="003409C9">
        <w:rPr>
          <w:noProof/>
        </w:rPr>
        <w:t>ługi routera centralnego („router API”),</w:t>
      </w:r>
      <w:r w:rsidR="003409C9" w:rsidRPr="003409C9">
        <w:rPr>
          <w:noProof/>
        </w:rPr>
        <w:t xml:space="preserve"> z uwz</w:t>
      </w:r>
      <w:r w:rsidRPr="003409C9">
        <w:rPr>
          <w:noProof/>
        </w:rPr>
        <w:t>ględnieniem dwóch okresów przejściowych.</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A/ Faza projektowania</w:t>
      </w:r>
      <w:r w:rsidR="003409C9" w:rsidRPr="003409C9">
        <w:rPr>
          <w:noProof/>
        </w:rPr>
        <w:t xml:space="preserve"> i opr</w:t>
      </w:r>
      <w:r w:rsidRPr="003409C9">
        <w:rPr>
          <w:noProof/>
        </w:rPr>
        <w:t>acowania</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Faza projektowania obejmuje opracowanie projektu routera, elementów technicznych potrzebnych do jego obsługi oraz narzędzi wspierających wspólnie eu-LISA, przewoźników lotniczych</w:t>
      </w:r>
      <w:r w:rsidR="003409C9" w:rsidRPr="003409C9">
        <w:rPr>
          <w:noProof/>
        </w:rPr>
        <w:t xml:space="preserve"> i pań</w:t>
      </w:r>
      <w:r w:rsidRPr="003409C9">
        <w:rPr>
          <w:noProof/>
        </w:rPr>
        <w:t>stwa członkowskie</w:t>
      </w:r>
      <w:r w:rsidR="003409C9" w:rsidRPr="003409C9">
        <w:rPr>
          <w:noProof/>
        </w:rPr>
        <w:t xml:space="preserve"> w wyk</w:t>
      </w:r>
      <w:r w:rsidRPr="003409C9">
        <w:rPr>
          <w:noProof/>
        </w:rPr>
        <w:t xml:space="preserve">onywaniu ich odpowiednich obowiązków.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Zależy ona od (i) przyjęcia proponowanych rozporządzeń, (ii) opracowania elementów technicznych routera</w:t>
      </w:r>
      <w:r w:rsidR="003409C9" w:rsidRPr="003409C9">
        <w:rPr>
          <w:noProof/>
        </w:rPr>
        <w:t xml:space="preserve"> i int</w:t>
      </w:r>
      <w:r w:rsidRPr="003409C9">
        <w:rPr>
          <w:noProof/>
        </w:rPr>
        <w:t>erfejsu przewoźnika, co jest uzależnione od (iii) spodziewanego zakończenia innych projektów rozwojowych</w:t>
      </w:r>
      <w:r w:rsidR="003409C9" w:rsidRPr="003409C9">
        <w:rPr>
          <w:noProof/>
        </w:rPr>
        <w:t xml:space="preserve"> w ram</w:t>
      </w:r>
      <w:r w:rsidRPr="003409C9">
        <w:rPr>
          <w:noProof/>
        </w:rPr>
        <w:t>ach eu-LISA, gdyż spowodowałoby to uwolnienie zasobów ludzkich, które mogłyby zostać przydzielone do innych stanowisk</w:t>
      </w:r>
      <w:r w:rsidR="003409C9" w:rsidRPr="003409C9">
        <w:rPr>
          <w:noProof/>
        </w:rPr>
        <w:t xml:space="preserve"> i zad</w:t>
      </w:r>
      <w:r w:rsidRPr="003409C9">
        <w:rPr>
          <w:noProof/>
        </w:rPr>
        <w:t>ań.</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Zakłada się, że wnioski ustawodawcze zostaną przesłane do współprawodawców do końca 2022</w:t>
      </w:r>
      <w:r w:rsidR="003409C9" w:rsidRPr="003409C9">
        <w:rPr>
          <w:noProof/>
        </w:rPr>
        <w:t> </w:t>
      </w:r>
      <w:r w:rsidRPr="003409C9">
        <w:rPr>
          <w:noProof/>
        </w:rPr>
        <w:t>r.,</w:t>
      </w:r>
      <w:r w:rsidR="003409C9" w:rsidRPr="003409C9">
        <w:rPr>
          <w:noProof/>
        </w:rPr>
        <w:t xml:space="preserve"> a pro</w:t>
      </w:r>
      <w:r w:rsidRPr="003409C9">
        <w:rPr>
          <w:noProof/>
        </w:rPr>
        <w:t>ces przyjęcia zakończy się do końca 2023</w:t>
      </w:r>
      <w:r w:rsidR="003409C9" w:rsidRPr="003409C9">
        <w:rPr>
          <w:noProof/>
        </w:rPr>
        <w:t> </w:t>
      </w:r>
      <w:r w:rsidRPr="003409C9">
        <w:rPr>
          <w:noProof/>
        </w:rPr>
        <w:t>r., analogicznie do czasu przyjmowania pozostałych wniosków. Początek fazy opracowania ustalono na koniec 2025 r. (= T0), aby dysponować punktem odniesienia, od którego naliczane będą pozostałe terminy, nie zaś datami absolutnymi. Jeśli przyjęcie aktu przez współprawodawców nastąpi później, cały harmonogram ulegnie odpowiednim zmianom. Oczekuje się, że okres fazy opracowania zakończy się</w:t>
      </w:r>
      <w:r w:rsidR="003409C9" w:rsidRPr="003409C9">
        <w:rPr>
          <w:noProof/>
        </w:rPr>
        <w:t xml:space="preserve"> w tyc</w:t>
      </w:r>
      <w:r w:rsidRPr="003409C9">
        <w:rPr>
          <w:noProof/>
        </w:rPr>
        <w:t>h warunkach do końca 2028</w:t>
      </w:r>
      <w:r w:rsidR="003409C9" w:rsidRPr="003409C9">
        <w:rPr>
          <w:noProof/>
        </w:rPr>
        <w:t> </w:t>
      </w:r>
      <w:r w:rsidRPr="003409C9">
        <w:rPr>
          <w:noProof/>
        </w:rPr>
        <w:t>r. (T0 + 3 lata).</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B/ Funkcjonowanie</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Funkcjonowanie rozpoczyna się wraz</w:t>
      </w:r>
      <w:r w:rsidR="003409C9" w:rsidRPr="003409C9">
        <w:rPr>
          <w:noProof/>
        </w:rPr>
        <w:t xml:space="preserve"> z uru</w:t>
      </w:r>
      <w:r w:rsidRPr="003409C9">
        <w:rPr>
          <w:noProof/>
        </w:rPr>
        <w:t>chomieniem routera</w:t>
      </w:r>
      <w:r w:rsidR="003409C9" w:rsidRPr="003409C9">
        <w:rPr>
          <w:noProof/>
        </w:rPr>
        <w:t xml:space="preserve"> i int</w:t>
      </w:r>
      <w:r w:rsidRPr="003409C9">
        <w:rPr>
          <w:noProof/>
        </w:rPr>
        <w:t>erfejsu przewoźnika,</w:t>
      </w:r>
      <w:r w:rsidR="003409C9" w:rsidRPr="003409C9">
        <w:rPr>
          <w:noProof/>
        </w:rPr>
        <w:t xml:space="preserve"> a wię</w:t>
      </w:r>
      <w:r w:rsidRPr="003409C9">
        <w:rPr>
          <w:noProof/>
        </w:rPr>
        <w:t>c jest zależne od ich uruchomienia. (T1=T0 + 3 lata)</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C/ Okres przejściowy</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Okres przejściowy zależy od uruchomienia routera</w:t>
      </w:r>
      <w:r w:rsidR="003409C9" w:rsidRPr="003409C9">
        <w:rPr>
          <w:noProof/>
        </w:rPr>
        <w:t xml:space="preserve"> i int</w:t>
      </w:r>
      <w:r w:rsidRPr="003409C9">
        <w:rPr>
          <w:noProof/>
        </w:rPr>
        <w:t>erfejsu przewoźnika oraz umożliwia zarówno przewoźnikom lotniczym, jak</w:t>
      </w:r>
      <w:r w:rsidR="003409C9" w:rsidRPr="003409C9">
        <w:rPr>
          <w:noProof/>
        </w:rPr>
        <w:t xml:space="preserve"> i pań</w:t>
      </w:r>
      <w:r w:rsidRPr="003409C9">
        <w:rPr>
          <w:noProof/>
        </w:rPr>
        <w:t xml:space="preserve">stwom członkowskim stopniowe wdrażanie ich odpowiednich obowiązków: </w:t>
      </w:r>
    </w:p>
    <w:p w:rsidR="00CD7E2F" w:rsidRPr="003409C9" w:rsidRDefault="00CD7E2F" w:rsidP="00DC3579">
      <w:pPr>
        <w:pStyle w:val="Tiret1"/>
        <w:rPr>
          <w:noProof/>
        </w:rPr>
      </w:pPr>
      <w:r w:rsidRPr="003409C9">
        <w:rPr>
          <w:noProof/>
        </w:rPr>
        <w:t>w przypadku przewoźników lotniczych:</w:t>
      </w:r>
      <w:r w:rsidR="003409C9" w:rsidRPr="003409C9">
        <w:rPr>
          <w:noProof/>
        </w:rPr>
        <w:t xml:space="preserve"> w zak</w:t>
      </w:r>
      <w:r w:rsidRPr="003409C9">
        <w:rPr>
          <w:noProof/>
        </w:rPr>
        <w:t>resie gromadzenia</w:t>
      </w:r>
      <w:r w:rsidR="003409C9" w:rsidRPr="003409C9">
        <w:rPr>
          <w:noProof/>
        </w:rPr>
        <w:t xml:space="preserve"> i prz</w:t>
      </w:r>
      <w:r w:rsidRPr="003409C9">
        <w:rPr>
          <w:noProof/>
        </w:rPr>
        <w:t>ekazywania danych API do interfejsu przewoźnika oraz systematycznego gromadzenia danych</w:t>
      </w:r>
      <w:r w:rsidR="003409C9" w:rsidRPr="003409C9">
        <w:rPr>
          <w:noProof/>
        </w:rPr>
        <w:t xml:space="preserve"> w spo</w:t>
      </w:r>
      <w:r w:rsidRPr="003409C9">
        <w:rPr>
          <w:noProof/>
        </w:rPr>
        <w:t xml:space="preserve">sób zautomatyzowany; </w:t>
      </w:r>
    </w:p>
    <w:p w:rsidR="00CD7E2F" w:rsidRPr="003409C9" w:rsidRDefault="00CD7E2F" w:rsidP="00DC3579">
      <w:pPr>
        <w:pStyle w:val="Tiret1"/>
        <w:rPr>
          <w:noProof/>
        </w:rPr>
      </w:pPr>
      <w:r w:rsidRPr="003409C9">
        <w:rPr>
          <w:noProof/>
        </w:rPr>
        <w:t>w przypadku państw członkowskich:</w:t>
      </w:r>
      <w:r w:rsidR="003409C9" w:rsidRPr="003409C9">
        <w:rPr>
          <w:noProof/>
        </w:rPr>
        <w:t xml:space="preserve"> w zak</w:t>
      </w:r>
      <w:r w:rsidRPr="003409C9">
        <w:rPr>
          <w:noProof/>
        </w:rPr>
        <w:t xml:space="preserve">resie gromadzenia danych API za pośrednictwem routera. </w:t>
      </w:r>
    </w:p>
    <w:p w:rsidR="008A5088"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Okres ten powinien zakończyć się</w:t>
      </w:r>
      <w:r w:rsidR="003409C9" w:rsidRPr="003409C9">
        <w:rPr>
          <w:noProof/>
        </w:rPr>
        <w:t> </w:t>
      </w:r>
      <w:r w:rsidRPr="003409C9">
        <w:rPr>
          <w:noProof/>
        </w:rPr>
        <w:t>2 lata po uruchomieniu interfejsu routera</w:t>
      </w:r>
      <w:r w:rsidR="003409C9" w:rsidRPr="003409C9">
        <w:rPr>
          <w:noProof/>
        </w:rPr>
        <w:t xml:space="preserve"> i prz</w:t>
      </w:r>
      <w:r w:rsidRPr="003409C9">
        <w:rPr>
          <w:noProof/>
        </w:rPr>
        <w:t>ewoźnika: (T1 + 2 lata)</w:t>
      </w:r>
    </w:p>
    <w:p w:rsidR="00A85B60" w:rsidRPr="003409C9" w:rsidRDefault="00A85B60" w:rsidP="009B05A0">
      <w:pPr>
        <w:pStyle w:val="Text11"/>
        <w:pBdr>
          <w:top w:val="single" w:sz="4" w:space="1" w:color="auto"/>
          <w:left w:val="single" w:sz="4" w:space="4" w:color="auto"/>
          <w:bottom w:val="single" w:sz="4" w:space="1" w:color="auto"/>
          <w:right w:val="single" w:sz="4" w:space="4" w:color="auto"/>
        </w:pBdr>
        <w:rPr>
          <w:noProof/>
        </w:rPr>
        <w:sectPr w:rsidR="00A85B60" w:rsidRPr="003409C9" w:rsidSect="00883BC7">
          <w:pgSz w:w="11907" w:h="16840" w:code="9"/>
          <w:pgMar w:top="1134" w:right="1418" w:bottom="1134" w:left="1418" w:header="709" w:footer="709" w:gutter="0"/>
          <w:cols w:space="708"/>
          <w:docGrid w:linePitch="360"/>
        </w:sectPr>
      </w:pPr>
    </w:p>
    <w:p w:rsidR="00CD7E2F" w:rsidRPr="00BB07AF" w:rsidRDefault="00CD7E2F" w:rsidP="009B05A0">
      <w:pPr>
        <w:pStyle w:val="Text11"/>
        <w:pBdr>
          <w:top w:val="single" w:sz="4" w:space="1" w:color="auto"/>
          <w:left w:val="single" w:sz="4" w:space="4" w:color="auto"/>
          <w:bottom w:val="single" w:sz="4" w:space="1" w:color="auto"/>
          <w:right w:val="single" w:sz="4" w:space="4" w:color="auto"/>
        </w:pBdr>
        <w:ind w:left="0"/>
        <w:rPr>
          <w:noProof/>
          <w:u w:val="single"/>
        </w:rPr>
      </w:pPr>
      <w:r w:rsidRPr="003409C9">
        <w:rPr>
          <w:noProof/>
        </w:rPr>
        <w:t xml:space="preserve">Terminarz </w:t>
      </w:r>
      <w:r w:rsidRPr="003409C9">
        <w:rPr>
          <w:noProof/>
        </w:rPr>
        <w:br/>
      </w:r>
      <w:r w:rsidRPr="003409C9">
        <w:rPr>
          <w:noProof/>
          <w:lang w:val="en-GB" w:eastAsia="en-GB"/>
        </w:rPr>
        <w:drawing>
          <wp:inline distT="0" distB="0" distL="0" distR="0" wp14:anchorId="435082E2" wp14:editId="02B9E116">
            <wp:extent cx="9160228" cy="28860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44706" cy="2975704"/>
                    </a:xfrm>
                    <a:prstGeom prst="rect">
                      <a:avLst/>
                    </a:prstGeom>
                    <a:noFill/>
                  </pic:spPr>
                </pic:pic>
              </a:graphicData>
            </a:graphic>
          </wp:inline>
        </w:drawing>
      </w:r>
    </w:p>
    <w:p w:rsidR="008A5088" w:rsidRPr="003409C9" w:rsidRDefault="008A5088" w:rsidP="009475BC">
      <w:pPr>
        <w:rPr>
          <w:noProof/>
        </w:rPr>
        <w:sectPr w:rsidR="008A5088" w:rsidRPr="003409C9" w:rsidSect="00883BC7">
          <w:headerReference w:type="default" r:id="rId17"/>
          <w:footerReference w:type="default" r:id="rId18"/>
          <w:headerReference w:type="first" r:id="rId19"/>
          <w:footerReference w:type="first" r:id="rId20"/>
          <w:pgSz w:w="16840" w:h="11907" w:orient="landscape" w:code="9"/>
          <w:pgMar w:top="1418" w:right="1134" w:bottom="1418" w:left="1134" w:header="709" w:footer="709" w:gutter="0"/>
          <w:cols w:space="708"/>
          <w:docGrid w:linePitch="360"/>
        </w:sectPr>
      </w:pPr>
      <w:bookmarkStart w:id="87" w:name="_Toc514938029"/>
      <w:bookmarkStart w:id="88" w:name="_Toc117796977"/>
      <w:bookmarkEnd w:id="86"/>
    </w:p>
    <w:p w:rsidR="00CD7E2F" w:rsidRPr="00BB07AF" w:rsidRDefault="009475BC" w:rsidP="009475BC">
      <w:pPr>
        <w:pStyle w:val="ManualHeading3"/>
        <w:rPr>
          <w:bCs/>
          <w:noProof/>
          <w:szCs w:val="24"/>
        </w:rPr>
      </w:pPr>
      <w:r w:rsidRPr="00BB07AF">
        <w:rPr>
          <w:noProof/>
        </w:rPr>
        <w:t>1.5.2.</w:t>
      </w:r>
      <w:r w:rsidRPr="00BB07AF">
        <w:rPr>
          <w:noProof/>
        </w:rPr>
        <w:tab/>
        <w:t>Wartość dodana</w:t>
      </w:r>
      <w:r w:rsidR="003409C9" w:rsidRPr="00BB07AF">
        <w:rPr>
          <w:noProof/>
        </w:rPr>
        <w:t xml:space="preserve"> z tyt</w:t>
      </w:r>
      <w:r w:rsidRPr="00BB07AF">
        <w:rPr>
          <w:noProof/>
        </w:rPr>
        <w:t>ułu zaangażowania Unii Europejskiej (może wynikać</w:t>
      </w:r>
      <w:r w:rsidR="003409C9" w:rsidRPr="00BB07AF">
        <w:rPr>
          <w:noProof/>
        </w:rPr>
        <w:t xml:space="preserve"> z róż</w:t>
      </w:r>
      <w:r w:rsidRPr="00BB07AF">
        <w:rPr>
          <w:noProof/>
        </w:rPr>
        <w:t>nych czynników, na przykład korzyści koordynacyjnych, pewności prawa, większej efektywności lub komplementarności). Na potrzeby tego punktu „wartość dodaną</w:t>
      </w:r>
      <w:r w:rsidR="003409C9" w:rsidRPr="00BB07AF">
        <w:rPr>
          <w:noProof/>
        </w:rPr>
        <w:t xml:space="preserve"> z tyt</w:t>
      </w:r>
      <w:r w:rsidRPr="00BB07AF">
        <w:rPr>
          <w:noProof/>
        </w:rPr>
        <w:t>ułu zaangażowania Unii” należy rozumieć jako wartość wynikającą</w:t>
      </w:r>
      <w:r w:rsidR="003409C9" w:rsidRPr="00BB07AF">
        <w:rPr>
          <w:noProof/>
        </w:rPr>
        <w:t xml:space="preserve"> z uni</w:t>
      </w:r>
      <w:r w:rsidRPr="00BB07AF">
        <w:rPr>
          <w:noProof/>
        </w:rPr>
        <w:t>jnej interwencji, wykraczającą poza wartość, która zostałaby wytworzona przez same państwa członkowskie.</w:t>
      </w:r>
      <w:bookmarkEnd w:id="87"/>
      <w:bookmarkEnd w:id="88"/>
    </w:p>
    <w:p w:rsidR="00CD7E2F" w:rsidRPr="00BB07AF" w:rsidRDefault="00CD7E2F" w:rsidP="009B05A0">
      <w:pPr>
        <w:pStyle w:val="Text11"/>
        <w:pBdr>
          <w:top w:val="single" w:sz="4" w:space="1" w:color="auto"/>
          <w:left w:val="single" w:sz="4" w:space="4" w:color="auto"/>
          <w:bottom w:val="single" w:sz="4" w:space="1" w:color="auto"/>
          <w:right w:val="single" w:sz="4" w:space="4" w:color="auto"/>
        </w:pBdr>
        <w:rPr>
          <w:noProof/>
          <w:u w:val="single"/>
        </w:rPr>
      </w:pPr>
      <w:bookmarkStart w:id="89" w:name="_Hlk118440494"/>
      <w:r w:rsidRPr="00BB07AF">
        <w:rPr>
          <w:noProof/>
          <w:u w:val="single"/>
        </w:rPr>
        <w:t>Przyczyny działania na poziomie europejskim (</w:t>
      </w:r>
      <w:r w:rsidRPr="00BB07AF">
        <w:rPr>
          <w:i/>
          <w:iCs/>
          <w:noProof/>
          <w:u w:val="single"/>
        </w:rPr>
        <w:t>ex ante</w:t>
      </w:r>
      <w:r w:rsidRPr="00BB07AF">
        <w:rPr>
          <w:noProof/>
          <w:u w:val="single"/>
        </w:rPr>
        <w:t>)</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W Traktacie</w:t>
      </w:r>
      <w:r w:rsidR="003409C9" w:rsidRPr="003409C9">
        <w:rPr>
          <w:noProof/>
        </w:rPr>
        <w:t xml:space="preserve"> o fun</w:t>
      </w:r>
      <w:r w:rsidRPr="003409C9">
        <w:rPr>
          <w:noProof/>
        </w:rPr>
        <w:t>kcjonowaniu Unii Europejskiej (TFUE) nadano Unii bezpośrednie uprawnienie do opracowania wspólnej polityki</w:t>
      </w:r>
      <w:r w:rsidR="003409C9" w:rsidRPr="003409C9">
        <w:rPr>
          <w:noProof/>
        </w:rPr>
        <w:t xml:space="preserve"> w zak</w:t>
      </w:r>
      <w:r w:rsidRPr="003409C9">
        <w:rPr>
          <w:noProof/>
        </w:rPr>
        <w:t>resie kontroli, którym poddawane są osoby przekraczające granice zewnętrzne, co stanowi wyraźny cel, do którego osiągnięcia należy dążyć na szczeblu UE</w:t>
      </w:r>
      <w:r w:rsidR="003409C9" w:rsidRPr="003409C9">
        <w:rPr>
          <w:noProof/>
        </w:rPr>
        <w:t xml:space="preserve"> i w kon</w:t>
      </w:r>
      <w:r w:rsidRPr="003409C9">
        <w:rPr>
          <w:noProof/>
        </w:rPr>
        <w:t>tekście zwalczania nielegalnej imigracji. Jednocześnie są to obszary kompetencji dzielonych między UE</w:t>
      </w:r>
      <w:r w:rsidR="003409C9" w:rsidRPr="003409C9">
        <w:rPr>
          <w:noProof/>
        </w:rPr>
        <w:t xml:space="preserve"> a pań</w:t>
      </w:r>
      <w:r w:rsidRPr="003409C9">
        <w:rPr>
          <w:noProof/>
        </w:rPr>
        <w:t>stwa członkowskie.</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W towarzyszącej wnioskowi ocenie skutków wykazano, że (i) nie każdą osobę przekraczającą granice zewnętrzne</w:t>
      </w:r>
      <w:r w:rsidR="003409C9" w:rsidRPr="003409C9">
        <w:rPr>
          <w:noProof/>
        </w:rPr>
        <w:t xml:space="preserve"> w cel</w:t>
      </w:r>
      <w:r w:rsidRPr="003409C9">
        <w:rPr>
          <w:noProof/>
        </w:rPr>
        <w:t>u dotarcia do Unii poddaje się wstępnej kontroli</w:t>
      </w:r>
      <w:r w:rsidR="003409C9" w:rsidRPr="003409C9">
        <w:rPr>
          <w:noProof/>
        </w:rPr>
        <w:t xml:space="preserve"> z wyk</w:t>
      </w:r>
      <w:r w:rsidRPr="003409C9">
        <w:rPr>
          <w:noProof/>
        </w:rPr>
        <w:t>orzystaniem danych API oraz (ii)</w:t>
      </w:r>
      <w:r w:rsidR="003409C9" w:rsidRPr="003409C9">
        <w:rPr>
          <w:noProof/>
        </w:rPr>
        <w:t xml:space="preserve"> w prz</w:t>
      </w:r>
      <w:r w:rsidRPr="003409C9">
        <w:rPr>
          <w:noProof/>
        </w:rPr>
        <w:t>ypadku braku danych API</w:t>
      </w:r>
      <w:r w:rsidR="003409C9" w:rsidRPr="003409C9">
        <w:rPr>
          <w:noProof/>
        </w:rPr>
        <w:t xml:space="preserve"> w dan</w:t>
      </w:r>
      <w:r w:rsidRPr="003409C9">
        <w:rPr>
          <w:noProof/>
        </w:rPr>
        <w:t>ych gromadzonych na potrzeby PNR pozostają pewne luki, co dotyczy zwłaszcza lotów wewnątrzunijnych. Działania UE</w:t>
      </w:r>
      <w:r w:rsidR="003409C9" w:rsidRPr="003409C9">
        <w:rPr>
          <w:noProof/>
        </w:rPr>
        <w:t xml:space="preserve"> w tym</w:t>
      </w:r>
      <w:r w:rsidRPr="003409C9">
        <w:rPr>
          <w:noProof/>
        </w:rPr>
        <w:t xml:space="preserve"> zakresie mają na celu rozstrzygnięcie tych kwestii, które można podjąć</w:t>
      </w:r>
      <w:r w:rsidR="003409C9" w:rsidRPr="003409C9">
        <w:rPr>
          <w:noProof/>
        </w:rPr>
        <w:t xml:space="preserve"> w ram</w:t>
      </w:r>
      <w:r w:rsidRPr="003409C9">
        <w:rPr>
          <w:noProof/>
        </w:rPr>
        <w:t>ach stosowania zasady pomocniczości – istotnej</w:t>
      </w:r>
      <w:r w:rsidR="003409C9" w:rsidRPr="003409C9">
        <w:rPr>
          <w:noProof/>
        </w:rPr>
        <w:t xml:space="preserve"> w kon</w:t>
      </w:r>
      <w:r w:rsidRPr="003409C9">
        <w:rPr>
          <w:noProof/>
        </w:rPr>
        <w:t>tekście kompetencji dzielonych – ponieważ przewidywane cele nie mogą zostać osiągnięte</w:t>
      </w:r>
      <w:r w:rsidR="003409C9" w:rsidRPr="003409C9">
        <w:rPr>
          <w:noProof/>
        </w:rPr>
        <w:t xml:space="preserve"> w wys</w:t>
      </w:r>
      <w:r w:rsidRPr="003409C9">
        <w:rPr>
          <w:noProof/>
        </w:rPr>
        <w:t xml:space="preserve">tarczającym stopniu przez same państwa członkowskie, natomiast ze względu na rozmiary lub skutki proponowanego działania mogą zostać lepiej osiągnięte przez UE: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(i) Same państwa członkowskie nie byłyby</w:t>
      </w:r>
      <w:r w:rsidR="003409C9" w:rsidRPr="003409C9">
        <w:rPr>
          <w:noProof/>
        </w:rPr>
        <w:t xml:space="preserve"> w sta</w:t>
      </w:r>
      <w:r w:rsidRPr="003409C9">
        <w:rPr>
          <w:noProof/>
        </w:rPr>
        <w:t>nie skutecznie wdrożyć jasnych</w:t>
      </w:r>
      <w:r w:rsidR="003409C9" w:rsidRPr="003409C9">
        <w:rPr>
          <w:noProof/>
        </w:rPr>
        <w:t xml:space="preserve"> i wsp</w:t>
      </w:r>
      <w:r w:rsidRPr="003409C9">
        <w:rPr>
          <w:noProof/>
        </w:rPr>
        <w:t>ólnych zasad operacyjnych dotyczących przetwarzania danych API na potrzeby zarządzania granicami</w:t>
      </w:r>
      <w:r w:rsidR="003409C9" w:rsidRPr="003409C9">
        <w:rPr>
          <w:noProof/>
        </w:rPr>
        <w:t xml:space="preserve"> i zwa</w:t>
      </w:r>
      <w:r w:rsidRPr="003409C9">
        <w:rPr>
          <w:noProof/>
        </w:rPr>
        <w:t>lczania nielegalnej imigracji, zwłaszcza</w:t>
      </w:r>
      <w:r w:rsidR="003409C9" w:rsidRPr="003409C9">
        <w:rPr>
          <w:noProof/>
        </w:rPr>
        <w:t xml:space="preserve"> w zak</w:t>
      </w:r>
      <w:r w:rsidRPr="003409C9">
        <w:rPr>
          <w:noProof/>
        </w:rPr>
        <w:t>resie wstępnych kontroli, które mają zasadnicze znaczenie</w:t>
      </w:r>
      <w:r w:rsidR="003409C9" w:rsidRPr="003409C9">
        <w:rPr>
          <w:noProof/>
        </w:rPr>
        <w:t xml:space="preserve"> w zha</w:t>
      </w:r>
      <w:r w:rsidRPr="003409C9">
        <w:rPr>
          <w:noProof/>
        </w:rPr>
        <w:t>rmonizowanym podejściu</w:t>
      </w:r>
      <w:r w:rsidR="003409C9" w:rsidRPr="003409C9">
        <w:rPr>
          <w:noProof/>
        </w:rPr>
        <w:t xml:space="preserve"> w cał</w:t>
      </w:r>
      <w:r w:rsidRPr="003409C9">
        <w:rPr>
          <w:noProof/>
        </w:rPr>
        <w:t>ej Unii,</w:t>
      </w:r>
      <w:r w:rsidR="003409C9" w:rsidRPr="003409C9">
        <w:rPr>
          <w:noProof/>
        </w:rPr>
        <w:t xml:space="preserve"> w szc</w:t>
      </w:r>
      <w:r w:rsidRPr="003409C9">
        <w:rPr>
          <w:noProof/>
        </w:rPr>
        <w:t>zególności</w:t>
      </w:r>
      <w:r w:rsidR="003409C9" w:rsidRPr="003409C9">
        <w:rPr>
          <w:noProof/>
        </w:rPr>
        <w:t xml:space="preserve"> w str</w:t>
      </w:r>
      <w:r w:rsidRPr="003409C9">
        <w:rPr>
          <w:noProof/>
        </w:rPr>
        <w:t xml:space="preserve">efie Schengen, do przepływu osób przez granice zewnętrzne (kodeks graniczny Schengen).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(ii) Podobnie same państwa członkowskie nie byłyby</w:t>
      </w:r>
      <w:r w:rsidR="003409C9" w:rsidRPr="003409C9">
        <w:rPr>
          <w:noProof/>
        </w:rPr>
        <w:t xml:space="preserve"> w sta</w:t>
      </w:r>
      <w:r w:rsidRPr="003409C9">
        <w:rPr>
          <w:noProof/>
        </w:rPr>
        <w:t>nie skutecznie rozwiązywać problemów związanych</w:t>
      </w:r>
      <w:r w:rsidR="003409C9" w:rsidRPr="003409C9">
        <w:rPr>
          <w:noProof/>
        </w:rPr>
        <w:t xml:space="preserve"> z prz</w:t>
      </w:r>
      <w:r w:rsidRPr="003409C9">
        <w:rPr>
          <w:noProof/>
        </w:rPr>
        <w:t>etwarzaniem danych API na potrzeby ochrony porządku publicznego, ponieważ dyrektywa</w:t>
      </w:r>
      <w:r w:rsidR="003409C9" w:rsidRPr="003409C9">
        <w:rPr>
          <w:noProof/>
        </w:rPr>
        <w:t xml:space="preserve"> w spr</w:t>
      </w:r>
      <w:r w:rsidRPr="003409C9">
        <w:rPr>
          <w:noProof/>
        </w:rPr>
        <w:t>awie API jest instrumentem Schengen</w:t>
      </w:r>
      <w:r w:rsidR="003409C9" w:rsidRPr="003409C9">
        <w:rPr>
          <w:noProof/>
        </w:rPr>
        <w:t xml:space="preserve"> i nie</w:t>
      </w:r>
      <w:r w:rsidRPr="003409C9">
        <w:rPr>
          <w:noProof/>
        </w:rPr>
        <w:t xml:space="preserve"> uregulowano</w:t>
      </w:r>
      <w:r w:rsidR="003409C9" w:rsidRPr="003409C9">
        <w:rPr>
          <w:noProof/>
        </w:rPr>
        <w:t xml:space="preserve"> w nie</w:t>
      </w:r>
      <w:r w:rsidRPr="003409C9">
        <w:rPr>
          <w:noProof/>
        </w:rPr>
        <w:t>j kwestii pozyskiwania</w:t>
      </w:r>
      <w:r w:rsidR="003409C9" w:rsidRPr="003409C9">
        <w:rPr>
          <w:noProof/>
        </w:rPr>
        <w:t xml:space="preserve"> i prz</w:t>
      </w:r>
      <w:r w:rsidRPr="003409C9">
        <w:rPr>
          <w:noProof/>
        </w:rPr>
        <w:t>ekazywania danych API</w:t>
      </w:r>
      <w:r w:rsidR="003409C9" w:rsidRPr="003409C9">
        <w:rPr>
          <w:noProof/>
        </w:rPr>
        <w:t xml:space="preserve"> w prz</w:t>
      </w:r>
      <w:r w:rsidRPr="003409C9">
        <w:rPr>
          <w:noProof/>
        </w:rPr>
        <w:t>ypadku lotów wewnątrzunijnych. Wobec braku danych API, które stanowiłyby uzupełnienie danych PNR</w:t>
      </w:r>
      <w:r w:rsidR="003409C9" w:rsidRPr="003409C9">
        <w:rPr>
          <w:noProof/>
        </w:rPr>
        <w:t xml:space="preserve"> w zak</w:t>
      </w:r>
      <w:r w:rsidRPr="003409C9">
        <w:rPr>
          <w:noProof/>
        </w:rPr>
        <w:t>resie tych lotów, państwa członkowskie wdrożyły szereg różnych środków, które mają rekompensować brak danych dotyczących tożsamości podróżnych. Obejmują one fizyczne kontrole zgodności</w:t>
      </w:r>
      <w:r w:rsidR="003409C9" w:rsidRPr="003409C9">
        <w:rPr>
          <w:noProof/>
        </w:rPr>
        <w:t xml:space="preserve"> w cel</w:t>
      </w:r>
      <w:r w:rsidRPr="003409C9">
        <w:rPr>
          <w:noProof/>
        </w:rPr>
        <w:t>u weryfikacji danych dotyczących tożsamości zawartych</w:t>
      </w:r>
      <w:r w:rsidR="003409C9" w:rsidRPr="003409C9">
        <w:rPr>
          <w:noProof/>
        </w:rPr>
        <w:t xml:space="preserve"> w dok</w:t>
      </w:r>
      <w:r w:rsidRPr="003409C9">
        <w:rPr>
          <w:noProof/>
        </w:rPr>
        <w:t xml:space="preserve">umencie podróży i na karcie pokładowej, które powodują nowe wyzwania, lecz nie rozwiązują podstawowego problemu, jakim jest brak danych API. </w:t>
      </w:r>
    </w:p>
    <w:p w:rsidR="00CD7E2F" w:rsidRPr="003409C9" w:rsidRDefault="00755AFD"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W związku</w:t>
      </w:r>
      <w:r w:rsidR="003409C9" w:rsidRPr="003409C9">
        <w:rPr>
          <w:noProof/>
        </w:rPr>
        <w:t xml:space="preserve"> z tym</w:t>
      </w:r>
      <w:r w:rsidRPr="003409C9">
        <w:rPr>
          <w:noProof/>
        </w:rPr>
        <w:t xml:space="preserve"> konieczne byłoby podjęcie działań na szczeblu UE</w:t>
      </w:r>
      <w:r w:rsidR="003409C9" w:rsidRPr="003409C9">
        <w:rPr>
          <w:noProof/>
        </w:rPr>
        <w:t xml:space="preserve"> w zak</w:t>
      </w:r>
      <w:r w:rsidRPr="003409C9">
        <w:rPr>
          <w:noProof/>
        </w:rPr>
        <w:t>resie danych API, aby skutecznie przeciwdziałać zidentyfikowanym problemom zgodnie</w:t>
      </w:r>
      <w:r w:rsidR="003409C9" w:rsidRPr="003409C9">
        <w:rPr>
          <w:noProof/>
        </w:rPr>
        <w:t xml:space="preserve"> z zas</w:t>
      </w:r>
      <w:r w:rsidRPr="003409C9">
        <w:rPr>
          <w:noProof/>
        </w:rPr>
        <w:t>adą pomocniczości. Do podjęcia tych działań wezwano również</w:t>
      </w:r>
      <w:r w:rsidR="003409C9" w:rsidRPr="003409C9">
        <w:rPr>
          <w:noProof/>
        </w:rPr>
        <w:t xml:space="preserve"> w Str</w:t>
      </w:r>
      <w:r w:rsidRPr="003409C9">
        <w:rPr>
          <w:noProof/>
        </w:rPr>
        <w:t>ategii Komisji na rzecz</w:t>
      </w:r>
      <w:r w:rsidR="003409C9" w:rsidRPr="003409C9">
        <w:rPr>
          <w:noProof/>
        </w:rPr>
        <w:t xml:space="preserve"> w peł</w:t>
      </w:r>
      <w:r w:rsidRPr="003409C9">
        <w:rPr>
          <w:noProof/>
        </w:rPr>
        <w:t>ni funkcjonującej</w:t>
      </w:r>
      <w:r w:rsidR="003409C9" w:rsidRPr="003409C9">
        <w:rPr>
          <w:noProof/>
        </w:rPr>
        <w:t xml:space="preserve"> i odp</w:t>
      </w:r>
      <w:r w:rsidRPr="003409C9">
        <w:rPr>
          <w:noProof/>
        </w:rPr>
        <w:t>ornej strefy Schengen</w:t>
      </w:r>
      <w:r w:rsidRPr="003409C9">
        <w:rPr>
          <w:rStyle w:val="FootnoteReference0"/>
          <w:noProof/>
        </w:rPr>
        <w:footnoteReference w:id="54"/>
      </w:r>
      <w:r w:rsidR="003409C9" w:rsidRPr="003409C9">
        <w:rPr>
          <w:noProof/>
        </w:rPr>
        <w:t xml:space="preserve"> z cze</w:t>
      </w:r>
      <w:r w:rsidRPr="003409C9">
        <w:rPr>
          <w:noProof/>
        </w:rPr>
        <w:t>rwca 2021</w:t>
      </w:r>
      <w:r w:rsidR="003409C9" w:rsidRPr="003409C9">
        <w:rPr>
          <w:noProof/>
        </w:rPr>
        <w:t> </w:t>
      </w:r>
      <w:r w:rsidRPr="003409C9">
        <w:rPr>
          <w:noProof/>
        </w:rPr>
        <w:t>r.,</w:t>
      </w:r>
      <w:r w:rsidR="003409C9" w:rsidRPr="003409C9">
        <w:rPr>
          <w:noProof/>
        </w:rPr>
        <w:t xml:space="preserve"> w któ</w:t>
      </w:r>
      <w:r w:rsidRPr="003409C9">
        <w:rPr>
          <w:noProof/>
        </w:rPr>
        <w:t>rej podkreślono konieczność większego wykorzystania danych API</w:t>
      </w:r>
      <w:r w:rsidR="003409C9" w:rsidRPr="003409C9">
        <w:rPr>
          <w:noProof/>
        </w:rPr>
        <w:t xml:space="preserve"> w poł</w:t>
      </w:r>
      <w:r w:rsidRPr="003409C9">
        <w:rPr>
          <w:noProof/>
        </w:rPr>
        <w:t>ączeniu</w:t>
      </w:r>
      <w:r w:rsidR="003409C9" w:rsidRPr="003409C9">
        <w:rPr>
          <w:noProof/>
        </w:rPr>
        <w:t xml:space="preserve"> z dan</w:t>
      </w:r>
      <w:r w:rsidRPr="003409C9">
        <w:rPr>
          <w:noProof/>
        </w:rPr>
        <w:t>ymi PNR na potrzeby lotów wewnątrzunijnych</w:t>
      </w:r>
      <w:r w:rsidR="003409C9" w:rsidRPr="003409C9">
        <w:rPr>
          <w:noProof/>
        </w:rPr>
        <w:t xml:space="preserve"> w cel</w:t>
      </w:r>
      <w:r w:rsidRPr="003409C9">
        <w:rPr>
          <w:noProof/>
        </w:rPr>
        <w:t>u zwiększenia bezpieczeństwa wewnętrznego. Oprócz potrzeby wzmocnienia strefy Schengen jako priorytetu politycznego Unii potrzeba działania UE</w:t>
      </w:r>
      <w:r w:rsidR="003409C9" w:rsidRPr="003409C9">
        <w:rPr>
          <w:noProof/>
        </w:rPr>
        <w:t xml:space="preserve"> w zak</w:t>
      </w:r>
      <w:r w:rsidRPr="003409C9">
        <w:rPr>
          <w:noProof/>
        </w:rPr>
        <w:t>resie API na tym etapie, niezależnie od szczególnego stanowiska Irlandii, wynika również</w:t>
      </w:r>
      <w:r w:rsidR="003409C9" w:rsidRPr="003409C9">
        <w:rPr>
          <w:noProof/>
        </w:rPr>
        <w:t xml:space="preserve"> z naj</w:t>
      </w:r>
      <w:r w:rsidRPr="003409C9">
        <w:rPr>
          <w:noProof/>
        </w:rPr>
        <w:t>nowszych zmian legislacyjnych</w:t>
      </w:r>
      <w:r w:rsidR="003409C9" w:rsidRPr="003409C9">
        <w:rPr>
          <w:noProof/>
        </w:rPr>
        <w:t xml:space="preserve"> w zak</w:t>
      </w:r>
      <w:r w:rsidRPr="003409C9">
        <w:rPr>
          <w:noProof/>
        </w:rPr>
        <w:t>resie zarządzania granicami zewnętrznymi Unii:</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 rozporządzenia</w:t>
      </w:r>
      <w:r w:rsidR="003409C9" w:rsidRPr="003409C9">
        <w:rPr>
          <w:noProof/>
        </w:rPr>
        <w:t xml:space="preserve"> w spr</w:t>
      </w:r>
      <w:r w:rsidRPr="003409C9">
        <w:rPr>
          <w:noProof/>
        </w:rPr>
        <w:t>awie interoperacyjności</w:t>
      </w:r>
      <w:r w:rsidR="003409C9" w:rsidRPr="003409C9">
        <w:rPr>
          <w:noProof/>
        </w:rPr>
        <w:t xml:space="preserve"> z 2</w:t>
      </w:r>
      <w:r w:rsidRPr="003409C9">
        <w:rPr>
          <w:noProof/>
        </w:rPr>
        <w:t>019</w:t>
      </w:r>
      <w:r w:rsidR="003409C9" w:rsidRPr="003409C9">
        <w:rPr>
          <w:noProof/>
        </w:rPr>
        <w:t> </w:t>
      </w:r>
      <w:r w:rsidRPr="003409C9">
        <w:rPr>
          <w:noProof/>
        </w:rPr>
        <w:t>r. umożliwią systematyczne odprawy osób przekraczających zewnętrzne granice strefy Schengen</w:t>
      </w:r>
      <w:r w:rsidR="003409C9" w:rsidRPr="003409C9">
        <w:rPr>
          <w:noProof/>
        </w:rPr>
        <w:t xml:space="preserve"> z wyk</w:t>
      </w:r>
      <w:r w:rsidRPr="003409C9">
        <w:rPr>
          <w:noProof/>
        </w:rPr>
        <w:t>orzystaniem wszystkich dostępnych informacji zawartych</w:t>
      </w:r>
      <w:r w:rsidR="003409C9" w:rsidRPr="003409C9">
        <w:rPr>
          <w:noProof/>
        </w:rPr>
        <w:t xml:space="preserve"> w sce</w:t>
      </w:r>
      <w:r w:rsidRPr="003409C9">
        <w:rPr>
          <w:noProof/>
        </w:rPr>
        <w:t>ntralizowanych systemach informacyjnych UE</w:t>
      </w:r>
      <w:r w:rsidR="003409C9" w:rsidRPr="003409C9">
        <w:rPr>
          <w:noProof/>
        </w:rPr>
        <w:t xml:space="preserve"> w dzi</w:t>
      </w:r>
      <w:r w:rsidRPr="003409C9">
        <w:rPr>
          <w:noProof/>
        </w:rPr>
        <w:t>edzinie bezpieczeństwa oraz zarządzania granicami</w:t>
      </w:r>
      <w:r w:rsidR="003409C9" w:rsidRPr="003409C9">
        <w:rPr>
          <w:noProof/>
        </w:rPr>
        <w:t xml:space="preserve"> i mig</w:t>
      </w:r>
      <w:r w:rsidRPr="003409C9">
        <w:rPr>
          <w:noProof/>
        </w:rPr>
        <w:t>racjami.</w:t>
      </w:r>
      <w:r w:rsidR="003B5A1D" w:rsidRPr="003409C9">
        <w:rPr>
          <w:noProof/>
        </w:rPr>
        <w:t xml:space="preserve"> </w:t>
      </w:r>
      <w:r w:rsidRPr="003409C9">
        <w:rPr>
          <w:noProof/>
        </w:rPr>
        <w:t xml:space="preserve">Logiczną kontynuacją tej koncepcji jest ustanowienie scentralizowanego przekazywania danych API na szczeblu UE;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 na zewnętrznych granicach strefy Schengen wykorzystywanie danych API stanowiłoby skuteczne uzupełnienie zbliżającego się uruchomienia systemu wjazdu/wyjazdu (EES) oraz europejskiego systemu informacji</w:t>
      </w:r>
      <w:r w:rsidR="003409C9" w:rsidRPr="003409C9">
        <w:rPr>
          <w:noProof/>
        </w:rPr>
        <w:t xml:space="preserve"> o pod</w:t>
      </w:r>
      <w:r w:rsidRPr="003409C9">
        <w:rPr>
          <w:noProof/>
        </w:rPr>
        <w:t>róży oraz zezwoleń na podroż (ETIAS). Wykorzystanie danych API byłoby nadal niezbędne</w:t>
      </w:r>
      <w:r w:rsidR="003409C9" w:rsidRPr="003409C9">
        <w:rPr>
          <w:noProof/>
        </w:rPr>
        <w:t xml:space="preserve"> w zar</w:t>
      </w:r>
      <w:r w:rsidRPr="003409C9">
        <w:rPr>
          <w:noProof/>
        </w:rPr>
        <w:t>ządzaniu granicami zewnętrznymi, ponieważ pozwalałoby</w:t>
      </w:r>
      <w:r w:rsidR="003409C9" w:rsidRPr="003409C9">
        <w:rPr>
          <w:noProof/>
        </w:rPr>
        <w:t xml:space="preserve"> z wyp</w:t>
      </w:r>
      <w:r w:rsidRPr="003409C9">
        <w:rPr>
          <w:noProof/>
        </w:rPr>
        <w:t>rzedzeniem informować funkcjonariuszy straży granicznej</w:t>
      </w:r>
      <w:r w:rsidR="003409C9" w:rsidRPr="003409C9">
        <w:rPr>
          <w:noProof/>
        </w:rPr>
        <w:t xml:space="preserve"> o tym</w:t>
      </w:r>
      <w:r w:rsidRPr="003409C9">
        <w:rPr>
          <w:noProof/>
        </w:rPr>
        <w:t>, czy dany podróżny faktycznie wsiadł na pokład samolotu</w:t>
      </w:r>
      <w:r w:rsidR="003409C9" w:rsidRPr="003409C9">
        <w:rPr>
          <w:noProof/>
        </w:rPr>
        <w:t xml:space="preserve"> z kra</w:t>
      </w:r>
      <w:r w:rsidRPr="003409C9">
        <w:rPr>
          <w:noProof/>
        </w:rPr>
        <w:t>ju trzeciego</w:t>
      </w:r>
      <w:r w:rsidR="003409C9" w:rsidRPr="003409C9">
        <w:rPr>
          <w:noProof/>
        </w:rPr>
        <w:t xml:space="preserve"> i zam</w:t>
      </w:r>
      <w:r w:rsidRPr="003409C9">
        <w:rPr>
          <w:noProof/>
        </w:rPr>
        <w:t>ierza wjechać do strefy Schengen, co ułatwi odprawę graniczną, która będzie miała miejsce po przybyciu podróżnego na granicę zewnętrzną;</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BB07AF">
        <w:rPr>
          <w:noProof/>
          <w:u w:val="single"/>
        </w:rPr>
        <w:t>Oczekiwana wartość dodana</w:t>
      </w:r>
      <w:r w:rsidR="003409C9" w:rsidRPr="00BB07AF">
        <w:rPr>
          <w:noProof/>
          <w:u w:val="single"/>
        </w:rPr>
        <w:t xml:space="preserve"> z tyt</w:t>
      </w:r>
      <w:r w:rsidRPr="00BB07AF">
        <w:rPr>
          <w:noProof/>
          <w:u w:val="single"/>
        </w:rPr>
        <w:t>ułu zaangażowania Unii (</w:t>
      </w:r>
      <w:r w:rsidRPr="00BB07AF">
        <w:rPr>
          <w:i/>
          <w:noProof/>
          <w:u w:val="single"/>
        </w:rPr>
        <w:t>ex post</w:t>
      </w:r>
      <w:r w:rsidRPr="00BB07AF">
        <w:rPr>
          <w:noProof/>
          <w:u w:val="single"/>
        </w:rPr>
        <w:t>)</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 przewoźnicy lotniczy powinni odnieść korzyści dzięki oszczędnościom</w:t>
      </w:r>
      <w:r w:rsidR="003409C9" w:rsidRPr="003409C9">
        <w:rPr>
          <w:noProof/>
        </w:rPr>
        <w:t xml:space="preserve"> w zak</w:t>
      </w:r>
      <w:r w:rsidRPr="003409C9">
        <w:rPr>
          <w:noProof/>
        </w:rPr>
        <w:t>resie kosztów technicznych, operacyjnych, infrastrukturalnych</w:t>
      </w:r>
      <w:r w:rsidR="003409C9" w:rsidRPr="003409C9">
        <w:rPr>
          <w:noProof/>
        </w:rPr>
        <w:t xml:space="preserve"> i adm</w:t>
      </w:r>
      <w:r w:rsidRPr="003409C9">
        <w:rPr>
          <w:noProof/>
        </w:rPr>
        <w:t>inistracyjnych wynikających ze znacznego zmniejszenia liczby podłączeń, formatów wymiany, procedur</w:t>
      </w:r>
      <w:r w:rsidR="003409C9" w:rsidRPr="003409C9">
        <w:rPr>
          <w:noProof/>
        </w:rPr>
        <w:t xml:space="preserve"> i wia</w:t>
      </w:r>
      <w:r w:rsidRPr="003409C9">
        <w:rPr>
          <w:noProof/>
        </w:rPr>
        <w:t>domości wysyłanych do instytucji zarządzających granicami</w:t>
      </w:r>
      <w:r w:rsidR="003409C9" w:rsidRPr="003409C9">
        <w:rPr>
          <w:noProof/>
        </w:rPr>
        <w:t xml:space="preserve"> w pań</w:t>
      </w:r>
      <w:r w:rsidRPr="003409C9">
        <w:rPr>
          <w:noProof/>
        </w:rPr>
        <w:t>stwach członkowskich oraz do jednostek do spraw informacji</w:t>
      </w:r>
      <w:r w:rsidR="003409C9" w:rsidRPr="003409C9">
        <w:rPr>
          <w:noProof/>
        </w:rPr>
        <w:t xml:space="preserve"> o pas</w:t>
      </w:r>
      <w:r w:rsidRPr="003409C9">
        <w:rPr>
          <w:noProof/>
        </w:rPr>
        <w:t>ażerach (liczba teoretycznie podzielona przez 26) pomimo ogólnego wzrostu liczby pasażerów</w:t>
      </w:r>
      <w:r w:rsidR="003409C9" w:rsidRPr="003409C9">
        <w:rPr>
          <w:noProof/>
        </w:rPr>
        <w:t xml:space="preserve"> i lot</w:t>
      </w:r>
      <w:r w:rsidRPr="003409C9">
        <w:rPr>
          <w:noProof/>
        </w:rPr>
        <w:t xml:space="preserve">ów objętych tą inicjatywą;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 zharmonizowane zasady gromadzenia danych API powinny mieć pośredni wpływ na zakres</w:t>
      </w:r>
      <w:r w:rsidR="003409C9" w:rsidRPr="003409C9">
        <w:rPr>
          <w:noProof/>
        </w:rPr>
        <w:t xml:space="preserve"> i jak</w:t>
      </w:r>
      <w:r w:rsidRPr="003409C9">
        <w:rPr>
          <w:noProof/>
        </w:rPr>
        <w:t>ość współpracy policyjnej,</w:t>
      </w:r>
      <w:r w:rsidR="003409C9" w:rsidRPr="003409C9">
        <w:rPr>
          <w:noProof/>
        </w:rPr>
        <w:t xml:space="preserve"> a tym</w:t>
      </w:r>
      <w:r w:rsidRPr="003409C9">
        <w:rPr>
          <w:noProof/>
        </w:rPr>
        <w:t xml:space="preserve"> samym przyczynić się do poprawy</w:t>
      </w:r>
      <w:r w:rsidR="003409C9" w:rsidRPr="003409C9">
        <w:rPr>
          <w:noProof/>
        </w:rPr>
        <w:t xml:space="preserve"> w zak</w:t>
      </w:r>
      <w:r w:rsidRPr="003409C9">
        <w:rPr>
          <w:noProof/>
        </w:rPr>
        <w:t xml:space="preserve">resie </w:t>
      </w:r>
      <w:r w:rsidRPr="00BB07AF">
        <w:rPr>
          <w:b/>
          <w:noProof/>
        </w:rPr>
        <w:t>rozwiązywania spraw dotyczących przestępczości transgranicznej, powiązanych</w:t>
      </w:r>
      <w:r w:rsidR="003409C9" w:rsidRPr="00BB07AF">
        <w:rPr>
          <w:b/>
          <w:noProof/>
        </w:rPr>
        <w:t xml:space="preserve"> z wek</w:t>
      </w:r>
      <w:r w:rsidRPr="00BB07AF">
        <w:rPr>
          <w:b/>
          <w:noProof/>
        </w:rPr>
        <w:t>torem powietrznym</w:t>
      </w:r>
      <w:r w:rsidRPr="003409C9">
        <w:rPr>
          <w:noProof/>
        </w:rPr>
        <w:t>: wymiana między poszczególnymi PIU może się rozszerzać na takiej zasadzie, że partnerska PIU ma większe szanse na znalezienie odpowiednich informacji</w:t>
      </w:r>
      <w:r w:rsidR="003409C9" w:rsidRPr="003409C9">
        <w:rPr>
          <w:noProof/>
        </w:rPr>
        <w:t xml:space="preserve"> u swo</w:t>
      </w:r>
      <w:r w:rsidRPr="003409C9">
        <w:rPr>
          <w:noProof/>
        </w:rPr>
        <w:t>jego partnera (systematyczne gromadzenie) lub może</w:t>
      </w:r>
      <w:r w:rsidR="003409C9" w:rsidRPr="003409C9">
        <w:rPr>
          <w:noProof/>
        </w:rPr>
        <w:t xml:space="preserve"> z wyp</w:t>
      </w:r>
      <w:r w:rsidRPr="003409C9">
        <w:rPr>
          <w:noProof/>
        </w:rPr>
        <w:t>rzedzeniem określić szanse na ich udostępnienie (selektywne zasady gromadzenia danych oparte na ocenie ryzyka zgodnie ze zharmonizowanymi zasadami);</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 zmniejszenie pozostałych luk</w:t>
      </w:r>
      <w:r w:rsidR="003409C9" w:rsidRPr="003409C9">
        <w:rPr>
          <w:noProof/>
        </w:rPr>
        <w:t xml:space="preserve"> w zak</w:t>
      </w:r>
      <w:r w:rsidRPr="003409C9">
        <w:rPr>
          <w:noProof/>
        </w:rPr>
        <w:t>resie informacji dotyczących rozproszonych operatorów (lotnictwo korporacyjne, leasing) lub podróżnych niepoddawanych dotychczas żadnej kontroli (załoga) przyczyniłoby się do zapobiegania przepływom (nielegalny obrót środkami odurzającymi</w:t>
      </w:r>
      <w:r w:rsidR="003409C9" w:rsidRPr="003409C9">
        <w:rPr>
          <w:noProof/>
        </w:rPr>
        <w:t xml:space="preserve"> i han</w:t>
      </w:r>
      <w:r w:rsidRPr="003409C9">
        <w:rPr>
          <w:noProof/>
        </w:rPr>
        <w:t>del ludźmi), korzystającym</w:t>
      </w:r>
      <w:r w:rsidR="003409C9" w:rsidRPr="003409C9">
        <w:rPr>
          <w:noProof/>
        </w:rPr>
        <w:t xml:space="preserve"> z tak</w:t>
      </w:r>
      <w:r w:rsidRPr="003409C9">
        <w:rPr>
          <w:noProof/>
        </w:rPr>
        <w:t>ich odpornych wektorów,</w:t>
      </w:r>
      <w:r w:rsidR="003409C9" w:rsidRPr="003409C9">
        <w:rPr>
          <w:noProof/>
        </w:rPr>
        <w:t xml:space="preserve"> a tak</w:t>
      </w:r>
      <w:r w:rsidRPr="003409C9">
        <w:rPr>
          <w:noProof/>
        </w:rPr>
        <w:t>że do ich wykrywania</w:t>
      </w:r>
      <w:r w:rsidR="003409C9" w:rsidRPr="003409C9">
        <w:rPr>
          <w:noProof/>
        </w:rPr>
        <w:t xml:space="preserve"> i ogr</w:t>
      </w:r>
      <w:r w:rsidRPr="003409C9">
        <w:rPr>
          <w:noProof/>
        </w:rPr>
        <w:t>aniczania.</w:t>
      </w:r>
      <w:bookmarkEnd w:id="89"/>
    </w:p>
    <w:p w:rsidR="00CD7E2F" w:rsidRPr="00BB07AF" w:rsidRDefault="009475BC" w:rsidP="009475BC">
      <w:pPr>
        <w:pStyle w:val="ManualHeading3"/>
        <w:rPr>
          <w:noProof/>
        </w:rPr>
      </w:pPr>
      <w:bookmarkStart w:id="90" w:name="_Toc514938030"/>
      <w:bookmarkStart w:id="91" w:name="_Toc117796978"/>
      <w:r w:rsidRPr="00BB07AF">
        <w:rPr>
          <w:noProof/>
        </w:rPr>
        <w:t>1.5.3.</w:t>
      </w:r>
      <w:r w:rsidRPr="00BB07AF">
        <w:rPr>
          <w:noProof/>
        </w:rPr>
        <w:tab/>
        <w:t>Główne wnioski wyciągnięte</w:t>
      </w:r>
      <w:r w:rsidR="003409C9" w:rsidRPr="00BB07AF">
        <w:rPr>
          <w:noProof/>
        </w:rPr>
        <w:t xml:space="preserve"> z pod</w:t>
      </w:r>
      <w:r w:rsidRPr="00BB07AF">
        <w:rPr>
          <w:noProof/>
        </w:rPr>
        <w:t>obnych działań</w:t>
      </w:r>
      <w:bookmarkEnd w:id="90"/>
      <w:bookmarkEnd w:id="91"/>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bookmarkStart w:id="92" w:name="_Hlk118440653"/>
      <w:r w:rsidRPr="003409C9">
        <w:rPr>
          <w:noProof/>
        </w:rPr>
        <w:t>Doświadczenie</w:t>
      </w:r>
      <w:r w:rsidR="003409C9" w:rsidRPr="003409C9">
        <w:rPr>
          <w:noProof/>
        </w:rPr>
        <w:t xml:space="preserve"> w opr</w:t>
      </w:r>
      <w:r w:rsidRPr="003409C9">
        <w:rPr>
          <w:noProof/>
        </w:rPr>
        <w:t>acowywaniu systemów IT</w:t>
      </w:r>
      <w:r w:rsidR="003409C9" w:rsidRPr="003409C9">
        <w:rPr>
          <w:noProof/>
        </w:rPr>
        <w:t xml:space="preserve"> w dzi</w:t>
      </w:r>
      <w:r w:rsidRPr="003409C9">
        <w:rPr>
          <w:noProof/>
        </w:rPr>
        <w:t>edzinie wymiaru sprawiedliwości</w:t>
      </w:r>
      <w:r w:rsidR="003409C9" w:rsidRPr="003409C9">
        <w:rPr>
          <w:noProof/>
        </w:rPr>
        <w:t xml:space="preserve"> i spr</w:t>
      </w:r>
      <w:r w:rsidRPr="003409C9">
        <w:rPr>
          <w:noProof/>
        </w:rPr>
        <w:t>aw wewnętrznych</w:t>
      </w:r>
      <w:r w:rsidR="003409C9" w:rsidRPr="003409C9">
        <w:rPr>
          <w:noProof/>
        </w:rPr>
        <w:t xml:space="preserve"> w opa</w:t>
      </w:r>
      <w:r w:rsidRPr="003409C9">
        <w:rPr>
          <w:noProof/>
        </w:rPr>
        <w:t>rciu</w:t>
      </w:r>
      <w:r w:rsidR="003409C9" w:rsidRPr="003409C9">
        <w:rPr>
          <w:noProof/>
        </w:rPr>
        <w:t xml:space="preserve"> o wym</w:t>
      </w:r>
      <w:r w:rsidRPr="003409C9">
        <w:rPr>
          <w:noProof/>
        </w:rPr>
        <w:t>ianę danych</w:t>
      </w:r>
      <w:r w:rsidR="003409C9" w:rsidRPr="003409C9">
        <w:rPr>
          <w:noProof/>
        </w:rPr>
        <w:t xml:space="preserve"> z oso</w:t>
      </w:r>
      <w:r w:rsidRPr="003409C9">
        <w:rPr>
          <w:noProof/>
        </w:rPr>
        <w:t>bami trzecimi (np. przewoźnikami lotniczymi), jako główny cel</w:t>
      </w:r>
      <w:r w:rsidR="003409C9" w:rsidRPr="003409C9">
        <w:rPr>
          <w:noProof/>
        </w:rPr>
        <w:t xml:space="preserve"> w ram</w:t>
      </w:r>
      <w:r w:rsidRPr="003409C9">
        <w:rPr>
          <w:noProof/>
        </w:rPr>
        <w:t>ach podejścia zdecentralizowanego (dyrektywy</w:t>
      </w:r>
      <w:r w:rsidR="003409C9" w:rsidRPr="003409C9">
        <w:rPr>
          <w:noProof/>
        </w:rPr>
        <w:t xml:space="preserve"> w spr</w:t>
      </w:r>
      <w:r w:rsidRPr="003409C9">
        <w:rPr>
          <w:noProof/>
        </w:rPr>
        <w:t xml:space="preserve">awie API lub PNR) albo jako cel dodatkowy, lecz realizowany na szczeblu centralnym, np. EES i ETIAS (portal dla przewoźników), umożliwiło wyciągnięcie następujących wniosków: </w:t>
      </w:r>
    </w:p>
    <w:p w:rsidR="00755AFD" w:rsidRPr="003409C9" w:rsidRDefault="00755AFD" w:rsidP="00755AFD">
      <w:pPr>
        <w:pStyle w:val="Text1"/>
        <w:pBdr>
          <w:top w:val="single" w:sz="4" w:space="1" w:color="auto"/>
          <w:left w:val="single" w:sz="4" w:space="4" w:color="auto"/>
          <w:bottom w:val="single" w:sz="4" w:space="1" w:color="auto"/>
          <w:right w:val="single" w:sz="4" w:space="4" w:color="auto"/>
        </w:pBdr>
        <w:rPr>
          <w:noProof/>
        </w:rPr>
      </w:pPr>
      <w:r w:rsidRPr="003409C9">
        <w:rPr>
          <w:noProof/>
        </w:rPr>
        <w:t>1. Wdrożenie nowego rozporządzenia nakładającego na przewoźników lotniczych nowe obowiązki może stanowić wyzwanie: nieco rozproszony krajobraz obejmujący wiele małych podmiotów może skutkować brakiem świadomości</w:t>
      </w:r>
      <w:r w:rsidR="003409C9" w:rsidRPr="003409C9">
        <w:rPr>
          <w:noProof/>
        </w:rPr>
        <w:t xml:space="preserve"> i pow</w:t>
      </w:r>
      <w:r w:rsidRPr="003409C9">
        <w:rPr>
          <w:noProof/>
        </w:rPr>
        <w:t>olnym wdrażaniem. Pełne wdrożenie API i PNR odnośnie do wszystkich przewoźników lotniczych – co do jednego – może być trudne, tym bardziej</w:t>
      </w:r>
      <w:r w:rsidR="003409C9" w:rsidRPr="003409C9">
        <w:rPr>
          <w:noProof/>
        </w:rPr>
        <w:t xml:space="preserve"> w prz</w:t>
      </w:r>
      <w:r w:rsidRPr="003409C9">
        <w:rPr>
          <w:noProof/>
        </w:rPr>
        <w:t>ypadku konieczności gromadzenia informacji</w:t>
      </w:r>
      <w:r w:rsidR="003409C9" w:rsidRPr="003409C9">
        <w:rPr>
          <w:noProof/>
        </w:rPr>
        <w:t xml:space="preserve"> o pod</w:t>
      </w:r>
      <w:r w:rsidRPr="003409C9">
        <w:rPr>
          <w:noProof/>
        </w:rPr>
        <w:t>różnych korzystających</w:t>
      </w:r>
      <w:r w:rsidR="003409C9" w:rsidRPr="003409C9">
        <w:rPr>
          <w:noProof/>
        </w:rPr>
        <w:t xml:space="preserve"> z lot</w:t>
      </w:r>
      <w:r w:rsidRPr="003409C9">
        <w:rPr>
          <w:noProof/>
        </w:rPr>
        <w:t>ów korporacyjnych</w:t>
      </w:r>
      <w:r w:rsidR="003409C9" w:rsidRPr="003409C9">
        <w:rPr>
          <w:noProof/>
        </w:rPr>
        <w:t xml:space="preserve"> i lea</w:t>
      </w:r>
      <w:r w:rsidRPr="003409C9">
        <w:rPr>
          <w:noProof/>
        </w:rPr>
        <w:t>singowych. Kluczowe znaczenie dla pełnego osiągnięcia celu będą miały kampanie komunikacyjne oraz koordynacja działań z eu-LISA</w:t>
      </w:r>
      <w:r w:rsidR="003409C9" w:rsidRPr="003409C9">
        <w:rPr>
          <w:noProof/>
        </w:rPr>
        <w:t xml:space="preserve"> i org</w:t>
      </w:r>
      <w:r w:rsidRPr="003409C9">
        <w:rPr>
          <w:noProof/>
        </w:rPr>
        <w:t xml:space="preserve">anami państw członkowskich.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Ponadto doświadczenia związane</w:t>
      </w:r>
      <w:r w:rsidR="003409C9" w:rsidRPr="003409C9">
        <w:rPr>
          <w:noProof/>
        </w:rPr>
        <w:t xml:space="preserve"> z wdr</w:t>
      </w:r>
      <w:r w:rsidRPr="003409C9">
        <w:rPr>
          <w:noProof/>
        </w:rPr>
        <w:t>ażaniem scentralizowanych systemów informacyjnych UE</w:t>
      </w:r>
      <w:r w:rsidR="003409C9" w:rsidRPr="003409C9">
        <w:rPr>
          <w:noProof/>
        </w:rPr>
        <w:t xml:space="preserve"> w obs</w:t>
      </w:r>
      <w:r w:rsidRPr="003409C9">
        <w:rPr>
          <w:noProof/>
        </w:rPr>
        <w:t xml:space="preserve">zarze wymagającym dostosowania lub rozszerzenia systemów krajowych (VIS, SIS) pokazały, że: </w:t>
      </w:r>
    </w:p>
    <w:p w:rsidR="00CD7E2F" w:rsidRPr="003409C9" w:rsidRDefault="00755AFD"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2. Na wdrożenie centralnego komponentu mogą niekorzystnie wpłynąć przekroczenia kosztów</w:t>
      </w:r>
      <w:r w:rsidR="003409C9" w:rsidRPr="003409C9">
        <w:rPr>
          <w:noProof/>
        </w:rPr>
        <w:t xml:space="preserve"> i opó</w:t>
      </w:r>
      <w:r w:rsidRPr="003409C9">
        <w:rPr>
          <w:noProof/>
        </w:rPr>
        <w:t>źnienia, które mogą wynikać ze zmieniających się wymogów, ze względu na brak podstawowych aktów prawnych określających jego cel, zakres, funkcje</w:t>
      </w:r>
      <w:r w:rsidR="003409C9" w:rsidRPr="003409C9">
        <w:rPr>
          <w:noProof/>
        </w:rPr>
        <w:t xml:space="preserve"> i spe</w:t>
      </w:r>
      <w:r w:rsidRPr="003409C9">
        <w:rPr>
          <w:noProof/>
        </w:rPr>
        <w:t>cyfikacje techniczne. Dlatego też</w:t>
      </w:r>
      <w:r w:rsidR="003409C9" w:rsidRPr="003409C9">
        <w:rPr>
          <w:noProof/>
        </w:rPr>
        <w:t xml:space="preserve"> </w:t>
      </w:r>
      <w:r w:rsidR="003409C9" w:rsidRPr="00BB07AF">
        <w:rPr>
          <w:b/>
          <w:noProof/>
        </w:rPr>
        <w:t>z</w:t>
      </w:r>
      <w:r w:rsidR="003409C9" w:rsidRPr="003409C9">
        <w:rPr>
          <w:noProof/>
        </w:rPr>
        <w:t> </w:t>
      </w:r>
      <w:r w:rsidR="003409C9" w:rsidRPr="00BB07AF">
        <w:rPr>
          <w:b/>
          <w:noProof/>
        </w:rPr>
        <w:t>roz</w:t>
      </w:r>
      <w:r w:rsidRPr="00BB07AF">
        <w:rPr>
          <w:b/>
          <w:noProof/>
        </w:rPr>
        <w:t>poczęciem przygotowawczej fazy projektowania należy zaczekać, aż akt prawny oraz jego akty wykonawcze</w:t>
      </w:r>
      <w:r w:rsidR="003409C9" w:rsidRPr="00BB07AF">
        <w:rPr>
          <w:b/>
          <w:noProof/>
        </w:rPr>
        <w:t xml:space="preserve"> i del</w:t>
      </w:r>
      <w:r w:rsidRPr="00BB07AF">
        <w:rPr>
          <w:b/>
          <w:noProof/>
        </w:rPr>
        <w:t>egowane będą gotowe.</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2. Jeżeli chodzi</w:t>
      </w:r>
      <w:r w:rsidR="003409C9" w:rsidRPr="003409C9">
        <w:rPr>
          <w:noProof/>
        </w:rPr>
        <w:t xml:space="preserve"> o wdr</w:t>
      </w:r>
      <w:r w:rsidRPr="003409C9">
        <w:rPr>
          <w:noProof/>
        </w:rPr>
        <w:t>ożenie systemu na szczeblu krajowym, najodpowiedniejsze do wdrażania coraz bardziej złożonych zestawów funkcji jest podejście stopniowe polegające na stopniowym przechodzeniu na kolejne poziomy funkcjonalności (wersja przekształcona SIS), które to podejście umożliwia zaawansowany rozwój zarówno na poziomie centralnym, jak</w:t>
      </w:r>
      <w:r w:rsidR="003409C9" w:rsidRPr="003409C9">
        <w:rPr>
          <w:noProof/>
        </w:rPr>
        <w:t xml:space="preserve"> i kra</w:t>
      </w:r>
      <w:r w:rsidRPr="003409C9">
        <w:rPr>
          <w:noProof/>
        </w:rPr>
        <w:t>jowym poprzez zmniejszenie nacisku na zapewnienie jakości,</w:t>
      </w:r>
      <w:r w:rsidR="003409C9" w:rsidRPr="003409C9">
        <w:rPr>
          <w:noProof/>
        </w:rPr>
        <w:t xml:space="preserve"> a tak</w:t>
      </w:r>
      <w:r w:rsidRPr="003409C9">
        <w:rPr>
          <w:noProof/>
        </w:rPr>
        <w:t>że przyczynia się do osiągnięcia bardziej stabilnych rezultatów, co jest istotne</w:t>
      </w:r>
      <w:r w:rsidR="003409C9" w:rsidRPr="003409C9">
        <w:rPr>
          <w:noProof/>
        </w:rPr>
        <w:t xml:space="preserve"> w prz</w:t>
      </w:r>
      <w:r w:rsidRPr="003409C9">
        <w:rPr>
          <w:noProof/>
        </w:rPr>
        <w:t>ypadku konieczności przetestowania wielu systemów krajowych</w:t>
      </w:r>
      <w:r w:rsidR="003409C9" w:rsidRPr="003409C9">
        <w:rPr>
          <w:noProof/>
        </w:rPr>
        <w:t xml:space="preserve"> w odn</w:t>
      </w:r>
      <w:r w:rsidRPr="003409C9">
        <w:rPr>
          <w:noProof/>
        </w:rPr>
        <w:t>iesieniu do systemu centralnego (dostępność stabilnych warunków testowania). Podejście stopniowe oparte początkowo na kilku obiektach,</w:t>
      </w:r>
      <w:r w:rsidR="003409C9" w:rsidRPr="003409C9">
        <w:rPr>
          <w:noProof/>
        </w:rPr>
        <w:t xml:space="preserve"> a nas</w:t>
      </w:r>
      <w:r w:rsidRPr="003409C9">
        <w:rPr>
          <w:noProof/>
        </w:rPr>
        <w:t>tępnie na zwiększaniu ich liczby</w:t>
      </w:r>
      <w:r w:rsidR="003409C9" w:rsidRPr="003409C9">
        <w:rPr>
          <w:noProof/>
        </w:rPr>
        <w:t xml:space="preserve"> w odp</w:t>
      </w:r>
      <w:r w:rsidRPr="003409C9">
        <w:rPr>
          <w:noProof/>
        </w:rPr>
        <w:t>owiednim czasie ułatwi państwom członkowskim zarządzanie nakładem pracy związanej</w:t>
      </w:r>
      <w:r w:rsidR="003409C9" w:rsidRPr="003409C9">
        <w:rPr>
          <w:noProof/>
        </w:rPr>
        <w:t xml:space="preserve"> z zam</w:t>
      </w:r>
      <w:r w:rsidRPr="003409C9">
        <w:rPr>
          <w:noProof/>
        </w:rPr>
        <w:t>ówieniami oraz przyczyni się do zapewnienia równomiernego obciążenia zasobów finansowych</w:t>
      </w:r>
      <w:r w:rsidR="003409C9" w:rsidRPr="003409C9">
        <w:rPr>
          <w:noProof/>
        </w:rPr>
        <w:t xml:space="preserve"> i łań</w:t>
      </w:r>
      <w:r w:rsidRPr="003409C9">
        <w:rPr>
          <w:noProof/>
        </w:rPr>
        <w:t>cucha logistycznego. Ponadto podejście to ułatwi przetwarzanie informacji zwrotnych</w:t>
      </w:r>
      <w:r w:rsidR="003409C9" w:rsidRPr="003409C9">
        <w:rPr>
          <w:noProof/>
        </w:rPr>
        <w:t xml:space="preserve"> z dan</w:t>
      </w:r>
      <w:r w:rsidRPr="003409C9">
        <w:rPr>
          <w:noProof/>
        </w:rPr>
        <w:t>ego obszaru dotyczących ograniczonej liczby obiektów pilotażowych, pozwalając uniknąć masowego</w:t>
      </w:r>
      <w:r w:rsidR="003409C9" w:rsidRPr="003409C9">
        <w:rPr>
          <w:noProof/>
        </w:rPr>
        <w:t xml:space="preserve"> i nie</w:t>
      </w:r>
      <w:r w:rsidRPr="003409C9">
        <w:rPr>
          <w:noProof/>
        </w:rPr>
        <w:t>możliwego do opanowania napływu negatywnych informacji zwrotnych. Wnioski dotyczące obiektów pilotażowych mogą przyczynić się do kontynuacji masowego wdrażania dzięki dostarczaniu danych do celów strategii szkoleniowej. System centralny odniesie korzyści dzięki stopniowemu wzrostowi przetwarzania</w:t>
      </w:r>
      <w:r w:rsidR="003409C9" w:rsidRPr="003409C9">
        <w:rPr>
          <w:noProof/>
        </w:rPr>
        <w:t xml:space="preserve"> i roz</w:t>
      </w:r>
      <w:r w:rsidRPr="003409C9">
        <w:rPr>
          <w:noProof/>
        </w:rPr>
        <w:t>budowie infrastruktury,</w:t>
      </w:r>
      <w:r w:rsidR="003409C9" w:rsidRPr="003409C9">
        <w:rPr>
          <w:noProof/>
        </w:rPr>
        <w:t xml:space="preserve"> a w raz</w:t>
      </w:r>
      <w:r w:rsidRPr="003409C9">
        <w:rPr>
          <w:noProof/>
        </w:rPr>
        <w:t>ie potrzeby zostanie odpowiednio dostosowany. Ponadto podejście stopniowe oparte na kryteriach ryzyka związanego</w:t>
      </w:r>
      <w:r w:rsidR="003409C9" w:rsidRPr="003409C9">
        <w:rPr>
          <w:noProof/>
        </w:rPr>
        <w:t xml:space="preserve"> z czy</w:t>
      </w:r>
      <w:r w:rsidRPr="003409C9">
        <w:rPr>
          <w:noProof/>
        </w:rPr>
        <w:t>nnikami geograficznymi (VIS) pomoże skupić się np. na najbardziej złożonych przypadkach biznesowych, przyczyniając się do osiągnięcia pełnego spektrum funkcjonalności zarówno systemów centralnych, jak</w:t>
      </w:r>
      <w:r w:rsidR="003409C9" w:rsidRPr="003409C9">
        <w:rPr>
          <w:noProof/>
        </w:rPr>
        <w:t xml:space="preserve"> i kra</w:t>
      </w:r>
      <w:r w:rsidRPr="003409C9">
        <w:rPr>
          <w:noProof/>
        </w:rPr>
        <w:t xml:space="preserve">jowych. </w:t>
      </w:r>
      <w:bookmarkStart w:id="93" w:name="_Hlk116631738"/>
      <w:r w:rsidRPr="003409C9">
        <w:rPr>
          <w:noProof/>
        </w:rPr>
        <w:t xml:space="preserve">Dlatego też </w:t>
      </w:r>
      <w:r w:rsidRPr="00BB07AF">
        <w:rPr>
          <w:b/>
          <w:noProof/>
        </w:rPr>
        <w:t>wskazane jest podejście stopniowe oparte albo na fazach przejściowych, badaniach pilotażowych</w:t>
      </w:r>
      <w:r w:rsidR="003409C9" w:rsidRPr="00BB07AF">
        <w:rPr>
          <w:b/>
          <w:noProof/>
        </w:rPr>
        <w:t xml:space="preserve"> i sto</w:t>
      </w:r>
      <w:r w:rsidRPr="00BB07AF">
        <w:rPr>
          <w:b/>
          <w:noProof/>
        </w:rPr>
        <w:t>pniowym przechodzeniu na kolejne poziomy funkcjonalności, albo na stopniowym wdrażaniu na poziomie geograficznym</w:t>
      </w:r>
      <w:r w:rsidRPr="003409C9">
        <w:rPr>
          <w:noProof/>
        </w:rPr>
        <w:t>.</w:t>
      </w:r>
      <w:bookmarkEnd w:id="93"/>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3. Uzyskanie ogólnego obrazu stopnia zaawansowania prac</w:t>
      </w:r>
      <w:r w:rsidR="003409C9" w:rsidRPr="003409C9">
        <w:rPr>
          <w:noProof/>
        </w:rPr>
        <w:t xml:space="preserve"> w nie</w:t>
      </w:r>
      <w:r w:rsidRPr="003409C9">
        <w:rPr>
          <w:noProof/>
        </w:rPr>
        <w:t>których państwach członkowskich (początkowo SIS i VIS), tzn. tych, które</w:t>
      </w:r>
      <w:r w:rsidR="003409C9" w:rsidRPr="003409C9">
        <w:rPr>
          <w:noProof/>
        </w:rPr>
        <w:t xml:space="preserve"> w swo</w:t>
      </w:r>
      <w:r w:rsidRPr="003409C9">
        <w:rPr>
          <w:noProof/>
        </w:rPr>
        <w:t>im programowaniu wieloletnim nie przewidziały odpowiednich działań lub których programowanie nie było dostatecznie precyzyjne, może być trudne</w:t>
      </w:r>
      <w:r w:rsidR="003409C9" w:rsidRPr="003409C9">
        <w:rPr>
          <w:noProof/>
        </w:rPr>
        <w:t>. W prz</w:t>
      </w:r>
      <w:r w:rsidRPr="003409C9">
        <w:rPr>
          <w:noProof/>
        </w:rPr>
        <w:t>ypadku EES, ETIAS</w:t>
      </w:r>
      <w:r w:rsidR="003409C9" w:rsidRPr="003409C9">
        <w:rPr>
          <w:noProof/>
        </w:rPr>
        <w:t xml:space="preserve"> i int</w:t>
      </w:r>
      <w:r w:rsidRPr="003409C9">
        <w:rPr>
          <w:noProof/>
        </w:rPr>
        <w:t>eroperacyjności przewidziano mechanizm zwrotu kosztów integracji poniesionych przez państwo członkowskie, co ułatwiło dalsze monitorowanie działań wdrożeniowych</w:t>
      </w:r>
      <w:r w:rsidR="003409C9" w:rsidRPr="003409C9">
        <w:rPr>
          <w:noProof/>
        </w:rPr>
        <w:t xml:space="preserve">. </w:t>
      </w:r>
      <w:r w:rsidR="003409C9" w:rsidRPr="00BB07AF">
        <w:rPr>
          <w:b/>
          <w:noProof/>
        </w:rPr>
        <w:t>W</w:t>
      </w:r>
      <w:r w:rsidR="003409C9" w:rsidRPr="003409C9">
        <w:rPr>
          <w:noProof/>
        </w:rPr>
        <w:t> </w:t>
      </w:r>
      <w:r w:rsidR="003409C9" w:rsidRPr="00BB07AF">
        <w:rPr>
          <w:b/>
          <w:noProof/>
        </w:rPr>
        <w:t>zwi</w:t>
      </w:r>
      <w:r w:rsidRPr="00BB07AF">
        <w:rPr>
          <w:b/>
          <w:noProof/>
        </w:rPr>
        <w:t>ązku</w:t>
      </w:r>
      <w:r w:rsidR="003409C9" w:rsidRPr="00BB07AF">
        <w:rPr>
          <w:b/>
          <w:noProof/>
        </w:rPr>
        <w:t xml:space="preserve"> z tym</w:t>
      </w:r>
      <w:r w:rsidRPr="00BB07AF">
        <w:rPr>
          <w:b/>
          <w:noProof/>
        </w:rPr>
        <w:t xml:space="preserve"> należy dążyć do wprowadzenia przepisów umożliwiających uzyskanie bardziej wiarygodnego obrazu sytuacji</w:t>
      </w:r>
      <w:r w:rsidR="003409C9" w:rsidRPr="00BB07AF">
        <w:rPr>
          <w:b/>
          <w:noProof/>
        </w:rPr>
        <w:t xml:space="preserve"> w zak</w:t>
      </w:r>
      <w:r w:rsidRPr="00BB07AF">
        <w:rPr>
          <w:b/>
          <w:noProof/>
        </w:rPr>
        <w:t>resie poziomu integracji poszczególnych państw członkowskich.</w:t>
      </w:r>
      <w:bookmarkEnd w:id="92"/>
    </w:p>
    <w:p w:rsidR="00CD7E2F" w:rsidRPr="00BB07AF" w:rsidRDefault="009475BC" w:rsidP="009475BC">
      <w:pPr>
        <w:pStyle w:val="ManualHeading3"/>
        <w:rPr>
          <w:noProof/>
        </w:rPr>
      </w:pPr>
      <w:bookmarkStart w:id="94" w:name="_Toc514938033"/>
      <w:bookmarkStart w:id="95" w:name="_Toc117796979"/>
      <w:r w:rsidRPr="00BB07AF">
        <w:rPr>
          <w:noProof/>
        </w:rPr>
        <w:t>1.5.4.</w:t>
      </w:r>
      <w:r w:rsidRPr="00BB07AF">
        <w:rPr>
          <w:noProof/>
        </w:rPr>
        <w:tab/>
        <w:t>Spójność</w:t>
      </w:r>
      <w:r w:rsidR="003409C9" w:rsidRPr="00BB07AF">
        <w:rPr>
          <w:noProof/>
        </w:rPr>
        <w:t xml:space="preserve"> z wie</w:t>
      </w:r>
      <w:r w:rsidRPr="00BB07AF">
        <w:rPr>
          <w:noProof/>
        </w:rPr>
        <w:t>loletnimi ramami finansowymi oraz możliwa synergia</w:t>
      </w:r>
      <w:r w:rsidR="003409C9" w:rsidRPr="00BB07AF">
        <w:rPr>
          <w:noProof/>
        </w:rPr>
        <w:t xml:space="preserve"> z inn</w:t>
      </w:r>
      <w:r w:rsidRPr="00BB07AF">
        <w:rPr>
          <w:noProof/>
        </w:rPr>
        <w:t>ymi właściwymi instrumentami</w:t>
      </w:r>
      <w:bookmarkEnd w:id="94"/>
      <w:bookmarkEnd w:id="95"/>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bookmarkStart w:id="96" w:name="_Hlk118440665"/>
      <w:r w:rsidRPr="003409C9">
        <w:rPr>
          <w:noProof/>
        </w:rPr>
        <w:t>Inwestycje wymagane na szczeblu UE</w:t>
      </w:r>
      <w:r w:rsidR="003409C9" w:rsidRPr="003409C9">
        <w:rPr>
          <w:noProof/>
        </w:rPr>
        <w:t xml:space="preserve"> i w pań</w:t>
      </w:r>
      <w:r w:rsidRPr="003409C9">
        <w:rPr>
          <w:noProof/>
        </w:rPr>
        <w:t>stwach członkowskich można sfinansować</w:t>
      </w:r>
      <w:r w:rsidR="003409C9" w:rsidRPr="003409C9">
        <w:rPr>
          <w:noProof/>
        </w:rPr>
        <w:t xml:space="preserve"> w okr</w:t>
      </w:r>
      <w:r w:rsidRPr="003409C9">
        <w:rPr>
          <w:noProof/>
        </w:rPr>
        <w:t>esie obowiązywania wieloletnich ram finansowych (WRF) na lata 2021–2027</w:t>
      </w:r>
      <w:r w:rsidR="003409C9" w:rsidRPr="003409C9">
        <w:rPr>
          <w:noProof/>
        </w:rPr>
        <w:t xml:space="preserve"> w zak</w:t>
      </w:r>
      <w:r w:rsidRPr="003409C9">
        <w:rPr>
          <w:noProof/>
        </w:rPr>
        <w:t>resie Funduszy</w:t>
      </w:r>
      <w:r w:rsidR="003409C9" w:rsidRPr="003409C9">
        <w:rPr>
          <w:noProof/>
        </w:rPr>
        <w:t xml:space="preserve"> w Obs</w:t>
      </w:r>
      <w:r w:rsidRPr="003409C9">
        <w:rPr>
          <w:noProof/>
        </w:rPr>
        <w:t>zarze Spraw Wewnętrznych, korzystając</w:t>
      </w:r>
      <w:r w:rsidR="003409C9" w:rsidRPr="003409C9">
        <w:rPr>
          <w:noProof/>
        </w:rPr>
        <w:t xml:space="preserve"> z Fun</w:t>
      </w:r>
      <w:r w:rsidRPr="003409C9">
        <w:rPr>
          <w:noProof/>
        </w:rPr>
        <w:t>duszu Bezpieczeństwa Wewnętrznego (FBW) oraz Instrumentu Wsparcia Finansowego na rzecz Zarządzania Granicami</w:t>
      </w:r>
      <w:r w:rsidR="003409C9" w:rsidRPr="003409C9">
        <w:rPr>
          <w:noProof/>
        </w:rPr>
        <w:t xml:space="preserve"> i Pol</w:t>
      </w:r>
      <w:r w:rsidRPr="003409C9">
        <w:rPr>
          <w:noProof/>
        </w:rPr>
        <w:t>ityki Wizowej (IZGW) jako części Funduszu Zintegrowanego Zarządzania Granicami. Finansowanie po</w:t>
      </w:r>
      <w:r w:rsidR="003409C9" w:rsidRPr="003409C9">
        <w:rPr>
          <w:noProof/>
        </w:rPr>
        <w:t> </w:t>
      </w:r>
      <w:r w:rsidRPr="003409C9">
        <w:rPr>
          <w:noProof/>
        </w:rPr>
        <w:t>2027</w:t>
      </w:r>
      <w:r w:rsidR="003409C9" w:rsidRPr="003409C9">
        <w:rPr>
          <w:noProof/>
        </w:rPr>
        <w:t> </w:t>
      </w:r>
      <w:r w:rsidRPr="003409C9">
        <w:rPr>
          <w:noProof/>
        </w:rPr>
        <w:t>r. będzie przedmiotem negocjacji dotyczących przyszłych WRF.</w:t>
      </w:r>
      <w:bookmarkEnd w:id="96"/>
      <w:r w:rsidRPr="003409C9">
        <w:rPr>
          <w:noProof/>
        </w:rPr>
        <w:t xml:space="preserve"> </w:t>
      </w:r>
    </w:p>
    <w:p w:rsidR="00CD7E2F" w:rsidRPr="00BB07AF" w:rsidRDefault="009475BC" w:rsidP="009475BC">
      <w:pPr>
        <w:pStyle w:val="ManualHeading3"/>
        <w:rPr>
          <w:noProof/>
        </w:rPr>
      </w:pPr>
      <w:bookmarkStart w:id="97" w:name="_Toc514938036"/>
      <w:bookmarkStart w:id="98" w:name="_Toc117796980"/>
      <w:r w:rsidRPr="00BB07AF">
        <w:rPr>
          <w:noProof/>
        </w:rPr>
        <w:t>1.5.5.</w:t>
      </w:r>
      <w:r w:rsidRPr="00BB07AF">
        <w:rPr>
          <w:noProof/>
        </w:rPr>
        <w:tab/>
        <w:t>Ocena różnych dostępnych możliwości finansowania,</w:t>
      </w:r>
      <w:r w:rsidR="003409C9" w:rsidRPr="00BB07AF">
        <w:rPr>
          <w:noProof/>
        </w:rPr>
        <w:t xml:space="preserve"> w tym</w:t>
      </w:r>
      <w:r w:rsidRPr="00BB07AF">
        <w:rPr>
          <w:noProof/>
        </w:rPr>
        <w:t xml:space="preserve"> zakresu przegrupowania środków</w:t>
      </w:r>
      <w:bookmarkEnd w:id="97"/>
      <w:bookmarkEnd w:id="98"/>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bookmarkStart w:id="99" w:name="_Hlk118440677"/>
      <w:r w:rsidRPr="003409C9">
        <w:rPr>
          <w:noProof/>
        </w:rPr>
        <w:t>Środki niezbędne do sfinansowania opracowania routera API przez eu-LISA (34,967 mln EUR) nie zostały zaplanowane</w:t>
      </w:r>
      <w:r w:rsidR="003409C9" w:rsidRPr="003409C9">
        <w:rPr>
          <w:noProof/>
        </w:rPr>
        <w:t xml:space="preserve"> w ram</w:t>
      </w:r>
      <w:r w:rsidRPr="003409C9">
        <w:rPr>
          <w:noProof/>
        </w:rPr>
        <w:t>ach przydziału z WRF na lata 2021–2027 dla eu-LISA, jak również dla DG HOME (2,653 mln EUR), ponieważ jest to nowy wniosek,</w:t>
      </w:r>
      <w:r w:rsidR="003409C9" w:rsidRPr="003409C9">
        <w:rPr>
          <w:noProof/>
        </w:rPr>
        <w:t xml:space="preserve"> w odn</w:t>
      </w:r>
      <w:r w:rsidRPr="003409C9">
        <w:rPr>
          <w:noProof/>
        </w:rPr>
        <w:t>iesieniu do którego potrzebne kwoty nie były znane</w:t>
      </w:r>
      <w:r w:rsidR="003409C9" w:rsidRPr="003409C9">
        <w:rPr>
          <w:noProof/>
        </w:rPr>
        <w:t xml:space="preserve"> w mom</w:t>
      </w:r>
      <w:r w:rsidRPr="003409C9">
        <w:rPr>
          <w:noProof/>
        </w:rPr>
        <w:t>encie przedkładania WRF na lata 2021–2027. Proponuje się zatem zwiększenie budżetu eu-LISA oraz budżetu DG HOME</w:t>
      </w:r>
      <w:r w:rsidR="003409C9" w:rsidRPr="003409C9">
        <w:rPr>
          <w:noProof/>
        </w:rPr>
        <w:t xml:space="preserve"> o kwo</w:t>
      </w:r>
      <w:r w:rsidRPr="003409C9">
        <w:rPr>
          <w:noProof/>
        </w:rPr>
        <w:t>ty potrzebne</w:t>
      </w:r>
      <w:r w:rsidR="003409C9" w:rsidRPr="003409C9">
        <w:rPr>
          <w:noProof/>
        </w:rPr>
        <w:t xml:space="preserve"> w lat</w:t>
      </w:r>
      <w:r w:rsidRPr="003409C9">
        <w:rPr>
          <w:noProof/>
        </w:rPr>
        <w:t>ach: 2024, 2025, 2026</w:t>
      </w:r>
      <w:r w:rsidR="003409C9" w:rsidRPr="003409C9">
        <w:rPr>
          <w:noProof/>
        </w:rPr>
        <w:t xml:space="preserve"> i 2</w:t>
      </w:r>
      <w:r w:rsidRPr="003409C9">
        <w:rPr>
          <w:noProof/>
        </w:rPr>
        <w:t>027 poprzez ograniczenie środków</w:t>
      </w:r>
      <w:r w:rsidR="003409C9" w:rsidRPr="003409C9">
        <w:rPr>
          <w:noProof/>
        </w:rPr>
        <w:t xml:space="preserve"> z odp</w:t>
      </w:r>
      <w:r w:rsidRPr="003409C9">
        <w:rPr>
          <w:noProof/>
        </w:rPr>
        <w:t>owiednich instrumentów tematycznych Instrumentu Wsparcia Finansowego na rzecz Zarządzania Granicami</w:t>
      </w:r>
      <w:r w:rsidR="003409C9" w:rsidRPr="003409C9">
        <w:rPr>
          <w:noProof/>
        </w:rPr>
        <w:t xml:space="preserve"> i Pol</w:t>
      </w:r>
      <w:r w:rsidRPr="003409C9">
        <w:rPr>
          <w:noProof/>
        </w:rPr>
        <w:t>ityki Wizowej (IZGW).</w:t>
      </w:r>
      <w:bookmarkEnd w:id="99"/>
    </w:p>
    <w:p w:rsidR="00CD7E2F" w:rsidRPr="003409C9" w:rsidRDefault="00CD7E2F" w:rsidP="009B05A0">
      <w:pPr>
        <w:pStyle w:val="Text11"/>
        <w:rPr>
          <w:noProof/>
        </w:rPr>
      </w:pPr>
    </w:p>
    <w:p w:rsidR="00CD7E2F" w:rsidRPr="00BB07AF" w:rsidRDefault="00CD7E2F" w:rsidP="009475BC">
      <w:pPr>
        <w:pStyle w:val="ManualHeading2"/>
        <w:rPr>
          <w:bCs/>
          <w:noProof/>
          <w:szCs w:val="24"/>
        </w:rPr>
      </w:pPr>
      <w:r w:rsidRPr="00BB07AF">
        <w:rPr>
          <w:noProof/>
        </w:rPr>
        <w:br w:type="page"/>
      </w:r>
      <w:bookmarkStart w:id="100" w:name="_Toc514938039"/>
      <w:bookmarkStart w:id="101" w:name="_Toc117796981"/>
      <w:r w:rsidRPr="00BB07AF">
        <w:rPr>
          <w:noProof/>
        </w:rPr>
        <w:t>1.6.</w:t>
      </w:r>
      <w:r w:rsidRPr="00BB07AF">
        <w:rPr>
          <w:noProof/>
        </w:rPr>
        <w:tab/>
        <w:t>Czas trwania</w:t>
      </w:r>
      <w:r w:rsidR="003409C9" w:rsidRPr="00BB07AF">
        <w:rPr>
          <w:noProof/>
        </w:rPr>
        <w:t xml:space="preserve"> i wpł</w:t>
      </w:r>
      <w:r w:rsidRPr="00BB07AF">
        <w:rPr>
          <w:noProof/>
        </w:rPr>
        <w:t>yw finansowy wniosku/inicjatywy</w:t>
      </w:r>
      <w:bookmarkEnd w:id="100"/>
      <w:bookmarkEnd w:id="101"/>
    </w:p>
    <w:p w:rsidR="00CD7E2F" w:rsidRPr="003409C9" w:rsidRDefault="00CD7E2F" w:rsidP="009B05A0">
      <w:pPr>
        <w:pStyle w:val="Text11"/>
        <w:rPr>
          <w:noProof/>
        </w:rPr>
      </w:pPr>
      <w:r w:rsidRPr="003409C9">
        <w:rPr>
          <w:noProof/>
        </w:rPr>
        <w:sym w:font="Wingdings" w:char="F0A8"/>
      </w:r>
      <w:r w:rsidRPr="00BB07AF">
        <w:rPr>
          <w:b/>
          <w:i/>
          <w:noProof/>
        </w:rPr>
        <w:t xml:space="preserve"> </w:t>
      </w:r>
      <w:r w:rsidRPr="00BB07AF">
        <w:rPr>
          <w:b/>
          <w:noProof/>
        </w:rPr>
        <w:t xml:space="preserve">Ograniczony czas trwania </w:t>
      </w:r>
    </w:p>
    <w:p w:rsidR="00CD7E2F" w:rsidRPr="003409C9" w:rsidRDefault="00CD7E2F" w:rsidP="003409C9">
      <w:pPr>
        <w:pStyle w:val="ListDash2"/>
        <w:ind w:left="1134"/>
        <w:rPr>
          <w:noProof/>
        </w:rPr>
      </w:pPr>
      <w:r w:rsidRPr="003409C9">
        <w:rPr>
          <w:noProof/>
        </w:rPr>
        <w:sym w:font="Wingdings" w:char="F0A8"/>
      </w:r>
      <w:r w:rsidRPr="003409C9">
        <w:rPr>
          <w:noProof/>
        </w:rPr>
        <w:tab/>
        <w:t xml:space="preserve">Okres trwania wniosku/inicjatywy: od [DD/MM]RRRR r. do [DD/MM]RRRR r. </w:t>
      </w:r>
    </w:p>
    <w:p w:rsidR="00CD7E2F" w:rsidRPr="003409C9" w:rsidRDefault="00CD7E2F" w:rsidP="003409C9">
      <w:pPr>
        <w:pStyle w:val="ListDash2"/>
        <w:ind w:left="1134"/>
        <w:rPr>
          <w:noProof/>
        </w:rPr>
      </w:pPr>
      <w:r w:rsidRPr="003409C9">
        <w:rPr>
          <w:noProof/>
        </w:rPr>
        <w:sym w:font="Wingdings" w:char="F0A8"/>
      </w:r>
      <w:r w:rsidRPr="003409C9">
        <w:rPr>
          <w:noProof/>
        </w:rPr>
        <w:tab/>
        <w:t>Okres trwania wpływu finansowego: od RRRR r. do RRRR r.</w:t>
      </w:r>
      <w:r w:rsidR="003409C9" w:rsidRPr="003409C9">
        <w:rPr>
          <w:noProof/>
        </w:rPr>
        <w:t xml:space="preserve"> w odn</w:t>
      </w:r>
      <w:r w:rsidRPr="003409C9">
        <w:rPr>
          <w:noProof/>
        </w:rPr>
        <w:t>iesieniu do środków na zobowiązania oraz od RRRR r. do RRRR r.</w:t>
      </w:r>
      <w:r w:rsidR="003409C9" w:rsidRPr="003409C9">
        <w:rPr>
          <w:noProof/>
        </w:rPr>
        <w:t xml:space="preserve"> w odn</w:t>
      </w:r>
      <w:r w:rsidRPr="003409C9">
        <w:rPr>
          <w:noProof/>
        </w:rPr>
        <w:t xml:space="preserve">iesieniu do środków na płatności. </w:t>
      </w:r>
    </w:p>
    <w:p w:rsidR="00CD7E2F" w:rsidRPr="003409C9" w:rsidRDefault="00CD7E2F" w:rsidP="009B05A0">
      <w:pPr>
        <w:pStyle w:val="Text11"/>
        <w:rPr>
          <w:noProof/>
        </w:rPr>
      </w:pPr>
      <w:r w:rsidRPr="003409C9">
        <w:rPr>
          <w:noProof/>
        </w:rPr>
        <w:sym w:font="Wingdings" w:char="F078"/>
      </w:r>
      <w:r w:rsidRPr="00BB07AF">
        <w:rPr>
          <w:b/>
          <w:i/>
          <w:noProof/>
        </w:rPr>
        <w:t xml:space="preserve"> </w:t>
      </w:r>
      <w:r w:rsidRPr="00BB07AF">
        <w:rPr>
          <w:b/>
          <w:noProof/>
        </w:rPr>
        <w:t>Nieograniczony czas trwania</w:t>
      </w:r>
    </w:p>
    <w:p w:rsidR="00CD7E2F" w:rsidRPr="003409C9" w:rsidRDefault="00CD7E2F" w:rsidP="00CD7E2F">
      <w:pPr>
        <w:pStyle w:val="ListDash1"/>
        <w:rPr>
          <w:noProof/>
        </w:rPr>
      </w:pPr>
      <w:r w:rsidRPr="003409C9">
        <w:rPr>
          <w:noProof/>
        </w:rPr>
        <w:t>Wprowadzenie</w:t>
      </w:r>
      <w:r w:rsidR="003409C9" w:rsidRPr="003409C9">
        <w:rPr>
          <w:noProof/>
        </w:rPr>
        <w:t xml:space="preserve"> w życ</w:t>
      </w:r>
      <w:r w:rsidRPr="003409C9">
        <w:rPr>
          <w:noProof/>
        </w:rPr>
        <w:t>ie</w:t>
      </w:r>
      <w:r w:rsidR="003409C9" w:rsidRPr="003409C9">
        <w:rPr>
          <w:noProof/>
        </w:rPr>
        <w:t xml:space="preserve"> z okr</w:t>
      </w:r>
      <w:r w:rsidRPr="003409C9">
        <w:rPr>
          <w:noProof/>
        </w:rPr>
        <w:t>esem rozruchu od</w:t>
      </w:r>
      <w:r w:rsidR="003409C9" w:rsidRPr="003409C9">
        <w:rPr>
          <w:noProof/>
        </w:rPr>
        <w:t> </w:t>
      </w:r>
      <w:r w:rsidRPr="003409C9">
        <w:rPr>
          <w:noProof/>
        </w:rPr>
        <w:t>2024</w:t>
      </w:r>
      <w:r w:rsidR="003409C9" w:rsidRPr="003409C9">
        <w:rPr>
          <w:noProof/>
        </w:rPr>
        <w:t> </w:t>
      </w:r>
      <w:r w:rsidRPr="003409C9">
        <w:rPr>
          <w:noProof/>
        </w:rPr>
        <w:t>r. do</w:t>
      </w:r>
      <w:r w:rsidR="003409C9" w:rsidRPr="003409C9">
        <w:rPr>
          <w:noProof/>
        </w:rPr>
        <w:t> </w:t>
      </w:r>
      <w:r w:rsidRPr="003409C9">
        <w:rPr>
          <w:noProof/>
        </w:rPr>
        <w:t>2028</w:t>
      </w:r>
      <w:r w:rsidR="003409C9" w:rsidRPr="003409C9">
        <w:rPr>
          <w:noProof/>
        </w:rPr>
        <w:t> </w:t>
      </w:r>
      <w:r w:rsidRPr="003409C9">
        <w:rPr>
          <w:noProof/>
        </w:rPr>
        <w:t>r.,</w:t>
      </w:r>
    </w:p>
    <w:p w:rsidR="00CD7E2F" w:rsidRPr="003409C9" w:rsidRDefault="00CD7E2F" w:rsidP="00CD7E2F">
      <w:pPr>
        <w:pStyle w:val="ListDash1"/>
        <w:rPr>
          <w:noProof/>
        </w:rPr>
      </w:pPr>
      <w:r w:rsidRPr="003409C9">
        <w:rPr>
          <w:noProof/>
        </w:rPr>
        <w:t>po którym następuje faza operacyjna od</w:t>
      </w:r>
      <w:r w:rsidR="003409C9" w:rsidRPr="003409C9">
        <w:rPr>
          <w:noProof/>
        </w:rPr>
        <w:t> </w:t>
      </w:r>
      <w:r w:rsidRPr="003409C9">
        <w:rPr>
          <w:noProof/>
        </w:rPr>
        <w:t>2029</w:t>
      </w:r>
      <w:r w:rsidR="003409C9" w:rsidRPr="003409C9">
        <w:rPr>
          <w:noProof/>
        </w:rPr>
        <w:t> </w:t>
      </w:r>
      <w:r w:rsidRPr="003409C9">
        <w:rPr>
          <w:noProof/>
        </w:rPr>
        <w:t>r.</w:t>
      </w:r>
    </w:p>
    <w:p w:rsidR="00CD7E2F" w:rsidRPr="00BB07AF" w:rsidRDefault="009475BC" w:rsidP="009475BC">
      <w:pPr>
        <w:pStyle w:val="ManualHeading2"/>
        <w:rPr>
          <w:bCs/>
          <w:noProof/>
          <w:szCs w:val="24"/>
        </w:rPr>
      </w:pPr>
      <w:bookmarkStart w:id="102" w:name="_Toc514938040"/>
      <w:bookmarkStart w:id="103" w:name="_Toc117796982"/>
      <w:r w:rsidRPr="00BB07AF">
        <w:rPr>
          <w:noProof/>
        </w:rPr>
        <w:t>1.7.</w:t>
      </w:r>
      <w:r w:rsidRPr="00BB07AF">
        <w:rPr>
          <w:noProof/>
        </w:rPr>
        <w:tab/>
        <w:t>Planowane tryby zarządzania</w:t>
      </w:r>
      <w:r w:rsidRPr="00BB07AF">
        <w:rPr>
          <w:rStyle w:val="FootnoteReference0"/>
          <w:noProof/>
        </w:rPr>
        <w:footnoteReference w:id="55"/>
      </w:r>
      <w:bookmarkEnd w:id="102"/>
      <w:bookmarkEnd w:id="103"/>
      <w:r w:rsidR="003B5A1D" w:rsidRPr="00BB07AF">
        <w:rPr>
          <w:rStyle w:val="FootnoteReference0"/>
          <w:noProof/>
        </w:rPr>
        <w:t xml:space="preserve"> </w:t>
      </w:r>
    </w:p>
    <w:p w:rsidR="00CD7E2F" w:rsidRPr="003409C9" w:rsidRDefault="00CD7E2F" w:rsidP="009B05A0">
      <w:pPr>
        <w:pStyle w:val="Text11"/>
        <w:rPr>
          <w:noProof/>
        </w:rPr>
      </w:pPr>
      <w:r w:rsidRPr="003409C9">
        <w:rPr>
          <w:noProof/>
        </w:rPr>
        <w:sym w:font="Wingdings" w:char="F0A8"/>
      </w:r>
      <w:r w:rsidRPr="00BB07AF">
        <w:rPr>
          <w:i/>
          <w:noProof/>
        </w:rPr>
        <w:t xml:space="preserve"> </w:t>
      </w:r>
      <w:r w:rsidRPr="00BB07AF">
        <w:rPr>
          <w:b/>
          <w:noProof/>
        </w:rPr>
        <w:t>Bezpośrednie zarządzanie</w:t>
      </w:r>
      <w:r w:rsidRPr="003409C9">
        <w:rPr>
          <w:noProof/>
        </w:rPr>
        <w:t xml:space="preserve"> przez Komisję</w:t>
      </w:r>
    </w:p>
    <w:p w:rsidR="00CD7E2F" w:rsidRPr="003409C9" w:rsidRDefault="00CD7E2F" w:rsidP="003409C9">
      <w:pPr>
        <w:pStyle w:val="ListDash2"/>
        <w:ind w:left="1134"/>
        <w:rPr>
          <w:rFonts w:cs="EUAlbertina"/>
          <w:noProof/>
        </w:rPr>
      </w:pPr>
      <w:r w:rsidRPr="003409C9">
        <w:rPr>
          <w:noProof/>
        </w:rPr>
        <w:sym w:font="Wingdings" w:char="F0A8"/>
      </w:r>
      <w:r w:rsidR="003409C9" w:rsidRPr="003409C9">
        <w:rPr>
          <w:noProof/>
        </w:rPr>
        <w:t xml:space="preserve"> w ram</w:t>
      </w:r>
      <w:r w:rsidRPr="003409C9">
        <w:rPr>
          <w:noProof/>
        </w:rPr>
        <w:t>ach jej służb,</w:t>
      </w:r>
      <w:r w:rsidR="003409C9" w:rsidRPr="003409C9">
        <w:rPr>
          <w:noProof/>
        </w:rPr>
        <w:t xml:space="preserve"> w tym</w:t>
      </w:r>
      <w:r w:rsidRPr="003409C9">
        <w:rPr>
          <w:noProof/>
        </w:rPr>
        <w:t xml:space="preserve"> za pośrednictwem jej pracowników</w:t>
      </w:r>
      <w:r w:rsidR="003409C9" w:rsidRPr="003409C9">
        <w:rPr>
          <w:noProof/>
        </w:rPr>
        <w:t xml:space="preserve"> w del</w:t>
      </w:r>
      <w:r w:rsidRPr="003409C9">
        <w:rPr>
          <w:noProof/>
        </w:rPr>
        <w:t xml:space="preserve">egaturach Unii; </w:t>
      </w:r>
    </w:p>
    <w:p w:rsidR="00CD7E2F" w:rsidRPr="003409C9" w:rsidRDefault="00CD7E2F" w:rsidP="003409C9">
      <w:pPr>
        <w:pStyle w:val="ListDash2"/>
        <w:ind w:left="1134"/>
        <w:rPr>
          <w:noProof/>
        </w:rPr>
      </w:pPr>
      <w:r w:rsidRPr="003409C9">
        <w:rPr>
          <w:noProof/>
        </w:rPr>
        <w:sym w:font="Wingdings" w:char="F0A8"/>
      </w:r>
      <w:r w:rsidRPr="003409C9">
        <w:rPr>
          <w:noProof/>
        </w:rPr>
        <w:tab/>
        <w:t xml:space="preserve">przez agencje wykonawcze; </w:t>
      </w:r>
    </w:p>
    <w:p w:rsidR="00CD7E2F" w:rsidRPr="003409C9" w:rsidRDefault="00CD7E2F" w:rsidP="009B05A0">
      <w:pPr>
        <w:pStyle w:val="Text11"/>
        <w:rPr>
          <w:noProof/>
        </w:rPr>
      </w:pPr>
      <w:r w:rsidRPr="003409C9">
        <w:rPr>
          <w:noProof/>
        </w:rPr>
        <w:sym w:font="Wingdings" w:char="F078"/>
      </w:r>
      <w:r w:rsidRPr="00BB07AF">
        <w:rPr>
          <w:b/>
          <w:i/>
          <w:noProof/>
        </w:rPr>
        <w:t xml:space="preserve"> </w:t>
      </w:r>
      <w:r w:rsidRPr="00BB07AF">
        <w:rPr>
          <w:b/>
          <w:noProof/>
        </w:rPr>
        <w:t>Zarządzanie dzielone</w:t>
      </w:r>
      <w:r w:rsidR="003409C9" w:rsidRPr="003409C9">
        <w:rPr>
          <w:noProof/>
        </w:rPr>
        <w:t xml:space="preserve"> z pań</w:t>
      </w:r>
      <w:r w:rsidRPr="003409C9">
        <w:rPr>
          <w:noProof/>
        </w:rPr>
        <w:t xml:space="preserve">stwami członkowskimi </w:t>
      </w:r>
    </w:p>
    <w:p w:rsidR="00CD7E2F" w:rsidRPr="003409C9" w:rsidRDefault="00CD7E2F" w:rsidP="009B05A0">
      <w:pPr>
        <w:pStyle w:val="Text11"/>
        <w:rPr>
          <w:noProof/>
        </w:rPr>
      </w:pPr>
      <w:r w:rsidRPr="003409C9">
        <w:rPr>
          <w:noProof/>
        </w:rPr>
        <w:sym w:font="Wingdings" w:char="F078"/>
      </w:r>
      <w:r w:rsidRPr="00BB07AF">
        <w:rPr>
          <w:i/>
          <w:noProof/>
        </w:rPr>
        <w:t xml:space="preserve"> </w:t>
      </w:r>
      <w:r w:rsidRPr="00BB07AF">
        <w:rPr>
          <w:b/>
          <w:noProof/>
        </w:rPr>
        <w:t>Zarządzanie pośrednie</w:t>
      </w:r>
      <w:r w:rsidRPr="003409C9">
        <w:rPr>
          <w:noProof/>
        </w:rPr>
        <w:t xml:space="preserve"> poprzez przekazanie zadań związanych</w:t>
      </w:r>
      <w:r w:rsidR="003409C9" w:rsidRPr="003409C9">
        <w:rPr>
          <w:noProof/>
        </w:rPr>
        <w:t xml:space="preserve"> z wyk</w:t>
      </w:r>
      <w:r w:rsidRPr="003409C9">
        <w:rPr>
          <w:noProof/>
        </w:rPr>
        <w:t>onaniem budżetu:</w:t>
      </w:r>
    </w:p>
    <w:p w:rsidR="00CD7E2F" w:rsidRPr="003409C9" w:rsidRDefault="00CD7E2F" w:rsidP="003409C9">
      <w:pPr>
        <w:pStyle w:val="ListDash2"/>
        <w:ind w:left="1134"/>
        <w:rPr>
          <w:noProof/>
        </w:rPr>
      </w:pPr>
      <w:r w:rsidRPr="003409C9">
        <w:rPr>
          <w:noProof/>
        </w:rPr>
        <w:sym w:font="Wingdings" w:char="F0A8"/>
      </w:r>
      <w:r w:rsidRPr="003409C9">
        <w:rPr>
          <w:noProof/>
        </w:rPr>
        <w:t xml:space="preserve"> państwom trzecim lub organom przez nie wyznaczonym;</w:t>
      </w:r>
    </w:p>
    <w:p w:rsidR="00CD7E2F" w:rsidRPr="003409C9" w:rsidRDefault="00CD7E2F" w:rsidP="003409C9">
      <w:pPr>
        <w:pStyle w:val="ListDash2"/>
        <w:ind w:left="1134"/>
        <w:rPr>
          <w:noProof/>
        </w:rPr>
      </w:pPr>
      <w:r w:rsidRPr="003409C9">
        <w:rPr>
          <w:noProof/>
        </w:rPr>
        <w:sym w:font="Wingdings" w:char="F0A8"/>
      </w:r>
      <w:r w:rsidRPr="003409C9">
        <w:rPr>
          <w:noProof/>
        </w:rPr>
        <w:t xml:space="preserve"> organizacjom międzynarodowym</w:t>
      </w:r>
      <w:r w:rsidR="003409C9" w:rsidRPr="003409C9">
        <w:rPr>
          <w:noProof/>
        </w:rPr>
        <w:t xml:space="preserve"> i ich</w:t>
      </w:r>
      <w:r w:rsidRPr="003409C9">
        <w:rPr>
          <w:noProof/>
        </w:rPr>
        <w:t xml:space="preserve"> agencjom (należy wyszczególnić);</w:t>
      </w:r>
    </w:p>
    <w:p w:rsidR="00CD7E2F" w:rsidRPr="003409C9" w:rsidRDefault="00CD7E2F" w:rsidP="003409C9">
      <w:pPr>
        <w:pStyle w:val="ListDash2"/>
        <w:ind w:left="1134"/>
        <w:rPr>
          <w:noProof/>
        </w:rPr>
      </w:pPr>
      <w:r w:rsidRPr="003409C9">
        <w:rPr>
          <w:noProof/>
        </w:rPr>
        <w:sym w:font="Wingdings" w:char="F0A8"/>
      </w:r>
      <w:r w:rsidRPr="003409C9">
        <w:rPr>
          <w:noProof/>
        </w:rPr>
        <w:t xml:space="preserve"> EBI oraz Europejskiemu Funduszowi Inwestycyjnemu;</w:t>
      </w:r>
    </w:p>
    <w:p w:rsidR="00CD7E2F" w:rsidRPr="003409C9" w:rsidRDefault="00CD7E2F" w:rsidP="003409C9">
      <w:pPr>
        <w:pStyle w:val="ListDash2"/>
        <w:ind w:left="1134"/>
        <w:rPr>
          <w:noProof/>
        </w:rPr>
      </w:pPr>
      <w:r w:rsidRPr="003409C9">
        <w:rPr>
          <w:noProof/>
        </w:rPr>
        <w:sym w:font="Wingdings" w:char="F078"/>
      </w:r>
      <w:r w:rsidRPr="003409C9">
        <w:rPr>
          <w:noProof/>
        </w:rPr>
        <w:t xml:space="preserve"> organom,</w:t>
      </w:r>
      <w:r w:rsidR="003409C9" w:rsidRPr="003409C9">
        <w:rPr>
          <w:noProof/>
        </w:rPr>
        <w:t xml:space="preserve"> o któ</w:t>
      </w:r>
      <w:r w:rsidRPr="003409C9">
        <w:rPr>
          <w:noProof/>
        </w:rPr>
        <w:t>rych mowa</w:t>
      </w:r>
      <w:r w:rsidR="003409C9" w:rsidRPr="003409C9">
        <w:rPr>
          <w:noProof/>
        </w:rPr>
        <w:t xml:space="preserve"> w art</w:t>
      </w:r>
      <w:r w:rsidRPr="003409C9">
        <w:rPr>
          <w:noProof/>
        </w:rPr>
        <w:t>.</w:t>
      </w:r>
      <w:r w:rsidR="003409C9" w:rsidRPr="003409C9">
        <w:rPr>
          <w:noProof/>
        </w:rPr>
        <w:t> </w:t>
      </w:r>
      <w:r w:rsidRPr="003409C9">
        <w:rPr>
          <w:noProof/>
        </w:rPr>
        <w:t>70</w:t>
      </w:r>
      <w:r w:rsidR="003409C9" w:rsidRPr="003409C9">
        <w:rPr>
          <w:noProof/>
        </w:rPr>
        <w:t xml:space="preserve"> i 7</w:t>
      </w:r>
      <w:r w:rsidRPr="003409C9">
        <w:rPr>
          <w:noProof/>
        </w:rPr>
        <w:t>1 rozporządzenia finansowego;</w:t>
      </w:r>
    </w:p>
    <w:p w:rsidR="00CD7E2F" w:rsidRPr="003409C9" w:rsidRDefault="00CD7E2F" w:rsidP="003409C9">
      <w:pPr>
        <w:pStyle w:val="ListDash2"/>
        <w:ind w:left="1134"/>
        <w:rPr>
          <w:noProof/>
        </w:rPr>
      </w:pPr>
      <w:r w:rsidRPr="003409C9">
        <w:rPr>
          <w:noProof/>
        </w:rPr>
        <w:sym w:font="Wingdings" w:char="F0A8"/>
      </w:r>
      <w:r w:rsidRPr="003409C9">
        <w:rPr>
          <w:noProof/>
        </w:rPr>
        <w:t xml:space="preserve"> organom prawa publicznego;</w:t>
      </w:r>
    </w:p>
    <w:p w:rsidR="00CD7E2F" w:rsidRPr="003409C9" w:rsidRDefault="00CD7E2F" w:rsidP="003409C9">
      <w:pPr>
        <w:pStyle w:val="ListDash2"/>
        <w:ind w:left="1134"/>
        <w:rPr>
          <w:noProof/>
        </w:rPr>
      </w:pPr>
      <w:r w:rsidRPr="003409C9">
        <w:rPr>
          <w:noProof/>
        </w:rPr>
        <w:sym w:font="Wingdings" w:char="F0A8"/>
      </w:r>
      <w:r w:rsidRPr="003409C9">
        <w:rPr>
          <w:noProof/>
        </w:rPr>
        <w:t xml:space="preserve"> podmiotom podlegającym prawu prywatnemu, które świadczą usługi użyteczności publicznej,</w:t>
      </w:r>
      <w:r w:rsidR="003409C9" w:rsidRPr="003409C9">
        <w:rPr>
          <w:noProof/>
        </w:rPr>
        <w:t xml:space="preserve"> o ile</w:t>
      </w:r>
      <w:r w:rsidRPr="003409C9">
        <w:rPr>
          <w:noProof/>
        </w:rPr>
        <w:t xml:space="preserve"> zapewniają one odpowiednie gwarancje finansowe;</w:t>
      </w:r>
    </w:p>
    <w:p w:rsidR="00CD7E2F" w:rsidRPr="003409C9" w:rsidRDefault="00CD7E2F" w:rsidP="003409C9">
      <w:pPr>
        <w:pStyle w:val="ListDash2"/>
        <w:ind w:left="1134"/>
        <w:rPr>
          <w:noProof/>
        </w:rPr>
      </w:pPr>
      <w:r w:rsidRPr="003409C9">
        <w:rPr>
          <w:noProof/>
        </w:rPr>
        <w:sym w:font="Wingdings" w:char="F0A8"/>
      </w:r>
      <w:r w:rsidRPr="003409C9">
        <w:rPr>
          <w:noProof/>
        </w:rPr>
        <w:t xml:space="preserve"> podmiotom podlegającym prawu prywatnemu państwa członkowskiego, którym powierzono realizację partnerstwa publiczno-prywatnego oraz które zapewniają odpowiednie gwarancje finansowe;</w:t>
      </w:r>
    </w:p>
    <w:p w:rsidR="00CD7E2F" w:rsidRPr="003409C9" w:rsidRDefault="00CD7E2F" w:rsidP="003409C9">
      <w:pPr>
        <w:pStyle w:val="ListDash2"/>
        <w:ind w:left="1134"/>
        <w:rPr>
          <w:noProof/>
        </w:rPr>
      </w:pPr>
      <w:r w:rsidRPr="003409C9">
        <w:rPr>
          <w:noProof/>
        </w:rPr>
        <w:sym w:font="Wingdings" w:char="F0A8"/>
      </w:r>
      <w:r w:rsidRPr="003409C9">
        <w:rPr>
          <w:noProof/>
        </w:rPr>
        <w:t xml:space="preserve"> osobom odpowiedzialnym za wykonanie określonych działań</w:t>
      </w:r>
      <w:r w:rsidR="003409C9" w:rsidRPr="003409C9">
        <w:rPr>
          <w:noProof/>
        </w:rPr>
        <w:t xml:space="preserve"> w dzi</w:t>
      </w:r>
      <w:r w:rsidRPr="003409C9">
        <w:rPr>
          <w:noProof/>
        </w:rPr>
        <w:t>edzinie wspólnej polityki zagranicznej</w:t>
      </w:r>
      <w:r w:rsidR="003409C9" w:rsidRPr="003409C9">
        <w:rPr>
          <w:noProof/>
        </w:rPr>
        <w:t xml:space="preserve"> i bez</w:t>
      </w:r>
      <w:r w:rsidRPr="003409C9">
        <w:rPr>
          <w:noProof/>
        </w:rPr>
        <w:t>pieczeństwa na mocy tytułu V Traktatu</w:t>
      </w:r>
      <w:r w:rsidR="003409C9" w:rsidRPr="003409C9">
        <w:rPr>
          <w:noProof/>
        </w:rPr>
        <w:t xml:space="preserve"> o Uni</w:t>
      </w:r>
      <w:r w:rsidRPr="003409C9">
        <w:rPr>
          <w:noProof/>
        </w:rPr>
        <w:t>i Europejskiej oraz określonym we właściwym podstawowym akcie prawnym.</w:t>
      </w:r>
    </w:p>
    <w:p w:rsidR="00CD7E2F" w:rsidRPr="00BB07AF" w:rsidRDefault="00CD7E2F" w:rsidP="003409C9">
      <w:pPr>
        <w:pStyle w:val="ListDash2"/>
        <w:ind w:left="1134"/>
        <w:rPr>
          <w:i/>
          <w:noProof/>
          <w:sz w:val="18"/>
          <w:u w:val="single"/>
        </w:rPr>
      </w:pPr>
      <w:r w:rsidRPr="00BB07AF">
        <w:rPr>
          <w:i/>
          <w:noProof/>
          <w:sz w:val="18"/>
        </w:rPr>
        <w:t>W przypadku wskazania więcej niż jednego trybu należy podać dodatkowe informacje</w:t>
      </w:r>
      <w:r w:rsidR="003409C9" w:rsidRPr="00BB07AF">
        <w:rPr>
          <w:i/>
          <w:noProof/>
          <w:sz w:val="18"/>
        </w:rPr>
        <w:t xml:space="preserve"> w czę</w:t>
      </w:r>
      <w:r w:rsidRPr="00BB07AF">
        <w:rPr>
          <w:i/>
          <w:noProof/>
          <w:sz w:val="18"/>
        </w:rPr>
        <w:t>ści „Uwagi”.</w:t>
      </w:r>
    </w:p>
    <w:p w:rsidR="00CD7E2F" w:rsidRPr="003409C9" w:rsidRDefault="00CD7E2F" w:rsidP="00CD7E2F">
      <w:pPr>
        <w:rPr>
          <w:noProof/>
        </w:rPr>
      </w:pPr>
      <w:r w:rsidRPr="003409C9">
        <w:rPr>
          <w:noProof/>
        </w:rPr>
        <w:t xml:space="preserve">Uwagi </w:t>
      </w:r>
    </w:p>
    <w:p w:rsidR="00CD7E2F" w:rsidRPr="003409C9" w:rsidRDefault="00CD7E2F" w:rsidP="00AC55F8">
      <w:pPr>
        <w:pBdr>
          <w:top w:val="single" w:sz="4" w:space="1" w:color="auto"/>
          <w:left w:val="single" w:sz="4" w:space="2" w:color="auto"/>
          <w:bottom w:val="single" w:sz="4" w:space="1" w:color="auto"/>
          <w:right w:val="single" w:sz="4" w:space="4" w:color="auto"/>
        </w:pBdr>
        <w:rPr>
          <w:noProof/>
        </w:rPr>
      </w:pPr>
      <w:bookmarkStart w:id="104" w:name="_Hlk118441317"/>
      <w:r w:rsidRPr="003409C9">
        <w:rPr>
          <w:noProof/>
        </w:rPr>
        <w:t>Przewiduje się, że faza projektowania</w:t>
      </w:r>
      <w:r w:rsidR="003409C9" w:rsidRPr="003409C9">
        <w:rPr>
          <w:noProof/>
        </w:rPr>
        <w:t xml:space="preserve"> i opr</w:t>
      </w:r>
      <w:r w:rsidRPr="003409C9">
        <w:rPr>
          <w:noProof/>
        </w:rPr>
        <w:t>acowania routera API potrwa cztery lata,</w:t>
      </w:r>
      <w:r w:rsidR="003409C9" w:rsidRPr="003409C9">
        <w:rPr>
          <w:noProof/>
        </w:rPr>
        <w:t xml:space="preserve"> w cza</w:t>
      </w:r>
      <w:r w:rsidRPr="003409C9">
        <w:rPr>
          <w:noProof/>
        </w:rPr>
        <w:t>sie których eu-LISA opracuje odpowiednie elementy. Uruchomienie routera API nastąpi pod koniec 2028</w:t>
      </w:r>
      <w:r w:rsidR="003409C9" w:rsidRPr="003409C9">
        <w:rPr>
          <w:noProof/>
        </w:rPr>
        <w:t> </w:t>
      </w:r>
      <w:r w:rsidRPr="003409C9">
        <w:rPr>
          <w:noProof/>
        </w:rPr>
        <w:t>r.</w:t>
      </w:r>
      <w:bookmarkEnd w:id="104"/>
    </w:p>
    <w:p w:rsidR="00CD7E2F" w:rsidRPr="003409C9" w:rsidRDefault="00CD7E2F" w:rsidP="00CD7E2F">
      <w:pPr>
        <w:rPr>
          <w:noProof/>
        </w:rPr>
        <w:sectPr w:rsidR="00CD7E2F" w:rsidRPr="003409C9" w:rsidSect="00883BC7">
          <w:headerReference w:type="default" r:id="rId21"/>
          <w:footerReference w:type="default" r:id="rId22"/>
          <w:headerReference w:type="first" r:id="rId23"/>
          <w:footerReference w:type="first" r:id="rId24"/>
          <w:pgSz w:w="11907" w:h="16840" w:code="9"/>
          <w:pgMar w:top="1134" w:right="1418" w:bottom="1134" w:left="1418" w:header="709" w:footer="709" w:gutter="0"/>
          <w:cols w:space="708"/>
          <w:docGrid w:linePitch="360"/>
        </w:sectPr>
      </w:pPr>
    </w:p>
    <w:p w:rsidR="00CD7E2F" w:rsidRPr="00BB07AF" w:rsidRDefault="009475BC" w:rsidP="009475BC">
      <w:pPr>
        <w:pStyle w:val="ManualHeading1"/>
        <w:rPr>
          <w:bCs/>
          <w:noProof/>
          <w:szCs w:val="24"/>
        </w:rPr>
      </w:pPr>
      <w:bookmarkStart w:id="105" w:name="_Toc514938041"/>
      <w:bookmarkStart w:id="106" w:name="_Toc117796983"/>
      <w:r w:rsidRPr="00BB07AF">
        <w:rPr>
          <w:noProof/>
        </w:rPr>
        <w:t>2.</w:t>
      </w:r>
      <w:r w:rsidRPr="00BB07AF">
        <w:rPr>
          <w:noProof/>
        </w:rPr>
        <w:tab/>
        <w:t>ŚRODKI ZARZĄDZANIA</w:t>
      </w:r>
      <w:bookmarkEnd w:id="105"/>
      <w:bookmarkEnd w:id="106"/>
      <w:r w:rsidRPr="00BB07AF">
        <w:rPr>
          <w:noProof/>
        </w:rPr>
        <w:t xml:space="preserve"> </w:t>
      </w:r>
    </w:p>
    <w:p w:rsidR="00CD7E2F" w:rsidRPr="00BB07AF" w:rsidRDefault="009475BC" w:rsidP="009475BC">
      <w:pPr>
        <w:pStyle w:val="ManualHeading2"/>
        <w:rPr>
          <w:noProof/>
        </w:rPr>
      </w:pPr>
      <w:bookmarkStart w:id="107" w:name="_Toc514938042"/>
      <w:bookmarkStart w:id="108" w:name="_Toc117796984"/>
      <w:r w:rsidRPr="00BB07AF">
        <w:rPr>
          <w:noProof/>
        </w:rPr>
        <w:t>2.1.</w:t>
      </w:r>
      <w:r w:rsidRPr="00BB07AF">
        <w:rPr>
          <w:noProof/>
        </w:rPr>
        <w:tab/>
        <w:t>Zasady nadzoru</w:t>
      </w:r>
      <w:r w:rsidR="003409C9" w:rsidRPr="00BB07AF">
        <w:rPr>
          <w:noProof/>
        </w:rPr>
        <w:t xml:space="preserve"> i spr</w:t>
      </w:r>
      <w:r w:rsidRPr="00BB07AF">
        <w:rPr>
          <w:noProof/>
        </w:rPr>
        <w:t>awozdawczości</w:t>
      </w:r>
      <w:bookmarkEnd w:id="107"/>
      <w:bookmarkEnd w:id="108"/>
      <w:r w:rsidRPr="00BB07AF">
        <w:rPr>
          <w:noProof/>
        </w:rPr>
        <w:t xml:space="preserve"> </w:t>
      </w:r>
    </w:p>
    <w:p w:rsidR="00CD7E2F" w:rsidRPr="00BB07AF" w:rsidRDefault="00CD7E2F" w:rsidP="009B05A0">
      <w:pPr>
        <w:pStyle w:val="Text11"/>
        <w:rPr>
          <w:i/>
          <w:noProof/>
          <w:sz w:val="20"/>
        </w:rPr>
      </w:pPr>
      <w:r w:rsidRPr="00BB07AF">
        <w:rPr>
          <w:i/>
          <w:noProof/>
          <w:sz w:val="20"/>
        </w:rPr>
        <w:t>Określić częstotliwość</w:t>
      </w:r>
      <w:r w:rsidR="003409C9" w:rsidRPr="00BB07AF">
        <w:rPr>
          <w:i/>
          <w:noProof/>
          <w:sz w:val="20"/>
        </w:rPr>
        <w:t xml:space="preserve"> i war</w:t>
      </w:r>
      <w:r w:rsidRPr="00BB07AF">
        <w:rPr>
          <w:i/>
          <w:noProof/>
          <w:sz w:val="20"/>
        </w:rPr>
        <w:t>unki</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bookmarkStart w:id="109" w:name="_Hlk118441331"/>
      <w:r w:rsidRPr="003409C9">
        <w:rPr>
          <w:noProof/>
        </w:rPr>
        <w:t xml:space="preserve">Zarządzanie dzielone: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Każde państwo członkowskie ustanawia systemy zarządzania</w:t>
      </w:r>
      <w:r w:rsidR="003409C9" w:rsidRPr="003409C9">
        <w:rPr>
          <w:noProof/>
        </w:rPr>
        <w:t xml:space="preserve"> i kon</w:t>
      </w:r>
      <w:r w:rsidRPr="003409C9">
        <w:rPr>
          <w:noProof/>
        </w:rPr>
        <w:t>troli dla swojego programu</w:t>
      </w:r>
      <w:r w:rsidR="003409C9" w:rsidRPr="003409C9">
        <w:rPr>
          <w:noProof/>
        </w:rPr>
        <w:t xml:space="preserve"> i zap</w:t>
      </w:r>
      <w:r w:rsidRPr="003409C9">
        <w:rPr>
          <w:noProof/>
        </w:rPr>
        <w:t>ewnia odpowiednią jakość</w:t>
      </w:r>
      <w:r w:rsidR="003409C9" w:rsidRPr="003409C9">
        <w:rPr>
          <w:noProof/>
        </w:rPr>
        <w:t xml:space="preserve"> i wia</w:t>
      </w:r>
      <w:r w:rsidRPr="003409C9">
        <w:rPr>
          <w:noProof/>
        </w:rPr>
        <w:t>rygodność systemu monitorowania</w:t>
      </w:r>
      <w:r w:rsidR="003409C9" w:rsidRPr="003409C9">
        <w:rPr>
          <w:noProof/>
        </w:rPr>
        <w:t xml:space="preserve"> i dan</w:t>
      </w:r>
      <w:r w:rsidRPr="003409C9">
        <w:rPr>
          <w:noProof/>
        </w:rPr>
        <w:t>ych dotyczących wskaźników zgodnie</w:t>
      </w:r>
      <w:r w:rsidR="003409C9" w:rsidRPr="003409C9">
        <w:rPr>
          <w:noProof/>
        </w:rPr>
        <w:t xml:space="preserve"> z roz</w:t>
      </w:r>
      <w:r w:rsidRPr="003409C9">
        <w:rPr>
          <w:noProof/>
        </w:rPr>
        <w:t>porządzeniem</w:t>
      </w:r>
      <w:r w:rsidR="003409C9" w:rsidRPr="003409C9">
        <w:rPr>
          <w:noProof/>
        </w:rPr>
        <w:t xml:space="preserve"> w spr</w:t>
      </w:r>
      <w:r w:rsidRPr="003409C9">
        <w:rPr>
          <w:noProof/>
        </w:rPr>
        <w:t>awie wspólnych przepisów</w:t>
      </w:r>
      <w:r w:rsidRPr="003409C9">
        <w:rPr>
          <w:rStyle w:val="FootnoteReference0"/>
          <w:noProof/>
        </w:rPr>
        <w:footnoteReference w:id="56"/>
      </w:r>
      <w:r w:rsidRPr="003409C9">
        <w:rPr>
          <w:noProof/>
        </w:rPr>
        <w:t xml:space="preserve"> (RWP). Państwa członkowskie przesyłają co roku pakiet dokumentów dotyczących poświadczenia wiarygodności zawierający roczne sprawozdanie finansowe, deklarację zarządczą</w:t>
      </w:r>
      <w:r w:rsidR="003409C9" w:rsidRPr="003409C9">
        <w:rPr>
          <w:noProof/>
        </w:rPr>
        <w:t xml:space="preserve"> i opi</w:t>
      </w:r>
      <w:r w:rsidRPr="003409C9">
        <w:rPr>
          <w:noProof/>
        </w:rPr>
        <w:t>nie instytucji audytowej dotyczące sprawozdania finansowego, systemu zarządzania</w:t>
      </w:r>
      <w:r w:rsidR="003409C9" w:rsidRPr="003409C9">
        <w:rPr>
          <w:noProof/>
        </w:rPr>
        <w:t xml:space="preserve"> i kon</w:t>
      </w:r>
      <w:r w:rsidRPr="003409C9">
        <w:rPr>
          <w:noProof/>
        </w:rPr>
        <w:t>troli oraz legalności</w:t>
      </w:r>
      <w:r w:rsidR="003409C9" w:rsidRPr="003409C9">
        <w:rPr>
          <w:noProof/>
        </w:rPr>
        <w:t xml:space="preserve"> i pra</w:t>
      </w:r>
      <w:r w:rsidRPr="003409C9">
        <w:rPr>
          <w:noProof/>
        </w:rPr>
        <w:t>widłowości wydatków zadeklarowanych</w:t>
      </w:r>
      <w:r w:rsidR="003409C9" w:rsidRPr="003409C9">
        <w:rPr>
          <w:noProof/>
        </w:rPr>
        <w:t xml:space="preserve"> w roc</w:t>
      </w:r>
      <w:r w:rsidRPr="003409C9">
        <w:rPr>
          <w:noProof/>
        </w:rPr>
        <w:t>znym sprawozdaniu finansowym. Komisja wykorzysta wspomniany pakiet dokumentów dotyczących poświadczenia wiarygodności do ustalenia kwoty obciążającej Fundusz/Instrument</w:t>
      </w:r>
      <w:r w:rsidR="003409C9" w:rsidRPr="003409C9">
        <w:rPr>
          <w:noProof/>
        </w:rPr>
        <w:t xml:space="preserve"> w dan</w:t>
      </w:r>
      <w:r w:rsidRPr="003409C9">
        <w:rPr>
          <w:noProof/>
        </w:rPr>
        <w:t>ym roku obrachunkowym. Co dwa lata organizowane będzie posiedzenie</w:t>
      </w:r>
      <w:r w:rsidR="003409C9" w:rsidRPr="003409C9">
        <w:rPr>
          <w:noProof/>
        </w:rPr>
        <w:t xml:space="preserve"> w spr</w:t>
      </w:r>
      <w:r w:rsidRPr="003409C9">
        <w:rPr>
          <w:noProof/>
        </w:rPr>
        <w:t>awie przeglądu</w:t>
      </w:r>
      <w:r w:rsidR="003409C9" w:rsidRPr="003409C9">
        <w:rPr>
          <w:noProof/>
        </w:rPr>
        <w:t xml:space="preserve"> z udz</w:t>
      </w:r>
      <w:r w:rsidRPr="003409C9">
        <w:rPr>
          <w:noProof/>
        </w:rPr>
        <w:t>iałem Komisji</w:t>
      </w:r>
      <w:r w:rsidR="003409C9" w:rsidRPr="003409C9">
        <w:rPr>
          <w:noProof/>
        </w:rPr>
        <w:t xml:space="preserve"> i prz</w:t>
      </w:r>
      <w:r w:rsidRPr="003409C9">
        <w:rPr>
          <w:noProof/>
        </w:rPr>
        <w:t>edstawicieli wszystkich państw członkowskich</w:t>
      </w:r>
      <w:r w:rsidR="003409C9" w:rsidRPr="003409C9">
        <w:rPr>
          <w:noProof/>
        </w:rPr>
        <w:t xml:space="preserve"> w cel</w:t>
      </w:r>
      <w:r w:rsidRPr="003409C9">
        <w:rPr>
          <w:noProof/>
        </w:rPr>
        <w:t>u zbadania realizacji celów poszczególnych programów. Sześć razy</w:t>
      </w:r>
      <w:r w:rsidR="003409C9" w:rsidRPr="003409C9">
        <w:rPr>
          <w:noProof/>
        </w:rPr>
        <w:t xml:space="preserve"> w rok</w:t>
      </w:r>
      <w:r w:rsidRPr="003409C9">
        <w:rPr>
          <w:noProof/>
        </w:rPr>
        <w:t>u państwa członkowskie przekazują dane dotyczące swojego programu,</w:t>
      </w:r>
      <w:r w:rsidR="003409C9" w:rsidRPr="003409C9">
        <w:rPr>
          <w:noProof/>
        </w:rPr>
        <w:t xml:space="preserve"> w pod</w:t>
      </w:r>
      <w:r w:rsidRPr="003409C9">
        <w:rPr>
          <w:noProof/>
        </w:rPr>
        <w:t>ziale na cele szczegółowe. Takie dane dotyczą kosztu operacji</w:t>
      </w:r>
      <w:r w:rsidR="003409C9" w:rsidRPr="003409C9">
        <w:rPr>
          <w:noProof/>
        </w:rPr>
        <w:t xml:space="preserve"> i war</w:t>
      </w:r>
      <w:r w:rsidRPr="003409C9">
        <w:rPr>
          <w:noProof/>
        </w:rPr>
        <w:t>tości wspólnych wskaźników produktu</w:t>
      </w:r>
      <w:r w:rsidR="003409C9" w:rsidRPr="003409C9">
        <w:rPr>
          <w:noProof/>
        </w:rPr>
        <w:t xml:space="preserve"> i rez</w:t>
      </w:r>
      <w:r w:rsidRPr="003409C9">
        <w:rPr>
          <w:noProof/>
        </w:rPr>
        <w:t>ultatu.</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Na potrzeby Funduszy</w:t>
      </w:r>
      <w:r w:rsidR="003409C9" w:rsidRPr="003409C9">
        <w:rPr>
          <w:noProof/>
        </w:rPr>
        <w:t xml:space="preserve"> w Obs</w:t>
      </w:r>
      <w:r w:rsidRPr="003409C9">
        <w:rPr>
          <w:noProof/>
        </w:rPr>
        <w:t>zarze Spraw Wewnętrznych państwa członkowskie będą przesyłać roczne sprawozdanie</w:t>
      </w:r>
      <w:r w:rsidR="003409C9" w:rsidRPr="003409C9">
        <w:rPr>
          <w:noProof/>
        </w:rPr>
        <w:t xml:space="preserve"> z rea</w:t>
      </w:r>
      <w:r w:rsidRPr="003409C9">
        <w:rPr>
          <w:noProof/>
        </w:rPr>
        <w:t>lizacji celów, które powinno zawierać informacje na temat postępów</w:t>
      </w:r>
      <w:r w:rsidR="003409C9" w:rsidRPr="003409C9">
        <w:rPr>
          <w:noProof/>
        </w:rPr>
        <w:t xml:space="preserve"> w rea</w:t>
      </w:r>
      <w:r w:rsidRPr="003409C9">
        <w:rPr>
          <w:noProof/>
        </w:rPr>
        <w:t>lizacji ich programów oraz realizacji celów pośrednich</w:t>
      </w:r>
      <w:r w:rsidR="003409C9" w:rsidRPr="003409C9">
        <w:rPr>
          <w:noProof/>
        </w:rPr>
        <w:t xml:space="preserve"> i cel</w:t>
      </w:r>
      <w:r w:rsidRPr="003409C9">
        <w:rPr>
          <w:noProof/>
        </w:rPr>
        <w:t>ów końcowych. Powinno ono także poruszać wszelkie kwestie mające wpływ na realizację celów programu</w:t>
      </w:r>
      <w:r w:rsidR="003409C9" w:rsidRPr="003409C9">
        <w:rPr>
          <w:noProof/>
        </w:rPr>
        <w:t xml:space="preserve"> i opi</w:t>
      </w:r>
      <w:r w:rsidRPr="003409C9">
        <w:rPr>
          <w:noProof/>
        </w:rPr>
        <w:t>sywać działania podjęte</w:t>
      </w:r>
      <w:r w:rsidR="003409C9" w:rsidRPr="003409C9">
        <w:rPr>
          <w:noProof/>
        </w:rPr>
        <w:t xml:space="preserve"> w cel</w:t>
      </w:r>
      <w:r w:rsidRPr="003409C9">
        <w:rPr>
          <w:noProof/>
        </w:rPr>
        <w:t>u zaradzenia tym kwestiom.</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Jeżeli chodzi</w:t>
      </w:r>
      <w:r w:rsidR="003409C9" w:rsidRPr="003409C9">
        <w:rPr>
          <w:noProof/>
        </w:rPr>
        <w:t xml:space="preserve"> o Fun</w:t>
      </w:r>
      <w:r w:rsidRPr="003409C9">
        <w:rPr>
          <w:noProof/>
        </w:rPr>
        <w:t>dusze</w:t>
      </w:r>
      <w:r w:rsidR="003409C9" w:rsidRPr="003409C9">
        <w:rPr>
          <w:noProof/>
        </w:rPr>
        <w:t xml:space="preserve"> w Obs</w:t>
      </w:r>
      <w:r w:rsidRPr="003409C9">
        <w:rPr>
          <w:noProof/>
        </w:rPr>
        <w:t>zarze Spraw Wewnętrznych na lata 2021–2027, każde państwo członkowskie przedkłada końcowe sprawozdanie</w:t>
      </w:r>
      <w:r w:rsidR="003409C9" w:rsidRPr="003409C9">
        <w:rPr>
          <w:noProof/>
        </w:rPr>
        <w:t xml:space="preserve"> z rea</w:t>
      </w:r>
      <w:r w:rsidRPr="003409C9">
        <w:rPr>
          <w:noProof/>
        </w:rPr>
        <w:t>lizacji celów. Sprawozdanie końcowe powinno koncentrować się na postępach</w:t>
      </w:r>
      <w:r w:rsidR="003409C9" w:rsidRPr="003409C9">
        <w:rPr>
          <w:noProof/>
        </w:rPr>
        <w:t xml:space="preserve"> w osi</w:t>
      </w:r>
      <w:r w:rsidRPr="003409C9">
        <w:rPr>
          <w:noProof/>
        </w:rPr>
        <w:t>ąganiu celów programu</w:t>
      </w:r>
      <w:r w:rsidR="003409C9" w:rsidRPr="003409C9">
        <w:rPr>
          <w:noProof/>
        </w:rPr>
        <w:t xml:space="preserve"> i zaw</w:t>
      </w:r>
      <w:r w:rsidRPr="003409C9">
        <w:rPr>
          <w:noProof/>
        </w:rPr>
        <w:t>ierać przegląd najważniejszych problemów, które wpłynęły na wyniki programu, środków podjętych</w:t>
      </w:r>
      <w:r w:rsidR="003409C9" w:rsidRPr="003409C9">
        <w:rPr>
          <w:noProof/>
        </w:rPr>
        <w:t xml:space="preserve"> w cel</w:t>
      </w:r>
      <w:r w:rsidRPr="003409C9">
        <w:rPr>
          <w:noProof/>
        </w:rPr>
        <w:t>u zaradzenia tym problemom oraz ocenę skuteczności tych środków. Powinno ono ponadto przedstawiać wkład programu</w:t>
      </w:r>
      <w:r w:rsidR="003409C9" w:rsidRPr="003409C9">
        <w:rPr>
          <w:noProof/>
        </w:rPr>
        <w:t xml:space="preserve"> w spr</w:t>
      </w:r>
      <w:r w:rsidRPr="003409C9">
        <w:rPr>
          <w:noProof/>
        </w:rPr>
        <w:t>ostanie wyzwaniom powiązanym</w:t>
      </w:r>
      <w:r w:rsidR="003409C9" w:rsidRPr="003409C9">
        <w:rPr>
          <w:noProof/>
        </w:rPr>
        <w:t xml:space="preserve"> z wdr</w:t>
      </w:r>
      <w:r w:rsidRPr="003409C9">
        <w:rPr>
          <w:noProof/>
        </w:rPr>
        <w:t>ażaniem programu, wskazanym</w:t>
      </w:r>
      <w:r w:rsidR="003409C9" w:rsidRPr="003409C9">
        <w:rPr>
          <w:noProof/>
        </w:rPr>
        <w:t xml:space="preserve"> w odp</w:t>
      </w:r>
      <w:r w:rsidRPr="003409C9">
        <w:rPr>
          <w:noProof/>
        </w:rPr>
        <w:t>owiednich zaleceniach UE skierowanych do danego państwa członkowskiego, postępy</w:t>
      </w:r>
      <w:r w:rsidR="003409C9" w:rsidRPr="003409C9">
        <w:rPr>
          <w:noProof/>
        </w:rPr>
        <w:t xml:space="preserve"> w osi</w:t>
      </w:r>
      <w:r w:rsidRPr="003409C9">
        <w:rPr>
          <w:noProof/>
        </w:rPr>
        <w:t>ąganiu celów końcowych wyznaczonych</w:t>
      </w:r>
      <w:r w:rsidR="003409C9" w:rsidRPr="003409C9">
        <w:rPr>
          <w:noProof/>
        </w:rPr>
        <w:t xml:space="preserve"> w ram</w:t>
      </w:r>
      <w:r w:rsidRPr="003409C9">
        <w:rPr>
          <w:noProof/>
        </w:rPr>
        <w:t>ach realizacji celów, ustalenia wynikające</w:t>
      </w:r>
      <w:r w:rsidR="003409C9" w:rsidRPr="003409C9">
        <w:rPr>
          <w:noProof/>
        </w:rPr>
        <w:t xml:space="preserve"> z odp</w:t>
      </w:r>
      <w:r w:rsidRPr="003409C9">
        <w:rPr>
          <w:noProof/>
        </w:rPr>
        <w:t>owiednich ocen oraz działania następcze podjęte na podstawie tych ustaleń</w:t>
      </w:r>
      <w:r w:rsidR="003409C9" w:rsidRPr="003409C9">
        <w:rPr>
          <w:noProof/>
        </w:rPr>
        <w:t xml:space="preserve"> i wyn</w:t>
      </w:r>
      <w:r w:rsidRPr="003409C9">
        <w:rPr>
          <w:noProof/>
        </w:rPr>
        <w:t>iki działań</w:t>
      </w:r>
      <w:r w:rsidR="003409C9" w:rsidRPr="003409C9">
        <w:rPr>
          <w:noProof/>
        </w:rPr>
        <w:t xml:space="preserve"> w zak</w:t>
      </w:r>
      <w:r w:rsidRPr="003409C9">
        <w:rPr>
          <w:noProof/>
        </w:rPr>
        <w:t xml:space="preserve">resie komunikacji.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 xml:space="preserve">Zarządzanie pośrednie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Monitorowanie</w:t>
      </w:r>
      <w:r w:rsidR="003409C9" w:rsidRPr="003409C9">
        <w:rPr>
          <w:noProof/>
        </w:rPr>
        <w:t xml:space="preserve"> i spr</w:t>
      </w:r>
      <w:r w:rsidRPr="003409C9">
        <w:rPr>
          <w:noProof/>
        </w:rPr>
        <w:t>awozdawczość</w:t>
      </w:r>
      <w:r w:rsidR="003409C9" w:rsidRPr="003409C9">
        <w:rPr>
          <w:noProof/>
        </w:rPr>
        <w:t xml:space="preserve"> w zak</w:t>
      </w:r>
      <w:r w:rsidRPr="003409C9">
        <w:rPr>
          <w:noProof/>
        </w:rPr>
        <w:t>resie realizacji założeń wniosku będą odbywały się zgodnie</w:t>
      </w:r>
      <w:r w:rsidR="003409C9" w:rsidRPr="003409C9">
        <w:rPr>
          <w:noProof/>
        </w:rPr>
        <w:t xml:space="preserve"> z zas</w:t>
      </w:r>
      <w:r w:rsidRPr="003409C9">
        <w:rPr>
          <w:noProof/>
        </w:rPr>
        <w:t>adami określonymi</w:t>
      </w:r>
      <w:r w:rsidR="003409C9" w:rsidRPr="003409C9">
        <w:rPr>
          <w:noProof/>
        </w:rPr>
        <w:t xml:space="preserve"> w roz</w:t>
      </w:r>
      <w:r w:rsidRPr="003409C9">
        <w:rPr>
          <w:noProof/>
        </w:rPr>
        <w:t>porządzeniu</w:t>
      </w:r>
      <w:r w:rsidR="003409C9" w:rsidRPr="003409C9">
        <w:rPr>
          <w:noProof/>
        </w:rPr>
        <w:t xml:space="preserve"> w spr</w:t>
      </w:r>
      <w:r w:rsidRPr="003409C9">
        <w:rPr>
          <w:noProof/>
        </w:rPr>
        <w:t>awie eu-LISA</w:t>
      </w:r>
      <w:r w:rsidR="003409C9" w:rsidRPr="003409C9">
        <w:rPr>
          <w:noProof/>
        </w:rPr>
        <w:t xml:space="preserve"> i roz</w:t>
      </w:r>
      <w:r w:rsidRPr="003409C9">
        <w:rPr>
          <w:noProof/>
        </w:rPr>
        <w:t>porządzeniu finansowym UE oraz zgodnie ze wspólnym podejściem do agencji zdecentralizowanych</w:t>
      </w:r>
      <w:r w:rsidR="003409C9" w:rsidRPr="003409C9">
        <w:rPr>
          <w:noProof/>
        </w:rPr>
        <w:t>. W szc</w:t>
      </w:r>
      <w:r w:rsidRPr="003409C9">
        <w:rPr>
          <w:noProof/>
        </w:rPr>
        <w:t>zególności eu-LISA musi co roku przesyłać Komisji, Parlamentowi Europejskiemu</w:t>
      </w:r>
      <w:r w:rsidR="003409C9" w:rsidRPr="003409C9">
        <w:rPr>
          <w:noProof/>
        </w:rPr>
        <w:t xml:space="preserve"> i Rad</w:t>
      </w:r>
      <w:r w:rsidRPr="003409C9">
        <w:rPr>
          <w:noProof/>
        </w:rPr>
        <w:t>zie jednolity dokument programowy zawierający wieloletni program prac</w:t>
      </w:r>
      <w:r w:rsidR="003409C9" w:rsidRPr="003409C9">
        <w:rPr>
          <w:noProof/>
        </w:rPr>
        <w:t xml:space="preserve"> i roc</w:t>
      </w:r>
      <w:r w:rsidRPr="003409C9">
        <w:rPr>
          <w:noProof/>
        </w:rPr>
        <w:t>zne programy prac oraz dokument programowy dotyczący zasobów</w:t>
      </w:r>
      <w:r w:rsidR="003409C9" w:rsidRPr="003409C9">
        <w:rPr>
          <w:noProof/>
        </w:rPr>
        <w:t>. W dok</w:t>
      </w:r>
      <w:r w:rsidRPr="003409C9">
        <w:rPr>
          <w:noProof/>
        </w:rPr>
        <w:t>umencie tym określa się cele, oczekiwane rezultaty oraz wskaźniki dotyczące realizacji celów na potrzeby monitorowania osiągania celów</w:t>
      </w:r>
      <w:r w:rsidR="003409C9" w:rsidRPr="003409C9">
        <w:rPr>
          <w:noProof/>
        </w:rPr>
        <w:t xml:space="preserve"> i wyn</w:t>
      </w:r>
      <w:r w:rsidRPr="003409C9">
        <w:rPr>
          <w:noProof/>
        </w:rPr>
        <w:t>ików. Agencja eu-LISA musi również przekazywać zarządowi skonsolidowane roczne sprawozdanie</w:t>
      </w:r>
      <w:r w:rsidR="003409C9" w:rsidRPr="003409C9">
        <w:rPr>
          <w:noProof/>
        </w:rPr>
        <w:t xml:space="preserve"> z dzi</w:t>
      </w:r>
      <w:r w:rsidRPr="003409C9">
        <w:rPr>
          <w:noProof/>
        </w:rPr>
        <w:t>ałalności. Sprawozdanie to zawiera</w:t>
      </w:r>
      <w:r w:rsidR="003409C9" w:rsidRPr="003409C9">
        <w:rPr>
          <w:noProof/>
        </w:rPr>
        <w:t xml:space="preserve"> w szc</w:t>
      </w:r>
      <w:r w:rsidRPr="003409C9">
        <w:rPr>
          <w:noProof/>
        </w:rPr>
        <w:t>zególności informacje dotyczące osiągania celów</w:t>
      </w:r>
      <w:r w:rsidR="003409C9" w:rsidRPr="003409C9">
        <w:rPr>
          <w:noProof/>
        </w:rPr>
        <w:t xml:space="preserve"> i wyn</w:t>
      </w:r>
      <w:r w:rsidRPr="003409C9">
        <w:rPr>
          <w:noProof/>
        </w:rPr>
        <w:t>ików określonych</w:t>
      </w:r>
      <w:r w:rsidR="003409C9" w:rsidRPr="003409C9">
        <w:rPr>
          <w:noProof/>
        </w:rPr>
        <w:t xml:space="preserve"> w jed</w:t>
      </w:r>
      <w:r w:rsidRPr="003409C9">
        <w:rPr>
          <w:noProof/>
        </w:rPr>
        <w:t>nolitym dokumencie programowym. Sprawozdanie należy również przesłać Komisji, Parlamentowi Europejskiemu</w:t>
      </w:r>
      <w:r w:rsidR="003409C9" w:rsidRPr="003409C9">
        <w:rPr>
          <w:noProof/>
        </w:rPr>
        <w:t xml:space="preserve"> i Rad</w:t>
      </w:r>
      <w:r w:rsidRPr="003409C9">
        <w:rPr>
          <w:noProof/>
        </w:rPr>
        <w:t xml:space="preserve">zie.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Ponadto, jak określono</w:t>
      </w:r>
      <w:r w:rsidR="003409C9" w:rsidRPr="003409C9">
        <w:rPr>
          <w:noProof/>
        </w:rPr>
        <w:t xml:space="preserve"> w art</w:t>
      </w:r>
      <w:r w:rsidRPr="003409C9">
        <w:rPr>
          <w:noProof/>
        </w:rPr>
        <w:t>.</w:t>
      </w:r>
      <w:r w:rsidR="003409C9" w:rsidRPr="003409C9">
        <w:rPr>
          <w:noProof/>
        </w:rPr>
        <w:t> </w:t>
      </w:r>
      <w:r w:rsidRPr="003409C9">
        <w:rPr>
          <w:noProof/>
        </w:rPr>
        <w:t>39 rozporządzenia</w:t>
      </w:r>
      <w:r w:rsidR="003409C9" w:rsidRPr="003409C9">
        <w:rPr>
          <w:noProof/>
        </w:rPr>
        <w:t xml:space="preserve"> w spr</w:t>
      </w:r>
      <w:r w:rsidRPr="003409C9">
        <w:rPr>
          <w:noProof/>
        </w:rPr>
        <w:t>awie eu-LISA, do</w:t>
      </w:r>
      <w:r w:rsidR="003409C9" w:rsidRPr="003409C9">
        <w:rPr>
          <w:noProof/>
        </w:rPr>
        <w:t> </w:t>
      </w:r>
      <w:r w:rsidRPr="003409C9">
        <w:rPr>
          <w:noProof/>
        </w:rPr>
        <w:t>12 grudnia 2023</w:t>
      </w:r>
      <w:r w:rsidR="003409C9" w:rsidRPr="003409C9">
        <w:rPr>
          <w:noProof/>
        </w:rPr>
        <w:t> </w:t>
      </w:r>
      <w:r w:rsidRPr="003409C9">
        <w:rPr>
          <w:noProof/>
        </w:rPr>
        <w:t>r.,</w:t>
      </w:r>
      <w:r w:rsidR="003409C9" w:rsidRPr="003409C9">
        <w:rPr>
          <w:noProof/>
        </w:rPr>
        <w:t xml:space="preserve"> a tak</w:t>
      </w:r>
      <w:r w:rsidRPr="003409C9">
        <w:rPr>
          <w:noProof/>
        </w:rPr>
        <w:t>że co pięć lat po tej dacie, Komisja – po konsultacji</w:t>
      </w:r>
      <w:r w:rsidR="003409C9" w:rsidRPr="003409C9">
        <w:rPr>
          <w:noProof/>
        </w:rPr>
        <w:t xml:space="preserve"> z zar</w:t>
      </w:r>
      <w:r w:rsidRPr="003409C9">
        <w:rPr>
          <w:noProof/>
        </w:rPr>
        <w:t>ządem – ocenia wyniki prac Agencji</w:t>
      </w:r>
      <w:r w:rsidR="003409C9" w:rsidRPr="003409C9">
        <w:rPr>
          <w:noProof/>
        </w:rPr>
        <w:t xml:space="preserve"> w odn</w:t>
      </w:r>
      <w:r w:rsidRPr="003409C9">
        <w:rPr>
          <w:noProof/>
        </w:rPr>
        <w:t>iesieniu do jej celów, mandatu, lokalizacji</w:t>
      </w:r>
      <w:r w:rsidR="003409C9" w:rsidRPr="003409C9">
        <w:rPr>
          <w:noProof/>
        </w:rPr>
        <w:t xml:space="preserve"> i zad</w:t>
      </w:r>
      <w:r w:rsidRPr="003409C9">
        <w:rPr>
          <w:noProof/>
        </w:rPr>
        <w:t>ań, zgodnie</w:t>
      </w:r>
      <w:r w:rsidR="003409C9" w:rsidRPr="003409C9">
        <w:rPr>
          <w:noProof/>
        </w:rPr>
        <w:t xml:space="preserve"> z wyt</w:t>
      </w:r>
      <w:r w:rsidRPr="003409C9">
        <w:rPr>
          <w:noProof/>
        </w:rPr>
        <w:t>ycznymi Komisji. Ocena ta obejmuje także analizę postępów we wdrażaniu niniejszego rozporządzenia oraz tego,</w:t>
      </w:r>
      <w:r w:rsidR="003409C9" w:rsidRPr="003409C9">
        <w:rPr>
          <w:noProof/>
        </w:rPr>
        <w:t xml:space="preserve"> w jak</w:t>
      </w:r>
      <w:r w:rsidRPr="003409C9">
        <w:rPr>
          <w:noProof/>
        </w:rPr>
        <w:t>i sposób</w:t>
      </w:r>
      <w:r w:rsidR="003409C9" w:rsidRPr="003409C9">
        <w:rPr>
          <w:noProof/>
        </w:rPr>
        <w:t xml:space="preserve"> i w jak</w:t>
      </w:r>
      <w:r w:rsidRPr="003409C9">
        <w:rPr>
          <w:noProof/>
        </w:rPr>
        <w:t>im zakresie Agencja skutecznie przyczynia się do zarządzania operacyjnego wielkoskalowymi systemami informatycznymi i do tworzenia skoordynowanego, efektywnego kosztowo</w:t>
      </w:r>
      <w:r w:rsidR="003409C9" w:rsidRPr="003409C9">
        <w:rPr>
          <w:noProof/>
        </w:rPr>
        <w:t xml:space="preserve"> i spó</w:t>
      </w:r>
      <w:r w:rsidRPr="003409C9">
        <w:rPr>
          <w:noProof/>
        </w:rPr>
        <w:t>jnego środowiska informatycznego na poziomie Unii</w:t>
      </w:r>
      <w:r w:rsidR="003409C9" w:rsidRPr="003409C9">
        <w:rPr>
          <w:noProof/>
        </w:rPr>
        <w:t xml:space="preserve"> w prz</w:t>
      </w:r>
      <w:r w:rsidRPr="003409C9">
        <w:rPr>
          <w:noProof/>
        </w:rPr>
        <w:t>estrzeni wolności, bezpieczeństwa</w:t>
      </w:r>
      <w:r w:rsidR="003409C9" w:rsidRPr="003409C9">
        <w:rPr>
          <w:noProof/>
        </w:rPr>
        <w:t xml:space="preserve"> i spr</w:t>
      </w:r>
      <w:r w:rsidRPr="003409C9">
        <w:rPr>
          <w:noProof/>
        </w:rPr>
        <w:t>awiedliwości. Ocena ta dotyczy</w:t>
      </w:r>
      <w:r w:rsidR="003409C9" w:rsidRPr="003409C9">
        <w:rPr>
          <w:noProof/>
        </w:rPr>
        <w:t xml:space="preserve"> w szc</w:t>
      </w:r>
      <w:r w:rsidRPr="003409C9">
        <w:rPr>
          <w:noProof/>
        </w:rPr>
        <w:t>zególności ewentualnej potrzeby zmiany mandatu Agencji oraz skutków finansowych takiej zmiany. Zarząd może przedstawić Komisji zalecenia co do zmian</w:t>
      </w:r>
      <w:r w:rsidR="003409C9" w:rsidRPr="003409C9">
        <w:rPr>
          <w:noProof/>
        </w:rPr>
        <w:t xml:space="preserve"> w nin</w:t>
      </w:r>
      <w:r w:rsidRPr="003409C9">
        <w:rPr>
          <w:noProof/>
        </w:rPr>
        <w:t>iejszym rozporządzeniu.</w:t>
      </w:r>
      <w:bookmarkEnd w:id="109"/>
    </w:p>
    <w:p w:rsidR="00CD7E2F" w:rsidRPr="00BB07AF" w:rsidRDefault="009475BC" w:rsidP="009475BC">
      <w:pPr>
        <w:pStyle w:val="ManualHeading2"/>
        <w:rPr>
          <w:bCs/>
          <w:noProof/>
          <w:szCs w:val="24"/>
        </w:rPr>
      </w:pPr>
      <w:bookmarkStart w:id="110" w:name="_Toc514938045"/>
      <w:bookmarkStart w:id="111" w:name="_Toc117796985"/>
      <w:r w:rsidRPr="00BB07AF">
        <w:rPr>
          <w:noProof/>
        </w:rPr>
        <w:t>2.2.</w:t>
      </w:r>
      <w:r w:rsidRPr="00BB07AF">
        <w:rPr>
          <w:noProof/>
        </w:rPr>
        <w:tab/>
        <w:t>System zarządzania</w:t>
      </w:r>
      <w:r w:rsidR="003409C9" w:rsidRPr="00BB07AF">
        <w:rPr>
          <w:noProof/>
        </w:rPr>
        <w:t xml:space="preserve"> i kon</w:t>
      </w:r>
      <w:r w:rsidRPr="00BB07AF">
        <w:rPr>
          <w:noProof/>
        </w:rPr>
        <w:t>troli</w:t>
      </w:r>
      <w:bookmarkEnd w:id="110"/>
      <w:bookmarkEnd w:id="111"/>
      <w:r w:rsidRPr="00BB07AF">
        <w:rPr>
          <w:noProof/>
        </w:rPr>
        <w:t xml:space="preserve"> </w:t>
      </w:r>
    </w:p>
    <w:p w:rsidR="00CD7E2F" w:rsidRPr="00BB07AF" w:rsidRDefault="009475BC" w:rsidP="009475BC">
      <w:pPr>
        <w:pStyle w:val="ManualHeading3"/>
        <w:rPr>
          <w:noProof/>
        </w:rPr>
      </w:pPr>
      <w:bookmarkStart w:id="112" w:name="_Toc514938046"/>
      <w:bookmarkStart w:id="113" w:name="_Toc117796986"/>
      <w:r w:rsidRPr="00BB07AF">
        <w:rPr>
          <w:noProof/>
        </w:rPr>
        <w:t>2.2.1.</w:t>
      </w:r>
      <w:r w:rsidRPr="00BB07AF">
        <w:rPr>
          <w:noProof/>
        </w:rPr>
        <w:tab/>
        <w:t>Uzasadnienie dla systemu zarządzania, mechanizmów finansowania wykonania, warunków płatności</w:t>
      </w:r>
      <w:r w:rsidR="003409C9" w:rsidRPr="00BB07AF">
        <w:rPr>
          <w:noProof/>
        </w:rPr>
        <w:t xml:space="preserve"> i pro</w:t>
      </w:r>
      <w:r w:rsidRPr="00BB07AF">
        <w:rPr>
          <w:noProof/>
        </w:rPr>
        <w:t>ponowanej strategii kontroli</w:t>
      </w:r>
      <w:bookmarkEnd w:id="112"/>
      <w:bookmarkEnd w:id="113"/>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bookmarkStart w:id="114" w:name="_Hlk118441348"/>
      <w:r w:rsidRPr="003409C9">
        <w:rPr>
          <w:noProof/>
        </w:rPr>
        <w:t>Zarządzanie dzielone</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W latach 2021–2027 rozporządzenie Parlamentu Europejskiego</w:t>
      </w:r>
      <w:r w:rsidR="003409C9" w:rsidRPr="003409C9">
        <w:rPr>
          <w:noProof/>
        </w:rPr>
        <w:t xml:space="preserve"> i Rad</w:t>
      </w:r>
      <w:r w:rsidRPr="003409C9">
        <w:rPr>
          <w:noProof/>
        </w:rPr>
        <w:t>y (UE) 2021/1148</w:t>
      </w:r>
      <w:r w:rsidR="003409C9" w:rsidRPr="003409C9">
        <w:rPr>
          <w:noProof/>
        </w:rPr>
        <w:t xml:space="preserve"> z dni</w:t>
      </w:r>
      <w:r w:rsidRPr="003409C9">
        <w:rPr>
          <w:noProof/>
        </w:rPr>
        <w:t>a 7 lipca 2021</w:t>
      </w:r>
      <w:r w:rsidR="003409C9" w:rsidRPr="003409C9">
        <w:rPr>
          <w:noProof/>
        </w:rPr>
        <w:t> </w:t>
      </w:r>
      <w:r w:rsidRPr="003409C9">
        <w:rPr>
          <w:noProof/>
        </w:rPr>
        <w:t>r. ustanawiające,</w:t>
      </w:r>
      <w:r w:rsidR="003409C9" w:rsidRPr="003409C9">
        <w:rPr>
          <w:noProof/>
        </w:rPr>
        <w:t xml:space="preserve"> w ram</w:t>
      </w:r>
      <w:r w:rsidRPr="003409C9">
        <w:rPr>
          <w:noProof/>
        </w:rPr>
        <w:t>ach Funduszu Zintegrowanego Zarządzania Granicami, Instrument Wsparcia Finansowego na rzecz Zarządzania Granicami</w:t>
      </w:r>
      <w:r w:rsidR="003409C9" w:rsidRPr="003409C9">
        <w:rPr>
          <w:noProof/>
        </w:rPr>
        <w:t xml:space="preserve"> i Pol</w:t>
      </w:r>
      <w:r w:rsidRPr="003409C9">
        <w:rPr>
          <w:noProof/>
        </w:rPr>
        <w:t>ityki Wizowej oraz rozporządzenie Parlamentu Europejskiego</w:t>
      </w:r>
      <w:r w:rsidR="003409C9" w:rsidRPr="003409C9">
        <w:rPr>
          <w:noProof/>
        </w:rPr>
        <w:t xml:space="preserve"> i Rad</w:t>
      </w:r>
      <w:r w:rsidRPr="003409C9">
        <w:rPr>
          <w:noProof/>
        </w:rPr>
        <w:t>y (UE) 2021/1149</w:t>
      </w:r>
      <w:r w:rsidR="003409C9" w:rsidRPr="003409C9">
        <w:rPr>
          <w:noProof/>
        </w:rPr>
        <w:t xml:space="preserve"> z dni</w:t>
      </w:r>
      <w:r w:rsidRPr="003409C9">
        <w:rPr>
          <w:noProof/>
        </w:rPr>
        <w:t>a 7 lipca 2021</w:t>
      </w:r>
      <w:r w:rsidR="003409C9" w:rsidRPr="003409C9">
        <w:rPr>
          <w:noProof/>
        </w:rPr>
        <w:t> </w:t>
      </w:r>
      <w:r w:rsidRPr="003409C9">
        <w:rPr>
          <w:noProof/>
        </w:rPr>
        <w:t>r. ustanawiające Fundusz Bezpieczeństwa Wewnętrznego po raz pierwszy będą zarządzane na podstawie RWP (rozporządzenia</w:t>
      </w:r>
      <w:r w:rsidR="003409C9" w:rsidRPr="003409C9">
        <w:rPr>
          <w:noProof/>
        </w:rPr>
        <w:t xml:space="preserve"> w spr</w:t>
      </w:r>
      <w:r w:rsidRPr="003409C9">
        <w:rPr>
          <w:noProof/>
        </w:rPr>
        <w:t xml:space="preserve">awie wspólnych przepisów).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W odniesieniu do zarządzania dzielonego RWP opiera się na strategii zarządzania</w:t>
      </w:r>
      <w:r w:rsidR="003409C9" w:rsidRPr="003409C9">
        <w:rPr>
          <w:noProof/>
        </w:rPr>
        <w:t xml:space="preserve"> i kon</w:t>
      </w:r>
      <w:r w:rsidRPr="003409C9">
        <w:rPr>
          <w:noProof/>
        </w:rPr>
        <w:t>troli obowiązującej</w:t>
      </w:r>
      <w:r w:rsidR="003409C9" w:rsidRPr="003409C9">
        <w:rPr>
          <w:noProof/>
        </w:rPr>
        <w:t xml:space="preserve"> w okr</w:t>
      </w:r>
      <w:r w:rsidRPr="003409C9">
        <w:rPr>
          <w:noProof/>
        </w:rPr>
        <w:t>esie programowania 2014–2020</w:t>
      </w:r>
      <w:r w:rsidR="003409C9" w:rsidRPr="003409C9">
        <w:rPr>
          <w:noProof/>
        </w:rPr>
        <w:t xml:space="preserve"> i wpr</w:t>
      </w:r>
      <w:r w:rsidRPr="003409C9">
        <w:rPr>
          <w:noProof/>
        </w:rPr>
        <w:t>owadza też pewne środki mające na celu uproszczenie wdrażania</w:t>
      </w:r>
      <w:r w:rsidR="003409C9" w:rsidRPr="003409C9">
        <w:rPr>
          <w:noProof/>
        </w:rPr>
        <w:t xml:space="preserve"> i zmn</w:t>
      </w:r>
      <w:r w:rsidRPr="003409C9">
        <w:rPr>
          <w:noProof/>
        </w:rPr>
        <w:t>iejszenie obciążenia związanego</w:t>
      </w:r>
      <w:r w:rsidR="003409C9" w:rsidRPr="003409C9">
        <w:rPr>
          <w:noProof/>
        </w:rPr>
        <w:t xml:space="preserve"> z kon</w:t>
      </w:r>
      <w:r w:rsidRPr="003409C9">
        <w:rPr>
          <w:noProof/>
        </w:rPr>
        <w:t>trolą zarówno na poziomie beneficjentów, jak</w:t>
      </w:r>
      <w:r w:rsidR="003409C9" w:rsidRPr="003409C9">
        <w:rPr>
          <w:noProof/>
        </w:rPr>
        <w:t xml:space="preserve"> i pań</w:t>
      </w:r>
      <w:r w:rsidRPr="003409C9">
        <w:rPr>
          <w:noProof/>
        </w:rPr>
        <w:t xml:space="preserve">stw członkowskich.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 xml:space="preserve">Te nowe elementy obejmują: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 zrezygnowanie</w:t>
      </w:r>
      <w:r w:rsidR="003409C9" w:rsidRPr="003409C9">
        <w:rPr>
          <w:noProof/>
        </w:rPr>
        <w:t xml:space="preserve"> z pro</w:t>
      </w:r>
      <w:r w:rsidRPr="003409C9">
        <w:rPr>
          <w:noProof/>
        </w:rPr>
        <w:t xml:space="preserve">cedury wyznaczania (co powinno umożliwić przyspieszenie realizacji programów);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 weryfikacje zarządcze (administracyjne i na miejscu) przeprowadzane przez instytucję zarządzającą na zasadzie ryzyka (w porównaniu</w:t>
      </w:r>
      <w:r w:rsidR="003409C9" w:rsidRPr="003409C9">
        <w:rPr>
          <w:noProof/>
        </w:rPr>
        <w:t xml:space="preserve"> z kon</w:t>
      </w:r>
      <w:r w:rsidRPr="003409C9">
        <w:rPr>
          <w:noProof/>
        </w:rPr>
        <w:t>trolami administracyjnymi wymaganymi</w:t>
      </w:r>
      <w:r w:rsidR="003409C9" w:rsidRPr="003409C9">
        <w:rPr>
          <w:noProof/>
        </w:rPr>
        <w:t xml:space="preserve"> w 1</w:t>
      </w:r>
      <w:r w:rsidRPr="003409C9">
        <w:rPr>
          <w:noProof/>
        </w:rPr>
        <w:t>00</w:t>
      </w:r>
      <w:r w:rsidR="003409C9" w:rsidRPr="003409C9">
        <w:rPr>
          <w:noProof/>
        </w:rPr>
        <w:t> </w:t>
      </w:r>
      <w:r w:rsidRPr="003409C9">
        <w:rPr>
          <w:noProof/>
        </w:rPr>
        <w:t>% przypadków</w:t>
      </w:r>
      <w:r w:rsidR="003409C9" w:rsidRPr="003409C9">
        <w:rPr>
          <w:noProof/>
        </w:rPr>
        <w:t xml:space="preserve"> w okr</w:t>
      </w:r>
      <w:r w:rsidRPr="003409C9">
        <w:rPr>
          <w:noProof/>
        </w:rPr>
        <w:t>esie programowania 2014–2020); W pewnych warunkach instytucje zarządzające mogą ponadto stosować proporcjonalne ustalenia dotyczące kontroli zgodnie</w:t>
      </w:r>
      <w:r w:rsidR="003409C9" w:rsidRPr="003409C9">
        <w:rPr>
          <w:noProof/>
        </w:rPr>
        <w:t xml:space="preserve"> z pro</w:t>
      </w:r>
      <w:r w:rsidRPr="003409C9">
        <w:rPr>
          <w:noProof/>
        </w:rPr>
        <w:t xml:space="preserve">cedurami krajowymi.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 warunki pozwalające uniknąć wielokrotnych kontroli</w:t>
      </w:r>
      <w:r w:rsidR="003409C9" w:rsidRPr="003409C9">
        <w:rPr>
          <w:noProof/>
        </w:rPr>
        <w:t xml:space="preserve"> w odn</w:t>
      </w:r>
      <w:r w:rsidRPr="003409C9">
        <w:rPr>
          <w:noProof/>
        </w:rPr>
        <w:t xml:space="preserve">iesieniu do tej samej operacji/tych samych wydatków.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Instytucje programu przedstawią Komisji wnioski</w:t>
      </w:r>
      <w:r w:rsidR="003409C9" w:rsidRPr="003409C9">
        <w:rPr>
          <w:noProof/>
        </w:rPr>
        <w:t xml:space="preserve"> o pła</w:t>
      </w:r>
      <w:r w:rsidRPr="003409C9">
        <w:rPr>
          <w:noProof/>
        </w:rPr>
        <w:t>tność okresową</w:t>
      </w:r>
      <w:r w:rsidR="003409C9" w:rsidRPr="003409C9">
        <w:rPr>
          <w:noProof/>
        </w:rPr>
        <w:t xml:space="preserve"> w opa</w:t>
      </w:r>
      <w:r w:rsidRPr="003409C9">
        <w:rPr>
          <w:noProof/>
        </w:rPr>
        <w:t>rciu</w:t>
      </w:r>
      <w:r w:rsidR="003409C9" w:rsidRPr="003409C9">
        <w:rPr>
          <w:noProof/>
        </w:rPr>
        <w:t xml:space="preserve"> o wyd</w:t>
      </w:r>
      <w:r w:rsidRPr="003409C9">
        <w:rPr>
          <w:noProof/>
        </w:rPr>
        <w:t>atki poniesione przez beneficjentów. RWP zezwala instytucjom zarządzającym na przeprowadzanie weryfikacji zarządczych na podstawie ryzyka</w:t>
      </w:r>
      <w:r w:rsidR="003409C9" w:rsidRPr="003409C9">
        <w:rPr>
          <w:noProof/>
        </w:rPr>
        <w:t xml:space="preserve"> i prz</w:t>
      </w:r>
      <w:r w:rsidRPr="003409C9">
        <w:rPr>
          <w:noProof/>
        </w:rPr>
        <w:t>ewiduje również szczególne kontrole (np. kontrole na miejscu dokonywane przez instytucję zarządzającą oraz audyty operacji/wydatków dokonywane przez instytucję audytową) po zadeklarowaniu Komisji wydatków dodatkowych we wnioskach</w:t>
      </w:r>
      <w:r w:rsidR="003409C9" w:rsidRPr="003409C9">
        <w:rPr>
          <w:noProof/>
        </w:rPr>
        <w:t xml:space="preserve"> o pła</w:t>
      </w:r>
      <w:r w:rsidRPr="003409C9">
        <w:rPr>
          <w:noProof/>
        </w:rPr>
        <w:t>tności okresowe (do sześciu rocznie). Aby zminimalizować ryzyko zwrotu wydatków niekwalifikowalnych, w RWP przewidziano maksymalny pułap płatności okresowych Komisji wynoszący 95</w:t>
      </w:r>
      <w:r w:rsidR="003409C9" w:rsidRPr="003409C9">
        <w:rPr>
          <w:noProof/>
        </w:rPr>
        <w:t> </w:t>
      </w:r>
      <w:r w:rsidRPr="003409C9">
        <w:rPr>
          <w:noProof/>
        </w:rPr>
        <w:t>% kwoty ujętej we wniosku</w:t>
      </w:r>
      <w:r w:rsidR="003409C9" w:rsidRPr="003409C9">
        <w:rPr>
          <w:noProof/>
        </w:rPr>
        <w:t xml:space="preserve"> o pła</w:t>
      </w:r>
      <w:r w:rsidRPr="003409C9">
        <w:rPr>
          <w:noProof/>
        </w:rPr>
        <w:t>tność, zważywszy że</w:t>
      </w:r>
      <w:r w:rsidR="003409C9" w:rsidRPr="003409C9">
        <w:rPr>
          <w:noProof/>
        </w:rPr>
        <w:t xml:space="preserve"> w dan</w:t>
      </w:r>
      <w:r w:rsidRPr="003409C9">
        <w:rPr>
          <w:noProof/>
        </w:rPr>
        <w:t>ym momencie przeprowadzono tylko część kontroli krajowych. Komisja wypłaci pozostałą kwotę po rocznym rozliczeniu rachunków, kiedy instytucje zarządzające programem przekażą jej pakiet dokumentów dotyczących poświadczenia wiarygodności. Wszelkie nieprawidłowości wykryte przez Komisję lub Europejski Trybunał Obrachunkowy po przekazaniu rocznego pakietu dokumentów dotyczących poświadczenia wiarygodności mogą prowadzić do korekty finansowej netto.</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Zarządzanie pośrednie</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Część wniosku zostanie wdrożona za pomocą budżetu eu-LISA poprzez zarządzanie pośrednie.</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Zgodnie</w:t>
      </w:r>
      <w:r w:rsidR="003409C9" w:rsidRPr="003409C9">
        <w:rPr>
          <w:noProof/>
        </w:rPr>
        <w:t xml:space="preserve"> z zas</w:t>
      </w:r>
      <w:r w:rsidRPr="003409C9">
        <w:rPr>
          <w:noProof/>
        </w:rPr>
        <w:t>adą należytego zarządzania finansami budżet eu-LISA wykonuje się przy zapewnieniu skutecznej</w:t>
      </w:r>
      <w:r w:rsidR="003409C9" w:rsidRPr="003409C9">
        <w:rPr>
          <w:noProof/>
        </w:rPr>
        <w:t xml:space="preserve"> i wyd</w:t>
      </w:r>
      <w:r w:rsidRPr="003409C9">
        <w:rPr>
          <w:noProof/>
        </w:rPr>
        <w:t>ajnej kontroli wewnętrznej</w:t>
      </w:r>
      <w:r w:rsidR="003409C9" w:rsidRPr="003409C9">
        <w:rPr>
          <w:noProof/>
        </w:rPr>
        <w:t>. W zwi</w:t>
      </w:r>
      <w:r w:rsidRPr="003409C9">
        <w:rPr>
          <w:noProof/>
        </w:rPr>
        <w:t>ązku</w:t>
      </w:r>
      <w:r w:rsidR="003409C9" w:rsidRPr="003409C9">
        <w:rPr>
          <w:noProof/>
        </w:rPr>
        <w:t xml:space="preserve"> z tym</w:t>
      </w:r>
      <w:r w:rsidRPr="003409C9">
        <w:rPr>
          <w:noProof/>
        </w:rPr>
        <w:t xml:space="preserve"> eu-LISA jest zobowiązana wdrożyć odpowiednią strategię kontroli skoordynowaną przez odpowiednich uczestników łańcucha kontroli.</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Jeżeli chodzi</w:t>
      </w:r>
      <w:r w:rsidR="003409C9" w:rsidRPr="003409C9">
        <w:rPr>
          <w:noProof/>
        </w:rPr>
        <w:t xml:space="preserve"> o kon</w:t>
      </w:r>
      <w:r w:rsidRPr="003409C9">
        <w:rPr>
          <w:noProof/>
        </w:rPr>
        <w:t xml:space="preserve">trole </w:t>
      </w:r>
      <w:r w:rsidRPr="00BB07AF">
        <w:rPr>
          <w:i/>
          <w:noProof/>
        </w:rPr>
        <w:t>ex post</w:t>
      </w:r>
      <w:r w:rsidRPr="003409C9">
        <w:rPr>
          <w:noProof/>
        </w:rPr>
        <w:t>, eu-LISA – jako agencja zdecentralizowana – jest przedmiotem przede wszystkim:</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 audytu wewnętrznego przeprowadzanego przez Służbę Audytu Wewnętrznego Komisji;</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 rocznych sprawozdań Europejskiego Trybunału Obrachunkowego,</w:t>
      </w:r>
      <w:r w:rsidR="003409C9" w:rsidRPr="003409C9">
        <w:rPr>
          <w:noProof/>
        </w:rPr>
        <w:t xml:space="preserve"> w któ</w:t>
      </w:r>
      <w:r w:rsidRPr="003409C9">
        <w:rPr>
          <w:noProof/>
        </w:rPr>
        <w:t>rych poświadcza się wiarygodność rachunków, jak również legalność</w:t>
      </w:r>
      <w:r w:rsidR="003409C9" w:rsidRPr="003409C9">
        <w:rPr>
          <w:noProof/>
        </w:rPr>
        <w:t xml:space="preserve"> i pra</w:t>
      </w:r>
      <w:r w:rsidRPr="003409C9">
        <w:rPr>
          <w:noProof/>
        </w:rPr>
        <w:t>widłowość operacji leżących</w:t>
      </w:r>
      <w:r w:rsidR="003409C9" w:rsidRPr="003409C9">
        <w:rPr>
          <w:noProof/>
        </w:rPr>
        <w:t xml:space="preserve"> u ich</w:t>
      </w:r>
      <w:r w:rsidRPr="003409C9">
        <w:rPr>
          <w:noProof/>
        </w:rPr>
        <w:t xml:space="preserve"> podstaw;</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 corocznego absolutorium udzielanego przez Parlament Europejski;</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 ewentualnych dochodzeń prowadzonych przez OLAF</w:t>
      </w:r>
      <w:r w:rsidR="003409C9" w:rsidRPr="003409C9">
        <w:rPr>
          <w:noProof/>
        </w:rPr>
        <w:t xml:space="preserve"> w cel</w:t>
      </w:r>
      <w:r w:rsidRPr="003409C9">
        <w:rPr>
          <w:noProof/>
        </w:rPr>
        <w:t>u zapewnienia,</w:t>
      </w:r>
      <w:r w:rsidR="003409C9" w:rsidRPr="003409C9">
        <w:rPr>
          <w:noProof/>
        </w:rPr>
        <w:t xml:space="preserve"> w szc</w:t>
      </w:r>
      <w:r w:rsidRPr="003409C9">
        <w:rPr>
          <w:noProof/>
        </w:rPr>
        <w:t>zególności, prawidłowego wykorzystania zasobów przydzielonych agencjom.</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DG HOME, jako partnerska dyrekcja generalna eu-LISA, wdroży swoją strategię kontroli agencji zdecentralizowanych</w:t>
      </w:r>
      <w:r w:rsidR="003409C9" w:rsidRPr="003409C9">
        <w:rPr>
          <w:noProof/>
        </w:rPr>
        <w:t xml:space="preserve"> w cel</w:t>
      </w:r>
      <w:r w:rsidRPr="003409C9">
        <w:rPr>
          <w:noProof/>
        </w:rPr>
        <w:t>u zapewnienia wiarygodnej sprawozdawczości</w:t>
      </w:r>
      <w:r w:rsidR="003409C9" w:rsidRPr="003409C9">
        <w:rPr>
          <w:noProof/>
        </w:rPr>
        <w:t xml:space="preserve"> w ram</w:t>
      </w:r>
      <w:r w:rsidRPr="003409C9">
        <w:rPr>
          <w:noProof/>
        </w:rPr>
        <w:t>ach swojego rocznego sprawozdania</w:t>
      </w:r>
      <w:r w:rsidR="003409C9" w:rsidRPr="003409C9">
        <w:rPr>
          <w:noProof/>
        </w:rPr>
        <w:t xml:space="preserve"> z dzi</w:t>
      </w:r>
      <w:r w:rsidRPr="003409C9">
        <w:rPr>
          <w:noProof/>
        </w:rPr>
        <w:t>ałalności. Agencje zdecentralizowane ponoszą pełną odpowiedzialność za realizację swojego budżetu, natomiast DG HOME ponosi odpowiedzialność za regularną wypłatę corocznych środków na finansowanie ich działalności, których wysokość określa władza budżetowa UE.</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Ponadto Europejski Rzecznik Praw Obywatelskich zapewnia dodatkową warstwę kontroli</w:t>
      </w:r>
      <w:r w:rsidR="003409C9" w:rsidRPr="003409C9">
        <w:rPr>
          <w:noProof/>
        </w:rPr>
        <w:t xml:space="preserve"> i roz</w:t>
      </w:r>
      <w:r w:rsidRPr="003409C9">
        <w:rPr>
          <w:noProof/>
        </w:rPr>
        <w:t>liczalności eu-LISA.</w:t>
      </w:r>
      <w:bookmarkEnd w:id="114"/>
    </w:p>
    <w:p w:rsidR="00CD7E2F" w:rsidRPr="00BB07AF" w:rsidRDefault="009475BC" w:rsidP="009475BC">
      <w:pPr>
        <w:pStyle w:val="ManualHeading3"/>
        <w:rPr>
          <w:bCs/>
          <w:noProof/>
          <w:szCs w:val="24"/>
        </w:rPr>
      </w:pPr>
      <w:bookmarkStart w:id="115" w:name="_Toc514938047"/>
      <w:bookmarkStart w:id="116" w:name="_Toc117796987"/>
      <w:r w:rsidRPr="00BB07AF">
        <w:rPr>
          <w:noProof/>
        </w:rPr>
        <w:t>2.2.2.</w:t>
      </w:r>
      <w:r w:rsidRPr="00BB07AF">
        <w:rPr>
          <w:noProof/>
        </w:rPr>
        <w:tab/>
        <w:t>Informacje dotyczące zidentyfikowanego ryzyka</w:t>
      </w:r>
      <w:r w:rsidR="003409C9" w:rsidRPr="00BB07AF">
        <w:rPr>
          <w:noProof/>
        </w:rPr>
        <w:t xml:space="preserve"> i sys</w:t>
      </w:r>
      <w:r w:rsidRPr="00BB07AF">
        <w:rPr>
          <w:noProof/>
        </w:rPr>
        <w:t>temów kontroli wewnętrznej ustanowionych</w:t>
      </w:r>
      <w:r w:rsidR="003409C9" w:rsidRPr="00BB07AF">
        <w:rPr>
          <w:noProof/>
        </w:rPr>
        <w:t xml:space="preserve"> w cel</w:t>
      </w:r>
      <w:r w:rsidRPr="00BB07AF">
        <w:rPr>
          <w:noProof/>
        </w:rPr>
        <w:t>u jego ograniczenia</w:t>
      </w:r>
      <w:bookmarkEnd w:id="115"/>
      <w:bookmarkEnd w:id="116"/>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bookmarkStart w:id="117" w:name="_Hlk118441378"/>
      <w:r w:rsidRPr="003409C9">
        <w:rPr>
          <w:noProof/>
        </w:rPr>
        <w:t xml:space="preserve">Na tym etapie nie zidentyfikowano żadnych szczególnych rodzajów ryzyka.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Jeżeli chodzi</w:t>
      </w:r>
      <w:r w:rsidR="003409C9" w:rsidRPr="003409C9">
        <w:rPr>
          <w:noProof/>
        </w:rPr>
        <w:t xml:space="preserve"> o czę</w:t>
      </w:r>
      <w:r w:rsidRPr="003409C9">
        <w:rPr>
          <w:noProof/>
        </w:rPr>
        <w:t>ść zarządzania realizowaną</w:t>
      </w:r>
      <w:r w:rsidR="003409C9" w:rsidRPr="003409C9">
        <w:rPr>
          <w:noProof/>
        </w:rPr>
        <w:t xml:space="preserve"> w ram</w:t>
      </w:r>
      <w:r w:rsidRPr="003409C9">
        <w:rPr>
          <w:noProof/>
        </w:rPr>
        <w:t>ach zarządzania dzielonego, ogólne ryzyko związane</w:t>
      </w:r>
      <w:r w:rsidR="003409C9" w:rsidRPr="003409C9">
        <w:rPr>
          <w:noProof/>
        </w:rPr>
        <w:t xml:space="preserve"> z rea</w:t>
      </w:r>
      <w:r w:rsidRPr="003409C9">
        <w:rPr>
          <w:noProof/>
        </w:rPr>
        <w:t>lizacją bieżących programów dotyczy niedostatecznego wykorzystania Funduszu/Instrumentu przez państwa członkowskie</w:t>
      </w:r>
      <w:r w:rsidR="003409C9" w:rsidRPr="003409C9">
        <w:rPr>
          <w:noProof/>
        </w:rPr>
        <w:t xml:space="preserve"> i ewe</w:t>
      </w:r>
      <w:r w:rsidRPr="003409C9">
        <w:rPr>
          <w:noProof/>
        </w:rPr>
        <w:t>ntualnych błędów wynikających ze złożonego charakteru przepisów</w:t>
      </w:r>
      <w:r w:rsidR="003409C9" w:rsidRPr="003409C9">
        <w:rPr>
          <w:noProof/>
        </w:rPr>
        <w:t xml:space="preserve"> i sła</w:t>
      </w:r>
      <w:r w:rsidRPr="003409C9">
        <w:rPr>
          <w:noProof/>
        </w:rPr>
        <w:t>bości systemów zarządzania</w:t>
      </w:r>
      <w:r w:rsidR="003409C9" w:rsidRPr="003409C9">
        <w:rPr>
          <w:noProof/>
        </w:rPr>
        <w:t xml:space="preserve"> i kon</w:t>
      </w:r>
      <w:r w:rsidRPr="003409C9">
        <w:rPr>
          <w:noProof/>
        </w:rPr>
        <w:t>troli. Projekt RWP upraszcza ramy regulacyjne, ujednolicając przepisy oraz systemy zarządzania</w:t>
      </w:r>
      <w:r w:rsidR="003409C9" w:rsidRPr="003409C9">
        <w:rPr>
          <w:noProof/>
        </w:rPr>
        <w:t xml:space="preserve"> i kon</w:t>
      </w:r>
      <w:r w:rsidRPr="003409C9">
        <w:rPr>
          <w:noProof/>
        </w:rPr>
        <w:t>troli</w:t>
      </w:r>
      <w:r w:rsidR="003409C9" w:rsidRPr="003409C9">
        <w:rPr>
          <w:noProof/>
        </w:rPr>
        <w:t xml:space="preserve"> w pos</w:t>
      </w:r>
      <w:r w:rsidRPr="003409C9">
        <w:rPr>
          <w:noProof/>
        </w:rPr>
        <w:t>zczególnych funduszach objętych zarządzaniem dzielonym. Projekt upraszcza także wymogi dotyczące kontroli (np. weryfikacje zarządcze oparte na analizie ryzyka, możliwość proporcjonalnych rozwiązań</w:t>
      </w:r>
      <w:r w:rsidR="003409C9" w:rsidRPr="003409C9">
        <w:rPr>
          <w:noProof/>
        </w:rPr>
        <w:t xml:space="preserve"> w zak</w:t>
      </w:r>
      <w:r w:rsidRPr="003409C9">
        <w:rPr>
          <w:noProof/>
        </w:rPr>
        <w:t>resie kontroli opartych na procedurach krajowych, ograniczenia prac audytowych pod względem czasu lub operacji szczególnych).</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W przypadku budżetu wykonywanego przez eu-LISA wymagane są specjalne ramy kontroli wewnętrznej oparte na ramach kontroli wewnętrznej Komisji Europejskiej. Jednolity dokument programowy musi zawierać informacje na temat systemów kontroli wewnętrznej, natomiast skonsolidowane roczne sprawozdanie</w:t>
      </w:r>
      <w:r w:rsidR="003409C9" w:rsidRPr="003409C9">
        <w:rPr>
          <w:noProof/>
        </w:rPr>
        <w:t xml:space="preserve"> z dzi</w:t>
      </w:r>
      <w:r w:rsidRPr="003409C9">
        <w:rPr>
          <w:noProof/>
        </w:rPr>
        <w:t>ałalności – informacje na temat wydajności</w:t>
      </w:r>
      <w:r w:rsidR="003409C9" w:rsidRPr="003409C9">
        <w:rPr>
          <w:noProof/>
        </w:rPr>
        <w:t xml:space="preserve"> i sku</w:t>
      </w:r>
      <w:r w:rsidRPr="003409C9">
        <w:rPr>
          <w:noProof/>
        </w:rPr>
        <w:t>teczności systemów kontroli wewnętrznej,</w:t>
      </w:r>
      <w:r w:rsidR="003409C9" w:rsidRPr="003409C9">
        <w:rPr>
          <w:noProof/>
        </w:rPr>
        <w:t xml:space="preserve"> w tym</w:t>
      </w:r>
      <w:r w:rsidRPr="003409C9">
        <w:rPr>
          <w:noProof/>
        </w:rPr>
        <w:t xml:space="preserve"> na temat oceny ryzyka</w:t>
      </w:r>
      <w:r w:rsidR="003409C9" w:rsidRPr="003409C9">
        <w:rPr>
          <w:noProof/>
        </w:rPr>
        <w:t>. W sko</w:t>
      </w:r>
      <w:r w:rsidRPr="003409C9">
        <w:rPr>
          <w:noProof/>
        </w:rPr>
        <w:t>nsolidowanym rocznym sprawozdaniu</w:t>
      </w:r>
      <w:r w:rsidR="003409C9" w:rsidRPr="003409C9">
        <w:rPr>
          <w:noProof/>
        </w:rPr>
        <w:t xml:space="preserve"> z dzi</w:t>
      </w:r>
      <w:r w:rsidRPr="003409C9">
        <w:rPr>
          <w:noProof/>
        </w:rPr>
        <w:t>ałalności za</w:t>
      </w:r>
      <w:r w:rsidR="003409C9" w:rsidRPr="003409C9">
        <w:rPr>
          <w:noProof/>
        </w:rPr>
        <w:t> </w:t>
      </w:r>
      <w:r w:rsidRPr="003409C9">
        <w:rPr>
          <w:noProof/>
        </w:rPr>
        <w:t>2021</w:t>
      </w:r>
      <w:r w:rsidR="003409C9" w:rsidRPr="003409C9">
        <w:rPr>
          <w:noProof/>
        </w:rPr>
        <w:t> </w:t>
      </w:r>
      <w:r w:rsidRPr="003409C9">
        <w:rPr>
          <w:noProof/>
        </w:rPr>
        <w:t>r. stwierdzono, że zarząd Agencji ma wystarczającą pewność co do tego, że – ogólnie rzecz biorąc – wdrożone zostały odpowiednie kontrole oraz że działają one</w:t>
      </w:r>
      <w:r w:rsidR="003409C9" w:rsidRPr="003409C9">
        <w:rPr>
          <w:noProof/>
        </w:rPr>
        <w:t xml:space="preserve"> w spo</w:t>
      </w:r>
      <w:r w:rsidRPr="003409C9">
        <w:rPr>
          <w:noProof/>
        </w:rPr>
        <w:t>sób zgodny</w:t>
      </w:r>
      <w:r w:rsidR="003409C9" w:rsidRPr="003409C9">
        <w:rPr>
          <w:noProof/>
        </w:rPr>
        <w:t xml:space="preserve"> z zał</w:t>
      </w:r>
      <w:r w:rsidRPr="003409C9">
        <w:rPr>
          <w:noProof/>
        </w:rPr>
        <w:t>ożeniami. Ponadto monitorowano</w:t>
      </w:r>
      <w:r w:rsidR="003409C9" w:rsidRPr="003409C9">
        <w:rPr>
          <w:noProof/>
        </w:rPr>
        <w:t xml:space="preserve"> i odp</w:t>
      </w:r>
      <w:r w:rsidRPr="003409C9">
        <w:rPr>
          <w:noProof/>
        </w:rPr>
        <w:t>owiednio ograniczano ryzyko,</w:t>
      </w:r>
      <w:r w:rsidR="003409C9" w:rsidRPr="003409C9">
        <w:rPr>
          <w:noProof/>
        </w:rPr>
        <w:t xml:space="preserve"> a w raz</w:t>
      </w:r>
      <w:r w:rsidRPr="003409C9">
        <w:rPr>
          <w:noProof/>
        </w:rPr>
        <w:t>ie potrzeby wprowadzano różne ulepszenia</w:t>
      </w:r>
      <w:r w:rsidR="003409C9" w:rsidRPr="003409C9">
        <w:rPr>
          <w:noProof/>
        </w:rPr>
        <w:t xml:space="preserve"> i wzm</w:t>
      </w:r>
      <w:r w:rsidRPr="003409C9">
        <w:rPr>
          <w:noProof/>
        </w:rPr>
        <w:t xml:space="preserve">ocnienia.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Inny poziom nadzoru wewnętrznego zapewnia również jednostka audytu wewnętrznego eu-LISA – dokonuje ona tego</w:t>
      </w:r>
      <w:r w:rsidR="003409C9" w:rsidRPr="003409C9">
        <w:rPr>
          <w:noProof/>
        </w:rPr>
        <w:t xml:space="preserve"> w opa</w:t>
      </w:r>
      <w:r w:rsidRPr="003409C9">
        <w:rPr>
          <w:noProof/>
        </w:rPr>
        <w:t>rciu</w:t>
      </w:r>
      <w:r w:rsidR="003409C9" w:rsidRPr="003409C9">
        <w:rPr>
          <w:noProof/>
        </w:rPr>
        <w:t xml:space="preserve"> o roc</w:t>
      </w:r>
      <w:r w:rsidRPr="003409C9">
        <w:rPr>
          <w:noProof/>
        </w:rPr>
        <w:t>zny plan audytu, uwzględniając</w:t>
      </w:r>
      <w:r w:rsidR="003409C9" w:rsidRPr="003409C9">
        <w:rPr>
          <w:noProof/>
        </w:rPr>
        <w:t xml:space="preserve"> w szc</w:t>
      </w:r>
      <w:r w:rsidRPr="003409C9">
        <w:rPr>
          <w:noProof/>
        </w:rPr>
        <w:t>zególności ocenę ryzyka w eu-LISA. Jednostka audytu wewnętrznego pomaga eu-LISA</w:t>
      </w:r>
      <w:r w:rsidR="003409C9" w:rsidRPr="003409C9">
        <w:rPr>
          <w:noProof/>
        </w:rPr>
        <w:t xml:space="preserve"> w osi</w:t>
      </w:r>
      <w:r w:rsidRPr="003409C9">
        <w:rPr>
          <w:noProof/>
        </w:rPr>
        <w:t>ąganiu jej celów, zapewniając systematyczne</w:t>
      </w:r>
      <w:r w:rsidR="003409C9" w:rsidRPr="003409C9">
        <w:rPr>
          <w:noProof/>
        </w:rPr>
        <w:t xml:space="preserve"> i zdy</w:t>
      </w:r>
      <w:r w:rsidRPr="003409C9">
        <w:rPr>
          <w:noProof/>
        </w:rPr>
        <w:t>scyplinowane podejście do oceny skuteczności procedur zarządzania ryzykiem, kontroli oraz zarządzania, wydając zalecenia dotyczące usprawnienia funkcjonowania tych obszarów.</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Ponadto Europejski Inspektor Ochrony Danych</w:t>
      </w:r>
      <w:r w:rsidR="003409C9" w:rsidRPr="003409C9">
        <w:rPr>
          <w:noProof/>
        </w:rPr>
        <w:t xml:space="preserve"> i ins</w:t>
      </w:r>
      <w:r w:rsidRPr="003409C9">
        <w:rPr>
          <w:noProof/>
        </w:rPr>
        <w:t>pektor ochrony danych eu-LISA (niezależna funkcja przypisana bezpośrednio do sekretariatu zarządu) nadzorują przetwarzanie danych osobowych przez eu-LISA.</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Co więcej, DG HOME, jako partnerska dyrekcja generalna eu-LISA, przeprowadza coroczne działania</w:t>
      </w:r>
      <w:r w:rsidR="003409C9" w:rsidRPr="003409C9">
        <w:rPr>
          <w:noProof/>
        </w:rPr>
        <w:t xml:space="preserve"> w zak</w:t>
      </w:r>
      <w:r w:rsidRPr="003409C9">
        <w:rPr>
          <w:noProof/>
        </w:rPr>
        <w:t>resie zarządzania ryzykiem, aby zidentyfikować</w:t>
      </w:r>
      <w:r w:rsidR="003409C9" w:rsidRPr="003409C9">
        <w:rPr>
          <w:noProof/>
        </w:rPr>
        <w:t xml:space="preserve"> i oce</w:t>
      </w:r>
      <w:r w:rsidRPr="003409C9">
        <w:rPr>
          <w:noProof/>
        </w:rPr>
        <w:t>nić potencjalne czynniki wysokiego ryzyka związane</w:t>
      </w:r>
      <w:r w:rsidR="003409C9" w:rsidRPr="003409C9">
        <w:rPr>
          <w:noProof/>
        </w:rPr>
        <w:t xml:space="preserve"> z fun</w:t>
      </w:r>
      <w:r w:rsidRPr="003409C9">
        <w:rPr>
          <w:noProof/>
        </w:rPr>
        <w:t>kcjonowaniem agencji,</w:t>
      </w:r>
      <w:r w:rsidR="003409C9" w:rsidRPr="003409C9">
        <w:rPr>
          <w:noProof/>
        </w:rPr>
        <w:t xml:space="preserve"> w tym</w:t>
      </w:r>
      <w:r w:rsidRPr="003409C9">
        <w:rPr>
          <w:noProof/>
        </w:rPr>
        <w:t xml:space="preserve"> eu-LISA. Czynniki ryzyka</w:t>
      </w:r>
      <w:r w:rsidR="003409C9" w:rsidRPr="003409C9">
        <w:rPr>
          <w:noProof/>
        </w:rPr>
        <w:t xml:space="preserve"> o zna</w:t>
      </w:r>
      <w:r w:rsidRPr="003409C9">
        <w:rPr>
          <w:noProof/>
        </w:rPr>
        <w:t>czeniu krytycznym są zgłaszane corocznie</w:t>
      </w:r>
      <w:r w:rsidR="003409C9" w:rsidRPr="003409C9">
        <w:rPr>
          <w:noProof/>
        </w:rPr>
        <w:t xml:space="preserve"> w pla</w:t>
      </w:r>
      <w:r w:rsidRPr="003409C9">
        <w:rPr>
          <w:noProof/>
        </w:rPr>
        <w:t>nie zarządzania DG HOME</w:t>
      </w:r>
      <w:r w:rsidR="003409C9" w:rsidRPr="003409C9">
        <w:rPr>
          <w:noProof/>
        </w:rPr>
        <w:t xml:space="preserve"> i tow</w:t>
      </w:r>
      <w:r w:rsidRPr="003409C9">
        <w:rPr>
          <w:noProof/>
        </w:rPr>
        <w:t>arzyszy im plan działania,</w:t>
      </w:r>
      <w:r w:rsidR="003409C9" w:rsidRPr="003409C9">
        <w:rPr>
          <w:noProof/>
        </w:rPr>
        <w:t xml:space="preserve"> w któ</w:t>
      </w:r>
      <w:r w:rsidRPr="003409C9">
        <w:rPr>
          <w:noProof/>
        </w:rPr>
        <w:t>rym określane są działania ograniczające ryzyko związane</w:t>
      </w:r>
      <w:r w:rsidR="003409C9" w:rsidRPr="003409C9">
        <w:rPr>
          <w:noProof/>
        </w:rPr>
        <w:t xml:space="preserve"> z pla</w:t>
      </w:r>
      <w:r w:rsidRPr="003409C9">
        <w:rPr>
          <w:noProof/>
        </w:rPr>
        <w:t>nowanymi działaniami.</w:t>
      </w:r>
      <w:bookmarkEnd w:id="117"/>
    </w:p>
    <w:p w:rsidR="00CD7E2F" w:rsidRPr="00BB07AF" w:rsidRDefault="009475BC" w:rsidP="009475BC">
      <w:pPr>
        <w:pStyle w:val="ManualHeading3"/>
        <w:rPr>
          <w:noProof/>
        </w:rPr>
      </w:pPr>
      <w:bookmarkStart w:id="118" w:name="_Toc514938048"/>
      <w:bookmarkStart w:id="119" w:name="_Toc117796988"/>
      <w:r w:rsidRPr="00BB07AF">
        <w:rPr>
          <w:noProof/>
        </w:rPr>
        <w:t>2.2.3.</w:t>
      </w:r>
      <w:r w:rsidRPr="00BB07AF">
        <w:rPr>
          <w:noProof/>
        </w:rPr>
        <w:tab/>
        <w:t>Oszacowanie</w:t>
      </w:r>
      <w:r w:rsidR="003409C9" w:rsidRPr="00BB07AF">
        <w:rPr>
          <w:noProof/>
        </w:rPr>
        <w:t xml:space="preserve"> i uza</w:t>
      </w:r>
      <w:r w:rsidRPr="00BB07AF">
        <w:rPr>
          <w:noProof/>
        </w:rPr>
        <w:t>sadnienie efektywności kosztowej kontroli (relacja kosztów kontroli do wartości zarządzanych funduszy powiązanych) oraz ocena prawdopodobnego ryzyka błędu (przy płatności</w:t>
      </w:r>
      <w:r w:rsidR="003409C9" w:rsidRPr="00BB07AF">
        <w:rPr>
          <w:noProof/>
        </w:rPr>
        <w:t xml:space="preserve"> i prz</w:t>
      </w:r>
      <w:r w:rsidRPr="00BB07AF">
        <w:rPr>
          <w:noProof/>
        </w:rPr>
        <w:t>y zamykaniu)</w:t>
      </w:r>
      <w:bookmarkEnd w:id="118"/>
      <w:bookmarkEnd w:id="119"/>
      <w:r w:rsidRPr="00BB07AF">
        <w:rPr>
          <w:noProof/>
        </w:rPr>
        <w:t xml:space="preserve">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bookmarkStart w:id="120" w:name="_Hlk118441389"/>
      <w:r w:rsidRPr="003409C9">
        <w:rPr>
          <w:noProof/>
        </w:rPr>
        <w:t>Jeżeli chodzi</w:t>
      </w:r>
      <w:r w:rsidR="003409C9" w:rsidRPr="003409C9">
        <w:rPr>
          <w:noProof/>
        </w:rPr>
        <w:t xml:space="preserve"> o czę</w:t>
      </w:r>
      <w:r w:rsidRPr="003409C9">
        <w:rPr>
          <w:noProof/>
        </w:rPr>
        <w:t>ść zarządzania realizowaną</w:t>
      </w:r>
      <w:r w:rsidR="003409C9" w:rsidRPr="003409C9">
        <w:rPr>
          <w:noProof/>
        </w:rPr>
        <w:t xml:space="preserve"> w ram</w:t>
      </w:r>
      <w:r w:rsidRPr="003409C9">
        <w:rPr>
          <w:noProof/>
        </w:rPr>
        <w:t>ach zarządzania dzielonego, przewiduje się, że koszty kontroli ponoszone przez państwa członkowskie nie ulegną zmianie lub potencjalnie zostaną zmniejszone.</w:t>
      </w:r>
      <w:r w:rsidR="003B5A1D" w:rsidRPr="003409C9">
        <w:rPr>
          <w:noProof/>
        </w:rPr>
        <w:t xml:space="preserve">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Nastąpi wzrost wydajności</w:t>
      </w:r>
      <w:r w:rsidR="003409C9" w:rsidRPr="003409C9">
        <w:rPr>
          <w:noProof/>
        </w:rPr>
        <w:t xml:space="preserve"> w tra</w:t>
      </w:r>
      <w:r w:rsidRPr="003409C9">
        <w:rPr>
          <w:noProof/>
        </w:rPr>
        <w:t>kcie realizacji programów Funduszy</w:t>
      </w:r>
      <w:r w:rsidR="003409C9" w:rsidRPr="003409C9">
        <w:rPr>
          <w:noProof/>
        </w:rPr>
        <w:t xml:space="preserve"> w Obs</w:t>
      </w:r>
      <w:r w:rsidRPr="003409C9">
        <w:rPr>
          <w:noProof/>
        </w:rPr>
        <w:t xml:space="preserve">zarze Spraw Wewnętrznych na lata 2021–2027 oraz zwiększenie płatności na rzecz państw członkowskich.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Przy opartym na analizie ryzyka podejściu do zarządzania</w:t>
      </w:r>
      <w:r w:rsidR="003409C9" w:rsidRPr="003409C9">
        <w:rPr>
          <w:noProof/>
        </w:rPr>
        <w:t xml:space="preserve"> i kon</w:t>
      </w:r>
      <w:r w:rsidRPr="003409C9">
        <w:rPr>
          <w:noProof/>
        </w:rPr>
        <w:t>troli, przewidzianym</w:t>
      </w:r>
      <w:r w:rsidR="003409C9" w:rsidRPr="003409C9">
        <w:rPr>
          <w:noProof/>
        </w:rPr>
        <w:t xml:space="preserve"> w obo</w:t>
      </w:r>
      <w:r w:rsidRPr="003409C9">
        <w:rPr>
          <w:noProof/>
        </w:rPr>
        <w:t>wiązującym RWP odnośnie do Funduszy</w:t>
      </w:r>
      <w:r w:rsidR="003409C9" w:rsidRPr="003409C9">
        <w:rPr>
          <w:noProof/>
        </w:rPr>
        <w:t xml:space="preserve"> w Obs</w:t>
      </w:r>
      <w:r w:rsidRPr="003409C9">
        <w:rPr>
          <w:noProof/>
        </w:rPr>
        <w:t>zarze Spraw Wewnętrznych,</w:t>
      </w:r>
      <w:r w:rsidR="003409C9" w:rsidRPr="003409C9">
        <w:rPr>
          <w:noProof/>
        </w:rPr>
        <w:t xml:space="preserve"> w poł</w:t>
      </w:r>
      <w:r w:rsidRPr="003409C9">
        <w:rPr>
          <w:noProof/>
        </w:rPr>
        <w:t>ączeniu</w:t>
      </w:r>
      <w:r w:rsidR="003409C9" w:rsidRPr="003409C9">
        <w:rPr>
          <w:noProof/>
        </w:rPr>
        <w:t xml:space="preserve"> z wię</w:t>
      </w:r>
      <w:r w:rsidRPr="003409C9">
        <w:rPr>
          <w:noProof/>
        </w:rPr>
        <w:t>kszą motywacją do przyjęcia uproszczonych metod rozliczania kosztów, zakłada się dalsze obniżenie kosztu kontroli po stronie państw członkowskich.</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Komisja przedstawia sprawozdania dotyczące stosunku „kosztów kontroli do wartości zarządzanych funduszy powiązanych”</w:t>
      </w:r>
      <w:r w:rsidR="003409C9" w:rsidRPr="003409C9">
        <w:rPr>
          <w:noProof/>
        </w:rPr>
        <w:t xml:space="preserve"> w odn</w:t>
      </w:r>
      <w:r w:rsidRPr="003409C9">
        <w:rPr>
          <w:noProof/>
        </w:rPr>
        <w:t>iesieniu do eu-LISA</w:t>
      </w:r>
      <w:r w:rsidR="003409C9" w:rsidRPr="003409C9">
        <w:rPr>
          <w:noProof/>
        </w:rPr>
        <w:t>. W roc</w:t>
      </w:r>
      <w:r w:rsidRPr="003409C9">
        <w:rPr>
          <w:noProof/>
        </w:rPr>
        <w:t>znym sprawozdaniu</w:t>
      </w:r>
      <w:r w:rsidR="003409C9" w:rsidRPr="003409C9">
        <w:rPr>
          <w:noProof/>
        </w:rPr>
        <w:t xml:space="preserve"> z dzi</w:t>
      </w:r>
      <w:r w:rsidRPr="003409C9">
        <w:rPr>
          <w:noProof/>
        </w:rPr>
        <w:t>ałalności DG HOME za</w:t>
      </w:r>
      <w:r w:rsidR="003409C9" w:rsidRPr="003409C9">
        <w:rPr>
          <w:noProof/>
        </w:rPr>
        <w:t> </w:t>
      </w:r>
      <w:r w:rsidRPr="003409C9">
        <w:rPr>
          <w:noProof/>
        </w:rPr>
        <w:t>2021</w:t>
      </w:r>
      <w:r w:rsidR="003409C9" w:rsidRPr="003409C9">
        <w:rPr>
          <w:noProof/>
        </w:rPr>
        <w:t> </w:t>
      </w:r>
      <w:r w:rsidRPr="003409C9">
        <w:rPr>
          <w:noProof/>
        </w:rPr>
        <w:t>r. współczynnik ten wynosi 0,08</w:t>
      </w:r>
      <w:r w:rsidR="003409C9" w:rsidRPr="003409C9">
        <w:rPr>
          <w:noProof/>
        </w:rPr>
        <w:t> </w:t>
      </w:r>
      <w:r w:rsidRPr="003409C9">
        <w:rPr>
          <w:noProof/>
        </w:rPr>
        <w:t>%</w:t>
      </w:r>
      <w:r w:rsidR="003409C9" w:rsidRPr="003409C9">
        <w:rPr>
          <w:noProof/>
        </w:rPr>
        <w:t xml:space="preserve"> w odn</w:t>
      </w:r>
      <w:r w:rsidRPr="003409C9">
        <w:rPr>
          <w:noProof/>
        </w:rPr>
        <w:t>iesieniu do podmiotów, którym powierzono zarządzanie pośrednie,</w:t>
      </w:r>
      <w:r w:rsidR="003409C9" w:rsidRPr="003409C9">
        <w:rPr>
          <w:noProof/>
        </w:rPr>
        <w:t xml:space="preserve"> i age</w:t>
      </w:r>
      <w:r w:rsidRPr="003409C9">
        <w:rPr>
          <w:noProof/>
        </w:rPr>
        <w:t>ncji zdecentralizowanych,</w:t>
      </w:r>
      <w:r w:rsidR="003409C9" w:rsidRPr="003409C9">
        <w:rPr>
          <w:noProof/>
        </w:rPr>
        <w:t xml:space="preserve"> w tym</w:t>
      </w:r>
      <w:r w:rsidRPr="003409C9">
        <w:rPr>
          <w:noProof/>
        </w:rPr>
        <w:t xml:space="preserve"> eu-LISA.</w:t>
      </w:r>
      <w:bookmarkEnd w:id="120"/>
      <w:r w:rsidRPr="003409C9">
        <w:rPr>
          <w:noProof/>
        </w:rPr>
        <w:t xml:space="preserve"> </w:t>
      </w:r>
    </w:p>
    <w:p w:rsidR="00AC55F8" w:rsidRPr="00BB07AF" w:rsidRDefault="009475BC" w:rsidP="009475BC">
      <w:pPr>
        <w:pStyle w:val="ManualHeading2"/>
        <w:rPr>
          <w:bCs/>
          <w:noProof/>
          <w:szCs w:val="24"/>
        </w:rPr>
      </w:pPr>
      <w:bookmarkStart w:id="121" w:name="_Toc520485048"/>
      <w:r w:rsidRPr="00BB07AF">
        <w:rPr>
          <w:noProof/>
        </w:rPr>
        <w:t>2.3.</w:t>
      </w:r>
      <w:r w:rsidRPr="00BB07AF">
        <w:rPr>
          <w:noProof/>
        </w:rPr>
        <w:tab/>
        <w:t>Środki zapobiegania nadużyciom finansowym</w:t>
      </w:r>
      <w:r w:rsidR="003409C9" w:rsidRPr="00BB07AF">
        <w:rPr>
          <w:noProof/>
        </w:rPr>
        <w:t xml:space="preserve"> i nie</w:t>
      </w:r>
      <w:r w:rsidRPr="00BB07AF">
        <w:rPr>
          <w:noProof/>
        </w:rPr>
        <w:t>prawidłowościom</w:t>
      </w:r>
      <w:bookmarkEnd w:id="121"/>
      <w:r w:rsidRPr="00BB07AF">
        <w:rPr>
          <w:noProof/>
        </w:rPr>
        <w:t xml:space="preserve"> </w:t>
      </w:r>
    </w:p>
    <w:p w:rsidR="00CD7E2F" w:rsidRPr="00BB07AF" w:rsidRDefault="00CD7E2F" w:rsidP="009B05A0">
      <w:pPr>
        <w:pStyle w:val="Text11"/>
        <w:rPr>
          <w:i/>
          <w:noProof/>
          <w:sz w:val="20"/>
        </w:rPr>
      </w:pPr>
      <w:r w:rsidRPr="00BB07AF">
        <w:rPr>
          <w:i/>
          <w:noProof/>
          <w:sz w:val="20"/>
        </w:rPr>
        <w:t>Określić istniejące lub przewidywane środki zapobiegania</w:t>
      </w:r>
      <w:r w:rsidR="003409C9" w:rsidRPr="00BB07AF">
        <w:rPr>
          <w:i/>
          <w:noProof/>
          <w:sz w:val="20"/>
        </w:rPr>
        <w:t xml:space="preserve"> i och</w:t>
      </w:r>
      <w:r w:rsidRPr="00BB07AF">
        <w:rPr>
          <w:i/>
          <w:noProof/>
          <w:sz w:val="20"/>
        </w:rPr>
        <w:t>rony, np. ze strategii zwalczania nadużyć finansowych.</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bookmarkStart w:id="122" w:name="_Hlk118441429"/>
      <w:r w:rsidRPr="003409C9">
        <w:rPr>
          <w:noProof/>
        </w:rPr>
        <w:t>DG HOME będzie</w:t>
      </w:r>
      <w:r w:rsidR="003409C9" w:rsidRPr="003409C9">
        <w:rPr>
          <w:noProof/>
        </w:rPr>
        <w:t xml:space="preserve"> w dal</w:t>
      </w:r>
      <w:r w:rsidRPr="003409C9">
        <w:rPr>
          <w:noProof/>
        </w:rPr>
        <w:t>szym ciągu stosować swoją strategię zwalczania nadużyć finansowych zgodnie ze strategią Komisji</w:t>
      </w:r>
      <w:r w:rsidR="003409C9" w:rsidRPr="003409C9">
        <w:rPr>
          <w:noProof/>
        </w:rPr>
        <w:t xml:space="preserve"> w tym</w:t>
      </w:r>
      <w:r w:rsidRPr="003409C9">
        <w:rPr>
          <w:noProof/>
        </w:rPr>
        <w:t xml:space="preserve"> zakresie (CAFS)</w:t>
      </w:r>
      <w:r w:rsidR="003409C9" w:rsidRPr="003409C9">
        <w:rPr>
          <w:noProof/>
        </w:rPr>
        <w:t xml:space="preserve"> w cel</w:t>
      </w:r>
      <w:r w:rsidRPr="003409C9">
        <w:rPr>
          <w:noProof/>
        </w:rPr>
        <w:t>u zapewnienia m.in., by jej wewnętrzne kontrole związane ze zwalczaniem nadużyć były</w:t>
      </w:r>
      <w:r w:rsidR="003409C9" w:rsidRPr="003409C9">
        <w:rPr>
          <w:noProof/>
        </w:rPr>
        <w:t xml:space="preserve"> w peł</w:t>
      </w:r>
      <w:r w:rsidRPr="003409C9">
        <w:rPr>
          <w:noProof/>
        </w:rPr>
        <w:t>ni zgodne z CAFS oraz by jej podejście</w:t>
      </w:r>
      <w:r w:rsidR="003409C9" w:rsidRPr="003409C9">
        <w:rPr>
          <w:noProof/>
        </w:rPr>
        <w:t xml:space="preserve"> w kwe</w:t>
      </w:r>
      <w:r w:rsidRPr="003409C9">
        <w:rPr>
          <w:noProof/>
        </w:rPr>
        <w:t xml:space="preserve">stii zarządzania ryzykiem nadużyć było nastawione na wykrywanie obszarów obciążonych takim ryzykiem oraz na podejmowanie odpowiednich działań.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W odniesieniu do zarządzania dzielonego państwa członkowskie zapewniają legalność</w:t>
      </w:r>
      <w:r w:rsidR="003409C9" w:rsidRPr="003409C9">
        <w:rPr>
          <w:noProof/>
        </w:rPr>
        <w:t xml:space="preserve"> i pra</w:t>
      </w:r>
      <w:r w:rsidRPr="003409C9">
        <w:rPr>
          <w:noProof/>
        </w:rPr>
        <w:t>widłowość wydatków ujętych</w:t>
      </w:r>
      <w:r w:rsidR="003409C9" w:rsidRPr="003409C9">
        <w:rPr>
          <w:noProof/>
        </w:rPr>
        <w:t xml:space="preserve"> w zes</w:t>
      </w:r>
      <w:r w:rsidRPr="003409C9">
        <w:rPr>
          <w:noProof/>
        </w:rPr>
        <w:t>tawieniu wydatków przedkładanych Komisji</w:t>
      </w:r>
      <w:r w:rsidR="003409C9" w:rsidRPr="003409C9">
        <w:rPr>
          <w:noProof/>
        </w:rPr>
        <w:t>. W tym</w:t>
      </w:r>
      <w:r w:rsidRPr="003409C9">
        <w:rPr>
          <w:noProof/>
        </w:rPr>
        <w:t xml:space="preserve"> kontekście państwa członkowskie podejmują wszystkie niezbędne działania mające na celu zapobieganie nieprawidłowościom oraz ich wykrywanie</w:t>
      </w:r>
      <w:r w:rsidR="003409C9" w:rsidRPr="003409C9">
        <w:rPr>
          <w:noProof/>
        </w:rPr>
        <w:t xml:space="preserve"> i kor</w:t>
      </w:r>
      <w:r w:rsidRPr="003409C9">
        <w:rPr>
          <w:noProof/>
        </w:rPr>
        <w:t>ygowanie. Podobnie jak</w:t>
      </w:r>
      <w:r w:rsidR="003409C9" w:rsidRPr="003409C9">
        <w:rPr>
          <w:noProof/>
        </w:rPr>
        <w:t xml:space="preserve"> w pop</w:t>
      </w:r>
      <w:r w:rsidRPr="003409C9">
        <w:rPr>
          <w:noProof/>
        </w:rPr>
        <w:t>rzednim okresie programowania (2014–2020) również</w:t>
      </w:r>
      <w:r w:rsidR="003409C9" w:rsidRPr="003409C9">
        <w:rPr>
          <w:noProof/>
        </w:rPr>
        <w:t xml:space="preserve"> w lat</w:t>
      </w:r>
      <w:r w:rsidRPr="003409C9">
        <w:rPr>
          <w:noProof/>
        </w:rPr>
        <w:t>ach 2021–2027 państwa członkowskie są zobowiązane wprowadzić procedury wykrywania nieprawidłowości</w:t>
      </w:r>
      <w:r w:rsidR="003409C9" w:rsidRPr="003409C9">
        <w:rPr>
          <w:noProof/>
        </w:rPr>
        <w:t xml:space="preserve"> i nad</w:t>
      </w:r>
      <w:r w:rsidRPr="003409C9">
        <w:rPr>
          <w:noProof/>
        </w:rPr>
        <w:t>użyć finansowych</w:t>
      </w:r>
      <w:r w:rsidR="003409C9" w:rsidRPr="003409C9">
        <w:rPr>
          <w:noProof/>
        </w:rPr>
        <w:t xml:space="preserve"> w zwi</w:t>
      </w:r>
      <w:r w:rsidRPr="003409C9">
        <w:rPr>
          <w:noProof/>
        </w:rPr>
        <w:t>ązku</w:t>
      </w:r>
      <w:r w:rsidR="003409C9" w:rsidRPr="003409C9">
        <w:rPr>
          <w:noProof/>
        </w:rPr>
        <w:t xml:space="preserve"> z roz</w:t>
      </w:r>
      <w:r w:rsidRPr="003409C9">
        <w:rPr>
          <w:noProof/>
        </w:rPr>
        <w:t>porządzeniem delegowanym Komisji</w:t>
      </w:r>
      <w:r w:rsidR="003409C9" w:rsidRPr="003409C9">
        <w:rPr>
          <w:noProof/>
        </w:rPr>
        <w:t xml:space="preserve"> w spr</w:t>
      </w:r>
      <w:r w:rsidRPr="003409C9">
        <w:rPr>
          <w:noProof/>
        </w:rPr>
        <w:t>awie zgłaszania nieprawidłowości. Środki zwalczania nadużyć finansowych pozostaną nadrzędną zasadą</w:t>
      </w:r>
      <w:r w:rsidR="003409C9" w:rsidRPr="003409C9">
        <w:rPr>
          <w:noProof/>
        </w:rPr>
        <w:t xml:space="preserve"> i obo</w:t>
      </w:r>
      <w:r w:rsidRPr="003409C9">
        <w:rPr>
          <w:noProof/>
        </w:rPr>
        <w:t>wiązkiem państw członkowskich.</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W kwestii zarządzania pośredniego środki związane ze zwalczaniem nadużyć finansowych, korupcji</w:t>
      </w:r>
      <w:r w:rsidR="003409C9" w:rsidRPr="003409C9">
        <w:rPr>
          <w:noProof/>
        </w:rPr>
        <w:t xml:space="preserve"> i inn</w:t>
      </w:r>
      <w:r w:rsidRPr="003409C9">
        <w:rPr>
          <w:noProof/>
        </w:rPr>
        <w:t>ych bezprawnych działań określono m.in.</w:t>
      </w:r>
      <w:r w:rsidR="003409C9" w:rsidRPr="003409C9">
        <w:rPr>
          <w:noProof/>
        </w:rPr>
        <w:t xml:space="preserve"> w art</w:t>
      </w:r>
      <w:r w:rsidRPr="003409C9">
        <w:rPr>
          <w:noProof/>
        </w:rPr>
        <w:t>.</w:t>
      </w:r>
      <w:r w:rsidR="003409C9" w:rsidRPr="003409C9">
        <w:rPr>
          <w:noProof/>
        </w:rPr>
        <w:t> </w:t>
      </w:r>
      <w:r w:rsidRPr="003409C9">
        <w:rPr>
          <w:noProof/>
        </w:rPr>
        <w:t>50 rozporządzenia</w:t>
      </w:r>
      <w:r w:rsidR="003409C9" w:rsidRPr="003409C9">
        <w:rPr>
          <w:noProof/>
        </w:rPr>
        <w:t xml:space="preserve"> w spr</w:t>
      </w:r>
      <w:r w:rsidRPr="003409C9">
        <w:rPr>
          <w:noProof/>
        </w:rPr>
        <w:t>awie eu-LISA oraz</w:t>
      </w:r>
      <w:r w:rsidR="003409C9" w:rsidRPr="003409C9">
        <w:rPr>
          <w:noProof/>
        </w:rPr>
        <w:t xml:space="preserve"> w tyt</w:t>
      </w:r>
      <w:r w:rsidRPr="003409C9">
        <w:rPr>
          <w:noProof/>
        </w:rPr>
        <w:t>ule X regulaminu finansowego eu-LISA.</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Agencja</w:t>
      </w:r>
      <w:r w:rsidR="003409C9" w:rsidRPr="003409C9">
        <w:rPr>
          <w:noProof/>
        </w:rPr>
        <w:t xml:space="preserve"> w szc</w:t>
      </w:r>
      <w:r w:rsidRPr="003409C9">
        <w:rPr>
          <w:noProof/>
        </w:rPr>
        <w:t>zególności uczestniczy</w:t>
      </w:r>
      <w:r w:rsidR="003409C9" w:rsidRPr="003409C9">
        <w:rPr>
          <w:noProof/>
        </w:rPr>
        <w:t xml:space="preserve"> w dzi</w:t>
      </w:r>
      <w:r w:rsidRPr="003409C9">
        <w:rPr>
          <w:noProof/>
        </w:rPr>
        <w:t>ałaniach na rzecz zapobiegania nadużyciom finansowym, prowadzonych przez Europejski Urząd ds. Zwalczania Nadużyć Finansowych,</w:t>
      </w:r>
      <w:r w:rsidR="003409C9" w:rsidRPr="003409C9">
        <w:rPr>
          <w:noProof/>
        </w:rPr>
        <w:t xml:space="preserve"> i nie</w:t>
      </w:r>
      <w:r w:rsidRPr="003409C9">
        <w:rPr>
          <w:noProof/>
        </w:rPr>
        <w:t>zwłocznie informuje Komisję</w:t>
      </w:r>
      <w:r w:rsidR="003409C9" w:rsidRPr="003409C9">
        <w:rPr>
          <w:noProof/>
        </w:rPr>
        <w:t xml:space="preserve"> o prz</w:t>
      </w:r>
      <w:r w:rsidRPr="003409C9">
        <w:rPr>
          <w:noProof/>
        </w:rPr>
        <w:t>ypadkach podejrzenia wystąpienia nadużyć finansowych</w:t>
      </w:r>
      <w:r w:rsidR="003409C9" w:rsidRPr="003409C9">
        <w:rPr>
          <w:noProof/>
        </w:rPr>
        <w:t xml:space="preserve"> i inn</w:t>
      </w:r>
      <w:r w:rsidRPr="003409C9">
        <w:rPr>
          <w:noProof/>
        </w:rPr>
        <w:t>ych nieprawidłowości finansowych – zgodnie ze swoją wewnętrzną strategią zwalczania nadużyć finansowych, zmienioną</w:t>
      </w:r>
      <w:r w:rsidR="003409C9" w:rsidRPr="003409C9">
        <w:rPr>
          <w:noProof/>
        </w:rPr>
        <w:t xml:space="preserve"> i prz</w:t>
      </w:r>
      <w:r w:rsidRPr="003409C9">
        <w:rPr>
          <w:noProof/>
        </w:rPr>
        <w:t>yjętą</w:t>
      </w:r>
      <w:r w:rsidR="003409C9" w:rsidRPr="003409C9">
        <w:rPr>
          <w:noProof/>
        </w:rPr>
        <w:t xml:space="preserve"> w sie</w:t>
      </w:r>
      <w:r w:rsidRPr="003409C9">
        <w:rPr>
          <w:noProof/>
        </w:rPr>
        <w:t>rpniu 2022</w:t>
      </w:r>
      <w:r w:rsidR="003409C9" w:rsidRPr="003409C9">
        <w:rPr>
          <w:noProof/>
        </w:rPr>
        <w:t> </w:t>
      </w:r>
      <w:r w:rsidRPr="003409C9">
        <w:rPr>
          <w:noProof/>
        </w:rPr>
        <w:t>r. na lata 2022–2024.</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Co więcej, DG HOME, jako partnerska dyrekcja generalna, przyjęła</w:t>
      </w:r>
      <w:r w:rsidR="003409C9" w:rsidRPr="003409C9">
        <w:rPr>
          <w:noProof/>
        </w:rPr>
        <w:t xml:space="preserve"> w paź</w:t>
      </w:r>
      <w:r w:rsidRPr="003409C9">
        <w:rPr>
          <w:noProof/>
        </w:rPr>
        <w:t>dzierniku 2021</w:t>
      </w:r>
      <w:r w:rsidR="003409C9" w:rsidRPr="003409C9">
        <w:rPr>
          <w:noProof/>
        </w:rPr>
        <w:t> </w:t>
      </w:r>
      <w:r w:rsidRPr="003409C9">
        <w:rPr>
          <w:noProof/>
        </w:rPr>
        <w:t>r. nową strategię zwalczania nadużyć finansowych wraz</w:t>
      </w:r>
      <w:r w:rsidR="003409C9" w:rsidRPr="003409C9">
        <w:rPr>
          <w:noProof/>
        </w:rPr>
        <w:t xml:space="preserve"> z tow</w:t>
      </w:r>
      <w:r w:rsidRPr="003409C9">
        <w:rPr>
          <w:noProof/>
        </w:rPr>
        <w:t>arzyszącym jej planem działania, które przyczyniają się do dalszego wzmacniania zdolności tej dyrekcji</w:t>
      </w:r>
      <w:r w:rsidR="003409C9" w:rsidRPr="003409C9">
        <w:rPr>
          <w:noProof/>
        </w:rPr>
        <w:t xml:space="preserve"> w zak</w:t>
      </w:r>
      <w:r w:rsidRPr="003409C9">
        <w:rPr>
          <w:noProof/>
        </w:rPr>
        <w:t>resie zwalczania nadużyć finansowych oraz dostosowywania ich do stale zmieniającego się otoczenia. Strategia ta uwzględnia nowe elementy wprowadzone</w:t>
      </w:r>
      <w:r w:rsidR="003409C9" w:rsidRPr="003409C9">
        <w:rPr>
          <w:noProof/>
        </w:rPr>
        <w:t xml:space="preserve"> w str</w:t>
      </w:r>
      <w:r w:rsidRPr="003409C9">
        <w:rPr>
          <w:noProof/>
        </w:rPr>
        <w:t>ategii Komisji</w:t>
      </w:r>
      <w:r w:rsidR="003409C9" w:rsidRPr="003409C9">
        <w:rPr>
          <w:noProof/>
        </w:rPr>
        <w:t xml:space="preserve"> w zak</w:t>
      </w:r>
      <w:r w:rsidRPr="003409C9">
        <w:rPr>
          <w:noProof/>
        </w:rPr>
        <w:t>resie zwalczania nadużyć finansowych</w:t>
      </w:r>
      <w:r w:rsidR="003409C9" w:rsidRPr="003409C9">
        <w:rPr>
          <w:noProof/>
        </w:rPr>
        <w:t xml:space="preserve"> z 2</w:t>
      </w:r>
      <w:r w:rsidRPr="003409C9">
        <w:rPr>
          <w:noProof/>
        </w:rPr>
        <w:t>019</w:t>
      </w:r>
      <w:r w:rsidR="003409C9" w:rsidRPr="003409C9">
        <w:rPr>
          <w:noProof/>
        </w:rPr>
        <w:t> </w:t>
      </w:r>
      <w:r w:rsidRPr="003409C9">
        <w:rPr>
          <w:noProof/>
        </w:rPr>
        <w:t>r.,</w:t>
      </w:r>
      <w:r w:rsidR="003409C9" w:rsidRPr="003409C9">
        <w:rPr>
          <w:noProof/>
        </w:rPr>
        <w:t xml:space="preserve"> a tak</w:t>
      </w:r>
      <w:r w:rsidRPr="003409C9">
        <w:rPr>
          <w:noProof/>
        </w:rPr>
        <w:t xml:space="preserve">że niezbędne dostosowania przewidziane w WRF na lata 2021–2027. </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r w:rsidRPr="003409C9">
        <w:rPr>
          <w:noProof/>
        </w:rPr>
        <w:t>Agencje zdecentralizowane,</w:t>
      </w:r>
      <w:r w:rsidR="003409C9" w:rsidRPr="003409C9">
        <w:rPr>
          <w:noProof/>
        </w:rPr>
        <w:t xml:space="preserve"> w tym</w:t>
      </w:r>
      <w:r w:rsidRPr="003409C9">
        <w:rPr>
          <w:noProof/>
        </w:rPr>
        <w:t xml:space="preserve"> eu-LISA, są objęte zakresem tej strategii</w:t>
      </w:r>
      <w:r w:rsidR="003409C9" w:rsidRPr="003409C9">
        <w:rPr>
          <w:noProof/>
        </w:rPr>
        <w:t>. W roc</w:t>
      </w:r>
      <w:r w:rsidRPr="003409C9">
        <w:rPr>
          <w:noProof/>
        </w:rPr>
        <w:t>znym sprawozdaniu</w:t>
      </w:r>
      <w:r w:rsidR="003409C9" w:rsidRPr="003409C9">
        <w:rPr>
          <w:noProof/>
        </w:rPr>
        <w:t xml:space="preserve"> z dzi</w:t>
      </w:r>
      <w:r w:rsidRPr="003409C9">
        <w:rPr>
          <w:noProof/>
        </w:rPr>
        <w:t>ałalności DG HOME za</w:t>
      </w:r>
      <w:r w:rsidR="003409C9" w:rsidRPr="003409C9">
        <w:rPr>
          <w:noProof/>
        </w:rPr>
        <w:t> </w:t>
      </w:r>
      <w:r w:rsidRPr="003409C9">
        <w:rPr>
          <w:noProof/>
        </w:rPr>
        <w:t>2021</w:t>
      </w:r>
      <w:r w:rsidR="003409C9" w:rsidRPr="003409C9">
        <w:rPr>
          <w:noProof/>
        </w:rPr>
        <w:t> </w:t>
      </w:r>
      <w:r w:rsidRPr="003409C9">
        <w:rPr>
          <w:noProof/>
        </w:rPr>
        <w:t>r. stwierdzono, że procesy zapobiegania nadużyciom finansowym</w:t>
      </w:r>
      <w:r w:rsidR="003409C9" w:rsidRPr="003409C9">
        <w:rPr>
          <w:noProof/>
        </w:rPr>
        <w:t xml:space="preserve"> i ich</w:t>
      </w:r>
      <w:r w:rsidRPr="003409C9">
        <w:rPr>
          <w:noProof/>
        </w:rPr>
        <w:t xml:space="preserve"> wykrywania przebiegały</w:t>
      </w:r>
      <w:r w:rsidR="003409C9" w:rsidRPr="003409C9">
        <w:rPr>
          <w:noProof/>
        </w:rPr>
        <w:t xml:space="preserve"> w spo</w:t>
      </w:r>
      <w:r w:rsidRPr="003409C9">
        <w:rPr>
          <w:noProof/>
        </w:rPr>
        <w:t>sób zadowalający, tym samym przyczyniając się do zagwarantowania osiągnięcia celów kontroli wewnętrznej.</w:t>
      </w:r>
      <w:bookmarkEnd w:id="122"/>
      <w:r w:rsidRPr="003409C9">
        <w:rPr>
          <w:noProof/>
        </w:rPr>
        <w:t xml:space="preserve"> </w:t>
      </w:r>
    </w:p>
    <w:p w:rsidR="00CD7E2F" w:rsidRPr="003409C9" w:rsidRDefault="00CD7E2F" w:rsidP="00CD7E2F">
      <w:pPr>
        <w:rPr>
          <w:noProof/>
        </w:rPr>
        <w:sectPr w:rsidR="00CD7E2F" w:rsidRPr="003409C9" w:rsidSect="00883BC7">
          <w:pgSz w:w="11907" w:h="16840" w:code="9"/>
          <w:pgMar w:top="1134" w:right="1418" w:bottom="1134" w:left="1418" w:header="709" w:footer="709" w:gutter="0"/>
          <w:cols w:space="708"/>
          <w:docGrid w:linePitch="360"/>
        </w:sectPr>
      </w:pPr>
    </w:p>
    <w:p w:rsidR="00CD7E2F" w:rsidRPr="00BB07AF" w:rsidRDefault="009475BC" w:rsidP="009475BC">
      <w:pPr>
        <w:pStyle w:val="ManualHeading1"/>
        <w:rPr>
          <w:bCs/>
          <w:noProof/>
          <w:szCs w:val="24"/>
        </w:rPr>
      </w:pPr>
      <w:bookmarkStart w:id="123" w:name="_Toc514938050"/>
      <w:bookmarkStart w:id="124" w:name="_Toc117796989"/>
      <w:r w:rsidRPr="00BB07AF">
        <w:rPr>
          <w:noProof/>
        </w:rPr>
        <w:t>3.</w:t>
      </w:r>
      <w:r w:rsidRPr="00BB07AF">
        <w:rPr>
          <w:noProof/>
        </w:rPr>
        <w:tab/>
        <w:t>SZACUNKOWY WPŁYW FINANSOWY WNIOSKU/INICJATYWY</w:t>
      </w:r>
      <w:bookmarkEnd w:id="123"/>
      <w:bookmarkEnd w:id="124"/>
      <w:r w:rsidRPr="00BB07AF">
        <w:rPr>
          <w:noProof/>
        </w:rPr>
        <w:t xml:space="preserve"> </w:t>
      </w:r>
    </w:p>
    <w:p w:rsidR="00CD7E2F" w:rsidRPr="00BB07AF" w:rsidRDefault="009475BC" w:rsidP="009475BC">
      <w:pPr>
        <w:pStyle w:val="ManualHeading2"/>
        <w:rPr>
          <w:noProof/>
        </w:rPr>
      </w:pPr>
      <w:bookmarkStart w:id="125" w:name="_Toc514938051"/>
      <w:bookmarkStart w:id="126" w:name="_Toc117796990"/>
      <w:r w:rsidRPr="00BB07AF">
        <w:rPr>
          <w:noProof/>
        </w:rPr>
        <w:t>3.1.</w:t>
      </w:r>
      <w:r w:rsidRPr="00BB07AF">
        <w:rPr>
          <w:noProof/>
        </w:rPr>
        <w:tab/>
        <w:t>Działy wieloletnich ram finansowych</w:t>
      </w:r>
      <w:r w:rsidR="003409C9" w:rsidRPr="00BB07AF">
        <w:rPr>
          <w:noProof/>
        </w:rPr>
        <w:t xml:space="preserve"> i lin</w:t>
      </w:r>
      <w:r w:rsidRPr="00BB07AF">
        <w:rPr>
          <w:noProof/>
        </w:rPr>
        <w:t>ie budżetowe po stronie wydatków, na które wniosek/inicjatywa ma wpływ</w:t>
      </w:r>
      <w:bookmarkEnd w:id="125"/>
      <w:bookmarkEnd w:id="126"/>
      <w:r w:rsidRPr="00BB07AF">
        <w:rPr>
          <w:noProof/>
        </w:rPr>
        <w:t xml:space="preserve"> </w:t>
      </w:r>
    </w:p>
    <w:p w:rsidR="00CD7E2F" w:rsidRPr="003409C9" w:rsidRDefault="00CD7E2F" w:rsidP="00CD7E2F">
      <w:pPr>
        <w:pStyle w:val="ListBullet1"/>
        <w:rPr>
          <w:noProof/>
        </w:rPr>
      </w:pPr>
      <w:r w:rsidRPr="003409C9">
        <w:rPr>
          <w:noProof/>
        </w:rPr>
        <w:t xml:space="preserve">Istniejące linie budżetowe </w:t>
      </w:r>
    </w:p>
    <w:p w:rsidR="00CD7E2F" w:rsidRPr="00BB07AF" w:rsidRDefault="00CD7E2F" w:rsidP="009B05A0">
      <w:pPr>
        <w:pStyle w:val="Text11"/>
        <w:rPr>
          <w:i/>
          <w:noProof/>
        </w:rPr>
      </w:pPr>
      <w:r w:rsidRPr="00BB07AF">
        <w:rPr>
          <w:i/>
          <w:noProof/>
          <w:u w:val="single"/>
        </w:rPr>
        <w:t>Według</w:t>
      </w:r>
      <w:r w:rsidRPr="00BB07AF">
        <w:rPr>
          <w:i/>
          <w:noProof/>
        </w:rPr>
        <w:t xml:space="preserve"> działów wieloletnich ram finansowych</w:t>
      </w:r>
      <w:r w:rsidR="003409C9" w:rsidRPr="00BB07AF">
        <w:rPr>
          <w:i/>
          <w:noProof/>
        </w:rPr>
        <w:t xml:space="preserve"> i lin</w:t>
      </w:r>
      <w:r w:rsidRPr="00BB07AF">
        <w:rPr>
          <w:i/>
          <w:noProof/>
        </w:rPr>
        <w:t>ii budżetowych</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CD7E2F" w:rsidRPr="003409C9" w:rsidTr="00EA0500">
        <w:tc>
          <w:tcPr>
            <w:tcW w:w="1080" w:type="dxa"/>
            <w:vMerge w:val="restart"/>
            <w:vAlign w:val="center"/>
          </w:tcPr>
          <w:p w:rsidR="00CD7E2F" w:rsidRPr="003409C9" w:rsidRDefault="00CD7E2F" w:rsidP="00EA0500">
            <w:pPr>
              <w:spacing w:before="60" w:after="60"/>
              <w:jc w:val="center"/>
              <w:rPr>
                <w:noProof/>
              </w:rPr>
            </w:pPr>
            <w:bookmarkStart w:id="127" w:name="_Hlk118441441"/>
            <w:r w:rsidRPr="003409C9">
              <w:rPr>
                <w:noProof/>
                <w:sz w:val="18"/>
              </w:rPr>
              <w:t>Dział wieloletnich ram finansowych</w:t>
            </w:r>
          </w:p>
        </w:tc>
        <w:tc>
          <w:tcPr>
            <w:tcW w:w="3960" w:type="dxa"/>
            <w:vAlign w:val="center"/>
          </w:tcPr>
          <w:p w:rsidR="00CD7E2F" w:rsidRPr="003409C9" w:rsidRDefault="00CD7E2F" w:rsidP="00EA0500">
            <w:pPr>
              <w:spacing w:before="60" w:after="60"/>
              <w:jc w:val="center"/>
              <w:rPr>
                <w:noProof/>
              </w:rPr>
            </w:pPr>
            <w:r w:rsidRPr="003409C9">
              <w:rPr>
                <w:noProof/>
                <w:sz w:val="20"/>
              </w:rPr>
              <w:t>Linia budżetowa</w:t>
            </w:r>
          </w:p>
        </w:tc>
        <w:tc>
          <w:tcPr>
            <w:tcW w:w="1080" w:type="dxa"/>
            <w:vAlign w:val="center"/>
          </w:tcPr>
          <w:p w:rsidR="00CD7E2F" w:rsidRPr="003409C9" w:rsidRDefault="00CD7E2F" w:rsidP="00EA0500">
            <w:pPr>
              <w:spacing w:before="60" w:after="60"/>
              <w:jc w:val="center"/>
              <w:rPr>
                <w:noProof/>
              </w:rPr>
            </w:pPr>
            <w:r w:rsidRPr="003409C9">
              <w:rPr>
                <w:noProof/>
                <w:sz w:val="18"/>
              </w:rPr>
              <w:t>Rodzaj</w:t>
            </w:r>
            <w:r w:rsidRPr="003409C9">
              <w:rPr>
                <w:noProof/>
              </w:rPr>
              <w:t xml:space="preserve"> </w:t>
            </w:r>
            <w:r w:rsidRPr="003409C9">
              <w:rPr>
                <w:noProof/>
              </w:rPr>
              <w:br/>
            </w:r>
            <w:r w:rsidRPr="003409C9">
              <w:rPr>
                <w:noProof/>
                <w:sz w:val="18"/>
              </w:rPr>
              <w:t>środków</w:t>
            </w:r>
          </w:p>
        </w:tc>
        <w:tc>
          <w:tcPr>
            <w:tcW w:w="4440" w:type="dxa"/>
            <w:gridSpan w:val="4"/>
            <w:vAlign w:val="center"/>
          </w:tcPr>
          <w:p w:rsidR="00CD7E2F" w:rsidRPr="003409C9" w:rsidRDefault="00CD7E2F" w:rsidP="00EA0500">
            <w:pPr>
              <w:spacing w:before="60" w:after="60"/>
              <w:jc w:val="center"/>
              <w:rPr>
                <w:noProof/>
              </w:rPr>
            </w:pPr>
            <w:r w:rsidRPr="003409C9">
              <w:rPr>
                <w:noProof/>
                <w:sz w:val="20"/>
              </w:rPr>
              <w:t xml:space="preserve">Wkład </w:t>
            </w:r>
          </w:p>
        </w:tc>
      </w:tr>
      <w:tr w:rsidR="00CD7E2F" w:rsidRPr="003409C9" w:rsidTr="00EA0500">
        <w:tc>
          <w:tcPr>
            <w:tcW w:w="1080" w:type="dxa"/>
            <w:vMerge/>
            <w:vAlign w:val="center"/>
          </w:tcPr>
          <w:p w:rsidR="00CD7E2F" w:rsidRPr="003409C9" w:rsidRDefault="00CD7E2F" w:rsidP="00EA0500">
            <w:pPr>
              <w:jc w:val="center"/>
              <w:rPr>
                <w:noProof/>
              </w:rPr>
            </w:pPr>
          </w:p>
        </w:tc>
        <w:tc>
          <w:tcPr>
            <w:tcW w:w="3960" w:type="dxa"/>
            <w:vAlign w:val="center"/>
          </w:tcPr>
          <w:p w:rsidR="00CD7E2F" w:rsidRPr="003409C9" w:rsidRDefault="00CD7E2F" w:rsidP="00EA0500">
            <w:pPr>
              <w:rPr>
                <w:noProof/>
              </w:rPr>
            </w:pPr>
            <w:r w:rsidRPr="003409C9">
              <w:rPr>
                <w:noProof/>
                <w:sz w:val="20"/>
              </w:rPr>
              <w:t>Numer</w:t>
            </w:r>
            <w:r w:rsidR="003B5A1D" w:rsidRPr="003409C9">
              <w:rPr>
                <w:noProof/>
                <w:sz w:val="20"/>
              </w:rPr>
              <w:t xml:space="preserve"> </w:t>
            </w:r>
            <w:r w:rsidRPr="003409C9">
              <w:rPr>
                <w:noProof/>
              </w:rPr>
              <w:br/>
            </w:r>
          </w:p>
        </w:tc>
        <w:tc>
          <w:tcPr>
            <w:tcW w:w="1080" w:type="dxa"/>
            <w:vAlign w:val="center"/>
          </w:tcPr>
          <w:p w:rsidR="00CD7E2F" w:rsidRPr="003409C9" w:rsidRDefault="00CD7E2F" w:rsidP="00EA0500">
            <w:pPr>
              <w:jc w:val="center"/>
              <w:rPr>
                <w:noProof/>
              </w:rPr>
            </w:pPr>
            <w:r w:rsidRPr="003409C9">
              <w:rPr>
                <w:noProof/>
                <w:sz w:val="18"/>
              </w:rPr>
              <w:t>Zróżn./ niezróżn.</w:t>
            </w:r>
            <w:r w:rsidRPr="003409C9">
              <w:rPr>
                <w:rStyle w:val="FootnoteReference0"/>
                <w:noProof/>
                <w:sz w:val="18"/>
              </w:rPr>
              <w:footnoteReference w:id="57"/>
            </w:r>
          </w:p>
        </w:tc>
        <w:tc>
          <w:tcPr>
            <w:tcW w:w="956" w:type="dxa"/>
            <w:vAlign w:val="center"/>
          </w:tcPr>
          <w:p w:rsidR="00CD7E2F" w:rsidRPr="003409C9" w:rsidRDefault="00CD7E2F" w:rsidP="00EA0500">
            <w:pPr>
              <w:jc w:val="center"/>
              <w:rPr>
                <w:noProof/>
              </w:rPr>
            </w:pPr>
            <w:r w:rsidRPr="003409C9">
              <w:rPr>
                <w:noProof/>
                <w:sz w:val="18"/>
              </w:rPr>
              <w:t>państw EFTA</w:t>
            </w:r>
            <w:r w:rsidRPr="003409C9">
              <w:rPr>
                <w:rStyle w:val="FootnoteReference0"/>
                <w:noProof/>
                <w:sz w:val="18"/>
              </w:rPr>
              <w:footnoteReference w:id="58"/>
            </w:r>
          </w:p>
          <w:p w:rsidR="00CD7E2F" w:rsidRPr="00BB07AF" w:rsidRDefault="00CD7E2F" w:rsidP="00EA0500">
            <w:pPr>
              <w:spacing w:before="0" w:after="0"/>
              <w:jc w:val="center"/>
              <w:rPr>
                <w:b/>
                <w:noProof/>
                <w:sz w:val="18"/>
              </w:rPr>
            </w:pPr>
          </w:p>
        </w:tc>
        <w:tc>
          <w:tcPr>
            <w:tcW w:w="1080" w:type="dxa"/>
            <w:vAlign w:val="center"/>
          </w:tcPr>
          <w:p w:rsidR="00CD7E2F" w:rsidRPr="003409C9" w:rsidRDefault="00CD7E2F" w:rsidP="00EA0500">
            <w:pPr>
              <w:jc w:val="center"/>
              <w:rPr>
                <w:noProof/>
              </w:rPr>
            </w:pPr>
            <w:r w:rsidRPr="003409C9">
              <w:rPr>
                <w:noProof/>
                <w:sz w:val="18"/>
              </w:rPr>
              <w:t>krajów kandydujących</w:t>
            </w:r>
            <w:r w:rsidRPr="003409C9">
              <w:rPr>
                <w:rStyle w:val="FootnoteReference0"/>
                <w:noProof/>
                <w:sz w:val="18"/>
              </w:rPr>
              <w:footnoteReference w:id="59"/>
            </w:r>
          </w:p>
          <w:p w:rsidR="00CD7E2F" w:rsidRPr="003409C9" w:rsidRDefault="00CD7E2F" w:rsidP="00EA0500">
            <w:pPr>
              <w:spacing w:before="0" w:after="0"/>
              <w:jc w:val="center"/>
              <w:rPr>
                <w:noProof/>
                <w:sz w:val="18"/>
              </w:rPr>
            </w:pPr>
          </w:p>
        </w:tc>
        <w:tc>
          <w:tcPr>
            <w:tcW w:w="956" w:type="dxa"/>
            <w:vAlign w:val="center"/>
          </w:tcPr>
          <w:p w:rsidR="00CD7E2F" w:rsidRPr="003409C9" w:rsidRDefault="00CD7E2F" w:rsidP="00EA0500">
            <w:pPr>
              <w:jc w:val="center"/>
              <w:rPr>
                <w:noProof/>
                <w:sz w:val="18"/>
              </w:rPr>
            </w:pPr>
            <w:r w:rsidRPr="003409C9">
              <w:rPr>
                <w:noProof/>
                <w:sz w:val="18"/>
              </w:rPr>
              <w:t>państw trzecich</w:t>
            </w:r>
          </w:p>
        </w:tc>
        <w:tc>
          <w:tcPr>
            <w:tcW w:w="1448" w:type="dxa"/>
            <w:vAlign w:val="center"/>
          </w:tcPr>
          <w:p w:rsidR="00CD7E2F" w:rsidRPr="003409C9" w:rsidRDefault="00CD7E2F" w:rsidP="00EA0500">
            <w:pPr>
              <w:jc w:val="center"/>
              <w:rPr>
                <w:noProof/>
              </w:rPr>
            </w:pPr>
            <w:r w:rsidRPr="003409C9">
              <w:rPr>
                <w:noProof/>
                <w:sz w:val="16"/>
              </w:rPr>
              <w:t>w rozumieniu art.</w:t>
            </w:r>
            <w:r w:rsidR="003409C9" w:rsidRPr="003409C9">
              <w:rPr>
                <w:noProof/>
                <w:sz w:val="16"/>
              </w:rPr>
              <w:t> </w:t>
            </w:r>
            <w:r w:rsidRPr="003409C9">
              <w:rPr>
                <w:noProof/>
                <w:sz w:val="16"/>
              </w:rPr>
              <w:t>21 ust.</w:t>
            </w:r>
            <w:r w:rsidR="003409C9" w:rsidRPr="003409C9">
              <w:rPr>
                <w:noProof/>
                <w:sz w:val="16"/>
              </w:rPr>
              <w:t> </w:t>
            </w:r>
            <w:r w:rsidRPr="003409C9">
              <w:rPr>
                <w:noProof/>
                <w:sz w:val="16"/>
              </w:rPr>
              <w:t>2 lit.</w:t>
            </w:r>
            <w:r w:rsidR="003409C9" w:rsidRPr="003409C9">
              <w:rPr>
                <w:noProof/>
                <w:sz w:val="16"/>
              </w:rPr>
              <w:t> </w:t>
            </w:r>
            <w:r w:rsidRPr="003409C9">
              <w:rPr>
                <w:noProof/>
                <w:sz w:val="16"/>
              </w:rPr>
              <w:t xml:space="preserve">b) rozporządzenia finansowego </w:t>
            </w:r>
          </w:p>
        </w:tc>
      </w:tr>
      <w:tr w:rsidR="00CD7E2F" w:rsidRPr="003409C9" w:rsidTr="00EA0500">
        <w:tc>
          <w:tcPr>
            <w:tcW w:w="1080" w:type="dxa"/>
            <w:vAlign w:val="center"/>
          </w:tcPr>
          <w:p w:rsidR="00CD7E2F" w:rsidRPr="003409C9" w:rsidRDefault="00CD7E2F" w:rsidP="00EA0500">
            <w:pPr>
              <w:jc w:val="center"/>
              <w:rPr>
                <w:noProof/>
                <w:color w:val="0000FF"/>
              </w:rPr>
            </w:pPr>
            <w:r w:rsidRPr="003409C9">
              <w:rPr>
                <w:noProof/>
                <w:color w:val="0000FF"/>
              </w:rPr>
              <w:t>4</w:t>
            </w:r>
          </w:p>
        </w:tc>
        <w:tc>
          <w:tcPr>
            <w:tcW w:w="3960" w:type="dxa"/>
            <w:vAlign w:val="center"/>
          </w:tcPr>
          <w:p w:rsidR="00CD7E2F" w:rsidRPr="003409C9" w:rsidRDefault="00CD7E2F" w:rsidP="00EA0500">
            <w:pPr>
              <w:spacing w:before="60"/>
              <w:rPr>
                <w:noProof/>
                <w:sz w:val="22"/>
              </w:rPr>
            </w:pPr>
            <w:r w:rsidRPr="003409C9">
              <w:rPr>
                <w:noProof/>
              </w:rPr>
              <w:t xml:space="preserve">11 02 01 </w:t>
            </w:r>
            <w:r w:rsidRPr="003409C9">
              <w:rPr>
                <w:noProof/>
                <w:sz w:val="22"/>
              </w:rPr>
              <w:t>Instrument Wsparcia Finansowego na rzecz Zarządzania Granicami</w:t>
            </w:r>
            <w:r w:rsidR="003409C9" w:rsidRPr="003409C9">
              <w:rPr>
                <w:noProof/>
                <w:sz w:val="22"/>
              </w:rPr>
              <w:t xml:space="preserve"> i Pol</w:t>
            </w:r>
            <w:r w:rsidRPr="003409C9">
              <w:rPr>
                <w:noProof/>
                <w:sz w:val="22"/>
              </w:rPr>
              <w:t>ityki Wizowej</w:t>
            </w:r>
          </w:p>
        </w:tc>
        <w:tc>
          <w:tcPr>
            <w:tcW w:w="1080" w:type="dxa"/>
            <w:vAlign w:val="center"/>
          </w:tcPr>
          <w:p w:rsidR="00CD7E2F" w:rsidRPr="003409C9" w:rsidRDefault="00CD7E2F" w:rsidP="00EA0500">
            <w:pPr>
              <w:jc w:val="center"/>
              <w:rPr>
                <w:noProof/>
                <w:color w:val="0000FF"/>
              </w:rPr>
            </w:pPr>
            <w:r w:rsidRPr="003409C9">
              <w:rPr>
                <w:noProof/>
                <w:sz w:val="22"/>
              </w:rPr>
              <w:t>Zróżn.</w:t>
            </w:r>
          </w:p>
        </w:tc>
        <w:tc>
          <w:tcPr>
            <w:tcW w:w="956" w:type="dxa"/>
            <w:vAlign w:val="center"/>
          </w:tcPr>
          <w:p w:rsidR="00CD7E2F" w:rsidRPr="003409C9" w:rsidRDefault="00CD7E2F" w:rsidP="00EA0500">
            <w:pPr>
              <w:jc w:val="center"/>
              <w:rPr>
                <w:noProof/>
                <w:sz w:val="20"/>
                <w:szCs w:val="20"/>
              </w:rPr>
            </w:pPr>
            <w:r w:rsidRPr="003409C9">
              <w:rPr>
                <w:noProof/>
                <w:sz w:val="20"/>
              </w:rPr>
              <w:t>NIE</w:t>
            </w:r>
          </w:p>
        </w:tc>
        <w:tc>
          <w:tcPr>
            <w:tcW w:w="1080" w:type="dxa"/>
            <w:vAlign w:val="center"/>
          </w:tcPr>
          <w:p w:rsidR="00CD7E2F" w:rsidRPr="003409C9" w:rsidRDefault="00CD7E2F" w:rsidP="00EA0500">
            <w:pPr>
              <w:jc w:val="center"/>
              <w:rPr>
                <w:noProof/>
                <w:sz w:val="20"/>
                <w:szCs w:val="20"/>
              </w:rPr>
            </w:pPr>
            <w:r w:rsidRPr="003409C9">
              <w:rPr>
                <w:noProof/>
                <w:sz w:val="20"/>
              </w:rPr>
              <w:t>NIE</w:t>
            </w:r>
          </w:p>
        </w:tc>
        <w:tc>
          <w:tcPr>
            <w:tcW w:w="956" w:type="dxa"/>
            <w:vAlign w:val="center"/>
          </w:tcPr>
          <w:p w:rsidR="00CD7E2F" w:rsidRPr="003409C9" w:rsidRDefault="00CD7E2F" w:rsidP="00EA0500">
            <w:pPr>
              <w:jc w:val="center"/>
              <w:rPr>
                <w:noProof/>
                <w:sz w:val="20"/>
                <w:szCs w:val="20"/>
              </w:rPr>
            </w:pPr>
            <w:r w:rsidRPr="003409C9">
              <w:rPr>
                <w:noProof/>
                <w:sz w:val="20"/>
              </w:rPr>
              <w:t>TAK</w:t>
            </w:r>
          </w:p>
        </w:tc>
        <w:tc>
          <w:tcPr>
            <w:tcW w:w="1448" w:type="dxa"/>
            <w:vAlign w:val="center"/>
          </w:tcPr>
          <w:p w:rsidR="00CD7E2F" w:rsidRPr="003409C9" w:rsidRDefault="00CD7E2F" w:rsidP="00EA0500">
            <w:pPr>
              <w:jc w:val="center"/>
              <w:rPr>
                <w:noProof/>
                <w:sz w:val="20"/>
                <w:szCs w:val="20"/>
              </w:rPr>
            </w:pPr>
            <w:r w:rsidRPr="003409C9">
              <w:rPr>
                <w:noProof/>
                <w:sz w:val="20"/>
              </w:rPr>
              <w:t>NIE</w:t>
            </w:r>
          </w:p>
        </w:tc>
      </w:tr>
      <w:tr w:rsidR="00CD7E2F" w:rsidRPr="003409C9" w:rsidTr="00EA0500">
        <w:tc>
          <w:tcPr>
            <w:tcW w:w="1080" w:type="dxa"/>
            <w:vAlign w:val="center"/>
          </w:tcPr>
          <w:p w:rsidR="00CD7E2F" w:rsidRPr="003409C9" w:rsidRDefault="00CD7E2F" w:rsidP="00EA0500">
            <w:pPr>
              <w:jc w:val="center"/>
              <w:rPr>
                <w:noProof/>
                <w:color w:val="0000FF"/>
              </w:rPr>
            </w:pPr>
            <w:r w:rsidRPr="003409C9">
              <w:rPr>
                <w:noProof/>
                <w:color w:val="0000FF"/>
              </w:rPr>
              <w:t>4</w:t>
            </w:r>
          </w:p>
        </w:tc>
        <w:tc>
          <w:tcPr>
            <w:tcW w:w="3960" w:type="dxa"/>
            <w:vAlign w:val="center"/>
          </w:tcPr>
          <w:p w:rsidR="00CD7E2F" w:rsidRPr="003409C9" w:rsidRDefault="00CD7E2F" w:rsidP="00EA0500">
            <w:pPr>
              <w:spacing w:before="60"/>
              <w:rPr>
                <w:noProof/>
                <w:sz w:val="22"/>
              </w:rPr>
            </w:pPr>
            <w:r w:rsidRPr="003409C9">
              <w:rPr>
                <w:noProof/>
                <w:sz w:val="22"/>
              </w:rPr>
              <w:t>11.01.01 – Wydatki na wsparcie dotyczące Funduszu Zintegrowanego Zarządzania Granicami (FZZG) — Instrument Wsparcia Finansowego na rzecz Zarządzania Granicami</w:t>
            </w:r>
            <w:r w:rsidR="003409C9" w:rsidRPr="003409C9">
              <w:rPr>
                <w:noProof/>
                <w:sz w:val="22"/>
              </w:rPr>
              <w:t xml:space="preserve"> i Pol</w:t>
            </w:r>
            <w:r w:rsidRPr="003409C9">
              <w:rPr>
                <w:noProof/>
                <w:sz w:val="22"/>
              </w:rPr>
              <w:t>ityki Wizowej (IZGW)</w:t>
            </w:r>
          </w:p>
        </w:tc>
        <w:tc>
          <w:tcPr>
            <w:tcW w:w="1080" w:type="dxa"/>
            <w:vAlign w:val="center"/>
          </w:tcPr>
          <w:p w:rsidR="00CD7E2F" w:rsidRPr="003409C9" w:rsidRDefault="00CD7E2F" w:rsidP="00EA0500">
            <w:pPr>
              <w:jc w:val="center"/>
              <w:rPr>
                <w:noProof/>
                <w:sz w:val="22"/>
              </w:rPr>
            </w:pPr>
            <w:r w:rsidRPr="003409C9">
              <w:rPr>
                <w:noProof/>
                <w:sz w:val="22"/>
              </w:rPr>
              <w:t>Środki niezróżnicowane</w:t>
            </w:r>
          </w:p>
        </w:tc>
        <w:tc>
          <w:tcPr>
            <w:tcW w:w="956" w:type="dxa"/>
            <w:vAlign w:val="center"/>
          </w:tcPr>
          <w:p w:rsidR="00CD7E2F" w:rsidRPr="003409C9" w:rsidRDefault="00CD7E2F" w:rsidP="00EA0500">
            <w:pPr>
              <w:jc w:val="center"/>
              <w:rPr>
                <w:noProof/>
                <w:sz w:val="20"/>
                <w:szCs w:val="20"/>
              </w:rPr>
            </w:pPr>
            <w:r w:rsidRPr="003409C9">
              <w:rPr>
                <w:noProof/>
                <w:sz w:val="20"/>
              </w:rPr>
              <w:t>NIE</w:t>
            </w:r>
          </w:p>
        </w:tc>
        <w:tc>
          <w:tcPr>
            <w:tcW w:w="1080" w:type="dxa"/>
            <w:vAlign w:val="center"/>
          </w:tcPr>
          <w:p w:rsidR="00CD7E2F" w:rsidRPr="003409C9" w:rsidRDefault="00CD7E2F" w:rsidP="00EA0500">
            <w:pPr>
              <w:jc w:val="center"/>
              <w:rPr>
                <w:noProof/>
                <w:sz w:val="20"/>
                <w:szCs w:val="20"/>
              </w:rPr>
            </w:pPr>
            <w:r w:rsidRPr="003409C9">
              <w:rPr>
                <w:noProof/>
                <w:sz w:val="20"/>
              </w:rPr>
              <w:t>NIE</w:t>
            </w:r>
          </w:p>
        </w:tc>
        <w:tc>
          <w:tcPr>
            <w:tcW w:w="956" w:type="dxa"/>
            <w:vAlign w:val="center"/>
          </w:tcPr>
          <w:p w:rsidR="00CD7E2F" w:rsidRPr="003409C9" w:rsidRDefault="00CD7E2F" w:rsidP="00EA0500">
            <w:pPr>
              <w:jc w:val="center"/>
              <w:rPr>
                <w:noProof/>
                <w:sz w:val="20"/>
                <w:szCs w:val="20"/>
              </w:rPr>
            </w:pPr>
            <w:r w:rsidRPr="003409C9">
              <w:rPr>
                <w:noProof/>
                <w:sz w:val="20"/>
              </w:rPr>
              <w:t>TAK</w:t>
            </w:r>
          </w:p>
        </w:tc>
        <w:tc>
          <w:tcPr>
            <w:tcW w:w="1448" w:type="dxa"/>
            <w:vAlign w:val="center"/>
          </w:tcPr>
          <w:p w:rsidR="00CD7E2F" w:rsidRPr="003409C9" w:rsidRDefault="00CD7E2F" w:rsidP="00EA0500">
            <w:pPr>
              <w:jc w:val="center"/>
              <w:rPr>
                <w:noProof/>
                <w:sz w:val="20"/>
                <w:szCs w:val="20"/>
              </w:rPr>
            </w:pPr>
            <w:r w:rsidRPr="003409C9">
              <w:rPr>
                <w:noProof/>
                <w:sz w:val="20"/>
              </w:rPr>
              <w:t>NIE</w:t>
            </w:r>
          </w:p>
        </w:tc>
      </w:tr>
      <w:tr w:rsidR="00CD7E2F" w:rsidRPr="003409C9" w:rsidTr="00EA0500">
        <w:tc>
          <w:tcPr>
            <w:tcW w:w="1080" w:type="dxa"/>
            <w:vAlign w:val="center"/>
          </w:tcPr>
          <w:p w:rsidR="00CD7E2F" w:rsidRPr="003409C9" w:rsidRDefault="00CD7E2F" w:rsidP="00EA0500">
            <w:pPr>
              <w:jc w:val="center"/>
              <w:rPr>
                <w:noProof/>
                <w:color w:val="0000FF"/>
              </w:rPr>
            </w:pPr>
            <w:r w:rsidRPr="003409C9">
              <w:rPr>
                <w:noProof/>
                <w:color w:val="0000FF"/>
              </w:rPr>
              <w:t>4</w:t>
            </w:r>
          </w:p>
        </w:tc>
        <w:tc>
          <w:tcPr>
            <w:tcW w:w="3960" w:type="dxa"/>
            <w:vAlign w:val="center"/>
          </w:tcPr>
          <w:p w:rsidR="00CD7E2F" w:rsidRPr="003409C9" w:rsidRDefault="00CD7E2F" w:rsidP="00EA0500">
            <w:pPr>
              <w:spacing w:before="60"/>
              <w:rPr>
                <w:noProof/>
                <w:sz w:val="22"/>
              </w:rPr>
            </w:pPr>
            <w:r w:rsidRPr="003409C9">
              <w:rPr>
                <w:noProof/>
              </w:rPr>
              <w:t xml:space="preserve">11 10 02 </w:t>
            </w:r>
            <w:r w:rsidRPr="003409C9">
              <w:rPr>
                <w:noProof/>
                <w:sz w:val="22"/>
              </w:rPr>
              <w:t>Agencja Unii Europejskiej ds. Zarządzania Operacyjnego Wielkoskalowymi Systemami Informatycznymi</w:t>
            </w:r>
            <w:r w:rsidR="003409C9" w:rsidRPr="003409C9">
              <w:rPr>
                <w:noProof/>
                <w:sz w:val="22"/>
              </w:rPr>
              <w:t xml:space="preserve"> w Prz</w:t>
            </w:r>
            <w:r w:rsidRPr="003409C9">
              <w:rPr>
                <w:noProof/>
                <w:sz w:val="22"/>
              </w:rPr>
              <w:t>estrzeni Wolności, Bezpieczeństwa</w:t>
            </w:r>
            <w:r w:rsidR="003409C9" w:rsidRPr="003409C9">
              <w:rPr>
                <w:noProof/>
                <w:sz w:val="22"/>
              </w:rPr>
              <w:t xml:space="preserve"> i Spr</w:t>
            </w:r>
            <w:r w:rsidRPr="003409C9">
              <w:rPr>
                <w:noProof/>
                <w:sz w:val="22"/>
              </w:rPr>
              <w:t>awiedliwości („eu-LISA”)</w:t>
            </w:r>
          </w:p>
        </w:tc>
        <w:tc>
          <w:tcPr>
            <w:tcW w:w="1080" w:type="dxa"/>
            <w:vAlign w:val="center"/>
          </w:tcPr>
          <w:p w:rsidR="00CD7E2F" w:rsidRPr="003409C9" w:rsidRDefault="00CD7E2F" w:rsidP="00EA0500">
            <w:pPr>
              <w:jc w:val="center"/>
              <w:rPr>
                <w:noProof/>
                <w:sz w:val="22"/>
              </w:rPr>
            </w:pPr>
            <w:r w:rsidRPr="003409C9">
              <w:rPr>
                <w:noProof/>
                <w:sz w:val="22"/>
              </w:rPr>
              <w:t>Środki niezróżnicowane</w:t>
            </w:r>
          </w:p>
        </w:tc>
        <w:tc>
          <w:tcPr>
            <w:tcW w:w="956" w:type="dxa"/>
            <w:vAlign w:val="center"/>
          </w:tcPr>
          <w:p w:rsidR="00CD7E2F" w:rsidRPr="003409C9" w:rsidRDefault="00CD7E2F" w:rsidP="00EA0500">
            <w:pPr>
              <w:jc w:val="center"/>
              <w:rPr>
                <w:noProof/>
                <w:sz w:val="20"/>
                <w:szCs w:val="20"/>
              </w:rPr>
            </w:pPr>
            <w:r w:rsidRPr="003409C9">
              <w:rPr>
                <w:noProof/>
                <w:sz w:val="20"/>
              </w:rPr>
              <w:t>NIE</w:t>
            </w:r>
          </w:p>
        </w:tc>
        <w:tc>
          <w:tcPr>
            <w:tcW w:w="1080" w:type="dxa"/>
            <w:vAlign w:val="center"/>
          </w:tcPr>
          <w:p w:rsidR="00CD7E2F" w:rsidRPr="003409C9" w:rsidRDefault="00CD7E2F" w:rsidP="00EA0500">
            <w:pPr>
              <w:jc w:val="center"/>
              <w:rPr>
                <w:noProof/>
                <w:sz w:val="20"/>
                <w:szCs w:val="20"/>
              </w:rPr>
            </w:pPr>
            <w:r w:rsidRPr="003409C9">
              <w:rPr>
                <w:noProof/>
                <w:sz w:val="20"/>
              </w:rPr>
              <w:t>NIE</w:t>
            </w:r>
          </w:p>
        </w:tc>
        <w:tc>
          <w:tcPr>
            <w:tcW w:w="956" w:type="dxa"/>
            <w:vAlign w:val="center"/>
          </w:tcPr>
          <w:p w:rsidR="00CD7E2F" w:rsidRPr="003409C9" w:rsidRDefault="00CD7E2F" w:rsidP="00EA0500">
            <w:pPr>
              <w:jc w:val="center"/>
              <w:rPr>
                <w:noProof/>
                <w:sz w:val="20"/>
                <w:szCs w:val="20"/>
              </w:rPr>
            </w:pPr>
            <w:r w:rsidRPr="003409C9">
              <w:rPr>
                <w:noProof/>
                <w:sz w:val="20"/>
              </w:rPr>
              <w:t>TAK</w:t>
            </w:r>
          </w:p>
        </w:tc>
        <w:tc>
          <w:tcPr>
            <w:tcW w:w="1448" w:type="dxa"/>
            <w:vAlign w:val="center"/>
          </w:tcPr>
          <w:p w:rsidR="00CD7E2F" w:rsidRPr="003409C9" w:rsidRDefault="00CD7E2F" w:rsidP="00EA0500">
            <w:pPr>
              <w:jc w:val="center"/>
              <w:rPr>
                <w:noProof/>
                <w:sz w:val="20"/>
                <w:szCs w:val="20"/>
              </w:rPr>
            </w:pPr>
            <w:r w:rsidRPr="003409C9">
              <w:rPr>
                <w:noProof/>
                <w:sz w:val="20"/>
              </w:rPr>
              <w:t>NIE</w:t>
            </w:r>
          </w:p>
        </w:tc>
      </w:tr>
      <w:tr w:rsidR="00CD7E2F" w:rsidRPr="003409C9" w:rsidTr="00EA0500">
        <w:tc>
          <w:tcPr>
            <w:tcW w:w="1080" w:type="dxa"/>
            <w:vAlign w:val="center"/>
          </w:tcPr>
          <w:p w:rsidR="00CD7E2F" w:rsidRPr="003409C9" w:rsidRDefault="00CD7E2F" w:rsidP="00EA0500">
            <w:pPr>
              <w:jc w:val="center"/>
              <w:rPr>
                <w:noProof/>
                <w:color w:val="0000FF"/>
              </w:rPr>
            </w:pPr>
            <w:r w:rsidRPr="003409C9">
              <w:rPr>
                <w:noProof/>
                <w:color w:val="0000FF"/>
              </w:rPr>
              <w:t>5</w:t>
            </w:r>
          </w:p>
        </w:tc>
        <w:tc>
          <w:tcPr>
            <w:tcW w:w="3960" w:type="dxa"/>
            <w:vAlign w:val="center"/>
          </w:tcPr>
          <w:p w:rsidR="00CD7E2F" w:rsidRPr="003409C9" w:rsidRDefault="00CD7E2F" w:rsidP="00EA0500">
            <w:pPr>
              <w:spacing w:before="60"/>
              <w:rPr>
                <w:noProof/>
                <w:sz w:val="22"/>
              </w:rPr>
            </w:pPr>
            <w:r w:rsidRPr="003409C9">
              <w:rPr>
                <w:noProof/>
                <w:sz w:val="22"/>
              </w:rPr>
              <w:t>12 02 01 Fundusz Bezpieczeństwa Wewnętrznego (FBW)</w:t>
            </w:r>
          </w:p>
        </w:tc>
        <w:tc>
          <w:tcPr>
            <w:tcW w:w="1080" w:type="dxa"/>
            <w:vAlign w:val="center"/>
          </w:tcPr>
          <w:p w:rsidR="00CD7E2F" w:rsidRPr="003409C9" w:rsidRDefault="00CD7E2F" w:rsidP="00EA0500">
            <w:pPr>
              <w:jc w:val="center"/>
              <w:rPr>
                <w:noProof/>
                <w:sz w:val="22"/>
              </w:rPr>
            </w:pPr>
            <w:r w:rsidRPr="003409C9">
              <w:rPr>
                <w:noProof/>
                <w:sz w:val="22"/>
              </w:rPr>
              <w:t>Zróżn.</w:t>
            </w:r>
          </w:p>
        </w:tc>
        <w:tc>
          <w:tcPr>
            <w:tcW w:w="956" w:type="dxa"/>
            <w:vAlign w:val="center"/>
          </w:tcPr>
          <w:p w:rsidR="00CD7E2F" w:rsidRPr="003409C9" w:rsidRDefault="00CD7E2F" w:rsidP="00EA0500">
            <w:pPr>
              <w:jc w:val="center"/>
              <w:rPr>
                <w:noProof/>
                <w:sz w:val="20"/>
                <w:szCs w:val="20"/>
              </w:rPr>
            </w:pPr>
            <w:r w:rsidRPr="003409C9">
              <w:rPr>
                <w:noProof/>
                <w:sz w:val="20"/>
              </w:rPr>
              <w:t>NIE</w:t>
            </w:r>
          </w:p>
        </w:tc>
        <w:tc>
          <w:tcPr>
            <w:tcW w:w="1080" w:type="dxa"/>
            <w:vAlign w:val="center"/>
          </w:tcPr>
          <w:p w:rsidR="00CD7E2F" w:rsidRPr="003409C9" w:rsidRDefault="00CD7E2F" w:rsidP="00EA0500">
            <w:pPr>
              <w:jc w:val="center"/>
              <w:rPr>
                <w:noProof/>
                <w:sz w:val="20"/>
                <w:szCs w:val="20"/>
              </w:rPr>
            </w:pPr>
            <w:r w:rsidRPr="003409C9">
              <w:rPr>
                <w:noProof/>
                <w:sz w:val="20"/>
              </w:rPr>
              <w:t>NIE</w:t>
            </w:r>
          </w:p>
        </w:tc>
        <w:tc>
          <w:tcPr>
            <w:tcW w:w="956" w:type="dxa"/>
            <w:vAlign w:val="center"/>
          </w:tcPr>
          <w:p w:rsidR="00CD7E2F" w:rsidRPr="003409C9" w:rsidRDefault="00CD7E2F" w:rsidP="00EA0500">
            <w:pPr>
              <w:jc w:val="center"/>
              <w:rPr>
                <w:noProof/>
                <w:sz w:val="20"/>
                <w:szCs w:val="20"/>
              </w:rPr>
            </w:pPr>
            <w:r w:rsidRPr="003409C9">
              <w:rPr>
                <w:noProof/>
                <w:sz w:val="20"/>
              </w:rPr>
              <w:t>NIE</w:t>
            </w:r>
          </w:p>
        </w:tc>
        <w:tc>
          <w:tcPr>
            <w:tcW w:w="1448" w:type="dxa"/>
            <w:vAlign w:val="center"/>
          </w:tcPr>
          <w:p w:rsidR="00CD7E2F" w:rsidRPr="003409C9" w:rsidRDefault="00CD7E2F" w:rsidP="00EA0500">
            <w:pPr>
              <w:jc w:val="center"/>
              <w:rPr>
                <w:noProof/>
                <w:sz w:val="20"/>
                <w:szCs w:val="20"/>
              </w:rPr>
            </w:pPr>
            <w:r w:rsidRPr="003409C9">
              <w:rPr>
                <w:noProof/>
                <w:sz w:val="20"/>
              </w:rPr>
              <w:t>NIE</w:t>
            </w:r>
          </w:p>
        </w:tc>
      </w:tr>
      <w:tr w:rsidR="00CD7E2F" w:rsidRPr="003409C9" w:rsidTr="00EA0500">
        <w:tc>
          <w:tcPr>
            <w:tcW w:w="1080" w:type="dxa"/>
            <w:vAlign w:val="center"/>
          </w:tcPr>
          <w:p w:rsidR="00CD7E2F" w:rsidRPr="003409C9" w:rsidRDefault="00CD7E2F" w:rsidP="00EA0500">
            <w:pPr>
              <w:jc w:val="center"/>
              <w:rPr>
                <w:noProof/>
                <w:color w:val="0000FF"/>
              </w:rPr>
            </w:pPr>
            <w:r w:rsidRPr="003409C9">
              <w:rPr>
                <w:noProof/>
                <w:color w:val="0000FF"/>
              </w:rPr>
              <w:t>5</w:t>
            </w:r>
          </w:p>
        </w:tc>
        <w:tc>
          <w:tcPr>
            <w:tcW w:w="3960" w:type="dxa"/>
            <w:vAlign w:val="center"/>
          </w:tcPr>
          <w:p w:rsidR="00CD7E2F" w:rsidRPr="003409C9" w:rsidRDefault="00CD7E2F" w:rsidP="00EA0500">
            <w:pPr>
              <w:spacing w:before="60"/>
              <w:rPr>
                <w:noProof/>
                <w:sz w:val="22"/>
              </w:rPr>
            </w:pPr>
            <w:r w:rsidRPr="003409C9">
              <w:rPr>
                <w:noProof/>
                <w:sz w:val="22"/>
              </w:rPr>
              <w:t>11.02.02– Wydatki na wsparcie dotyczące Funduszu Bezpieczeństwa Wewnętrznego (FBW) — Instrument Wsparcia Finansowego na rzecz Zarządzania Granicami</w:t>
            </w:r>
            <w:r w:rsidR="003409C9" w:rsidRPr="003409C9">
              <w:rPr>
                <w:noProof/>
                <w:sz w:val="22"/>
              </w:rPr>
              <w:t xml:space="preserve"> i Pol</w:t>
            </w:r>
            <w:r w:rsidRPr="003409C9">
              <w:rPr>
                <w:noProof/>
                <w:sz w:val="22"/>
              </w:rPr>
              <w:t>ityki Wizowej (IZGW)</w:t>
            </w:r>
          </w:p>
        </w:tc>
        <w:tc>
          <w:tcPr>
            <w:tcW w:w="1080" w:type="dxa"/>
            <w:vAlign w:val="center"/>
          </w:tcPr>
          <w:p w:rsidR="00CD7E2F" w:rsidRPr="003409C9" w:rsidRDefault="00CD7E2F" w:rsidP="00EA0500">
            <w:pPr>
              <w:jc w:val="center"/>
              <w:rPr>
                <w:noProof/>
                <w:sz w:val="22"/>
              </w:rPr>
            </w:pPr>
            <w:r w:rsidRPr="003409C9">
              <w:rPr>
                <w:noProof/>
                <w:sz w:val="22"/>
              </w:rPr>
              <w:t>Środki niezróżnicowane</w:t>
            </w:r>
          </w:p>
        </w:tc>
        <w:tc>
          <w:tcPr>
            <w:tcW w:w="956" w:type="dxa"/>
            <w:vAlign w:val="center"/>
          </w:tcPr>
          <w:p w:rsidR="00CD7E2F" w:rsidRPr="003409C9" w:rsidRDefault="00CD7E2F" w:rsidP="00EA0500">
            <w:pPr>
              <w:jc w:val="center"/>
              <w:rPr>
                <w:noProof/>
                <w:sz w:val="20"/>
                <w:szCs w:val="20"/>
              </w:rPr>
            </w:pPr>
            <w:r w:rsidRPr="003409C9">
              <w:rPr>
                <w:noProof/>
                <w:sz w:val="20"/>
              </w:rPr>
              <w:t>NIE</w:t>
            </w:r>
          </w:p>
        </w:tc>
        <w:tc>
          <w:tcPr>
            <w:tcW w:w="1080" w:type="dxa"/>
            <w:vAlign w:val="center"/>
          </w:tcPr>
          <w:p w:rsidR="00CD7E2F" w:rsidRPr="003409C9" w:rsidRDefault="00CD7E2F" w:rsidP="00EA0500">
            <w:pPr>
              <w:jc w:val="center"/>
              <w:rPr>
                <w:noProof/>
                <w:sz w:val="20"/>
                <w:szCs w:val="20"/>
              </w:rPr>
            </w:pPr>
            <w:r w:rsidRPr="003409C9">
              <w:rPr>
                <w:noProof/>
                <w:sz w:val="20"/>
              </w:rPr>
              <w:t>NIE</w:t>
            </w:r>
          </w:p>
        </w:tc>
        <w:tc>
          <w:tcPr>
            <w:tcW w:w="956" w:type="dxa"/>
            <w:vAlign w:val="center"/>
          </w:tcPr>
          <w:p w:rsidR="00CD7E2F" w:rsidRPr="003409C9" w:rsidRDefault="00CD7E2F" w:rsidP="00EA0500">
            <w:pPr>
              <w:jc w:val="center"/>
              <w:rPr>
                <w:noProof/>
                <w:sz w:val="20"/>
                <w:szCs w:val="20"/>
              </w:rPr>
            </w:pPr>
            <w:r w:rsidRPr="003409C9">
              <w:rPr>
                <w:noProof/>
                <w:sz w:val="20"/>
              </w:rPr>
              <w:t>NIE</w:t>
            </w:r>
          </w:p>
        </w:tc>
        <w:tc>
          <w:tcPr>
            <w:tcW w:w="1448" w:type="dxa"/>
            <w:vAlign w:val="center"/>
          </w:tcPr>
          <w:p w:rsidR="00CD7E2F" w:rsidRPr="003409C9" w:rsidRDefault="00CD7E2F" w:rsidP="00EA0500">
            <w:pPr>
              <w:jc w:val="center"/>
              <w:rPr>
                <w:noProof/>
                <w:sz w:val="20"/>
                <w:szCs w:val="20"/>
              </w:rPr>
            </w:pPr>
            <w:r w:rsidRPr="003409C9">
              <w:rPr>
                <w:noProof/>
                <w:sz w:val="20"/>
              </w:rPr>
              <w:t>NIE</w:t>
            </w:r>
          </w:p>
        </w:tc>
      </w:tr>
    </w:tbl>
    <w:bookmarkEnd w:id="127"/>
    <w:p w:rsidR="00CD7E2F" w:rsidRPr="003409C9" w:rsidRDefault="00CD7E2F" w:rsidP="00CD7E2F">
      <w:pPr>
        <w:pStyle w:val="ListBullet1"/>
        <w:rPr>
          <w:noProof/>
        </w:rPr>
      </w:pPr>
      <w:r w:rsidRPr="003409C9">
        <w:rPr>
          <w:noProof/>
        </w:rPr>
        <w:t xml:space="preserve">Proponowane nowe linie budżetowe </w:t>
      </w:r>
    </w:p>
    <w:p w:rsidR="00CD7E2F" w:rsidRPr="00BB07AF" w:rsidRDefault="00CD7E2F" w:rsidP="009B05A0">
      <w:pPr>
        <w:pStyle w:val="Text11"/>
        <w:rPr>
          <w:i/>
          <w:noProof/>
          <w:sz w:val="20"/>
        </w:rPr>
      </w:pPr>
      <w:r w:rsidRPr="00BB07AF">
        <w:rPr>
          <w:i/>
          <w:noProof/>
          <w:u w:val="single"/>
        </w:rPr>
        <w:t>Według</w:t>
      </w:r>
      <w:r w:rsidRPr="00BB07AF">
        <w:rPr>
          <w:i/>
          <w:noProof/>
        </w:rPr>
        <w:t xml:space="preserve"> działów wieloletnich ram finansowych</w:t>
      </w:r>
      <w:r w:rsidR="003409C9" w:rsidRPr="00BB07AF">
        <w:rPr>
          <w:i/>
          <w:noProof/>
        </w:rPr>
        <w:t xml:space="preserve"> i lin</w:t>
      </w:r>
      <w:r w:rsidRPr="00BB07AF">
        <w:rPr>
          <w:i/>
          <w:noProof/>
        </w:rPr>
        <w:t>ii budżetowych</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CD7E2F" w:rsidRPr="003409C9" w:rsidTr="00EA0500">
        <w:tc>
          <w:tcPr>
            <w:tcW w:w="1080" w:type="dxa"/>
            <w:vMerge w:val="restart"/>
            <w:vAlign w:val="center"/>
          </w:tcPr>
          <w:p w:rsidR="00CD7E2F" w:rsidRPr="003409C9" w:rsidRDefault="00CD7E2F" w:rsidP="00EA0500">
            <w:pPr>
              <w:spacing w:before="60" w:after="60"/>
              <w:jc w:val="center"/>
              <w:rPr>
                <w:noProof/>
                <w:sz w:val="18"/>
                <w:szCs w:val="18"/>
              </w:rPr>
            </w:pPr>
            <w:bookmarkStart w:id="128" w:name="_Hlk118441453"/>
            <w:r w:rsidRPr="003409C9">
              <w:rPr>
                <w:noProof/>
                <w:sz w:val="18"/>
              </w:rPr>
              <w:t>Dział wieloletnich ram finansowych</w:t>
            </w:r>
          </w:p>
        </w:tc>
        <w:tc>
          <w:tcPr>
            <w:tcW w:w="3960" w:type="dxa"/>
            <w:vAlign w:val="center"/>
          </w:tcPr>
          <w:p w:rsidR="00CD7E2F" w:rsidRPr="003409C9" w:rsidRDefault="00CD7E2F" w:rsidP="00EA0500">
            <w:pPr>
              <w:spacing w:before="60" w:after="60"/>
              <w:jc w:val="center"/>
              <w:rPr>
                <w:noProof/>
              </w:rPr>
            </w:pPr>
            <w:r w:rsidRPr="003409C9">
              <w:rPr>
                <w:noProof/>
                <w:sz w:val="20"/>
              </w:rPr>
              <w:t>Linia budżetowa</w:t>
            </w:r>
          </w:p>
        </w:tc>
        <w:tc>
          <w:tcPr>
            <w:tcW w:w="1080" w:type="dxa"/>
            <w:vAlign w:val="center"/>
          </w:tcPr>
          <w:p w:rsidR="00CD7E2F" w:rsidRPr="003409C9" w:rsidRDefault="00CD7E2F" w:rsidP="00EA0500">
            <w:pPr>
              <w:spacing w:before="60" w:after="60"/>
              <w:jc w:val="center"/>
              <w:rPr>
                <w:noProof/>
              </w:rPr>
            </w:pPr>
            <w:r w:rsidRPr="003409C9">
              <w:rPr>
                <w:noProof/>
                <w:sz w:val="18"/>
              </w:rPr>
              <w:t>Rodzaj</w:t>
            </w:r>
            <w:r w:rsidRPr="003409C9">
              <w:rPr>
                <w:noProof/>
              </w:rPr>
              <w:t xml:space="preserve"> </w:t>
            </w:r>
            <w:r w:rsidRPr="003409C9">
              <w:rPr>
                <w:noProof/>
              </w:rPr>
              <w:br/>
            </w:r>
            <w:r w:rsidRPr="003409C9">
              <w:rPr>
                <w:noProof/>
                <w:sz w:val="18"/>
              </w:rPr>
              <w:t>środków</w:t>
            </w:r>
          </w:p>
        </w:tc>
        <w:tc>
          <w:tcPr>
            <w:tcW w:w="4440" w:type="dxa"/>
            <w:gridSpan w:val="4"/>
            <w:vAlign w:val="center"/>
          </w:tcPr>
          <w:p w:rsidR="00CD7E2F" w:rsidRPr="003409C9" w:rsidRDefault="00CD7E2F" w:rsidP="00EA0500">
            <w:pPr>
              <w:spacing w:before="60" w:after="60"/>
              <w:jc w:val="center"/>
              <w:rPr>
                <w:noProof/>
              </w:rPr>
            </w:pPr>
            <w:r w:rsidRPr="003409C9">
              <w:rPr>
                <w:noProof/>
                <w:sz w:val="20"/>
              </w:rPr>
              <w:t xml:space="preserve">Wkład </w:t>
            </w:r>
          </w:p>
        </w:tc>
      </w:tr>
      <w:tr w:rsidR="00CD7E2F" w:rsidRPr="003409C9" w:rsidTr="00EA0500">
        <w:tc>
          <w:tcPr>
            <w:tcW w:w="1080" w:type="dxa"/>
            <w:vMerge/>
            <w:vAlign w:val="center"/>
          </w:tcPr>
          <w:p w:rsidR="00CD7E2F" w:rsidRPr="003409C9" w:rsidRDefault="00CD7E2F" w:rsidP="00EA0500">
            <w:pPr>
              <w:jc w:val="center"/>
              <w:rPr>
                <w:noProof/>
              </w:rPr>
            </w:pPr>
          </w:p>
        </w:tc>
        <w:tc>
          <w:tcPr>
            <w:tcW w:w="3960" w:type="dxa"/>
            <w:vAlign w:val="center"/>
          </w:tcPr>
          <w:p w:rsidR="00CD7E2F" w:rsidRPr="003409C9" w:rsidRDefault="00CD7E2F" w:rsidP="00EA0500">
            <w:pPr>
              <w:rPr>
                <w:noProof/>
              </w:rPr>
            </w:pPr>
            <w:r w:rsidRPr="003409C9">
              <w:rPr>
                <w:noProof/>
                <w:sz w:val="20"/>
              </w:rPr>
              <w:t>Numer</w:t>
            </w:r>
            <w:r w:rsidR="003B5A1D" w:rsidRPr="003409C9">
              <w:rPr>
                <w:noProof/>
                <w:sz w:val="20"/>
              </w:rPr>
              <w:t xml:space="preserve"> </w:t>
            </w:r>
            <w:r w:rsidRPr="003409C9">
              <w:rPr>
                <w:noProof/>
              </w:rPr>
              <w:br/>
            </w:r>
          </w:p>
        </w:tc>
        <w:tc>
          <w:tcPr>
            <w:tcW w:w="1080" w:type="dxa"/>
            <w:vAlign w:val="center"/>
          </w:tcPr>
          <w:p w:rsidR="00CD7E2F" w:rsidRPr="003409C9" w:rsidRDefault="00CD7E2F" w:rsidP="00EA0500">
            <w:pPr>
              <w:jc w:val="center"/>
              <w:rPr>
                <w:noProof/>
              </w:rPr>
            </w:pPr>
            <w:r w:rsidRPr="003409C9">
              <w:rPr>
                <w:noProof/>
                <w:sz w:val="18"/>
              </w:rPr>
              <w:t>Zróżn./ niezróżn.</w:t>
            </w:r>
          </w:p>
        </w:tc>
        <w:tc>
          <w:tcPr>
            <w:tcW w:w="956" w:type="dxa"/>
            <w:vAlign w:val="center"/>
          </w:tcPr>
          <w:p w:rsidR="00CD7E2F" w:rsidRPr="003409C9" w:rsidRDefault="00CD7E2F" w:rsidP="00EA0500">
            <w:pPr>
              <w:jc w:val="center"/>
              <w:rPr>
                <w:noProof/>
                <w:sz w:val="18"/>
              </w:rPr>
            </w:pPr>
            <w:r w:rsidRPr="003409C9">
              <w:rPr>
                <w:noProof/>
                <w:sz w:val="18"/>
              </w:rPr>
              <w:t>państw EFTA</w:t>
            </w:r>
          </w:p>
        </w:tc>
        <w:tc>
          <w:tcPr>
            <w:tcW w:w="1080" w:type="dxa"/>
            <w:vAlign w:val="center"/>
          </w:tcPr>
          <w:p w:rsidR="00CD7E2F" w:rsidRPr="003409C9" w:rsidRDefault="00CD7E2F" w:rsidP="00EA0500">
            <w:pPr>
              <w:jc w:val="center"/>
              <w:rPr>
                <w:noProof/>
                <w:sz w:val="18"/>
              </w:rPr>
            </w:pPr>
            <w:r w:rsidRPr="003409C9">
              <w:rPr>
                <w:noProof/>
                <w:sz w:val="18"/>
              </w:rPr>
              <w:t>krajów kandydujących</w:t>
            </w:r>
          </w:p>
        </w:tc>
        <w:tc>
          <w:tcPr>
            <w:tcW w:w="956" w:type="dxa"/>
            <w:vAlign w:val="center"/>
          </w:tcPr>
          <w:p w:rsidR="00CD7E2F" w:rsidRPr="003409C9" w:rsidRDefault="00CD7E2F" w:rsidP="00EA0500">
            <w:pPr>
              <w:jc w:val="center"/>
              <w:rPr>
                <w:noProof/>
                <w:sz w:val="18"/>
              </w:rPr>
            </w:pPr>
            <w:r w:rsidRPr="003409C9">
              <w:rPr>
                <w:noProof/>
                <w:sz w:val="18"/>
              </w:rPr>
              <w:t>państw trzecich</w:t>
            </w:r>
          </w:p>
        </w:tc>
        <w:tc>
          <w:tcPr>
            <w:tcW w:w="1448" w:type="dxa"/>
            <w:vAlign w:val="center"/>
          </w:tcPr>
          <w:p w:rsidR="00CD7E2F" w:rsidRPr="003409C9" w:rsidRDefault="00CD7E2F" w:rsidP="00EA0500">
            <w:pPr>
              <w:jc w:val="center"/>
              <w:rPr>
                <w:noProof/>
              </w:rPr>
            </w:pPr>
            <w:r w:rsidRPr="003409C9">
              <w:rPr>
                <w:noProof/>
                <w:sz w:val="16"/>
              </w:rPr>
              <w:t>w rozumieniu art.</w:t>
            </w:r>
            <w:r w:rsidR="003409C9" w:rsidRPr="003409C9">
              <w:rPr>
                <w:noProof/>
                <w:sz w:val="16"/>
              </w:rPr>
              <w:t> </w:t>
            </w:r>
            <w:r w:rsidRPr="003409C9">
              <w:rPr>
                <w:noProof/>
                <w:sz w:val="16"/>
              </w:rPr>
              <w:t>21 ust.</w:t>
            </w:r>
            <w:r w:rsidR="003409C9" w:rsidRPr="003409C9">
              <w:rPr>
                <w:noProof/>
                <w:sz w:val="16"/>
              </w:rPr>
              <w:t> </w:t>
            </w:r>
            <w:r w:rsidRPr="003409C9">
              <w:rPr>
                <w:noProof/>
                <w:sz w:val="16"/>
              </w:rPr>
              <w:t>2 lit.</w:t>
            </w:r>
            <w:r w:rsidR="003409C9" w:rsidRPr="003409C9">
              <w:rPr>
                <w:noProof/>
                <w:sz w:val="16"/>
              </w:rPr>
              <w:t> </w:t>
            </w:r>
            <w:r w:rsidRPr="003409C9">
              <w:rPr>
                <w:noProof/>
                <w:sz w:val="16"/>
              </w:rPr>
              <w:t xml:space="preserve">b) rozporządzenia finansowego </w:t>
            </w:r>
          </w:p>
        </w:tc>
      </w:tr>
      <w:tr w:rsidR="00CD7E2F" w:rsidRPr="003409C9" w:rsidTr="00EA0500">
        <w:tc>
          <w:tcPr>
            <w:tcW w:w="1080" w:type="dxa"/>
            <w:vAlign w:val="center"/>
          </w:tcPr>
          <w:p w:rsidR="00CD7E2F" w:rsidRPr="003409C9" w:rsidRDefault="00CD7E2F" w:rsidP="00EA0500">
            <w:pPr>
              <w:jc w:val="center"/>
              <w:rPr>
                <w:noProof/>
                <w:color w:val="0000FF"/>
              </w:rPr>
            </w:pPr>
          </w:p>
        </w:tc>
        <w:tc>
          <w:tcPr>
            <w:tcW w:w="3960" w:type="dxa"/>
            <w:vAlign w:val="center"/>
          </w:tcPr>
          <w:p w:rsidR="00CD7E2F" w:rsidRPr="003409C9" w:rsidRDefault="00CD7E2F" w:rsidP="00EA0500">
            <w:pPr>
              <w:spacing w:before="60"/>
              <w:rPr>
                <w:noProof/>
              </w:rPr>
            </w:pPr>
            <w:r w:rsidRPr="003409C9">
              <w:rPr>
                <w:noProof/>
                <w:sz w:val="22"/>
              </w:rPr>
              <w:t>[XX.YY.YY.YY]</w:t>
            </w:r>
          </w:p>
          <w:p w:rsidR="00CD7E2F" w:rsidRPr="003409C9" w:rsidRDefault="00CD7E2F" w:rsidP="00EA0500">
            <w:pPr>
              <w:spacing w:after="60"/>
              <w:rPr>
                <w:noProof/>
                <w:color w:val="0000FF"/>
              </w:rPr>
            </w:pPr>
          </w:p>
        </w:tc>
        <w:tc>
          <w:tcPr>
            <w:tcW w:w="1080" w:type="dxa"/>
            <w:vAlign w:val="center"/>
          </w:tcPr>
          <w:p w:rsidR="00CD7E2F" w:rsidRPr="003409C9" w:rsidRDefault="00CD7E2F" w:rsidP="00EA0500">
            <w:pPr>
              <w:jc w:val="center"/>
              <w:rPr>
                <w:noProof/>
                <w:color w:val="0000FF"/>
              </w:rPr>
            </w:pPr>
          </w:p>
        </w:tc>
        <w:tc>
          <w:tcPr>
            <w:tcW w:w="956" w:type="dxa"/>
            <w:vAlign w:val="center"/>
          </w:tcPr>
          <w:p w:rsidR="00CD7E2F" w:rsidRPr="003409C9" w:rsidRDefault="00CD7E2F" w:rsidP="00EA0500">
            <w:pPr>
              <w:jc w:val="center"/>
              <w:rPr>
                <w:noProof/>
                <w:sz w:val="20"/>
                <w:szCs w:val="20"/>
              </w:rPr>
            </w:pPr>
            <w:r w:rsidRPr="003409C9">
              <w:rPr>
                <w:noProof/>
                <w:sz w:val="20"/>
              </w:rPr>
              <w:t>TAK/ NIE</w:t>
            </w:r>
          </w:p>
        </w:tc>
        <w:tc>
          <w:tcPr>
            <w:tcW w:w="1080" w:type="dxa"/>
            <w:vAlign w:val="center"/>
          </w:tcPr>
          <w:p w:rsidR="00CD7E2F" w:rsidRPr="003409C9" w:rsidRDefault="00CD7E2F" w:rsidP="00EA0500">
            <w:pPr>
              <w:jc w:val="center"/>
              <w:rPr>
                <w:noProof/>
                <w:color w:val="0000FF"/>
                <w:sz w:val="20"/>
                <w:szCs w:val="20"/>
              </w:rPr>
            </w:pPr>
            <w:r w:rsidRPr="003409C9">
              <w:rPr>
                <w:noProof/>
                <w:sz w:val="20"/>
              </w:rPr>
              <w:t>TAK/ NIE</w:t>
            </w:r>
          </w:p>
        </w:tc>
        <w:tc>
          <w:tcPr>
            <w:tcW w:w="956" w:type="dxa"/>
            <w:vAlign w:val="center"/>
          </w:tcPr>
          <w:p w:rsidR="00CD7E2F" w:rsidRPr="003409C9" w:rsidRDefault="00CD7E2F" w:rsidP="00EA0500">
            <w:pPr>
              <w:jc w:val="center"/>
              <w:rPr>
                <w:noProof/>
                <w:color w:val="0000FF"/>
                <w:sz w:val="20"/>
                <w:szCs w:val="20"/>
              </w:rPr>
            </w:pPr>
            <w:r w:rsidRPr="003409C9">
              <w:rPr>
                <w:noProof/>
                <w:sz w:val="20"/>
              </w:rPr>
              <w:t>TAK/ NIE</w:t>
            </w:r>
          </w:p>
        </w:tc>
        <w:tc>
          <w:tcPr>
            <w:tcW w:w="1448" w:type="dxa"/>
            <w:vAlign w:val="center"/>
          </w:tcPr>
          <w:p w:rsidR="00CD7E2F" w:rsidRPr="003409C9" w:rsidRDefault="00CD7E2F" w:rsidP="00EA0500">
            <w:pPr>
              <w:jc w:val="center"/>
              <w:rPr>
                <w:noProof/>
                <w:sz w:val="20"/>
                <w:szCs w:val="20"/>
              </w:rPr>
            </w:pPr>
            <w:r w:rsidRPr="003409C9">
              <w:rPr>
                <w:noProof/>
                <w:sz w:val="20"/>
              </w:rPr>
              <w:t>TAK/ NIE</w:t>
            </w:r>
          </w:p>
        </w:tc>
      </w:tr>
      <w:bookmarkEnd w:id="128"/>
    </w:tbl>
    <w:p w:rsidR="00CD7E2F" w:rsidRPr="003409C9" w:rsidRDefault="00CD7E2F" w:rsidP="00CD7E2F">
      <w:pPr>
        <w:rPr>
          <w:noProof/>
        </w:rPr>
        <w:sectPr w:rsidR="00CD7E2F" w:rsidRPr="003409C9" w:rsidSect="00883BC7">
          <w:pgSz w:w="11907" w:h="16840" w:code="9"/>
          <w:pgMar w:top="1134" w:right="1418" w:bottom="1134" w:left="1418" w:header="709" w:footer="709" w:gutter="0"/>
          <w:cols w:space="708"/>
          <w:docGrid w:linePitch="360"/>
        </w:sectPr>
      </w:pPr>
    </w:p>
    <w:p w:rsidR="00CD7E2F" w:rsidRPr="00BB07AF" w:rsidRDefault="009475BC" w:rsidP="009475BC">
      <w:pPr>
        <w:pStyle w:val="ManualHeading2"/>
        <w:rPr>
          <w:bCs/>
          <w:noProof/>
          <w:szCs w:val="24"/>
        </w:rPr>
      </w:pPr>
      <w:bookmarkStart w:id="129" w:name="_Toc514938052"/>
      <w:bookmarkStart w:id="130" w:name="_Toc117796991"/>
      <w:bookmarkStart w:id="131" w:name="_Hlk118441581"/>
      <w:r w:rsidRPr="00BB07AF">
        <w:rPr>
          <w:noProof/>
        </w:rPr>
        <w:t>3.2.</w:t>
      </w:r>
      <w:r w:rsidRPr="00BB07AF">
        <w:rPr>
          <w:noProof/>
        </w:rPr>
        <w:tab/>
        <w:t>Szacunkowy wpływ finansowy wniosku na środki</w:t>
      </w:r>
      <w:bookmarkEnd w:id="129"/>
      <w:bookmarkEnd w:id="130"/>
      <w:r w:rsidRPr="00BB07AF">
        <w:rPr>
          <w:noProof/>
        </w:rPr>
        <w:t xml:space="preserve"> </w:t>
      </w:r>
    </w:p>
    <w:p w:rsidR="00CD7E2F" w:rsidRPr="00BB07AF" w:rsidRDefault="009475BC" w:rsidP="009475BC">
      <w:pPr>
        <w:pStyle w:val="ManualHeading3"/>
        <w:rPr>
          <w:noProof/>
        </w:rPr>
      </w:pPr>
      <w:bookmarkStart w:id="132" w:name="_Toc514938053"/>
      <w:bookmarkStart w:id="133" w:name="_Toc117796992"/>
      <w:r w:rsidRPr="00BB07AF">
        <w:rPr>
          <w:noProof/>
        </w:rPr>
        <w:t>3.2.1.</w:t>
      </w:r>
      <w:r w:rsidRPr="00BB07AF">
        <w:rPr>
          <w:noProof/>
        </w:rPr>
        <w:tab/>
        <w:t>Podsumowanie szacunkowego wpływu na środki operacyjne</w:t>
      </w:r>
      <w:bookmarkEnd w:id="132"/>
      <w:bookmarkEnd w:id="133"/>
      <w:r w:rsidRPr="00BB07AF">
        <w:rPr>
          <w:noProof/>
        </w:rPr>
        <w:t xml:space="preserve"> </w:t>
      </w:r>
    </w:p>
    <w:p w:rsidR="00CD7E2F" w:rsidRPr="003409C9" w:rsidRDefault="00CD7E2F" w:rsidP="00CD7E2F">
      <w:pPr>
        <w:pStyle w:val="ListDash1"/>
        <w:rPr>
          <w:noProof/>
        </w:rPr>
      </w:pPr>
      <w:r w:rsidRPr="003409C9">
        <w:rPr>
          <w:noProof/>
        </w:rPr>
        <w:sym w:font="Wingdings" w:char="F0A8"/>
      </w:r>
      <w:r w:rsidRPr="003409C9">
        <w:rPr>
          <w:noProof/>
        </w:rPr>
        <w:tab/>
        <w:t>Wniosek/inicjatywa nie wiąże się</w:t>
      </w:r>
      <w:r w:rsidR="003409C9" w:rsidRPr="003409C9">
        <w:rPr>
          <w:noProof/>
        </w:rPr>
        <w:t xml:space="preserve"> z kon</w:t>
      </w:r>
      <w:r w:rsidRPr="003409C9">
        <w:rPr>
          <w:noProof/>
        </w:rPr>
        <w:t xml:space="preserve">iecznością wykorzystania środków operacyjnych </w:t>
      </w:r>
    </w:p>
    <w:p w:rsidR="00CD7E2F" w:rsidRPr="003409C9" w:rsidRDefault="00CD7E2F" w:rsidP="00CD7E2F">
      <w:pPr>
        <w:pStyle w:val="ListDash1"/>
        <w:rPr>
          <w:noProof/>
        </w:rPr>
      </w:pPr>
      <w:r w:rsidRPr="003409C9">
        <w:rPr>
          <w:noProof/>
        </w:rPr>
        <w:sym w:font="Wingdings" w:char="F078"/>
      </w:r>
      <w:r w:rsidRPr="003409C9">
        <w:rPr>
          <w:noProof/>
        </w:rPr>
        <w:tab/>
        <w:t>Wniosek/inicjatywa wiąże się</w:t>
      </w:r>
      <w:r w:rsidR="003409C9" w:rsidRPr="003409C9">
        <w:rPr>
          <w:noProof/>
        </w:rPr>
        <w:t xml:space="preserve"> z kon</w:t>
      </w:r>
      <w:r w:rsidRPr="003409C9">
        <w:rPr>
          <w:noProof/>
        </w:rPr>
        <w:t>iecznością wykorzystania środków operacyjnych, jak określono poniżej:</w:t>
      </w:r>
    </w:p>
    <w:p w:rsidR="00CD7E2F" w:rsidRPr="003409C9" w:rsidRDefault="00CD7E2F" w:rsidP="00CD7E2F">
      <w:pPr>
        <w:jc w:val="right"/>
        <w:rPr>
          <w:noProof/>
          <w:sz w:val="18"/>
          <w:szCs w:val="18"/>
        </w:rPr>
      </w:pPr>
      <w:r w:rsidRPr="003409C9">
        <w:rPr>
          <w:noProof/>
          <w:sz w:val="18"/>
        </w:rPr>
        <w:t>w mln EUR (do trzech miejsc po przecinku)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D7E2F" w:rsidRPr="003409C9" w:rsidTr="00EA0500">
        <w:trPr>
          <w:jc w:val="center"/>
        </w:trPr>
        <w:tc>
          <w:tcPr>
            <w:tcW w:w="4744" w:type="dxa"/>
            <w:shd w:val="thinDiagStripe" w:color="C0C0C0" w:fill="auto"/>
            <w:vAlign w:val="center"/>
          </w:tcPr>
          <w:p w:rsidR="00CD7E2F" w:rsidRPr="00BB07AF" w:rsidRDefault="00CD7E2F" w:rsidP="00EA0500">
            <w:pPr>
              <w:spacing w:before="60" w:after="60"/>
              <w:jc w:val="center"/>
              <w:rPr>
                <w:b/>
                <w:noProof/>
              </w:rPr>
            </w:pPr>
            <w:r w:rsidRPr="00BB07AF">
              <w:rPr>
                <w:b/>
                <w:noProof/>
                <w:sz w:val="22"/>
              </w:rPr>
              <w:t>Dział</w:t>
            </w:r>
            <w:r w:rsidRPr="003409C9">
              <w:rPr>
                <w:noProof/>
              </w:rPr>
              <w:t xml:space="preserve"> </w:t>
            </w:r>
            <w:r w:rsidRPr="00BB07AF">
              <w:rPr>
                <w:b/>
                <w:noProof/>
                <w:sz w:val="22"/>
              </w:rPr>
              <w:t xml:space="preserve">wieloletnich ram finansowych </w:t>
            </w:r>
          </w:p>
        </w:tc>
        <w:tc>
          <w:tcPr>
            <w:tcW w:w="1080" w:type="dxa"/>
            <w:vAlign w:val="center"/>
          </w:tcPr>
          <w:p w:rsidR="00CD7E2F" w:rsidRPr="003409C9" w:rsidRDefault="00CD7E2F" w:rsidP="00EA0500">
            <w:pPr>
              <w:spacing w:before="60" w:after="60"/>
              <w:jc w:val="center"/>
              <w:rPr>
                <w:noProof/>
              </w:rPr>
            </w:pPr>
            <w:r w:rsidRPr="003409C9">
              <w:rPr>
                <w:noProof/>
                <w:sz w:val="22"/>
              </w:rPr>
              <w:t>4</w:t>
            </w:r>
          </w:p>
        </w:tc>
        <w:tc>
          <w:tcPr>
            <w:tcW w:w="7817" w:type="dxa"/>
            <w:vAlign w:val="center"/>
          </w:tcPr>
          <w:p w:rsidR="00CD7E2F" w:rsidRPr="003409C9" w:rsidRDefault="00CD7E2F" w:rsidP="00EA0500">
            <w:pPr>
              <w:spacing w:before="60" w:after="60"/>
              <w:rPr>
                <w:noProof/>
              </w:rPr>
            </w:pPr>
            <w:r w:rsidRPr="003409C9">
              <w:rPr>
                <w:noProof/>
              </w:rPr>
              <w:t>Migracja</w:t>
            </w:r>
            <w:r w:rsidR="003409C9" w:rsidRPr="003409C9">
              <w:rPr>
                <w:noProof/>
              </w:rPr>
              <w:t xml:space="preserve"> i zar</w:t>
            </w:r>
            <w:r w:rsidRPr="003409C9">
              <w:rPr>
                <w:noProof/>
              </w:rPr>
              <w:t>ządzanie granicami</w:t>
            </w:r>
          </w:p>
        </w:tc>
      </w:tr>
    </w:tbl>
    <w:p w:rsidR="00CD7E2F" w:rsidRPr="003409C9" w:rsidRDefault="00CD7E2F" w:rsidP="00CD7E2F">
      <w:pPr>
        <w:rPr>
          <w:noProof/>
          <w:sz w:val="16"/>
        </w:rPr>
      </w:pPr>
    </w:p>
    <w:tbl>
      <w:tblPr>
        <w:tblW w:w="156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621"/>
        <w:gridCol w:w="1417"/>
        <w:gridCol w:w="567"/>
        <w:gridCol w:w="31"/>
        <w:gridCol w:w="678"/>
        <w:gridCol w:w="709"/>
        <w:gridCol w:w="709"/>
        <w:gridCol w:w="708"/>
        <w:gridCol w:w="709"/>
        <w:gridCol w:w="709"/>
        <w:gridCol w:w="709"/>
        <w:gridCol w:w="708"/>
        <w:gridCol w:w="709"/>
        <w:gridCol w:w="709"/>
        <w:gridCol w:w="709"/>
        <w:gridCol w:w="708"/>
        <w:gridCol w:w="709"/>
        <w:gridCol w:w="799"/>
      </w:tblGrid>
      <w:tr w:rsidR="000F0513" w:rsidRPr="003409C9" w:rsidTr="00855286">
        <w:tc>
          <w:tcPr>
            <w:tcW w:w="3621" w:type="dxa"/>
            <w:vAlign w:val="center"/>
          </w:tcPr>
          <w:p w:rsidR="000F0513" w:rsidRPr="003409C9" w:rsidRDefault="000F0513" w:rsidP="00855286">
            <w:pPr>
              <w:jc w:val="center"/>
              <w:rPr>
                <w:noProof/>
                <w:sz w:val="18"/>
                <w:szCs w:val="18"/>
              </w:rPr>
            </w:pPr>
            <w:r w:rsidRPr="003409C9">
              <w:rPr>
                <w:noProof/>
                <w:sz w:val="18"/>
              </w:rPr>
              <w:t>DG HOME</w:t>
            </w:r>
          </w:p>
        </w:tc>
        <w:tc>
          <w:tcPr>
            <w:tcW w:w="1417" w:type="dxa"/>
          </w:tcPr>
          <w:p w:rsidR="000F0513" w:rsidRPr="003409C9" w:rsidRDefault="000F0513" w:rsidP="00855286">
            <w:pPr>
              <w:rPr>
                <w:noProof/>
                <w:sz w:val="18"/>
                <w:szCs w:val="18"/>
              </w:rPr>
            </w:pPr>
          </w:p>
        </w:tc>
        <w:tc>
          <w:tcPr>
            <w:tcW w:w="567" w:type="dxa"/>
          </w:tcPr>
          <w:p w:rsidR="000F0513" w:rsidRPr="003409C9" w:rsidRDefault="000F0513" w:rsidP="00855286">
            <w:pPr>
              <w:jc w:val="center"/>
              <w:rPr>
                <w:noProof/>
                <w:sz w:val="18"/>
                <w:szCs w:val="18"/>
              </w:rPr>
            </w:pPr>
          </w:p>
        </w:tc>
        <w:tc>
          <w:tcPr>
            <w:tcW w:w="709" w:type="dxa"/>
            <w:gridSpan w:val="2"/>
            <w:vAlign w:val="center"/>
          </w:tcPr>
          <w:p w:rsidR="000F0513" w:rsidRPr="003409C9" w:rsidRDefault="000F0513" w:rsidP="00855286">
            <w:pPr>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2024</w:t>
            </w:r>
          </w:p>
        </w:tc>
        <w:tc>
          <w:tcPr>
            <w:tcW w:w="709" w:type="dxa"/>
            <w:vAlign w:val="center"/>
          </w:tcPr>
          <w:p w:rsidR="000F0513" w:rsidRPr="003409C9" w:rsidRDefault="000F0513" w:rsidP="00855286">
            <w:pPr>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2025</w:t>
            </w:r>
          </w:p>
        </w:tc>
        <w:tc>
          <w:tcPr>
            <w:tcW w:w="709" w:type="dxa"/>
            <w:vAlign w:val="center"/>
          </w:tcPr>
          <w:p w:rsidR="000F0513" w:rsidRPr="003409C9" w:rsidRDefault="000F0513" w:rsidP="00855286">
            <w:pPr>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2026</w:t>
            </w:r>
          </w:p>
        </w:tc>
        <w:tc>
          <w:tcPr>
            <w:tcW w:w="708" w:type="dxa"/>
            <w:vAlign w:val="center"/>
          </w:tcPr>
          <w:p w:rsidR="000F0513" w:rsidRPr="003409C9" w:rsidRDefault="000F0513" w:rsidP="00855286">
            <w:pPr>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2027</w:t>
            </w:r>
          </w:p>
        </w:tc>
        <w:tc>
          <w:tcPr>
            <w:tcW w:w="709" w:type="dxa"/>
            <w:shd w:val="clear" w:color="auto" w:fill="DAEEF3" w:themeFill="accent5" w:themeFillTint="33"/>
          </w:tcPr>
          <w:p w:rsidR="000F0513" w:rsidRPr="00BB07AF" w:rsidRDefault="000F0513" w:rsidP="00855286">
            <w:pPr>
              <w:rPr>
                <w:i/>
                <w:noProof/>
                <w:sz w:val="18"/>
                <w:szCs w:val="18"/>
              </w:rPr>
            </w:pPr>
            <w:r w:rsidRPr="00BB07AF">
              <w:rPr>
                <w:i/>
                <w:noProof/>
                <w:sz w:val="18"/>
              </w:rPr>
              <w:t>Ogółem</w:t>
            </w:r>
            <w:r w:rsidRPr="003409C9">
              <w:rPr>
                <w:noProof/>
              </w:rPr>
              <w:t xml:space="preserve"> </w:t>
            </w:r>
            <w:r w:rsidRPr="003409C9">
              <w:rPr>
                <w:noProof/>
              </w:rPr>
              <w:br/>
            </w:r>
            <w:r w:rsidRPr="00BB07AF">
              <w:rPr>
                <w:b/>
                <w:i/>
                <w:noProof/>
                <w:sz w:val="18"/>
              </w:rPr>
              <w:t>21-27</w:t>
            </w:r>
          </w:p>
        </w:tc>
        <w:tc>
          <w:tcPr>
            <w:tcW w:w="709" w:type="dxa"/>
            <w:vAlign w:val="center"/>
          </w:tcPr>
          <w:p w:rsidR="000F0513" w:rsidRPr="003409C9" w:rsidRDefault="000F0513" w:rsidP="00855286">
            <w:pPr>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2028</w:t>
            </w:r>
          </w:p>
        </w:tc>
        <w:tc>
          <w:tcPr>
            <w:tcW w:w="709" w:type="dxa"/>
            <w:vAlign w:val="center"/>
          </w:tcPr>
          <w:p w:rsidR="000F0513" w:rsidRPr="003409C9" w:rsidRDefault="000F0513" w:rsidP="00855286">
            <w:pPr>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2029</w:t>
            </w:r>
          </w:p>
        </w:tc>
        <w:tc>
          <w:tcPr>
            <w:tcW w:w="708" w:type="dxa"/>
            <w:vAlign w:val="center"/>
          </w:tcPr>
          <w:p w:rsidR="000F0513" w:rsidRPr="003409C9" w:rsidRDefault="000F0513" w:rsidP="00855286">
            <w:pPr>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2030</w:t>
            </w:r>
          </w:p>
        </w:tc>
        <w:tc>
          <w:tcPr>
            <w:tcW w:w="709" w:type="dxa"/>
            <w:vAlign w:val="center"/>
          </w:tcPr>
          <w:p w:rsidR="000F0513" w:rsidRPr="003409C9" w:rsidRDefault="000F0513" w:rsidP="00855286">
            <w:pPr>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2031</w:t>
            </w:r>
          </w:p>
        </w:tc>
        <w:tc>
          <w:tcPr>
            <w:tcW w:w="709" w:type="dxa"/>
            <w:vAlign w:val="center"/>
          </w:tcPr>
          <w:p w:rsidR="000F0513" w:rsidRPr="003409C9" w:rsidRDefault="000F0513" w:rsidP="00855286">
            <w:pPr>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2032</w:t>
            </w:r>
          </w:p>
        </w:tc>
        <w:tc>
          <w:tcPr>
            <w:tcW w:w="709" w:type="dxa"/>
            <w:vAlign w:val="center"/>
          </w:tcPr>
          <w:p w:rsidR="000F0513" w:rsidRPr="003409C9" w:rsidRDefault="000F0513" w:rsidP="00855286">
            <w:pPr>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2033</w:t>
            </w:r>
          </w:p>
        </w:tc>
        <w:tc>
          <w:tcPr>
            <w:tcW w:w="708" w:type="dxa"/>
            <w:vAlign w:val="center"/>
          </w:tcPr>
          <w:p w:rsidR="000F0513" w:rsidRPr="003409C9" w:rsidRDefault="000F0513" w:rsidP="00855286">
            <w:pPr>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2034</w:t>
            </w:r>
          </w:p>
        </w:tc>
        <w:tc>
          <w:tcPr>
            <w:tcW w:w="709" w:type="dxa"/>
          </w:tcPr>
          <w:p w:rsidR="000F0513" w:rsidRPr="00BB07AF" w:rsidRDefault="000F0513" w:rsidP="00855286">
            <w:pPr>
              <w:jc w:val="center"/>
              <w:rPr>
                <w:i/>
                <w:noProof/>
                <w:sz w:val="18"/>
                <w:szCs w:val="18"/>
              </w:rPr>
            </w:pPr>
            <w:r w:rsidRPr="00BB07AF">
              <w:rPr>
                <w:i/>
                <w:noProof/>
                <w:sz w:val="18"/>
              </w:rPr>
              <w:t>Ogółem 28-34</w:t>
            </w:r>
          </w:p>
        </w:tc>
        <w:tc>
          <w:tcPr>
            <w:tcW w:w="799" w:type="dxa"/>
            <w:vAlign w:val="center"/>
          </w:tcPr>
          <w:p w:rsidR="000F0513" w:rsidRPr="00BB07AF" w:rsidRDefault="000F0513" w:rsidP="00855286">
            <w:pPr>
              <w:jc w:val="center"/>
              <w:rPr>
                <w:b/>
                <w:noProof/>
                <w:sz w:val="18"/>
                <w:szCs w:val="18"/>
              </w:rPr>
            </w:pPr>
            <w:r w:rsidRPr="00BB07AF">
              <w:rPr>
                <w:b/>
                <w:noProof/>
                <w:sz w:val="18"/>
              </w:rPr>
              <w:t>OGÓŁEM</w:t>
            </w:r>
          </w:p>
        </w:tc>
      </w:tr>
      <w:tr w:rsidR="000F0513" w:rsidRPr="003409C9" w:rsidTr="00855286">
        <w:trPr>
          <w:gridAfter w:val="13"/>
          <w:wAfter w:w="9304" w:type="dxa"/>
          <w:trHeight w:val="213"/>
        </w:trPr>
        <w:tc>
          <w:tcPr>
            <w:tcW w:w="5605" w:type="dxa"/>
            <w:gridSpan w:val="3"/>
            <w:vAlign w:val="center"/>
          </w:tcPr>
          <w:p w:rsidR="000F0513" w:rsidRPr="003409C9" w:rsidRDefault="000F0513" w:rsidP="00855286">
            <w:pPr>
              <w:spacing w:before="20" w:after="20"/>
              <w:rPr>
                <w:noProof/>
                <w:sz w:val="18"/>
                <w:szCs w:val="18"/>
              </w:rPr>
            </w:pPr>
            <w:r w:rsidRPr="003409C9">
              <w:rPr>
                <w:noProof/>
                <w:sz w:val="18"/>
              </w:rPr>
              <w:sym w:font="Wingdings" w:char="F09F"/>
            </w:r>
            <w:r w:rsidRPr="003409C9">
              <w:rPr>
                <w:noProof/>
                <w:sz w:val="18"/>
              </w:rPr>
              <w:t xml:space="preserve"> Środki operacyjne </w:t>
            </w:r>
          </w:p>
        </w:tc>
        <w:tc>
          <w:tcPr>
            <w:tcW w:w="709" w:type="dxa"/>
            <w:gridSpan w:val="2"/>
          </w:tcPr>
          <w:p w:rsidR="000F0513" w:rsidRPr="003409C9" w:rsidRDefault="000F0513" w:rsidP="00855286">
            <w:pPr>
              <w:spacing w:before="20" w:after="20"/>
              <w:rPr>
                <w:noProof/>
                <w:sz w:val="18"/>
                <w:szCs w:val="18"/>
              </w:rPr>
            </w:pPr>
          </w:p>
        </w:tc>
      </w:tr>
      <w:tr w:rsidR="00415F9E" w:rsidRPr="003409C9" w:rsidTr="00855286">
        <w:trPr>
          <w:trHeight w:val="277"/>
        </w:trPr>
        <w:tc>
          <w:tcPr>
            <w:tcW w:w="3621" w:type="dxa"/>
            <w:vMerge w:val="restart"/>
            <w:vAlign w:val="center"/>
          </w:tcPr>
          <w:p w:rsidR="000F0513" w:rsidRPr="003409C9" w:rsidRDefault="000F0513" w:rsidP="00855286">
            <w:pPr>
              <w:rPr>
                <w:noProof/>
                <w:sz w:val="18"/>
                <w:szCs w:val="18"/>
              </w:rPr>
            </w:pPr>
            <w:r w:rsidRPr="003409C9">
              <w:rPr>
                <w:noProof/>
                <w:sz w:val="18"/>
              </w:rPr>
              <w:t>11 02 01 Instrument Wsparcia Finansowego na rzecz Zarządzania Granicami</w:t>
            </w:r>
            <w:r w:rsidR="003409C9" w:rsidRPr="003409C9">
              <w:rPr>
                <w:noProof/>
                <w:sz w:val="18"/>
              </w:rPr>
              <w:t xml:space="preserve"> i Pol</w:t>
            </w:r>
            <w:r w:rsidRPr="003409C9">
              <w:rPr>
                <w:noProof/>
                <w:sz w:val="18"/>
              </w:rPr>
              <w:t>ityki Wizowej (IZGW)</w:t>
            </w:r>
          </w:p>
        </w:tc>
        <w:tc>
          <w:tcPr>
            <w:tcW w:w="1417" w:type="dxa"/>
            <w:vAlign w:val="center"/>
          </w:tcPr>
          <w:p w:rsidR="000F0513" w:rsidRPr="003409C9" w:rsidRDefault="000F0513" w:rsidP="00855286">
            <w:pPr>
              <w:spacing w:before="20" w:after="20"/>
              <w:rPr>
                <w:noProof/>
                <w:sz w:val="18"/>
                <w:szCs w:val="18"/>
              </w:rPr>
            </w:pPr>
            <w:r w:rsidRPr="003409C9">
              <w:rPr>
                <w:noProof/>
                <w:sz w:val="18"/>
              </w:rPr>
              <w:t>Środki na zobowiązania</w:t>
            </w:r>
          </w:p>
        </w:tc>
        <w:tc>
          <w:tcPr>
            <w:tcW w:w="598" w:type="dxa"/>
            <w:gridSpan w:val="2"/>
            <w:vAlign w:val="center"/>
          </w:tcPr>
          <w:p w:rsidR="000F0513" w:rsidRPr="003409C9" w:rsidRDefault="000F0513" w:rsidP="00855286">
            <w:pPr>
              <w:spacing w:before="20" w:after="20"/>
              <w:jc w:val="center"/>
              <w:rPr>
                <w:noProof/>
                <w:sz w:val="14"/>
                <w:szCs w:val="16"/>
              </w:rPr>
            </w:pPr>
            <w:r w:rsidRPr="003409C9">
              <w:rPr>
                <w:noProof/>
                <w:sz w:val="14"/>
              </w:rPr>
              <w:t>(1a)</w:t>
            </w:r>
          </w:p>
        </w:tc>
        <w:tc>
          <w:tcPr>
            <w:tcW w:w="678" w:type="dxa"/>
            <w:vAlign w:val="center"/>
          </w:tcPr>
          <w:p w:rsidR="000F0513" w:rsidRPr="003409C9" w:rsidRDefault="000F0513" w:rsidP="00855286">
            <w:pPr>
              <w:spacing w:before="20" w:after="20"/>
              <w:jc w:val="right"/>
              <w:rPr>
                <w:noProof/>
                <w:sz w:val="18"/>
                <w:szCs w:val="18"/>
              </w:rPr>
            </w:pPr>
          </w:p>
        </w:tc>
        <w:tc>
          <w:tcPr>
            <w:tcW w:w="709" w:type="dxa"/>
            <w:vAlign w:val="center"/>
          </w:tcPr>
          <w:p w:rsidR="000F0513" w:rsidRPr="003409C9" w:rsidRDefault="000F0513" w:rsidP="00855286">
            <w:pPr>
              <w:spacing w:before="20" w:after="20"/>
              <w:jc w:val="right"/>
              <w:rPr>
                <w:noProof/>
                <w:sz w:val="18"/>
                <w:szCs w:val="18"/>
              </w:rPr>
            </w:pPr>
          </w:p>
        </w:tc>
        <w:tc>
          <w:tcPr>
            <w:tcW w:w="709" w:type="dxa"/>
            <w:vAlign w:val="center"/>
          </w:tcPr>
          <w:p w:rsidR="000F0513" w:rsidRPr="003409C9" w:rsidRDefault="000F0513" w:rsidP="00855286">
            <w:pPr>
              <w:spacing w:before="20" w:after="20"/>
              <w:jc w:val="right"/>
              <w:rPr>
                <w:noProof/>
                <w:sz w:val="18"/>
                <w:szCs w:val="18"/>
              </w:rPr>
            </w:pP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8,250</w:t>
            </w:r>
          </w:p>
        </w:tc>
        <w:tc>
          <w:tcPr>
            <w:tcW w:w="709" w:type="dxa"/>
            <w:shd w:val="clear" w:color="auto" w:fill="DAEEF3" w:themeFill="accent5" w:themeFillTint="33"/>
            <w:vAlign w:val="center"/>
          </w:tcPr>
          <w:p w:rsidR="000F0513" w:rsidRPr="00BB07AF" w:rsidRDefault="000F0513" w:rsidP="00855286">
            <w:pPr>
              <w:spacing w:before="20" w:after="20"/>
              <w:jc w:val="right"/>
              <w:rPr>
                <w:i/>
                <w:noProof/>
                <w:color w:val="000000"/>
                <w:sz w:val="18"/>
                <w:szCs w:val="18"/>
              </w:rPr>
            </w:pPr>
            <w:r w:rsidRPr="00BB07AF">
              <w:rPr>
                <w:i/>
                <w:noProof/>
                <w:sz w:val="18"/>
              </w:rPr>
              <w:t>8,250</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7,838</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9,075</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10,313</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5,363</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5,363</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5,363</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5,363</w:t>
            </w:r>
          </w:p>
        </w:tc>
        <w:tc>
          <w:tcPr>
            <w:tcW w:w="709" w:type="dxa"/>
            <w:shd w:val="clear" w:color="auto" w:fill="DBE5F1" w:themeFill="accent1" w:themeFillTint="33"/>
            <w:vAlign w:val="center"/>
          </w:tcPr>
          <w:p w:rsidR="000F0513" w:rsidRPr="00BB07AF" w:rsidRDefault="000F0513" w:rsidP="00855286">
            <w:pPr>
              <w:spacing w:before="0" w:after="0"/>
              <w:jc w:val="right"/>
              <w:rPr>
                <w:i/>
                <w:noProof/>
                <w:color w:val="000000"/>
                <w:sz w:val="18"/>
                <w:szCs w:val="18"/>
              </w:rPr>
            </w:pPr>
            <w:r w:rsidRPr="00BB07AF">
              <w:rPr>
                <w:i/>
                <w:noProof/>
                <w:sz w:val="18"/>
              </w:rPr>
              <w:t>48,675</w:t>
            </w:r>
          </w:p>
        </w:tc>
        <w:tc>
          <w:tcPr>
            <w:tcW w:w="799" w:type="dxa"/>
            <w:vAlign w:val="center"/>
          </w:tcPr>
          <w:p w:rsidR="000F0513" w:rsidRPr="00BB07AF" w:rsidRDefault="000F0513" w:rsidP="00855286">
            <w:pPr>
              <w:spacing w:before="20" w:after="20"/>
              <w:jc w:val="right"/>
              <w:rPr>
                <w:b/>
                <w:noProof/>
                <w:sz w:val="18"/>
                <w:szCs w:val="18"/>
              </w:rPr>
            </w:pPr>
            <w:r w:rsidRPr="00BB07AF">
              <w:rPr>
                <w:b/>
                <w:noProof/>
                <w:sz w:val="18"/>
              </w:rPr>
              <w:t>56,925</w:t>
            </w:r>
          </w:p>
        </w:tc>
      </w:tr>
      <w:tr w:rsidR="00415F9E" w:rsidRPr="003409C9" w:rsidTr="00855286">
        <w:tc>
          <w:tcPr>
            <w:tcW w:w="3621" w:type="dxa"/>
            <w:vMerge/>
          </w:tcPr>
          <w:p w:rsidR="000F0513" w:rsidRPr="003409C9" w:rsidRDefault="000F0513" w:rsidP="00855286">
            <w:pPr>
              <w:jc w:val="center"/>
              <w:rPr>
                <w:noProof/>
                <w:sz w:val="18"/>
                <w:szCs w:val="18"/>
              </w:rPr>
            </w:pPr>
          </w:p>
        </w:tc>
        <w:tc>
          <w:tcPr>
            <w:tcW w:w="1417" w:type="dxa"/>
            <w:vAlign w:val="center"/>
          </w:tcPr>
          <w:p w:rsidR="000F0513" w:rsidRPr="003409C9" w:rsidRDefault="000F0513" w:rsidP="00855286">
            <w:pPr>
              <w:spacing w:before="20" w:after="20"/>
              <w:rPr>
                <w:noProof/>
                <w:sz w:val="18"/>
                <w:szCs w:val="18"/>
              </w:rPr>
            </w:pPr>
            <w:r w:rsidRPr="003409C9">
              <w:rPr>
                <w:noProof/>
                <w:sz w:val="18"/>
              </w:rPr>
              <w:t>Środki na płatności</w:t>
            </w:r>
          </w:p>
        </w:tc>
        <w:tc>
          <w:tcPr>
            <w:tcW w:w="598" w:type="dxa"/>
            <w:gridSpan w:val="2"/>
            <w:vAlign w:val="center"/>
          </w:tcPr>
          <w:p w:rsidR="000F0513" w:rsidRPr="003409C9" w:rsidRDefault="000F0513" w:rsidP="00855286">
            <w:pPr>
              <w:spacing w:before="20" w:after="20"/>
              <w:jc w:val="center"/>
              <w:rPr>
                <w:noProof/>
                <w:sz w:val="14"/>
                <w:szCs w:val="16"/>
              </w:rPr>
            </w:pPr>
            <w:r w:rsidRPr="003409C9">
              <w:rPr>
                <w:noProof/>
                <w:sz w:val="14"/>
              </w:rPr>
              <w:t>(2a)</w:t>
            </w:r>
          </w:p>
        </w:tc>
        <w:tc>
          <w:tcPr>
            <w:tcW w:w="678" w:type="dxa"/>
            <w:vAlign w:val="center"/>
          </w:tcPr>
          <w:p w:rsidR="000F0513" w:rsidRPr="003409C9" w:rsidRDefault="000F0513" w:rsidP="00855286">
            <w:pPr>
              <w:spacing w:before="20" w:after="20"/>
              <w:jc w:val="right"/>
              <w:rPr>
                <w:noProof/>
                <w:sz w:val="18"/>
                <w:szCs w:val="18"/>
              </w:rPr>
            </w:pPr>
          </w:p>
        </w:tc>
        <w:tc>
          <w:tcPr>
            <w:tcW w:w="709" w:type="dxa"/>
            <w:vAlign w:val="center"/>
          </w:tcPr>
          <w:p w:rsidR="000F0513" w:rsidRPr="003409C9" w:rsidRDefault="000F0513" w:rsidP="00855286">
            <w:pPr>
              <w:spacing w:before="20" w:after="20"/>
              <w:jc w:val="right"/>
              <w:rPr>
                <w:noProof/>
                <w:sz w:val="18"/>
                <w:szCs w:val="18"/>
              </w:rPr>
            </w:pPr>
          </w:p>
        </w:tc>
        <w:tc>
          <w:tcPr>
            <w:tcW w:w="709" w:type="dxa"/>
            <w:vAlign w:val="center"/>
          </w:tcPr>
          <w:p w:rsidR="000F0513" w:rsidRPr="003409C9" w:rsidRDefault="000F0513" w:rsidP="00855286">
            <w:pPr>
              <w:spacing w:before="20" w:after="20"/>
              <w:jc w:val="right"/>
              <w:rPr>
                <w:noProof/>
                <w:sz w:val="18"/>
                <w:szCs w:val="18"/>
              </w:rPr>
            </w:pP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2,888</w:t>
            </w:r>
          </w:p>
        </w:tc>
        <w:tc>
          <w:tcPr>
            <w:tcW w:w="709" w:type="dxa"/>
            <w:shd w:val="clear" w:color="auto" w:fill="DAEEF3" w:themeFill="accent5" w:themeFillTint="33"/>
            <w:vAlign w:val="center"/>
          </w:tcPr>
          <w:p w:rsidR="000F0513" w:rsidRPr="00BB07AF" w:rsidRDefault="000F0513" w:rsidP="00855286">
            <w:pPr>
              <w:spacing w:before="20" w:after="20"/>
              <w:jc w:val="right"/>
              <w:rPr>
                <w:i/>
                <w:noProof/>
                <w:color w:val="000000"/>
                <w:sz w:val="18"/>
                <w:szCs w:val="18"/>
              </w:rPr>
            </w:pPr>
            <w:r w:rsidRPr="00BB07AF">
              <w:rPr>
                <w:i/>
                <w:noProof/>
                <w:sz w:val="18"/>
              </w:rPr>
              <w:t>2,888</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4,393</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6,394</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8,642</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7,734</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7,219</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6,538</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5,610</w:t>
            </w:r>
          </w:p>
        </w:tc>
        <w:tc>
          <w:tcPr>
            <w:tcW w:w="709" w:type="dxa"/>
            <w:shd w:val="clear" w:color="auto" w:fill="DBE5F1" w:themeFill="accent1" w:themeFillTint="33"/>
            <w:vAlign w:val="center"/>
          </w:tcPr>
          <w:p w:rsidR="000F0513" w:rsidRPr="00BB07AF" w:rsidRDefault="000F0513" w:rsidP="00855286">
            <w:pPr>
              <w:spacing w:before="0" w:after="0"/>
              <w:jc w:val="right"/>
              <w:rPr>
                <w:i/>
                <w:noProof/>
                <w:color w:val="000000"/>
                <w:sz w:val="18"/>
                <w:szCs w:val="18"/>
              </w:rPr>
            </w:pPr>
            <w:r w:rsidRPr="00BB07AF">
              <w:rPr>
                <w:i/>
                <w:noProof/>
                <w:sz w:val="18"/>
              </w:rPr>
              <w:t>46,530</w:t>
            </w:r>
          </w:p>
        </w:tc>
        <w:tc>
          <w:tcPr>
            <w:tcW w:w="799" w:type="dxa"/>
            <w:vAlign w:val="center"/>
          </w:tcPr>
          <w:p w:rsidR="000F0513" w:rsidRPr="00BB07AF" w:rsidRDefault="000F0513" w:rsidP="00855286">
            <w:pPr>
              <w:spacing w:before="20" w:after="20"/>
              <w:jc w:val="right"/>
              <w:rPr>
                <w:b/>
                <w:noProof/>
                <w:sz w:val="18"/>
                <w:szCs w:val="18"/>
              </w:rPr>
            </w:pPr>
            <w:r w:rsidRPr="00BB07AF">
              <w:rPr>
                <w:b/>
                <w:noProof/>
                <w:sz w:val="18"/>
              </w:rPr>
              <w:t>49,418</w:t>
            </w:r>
          </w:p>
        </w:tc>
      </w:tr>
      <w:tr w:rsidR="00415F9E" w:rsidRPr="003409C9" w:rsidTr="00855286">
        <w:trPr>
          <w:trHeight w:val="522"/>
        </w:trPr>
        <w:tc>
          <w:tcPr>
            <w:tcW w:w="3621" w:type="dxa"/>
            <w:vMerge w:val="restart"/>
            <w:vAlign w:val="center"/>
          </w:tcPr>
          <w:p w:rsidR="000F0513" w:rsidRPr="003409C9" w:rsidRDefault="000F0513" w:rsidP="00855286">
            <w:pPr>
              <w:rPr>
                <w:noProof/>
                <w:sz w:val="18"/>
                <w:szCs w:val="18"/>
              </w:rPr>
            </w:pPr>
            <w:r w:rsidRPr="003409C9">
              <w:rPr>
                <w:noProof/>
                <w:sz w:val="18"/>
              </w:rPr>
              <w:t>11 10 02 Agencja Unii Europejskiej ds. Zarządzania Operacyjnego Wielkoskalowymi Systemami Informatycznymi</w:t>
            </w:r>
            <w:r w:rsidR="003409C9" w:rsidRPr="003409C9">
              <w:rPr>
                <w:noProof/>
                <w:sz w:val="18"/>
              </w:rPr>
              <w:t xml:space="preserve"> w Prz</w:t>
            </w:r>
            <w:r w:rsidRPr="003409C9">
              <w:rPr>
                <w:noProof/>
                <w:sz w:val="18"/>
              </w:rPr>
              <w:t>estrzeni Wolności, Bezpieczeństwa</w:t>
            </w:r>
            <w:r w:rsidR="003409C9" w:rsidRPr="003409C9">
              <w:rPr>
                <w:noProof/>
                <w:sz w:val="18"/>
              </w:rPr>
              <w:t xml:space="preserve"> i Spr</w:t>
            </w:r>
            <w:r w:rsidRPr="003409C9">
              <w:rPr>
                <w:noProof/>
                <w:sz w:val="18"/>
              </w:rPr>
              <w:t>awiedliwości („eu-LISA”)</w:t>
            </w:r>
          </w:p>
        </w:tc>
        <w:tc>
          <w:tcPr>
            <w:tcW w:w="1417" w:type="dxa"/>
            <w:vAlign w:val="center"/>
          </w:tcPr>
          <w:p w:rsidR="000F0513" w:rsidRPr="003409C9" w:rsidRDefault="000F0513" w:rsidP="00855286">
            <w:pPr>
              <w:spacing w:before="20" w:after="20"/>
              <w:rPr>
                <w:noProof/>
                <w:sz w:val="18"/>
                <w:szCs w:val="18"/>
              </w:rPr>
            </w:pPr>
            <w:r w:rsidRPr="003409C9">
              <w:rPr>
                <w:noProof/>
                <w:sz w:val="18"/>
              </w:rPr>
              <w:t>Środki na zobowiązania</w:t>
            </w:r>
          </w:p>
        </w:tc>
        <w:tc>
          <w:tcPr>
            <w:tcW w:w="598" w:type="dxa"/>
            <w:gridSpan w:val="2"/>
            <w:vAlign w:val="center"/>
          </w:tcPr>
          <w:p w:rsidR="000F0513" w:rsidRPr="003409C9" w:rsidRDefault="000F0513" w:rsidP="00855286">
            <w:pPr>
              <w:spacing w:before="20" w:after="20"/>
              <w:jc w:val="center"/>
              <w:rPr>
                <w:noProof/>
                <w:sz w:val="14"/>
                <w:szCs w:val="16"/>
              </w:rPr>
            </w:pPr>
            <w:r w:rsidRPr="003409C9">
              <w:rPr>
                <w:noProof/>
                <w:sz w:val="14"/>
              </w:rPr>
              <w:t>(1b)</w:t>
            </w:r>
          </w:p>
        </w:tc>
        <w:tc>
          <w:tcPr>
            <w:tcW w:w="678" w:type="dxa"/>
            <w:vAlign w:val="center"/>
          </w:tcPr>
          <w:p w:rsidR="000F0513" w:rsidRPr="003409C9" w:rsidRDefault="000F0513" w:rsidP="00855286">
            <w:pPr>
              <w:spacing w:before="20" w:after="20"/>
              <w:jc w:val="right"/>
              <w:rPr>
                <w:noProof/>
                <w:sz w:val="18"/>
                <w:szCs w:val="18"/>
              </w:rPr>
            </w:pPr>
            <w:r w:rsidRPr="003409C9">
              <w:rPr>
                <w:noProof/>
                <w:sz w:val="18"/>
              </w:rPr>
              <w:t>0,157</w:t>
            </w:r>
          </w:p>
        </w:tc>
        <w:tc>
          <w:tcPr>
            <w:tcW w:w="709" w:type="dxa"/>
            <w:vAlign w:val="center"/>
          </w:tcPr>
          <w:p w:rsidR="000F0513" w:rsidRPr="003409C9" w:rsidRDefault="000F0513" w:rsidP="00855286">
            <w:pPr>
              <w:spacing w:before="20" w:after="20"/>
              <w:jc w:val="right"/>
              <w:rPr>
                <w:noProof/>
                <w:color w:val="000000"/>
                <w:sz w:val="18"/>
                <w:szCs w:val="18"/>
              </w:rPr>
            </w:pPr>
            <w:r w:rsidRPr="003409C9">
              <w:rPr>
                <w:noProof/>
                <w:sz w:val="18"/>
              </w:rPr>
              <w:t>2,597</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7,958</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22,865</w:t>
            </w:r>
          </w:p>
        </w:tc>
        <w:tc>
          <w:tcPr>
            <w:tcW w:w="709" w:type="dxa"/>
            <w:shd w:val="clear" w:color="auto" w:fill="DAEEF3" w:themeFill="accent5" w:themeFillTint="33"/>
            <w:vAlign w:val="center"/>
          </w:tcPr>
          <w:p w:rsidR="000F0513" w:rsidRPr="00BB07AF" w:rsidRDefault="000F0513" w:rsidP="00855286">
            <w:pPr>
              <w:spacing w:before="0" w:after="0"/>
              <w:jc w:val="right"/>
              <w:rPr>
                <w:i/>
                <w:noProof/>
                <w:color w:val="000000"/>
                <w:sz w:val="18"/>
                <w:szCs w:val="18"/>
              </w:rPr>
            </w:pPr>
            <w:r w:rsidRPr="00BB07AF">
              <w:rPr>
                <w:i/>
                <w:noProof/>
                <w:color w:val="000000"/>
                <w:sz w:val="18"/>
              </w:rPr>
              <w:t>33,577</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15,415</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9,168</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9,083</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9,083</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9,083</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9,083</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9,083</w:t>
            </w:r>
          </w:p>
        </w:tc>
        <w:tc>
          <w:tcPr>
            <w:tcW w:w="709" w:type="dxa"/>
            <w:shd w:val="clear" w:color="auto" w:fill="DBE5F1" w:themeFill="accent1" w:themeFillTint="33"/>
            <w:vAlign w:val="center"/>
          </w:tcPr>
          <w:p w:rsidR="000F0513" w:rsidRPr="00BB07AF" w:rsidRDefault="000F0513" w:rsidP="00855286">
            <w:pPr>
              <w:spacing w:before="0" w:after="0"/>
              <w:jc w:val="right"/>
              <w:rPr>
                <w:i/>
                <w:noProof/>
                <w:color w:val="000000"/>
                <w:sz w:val="18"/>
                <w:szCs w:val="18"/>
              </w:rPr>
            </w:pPr>
            <w:r w:rsidRPr="00BB07AF">
              <w:rPr>
                <w:i/>
                <w:noProof/>
                <w:sz w:val="18"/>
              </w:rPr>
              <w:t>69,998</w:t>
            </w:r>
          </w:p>
        </w:tc>
        <w:tc>
          <w:tcPr>
            <w:tcW w:w="799" w:type="dxa"/>
            <w:vAlign w:val="center"/>
          </w:tcPr>
          <w:p w:rsidR="000F0513" w:rsidRPr="00BB07AF" w:rsidRDefault="000F0513" w:rsidP="00855286">
            <w:pPr>
              <w:spacing w:before="0" w:after="0"/>
              <w:jc w:val="right"/>
              <w:rPr>
                <w:b/>
                <w:bCs/>
                <w:noProof/>
                <w:color w:val="000000"/>
                <w:sz w:val="18"/>
                <w:szCs w:val="18"/>
              </w:rPr>
            </w:pPr>
            <w:r w:rsidRPr="00BB07AF">
              <w:rPr>
                <w:b/>
                <w:noProof/>
                <w:sz w:val="18"/>
              </w:rPr>
              <w:t>103,575</w:t>
            </w:r>
          </w:p>
        </w:tc>
      </w:tr>
      <w:tr w:rsidR="00415F9E" w:rsidRPr="003409C9" w:rsidTr="00855286">
        <w:tc>
          <w:tcPr>
            <w:tcW w:w="3621" w:type="dxa"/>
            <w:vMerge/>
          </w:tcPr>
          <w:p w:rsidR="000F0513" w:rsidRPr="003409C9" w:rsidRDefault="000F0513" w:rsidP="00855286">
            <w:pPr>
              <w:jc w:val="center"/>
              <w:rPr>
                <w:noProof/>
                <w:sz w:val="18"/>
                <w:szCs w:val="18"/>
              </w:rPr>
            </w:pPr>
          </w:p>
        </w:tc>
        <w:tc>
          <w:tcPr>
            <w:tcW w:w="1417" w:type="dxa"/>
            <w:vAlign w:val="center"/>
          </w:tcPr>
          <w:p w:rsidR="000F0513" w:rsidRPr="003409C9" w:rsidRDefault="000F0513" w:rsidP="00855286">
            <w:pPr>
              <w:spacing w:before="20" w:after="20"/>
              <w:rPr>
                <w:noProof/>
                <w:sz w:val="18"/>
                <w:szCs w:val="18"/>
              </w:rPr>
            </w:pPr>
            <w:r w:rsidRPr="003409C9">
              <w:rPr>
                <w:noProof/>
                <w:sz w:val="18"/>
              </w:rPr>
              <w:t>Środki na płatności</w:t>
            </w:r>
          </w:p>
        </w:tc>
        <w:tc>
          <w:tcPr>
            <w:tcW w:w="598" w:type="dxa"/>
            <w:gridSpan w:val="2"/>
            <w:vAlign w:val="center"/>
          </w:tcPr>
          <w:p w:rsidR="000F0513" w:rsidRPr="003409C9" w:rsidRDefault="000F0513" w:rsidP="00855286">
            <w:pPr>
              <w:spacing w:before="20" w:after="20"/>
              <w:jc w:val="center"/>
              <w:rPr>
                <w:noProof/>
                <w:sz w:val="14"/>
                <w:szCs w:val="16"/>
              </w:rPr>
            </w:pPr>
            <w:r w:rsidRPr="003409C9">
              <w:rPr>
                <w:noProof/>
                <w:sz w:val="14"/>
              </w:rPr>
              <w:t>(2b)</w:t>
            </w:r>
          </w:p>
        </w:tc>
        <w:tc>
          <w:tcPr>
            <w:tcW w:w="678" w:type="dxa"/>
            <w:vAlign w:val="center"/>
          </w:tcPr>
          <w:p w:rsidR="000F0513" w:rsidRPr="003409C9" w:rsidRDefault="000F0513" w:rsidP="00855286">
            <w:pPr>
              <w:spacing w:before="20" w:after="20"/>
              <w:jc w:val="right"/>
              <w:rPr>
                <w:noProof/>
                <w:sz w:val="18"/>
                <w:szCs w:val="18"/>
              </w:rPr>
            </w:pPr>
            <w:r w:rsidRPr="003409C9">
              <w:rPr>
                <w:noProof/>
                <w:sz w:val="18"/>
              </w:rPr>
              <w:t>0,157</w:t>
            </w:r>
          </w:p>
        </w:tc>
        <w:tc>
          <w:tcPr>
            <w:tcW w:w="709" w:type="dxa"/>
            <w:vAlign w:val="center"/>
          </w:tcPr>
          <w:p w:rsidR="000F0513" w:rsidRPr="003409C9" w:rsidRDefault="000F0513" w:rsidP="00855286">
            <w:pPr>
              <w:spacing w:before="20" w:after="20"/>
              <w:jc w:val="right"/>
              <w:rPr>
                <w:noProof/>
                <w:color w:val="000000"/>
                <w:sz w:val="18"/>
                <w:szCs w:val="18"/>
              </w:rPr>
            </w:pPr>
            <w:r w:rsidRPr="003409C9">
              <w:rPr>
                <w:noProof/>
                <w:sz w:val="18"/>
              </w:rPr>
              <w:t>2,597</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7,958</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22,865</w:t>
            </w:r>
          </w:p>
        </w:tc>
        <w:tc>
          <w:tcPr>
            <w:tcW w:w="709" w:type="dxa"/>
            <w:shd w:val="clear" w:color="auto" w:fill="DAEEF3" w:themeFill="accent5" w:themeFillTint="33"/>
            <w:vAlign w:val="center"/>
          </w:tcPr>
          <w:p w:rsidR="000F0513" w:rsidRPr="00BB07AF" w:rsidRDefault="000F0513" w:rsidP="00855286">
            <w:pPr>
              <w:spacing w:before="0" w:after="0"/>
              <w:jc w:val="right"/>
              <w:rPr>
                <w:i/>
                <w:noProof/>
                <w:color w:val="000000"/>
                <w:sz w:val="18"/>
                <w:szCs w:val="18"/>
              </w:rPr>
            </w:pPr>
            <w:r w:rsidRPr="00BB07AF">
              <w:rPr>
                <w:i/>
                <w:noProof/>
                <w:color w:val="000000"/>
                <w:sz w:val="18"/>
              </w:rPr>
              <w:t>33,577</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15,415</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9,168</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9,083</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9,083</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9,083</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9,083</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9,083</w:t>
            </w:r>
          </w:p>
        </w:tc>
        <w:tc>
          <w:tcPr>
            <w:tcW w:w="709" w:type="dxa"/>
            <w:shd w:val="clear" w:color="auto" w:fill="DBE5F1" w:themeFill="accent1" w:themeFillTint="33"/>
            <w:vAlign w:val="center"/>
          </w:tcPr>
          <w:p w:rsidR="000F0513" w:rsidRPr="00BB07AF" w:rsidRDefault="000F0513" w:rsidP="00855286">
            <w:pPr>
              <w:spacing w:before="0" w:after="0"/>
              <w:jc w:val="right"/>
              <w:rPr>
                <w:i/>
                <w:noProof/>
                <w:color w:val="000000"/>
                <w:sz w:val="18"/>
                <w:szCs w:val="18"/>
              </w:rPr>
            </w:pPr>
            <w:r w:rsidRPr="00BB07AF">
              <w:rPr>
                <w:i/>
                <w:noProof/>
                <w:color w:val="000000"/>
                <w:sz w:val="18"/>
              </w:rPr>
              <w:t>69,998</w:t>
            </w:r>
          </w:p>
        </w:tc>
        <w:tc>
          <w:tcPr>
            <w:tcW w:w="799" w:type="dxa"/>
            <w:vAlign w:val="center"/>
          </w:tcPr>
          <w:p w:rsidR="000F0513" w:rsidRPr="00BB07AF" w:rsidRDefault="000F0513" w:rsidP="00855286">
            <w:pPr>
              <w:spacing w:before="0" w:after="0"/>
              <w:jc w:val="right"/>
              <w:rPr>
                <w:b/>
                <w:bCs/>
                <w:noProof/>
                <w:color w:val="000000"/>
                <w:sz w:val="18"/>
                <w:szCs w:val="18"/>
              </w:rPr>
            </w:pPr>
            <w:r w:rsidRPr="00BB07AF">
              <w:rPr>
                <w:b/>
                <w:noProof/>
                <w:color w:val="000000"/>
                <w:sz w:val="18"/>
              </w:rPr>
              <w:t>103,575</w:t>
            </w:r>
          </w:p>
        </w:tc>
      </w:tr>
      <w:tr w:rsidR="000F0513" w:rsidRPr="003409C9" w:rsidTr="00855286">
        <w:trPr>
          <w:trHeight w:val="231"/>
        </w:trPr>
        <w:tc>
          <w:tcPr>
            <w:tcW w:w="5605" w:type="dxa"/>
            <w:gridSpan w:val="3"/>
            <w:vAlign w:val="center"/>
          </w:tcPr>
          <w:p w:rsidR="000F0513" w:rsidRPr="003409C9" w:rsidRDefault="000F0513" w:rsidP="00855286">
            <w:pPr>
              <w:spacing w:before="20" w:after="20"/>
              <w:rPr>
                <w:noProof/>
                <w:sz w:val="18"/>
                <w:szCs w:val="18"/>
              </w:rPr>
            </w:pPr>
            <w:r w:rsidRPr="003409C9">
              <w:rPr>
                <w:noProof/>
                <w:sz w:val="18"/>
              </w:rPr>
              <w:t>Środki administracyjne finansowane ze środków przydzielonych na określone programy</w:t>
            </w:r>
            <w:r w:rsidRPr="003409C9">
              <w:rPr>
                <w:rStyle w:val="FootnoteReference0"/>
                <w:noProof/>
                <w:sz w:val="18"/>
                <w:szCs w:val="18"/>
              </w:rPr>
              <w:footnoteReference w:id="60"/>
            </w:r>
            <w:r w:rsidRPr="003409C9">
              <w:rPr>
                <w:noProof/>
                <w:sz w:val="18"/>
              </w:rPr>
              <w:t xml:space="preserve"> </w:t>
            </w:r>
          </w:p>
          <w:p w:rsidR="000F0513" w:rsidRPr="003409C9" w:rsidRDefault="000F0513" w:rsidP="00855286">
            <w:pPr>
              <w:spacing w:before="0" w:after="0"/>
              <w:rPr>
                <w:noProof/>
                <w:sz w:val="18"/>
                <w:szCs w:val="18"/>
              </w:rPr>
            </w:pPr>
          </w:p>
        </w:tc>
        <w:tc>
          <w:tcPr>
            <w:tcW w:w="709" w:type="dxa"/>
            <w:gridSpan w:val="2"/>
            <w:vAlign w:val="center"/>
          </w:tcPr>
          <w:p w:rsidR="000F0513" w:rsidRPr="003409C9" w:rsidRDefault="000F0513" w:rsidP="00855286">
            <w:pPr>
              <w:jc w:val="right"/>
              <w:rPr>
                <w:b/>
                <w:noProof/>
                <w:sz w:val="18"/>
                <w:szCs w:val="18"/>
              </w:rPr>
            </w:pPr>
          </w:p>
        </w:tc>
        <w:tc>
          <w:tcPr>
            <w:tcW w:w="709" w:type="dxa"/>
            <w:vAlign w:val="center"/>
          </w:tcPr>
          <w:p w:rsidR="000F0513" w:rsidRPr="003409C9" w:rsidRDefault="000F0513" w:rsidP="00855286">
            <w:pPr>
              <w:jc w:val="right"/>
              <w:rPr>
                <w:b/>
                <w:noProof/>
                <w:sz w:val="18"/>
                <w:szCs w:val="18"/>
              </w:rPr>
            </w:pPr>
          </w:p>
        </w:tc>
        <w:tc>
          <w:tcPr>
            <w:tcW w:w="709" w:type="dxa"/>
            <w:vAlign w:val="center"/>
          </w:tcPr>
          <w:p w:rsidR="000F0513" w:rsidRPr="003409C9" w:rsidRDefault="000F0513" w:rsidP="00855286">
            <w:pPr>
              <w:jc w:val="right"/>
              <w:rPr>
                <w:b/>
                <w:noProof/>
                <w:sz w:val="18"/>
                <w:szCs w:val="18"/>
              </w:rPr>
            </w:pPr>
          </w:p>
        </w:tc>
        <w:tc>
          <w:tcPr>
            <w:tcW w:w="708" w:type="dxa"/>
            <w:vAlign w:val="center"/>
          </w:tcPr>
          <w:p w:rsidR="000F0513" w:rsidRPr="00BB07AF" w:rsidRDefault="000F0513" w:rsidP="00855286">
            <w:pPr>
              <w:jc w:val="right"/>
              <w:rPr>
                <w:b/>
                <w:noProof/>
                <w:sz w:val="18"/>
                <w:szCs w:val="18"/>
              </w:rPr>
            </w:pPr>
          </w:p>
        </w:tc>
        <w:tc>
          <w:tcPr>
            <w:tcW w:w="709" w:type="dxa"/>
            <w:shd w:val="clear" w:color="auto" w:fill="DAEEF3" w:themeFill="accent5" w:themeFillTint="33"/>
            <w:vAlign w:val="center"/>
          </w:tcPr>
          <w:p w:rsidR="000F0513" w:rsidRPr="00BB07AF" w:rsidRDefault="000F0513" w:rsidP="00855286">
            <w:pPr>
              <w:jc w:val="right"/>
              <w:rPr>
                <w:b/>
                <w:i/>
                <w:noProof/>
                <w:sz w:val="18"/>
                <w:szCs w:val="18"/>
              </w:rPr>
            </w:pPr>
          </w:p>
        </w:tc>
        <w:tc>
          <w:tcPr>
            <w:tcW w:w="709" w:type="dxa"/>
            <w:vAlign w:val="center"/>
          </w:tcPr>
          <w:p w:rsidR="000F0513" w:rsidRPr="003409C9" w:rsidRDefault="000F0513" w:rsidP="00855286">
            <w:pPr>
              <w:jc w:val="right"/>
              <w:rPr>
                <w:b/>
                <w:noProof/>
                <w:sz w:val="18"/>
                <w:szCs w:val="18"/>
              </w:rPr>
            </w:pPr>
          </w:p>
        </w:tc>
        <w:tc>
          <w:tcPr>
            <w:tcW w:w="709" w:type="dxa"/>
            <w:vAlign w:val="center"/>
          </w:tcPr>
          <w:p w:rsidR="000F0513" w:rsidRPr="003409C9" w:rsidRDefault="000F0513" w:rsidP="00855286">
            <w:pPr>
              <w:jc w:val="right"/>
              <w:rPr>
                <w:b/>
                <w:noProof/>
                <w:sz w:val="18"/>
                <w:szCs w:val="18"/>
              </w:rPr>
            </w:pPr>
          </w:p>
        </w:tc>
        <w:tc>
          <w:tcPr>
            <w:tcW w:w="708" w:type="dxa"/>
            <w:vAlign w:val="center"/>
          </w:tcPr>
          <w:p w:rsidR="000F0513" w:rsidRPr="003409C9" w:rsidRDefault="000F0513" w:rsidP="00855286">
            <w:pPr>
              <w:jc w:val="right"/>
              <w:rPr>
                <w:b/>
                <w:noProof/>
                <w:sz w:val="18"/>
                <w:szCs w:val="18"/>
              </w:rPr>
            </w:pPr>
          </w:p>
        </w:tc>
        <w:tc>
          <w:tcPr>
            <w:tcW w:w="709" w:type="dxa"/>
            <w:vAlign w:val="center"/>
          </w:tcPr>
          <w:p w:rsidR="000F0513" w:rsidRPr="003409C9" w:rsidRDefault="000F0513" w:rsidP="00855286">
            <w:pPr>
              <w:jc w:val="right"/>
              <w:rPr>
                <w:b/>
                <w:noProof/>
                <w:sz w:val="18"/>
                <w:szCs w:val="18"/>
              </w:rPr>
            </w:pPr>
          </w:p>
        </w:tc>
        <w:tc>
          <w:tcPr>
            <w:tcW w:w="709" w:type="dxa"/>
            <w:vAlign w:val="center"/>
          </w:tcPr>
          <w:p w:rsidR="000F0513" w:rsidRPr="003409C9" w:rsidRDefault="000F0513" w:rsidP="00855286">
            <w:pPr>
              <w:jc w:val="right"/>
              <w:rPr>
                <w:b/>
                <w:noProof/>
                <w:sz w:val="18"/>
                <w:szCs w:val="18"/>
              </w:rPr>
            </w:pPr>
          </w:p>
        </w:tc>
        <w:tc>
          <w:tcPr>
            <w:tcW w:w="709" w:type="dxa"/>
            <w:vAlign w:val="center"/>
          </w:tcPr>
          <w:p w:rsidR="000F0513" w:rsidRPr="003409C9" w:rsidRDefault="000F0513" w:rsidP="00855286">
            <w:pPr>
              <w:jc w:val="right"/>
              <w:rPr>
                <w:b/>
                <w:noProof/>
                <w:sz w:val="18"/>
                <w:szCs w:val="18"/>
              </w:rPr>
            </w:pPr>
          </w:p>
        </w:tc>
        <w:tc>
          <w:tcPr>
            <w:tcW w:w="708" w:type="dxa"/>
            <w:vAlign w:val="center"/>
          </w:tcPr>
          <w:p w:rsidR="000F0513" w:rsidRPr="00BB07AF" w:rsidRDefault="000F0513" w:rsidP="00855286">
            <w:pPr>
              <w:jc w:val="right"/>
              <w:rPr>
                <w:b/>
                <w:noProof/>
                <w:sz w:val="18"/>
                <w:szCs w:val="18"/>
              </w:rPr>
            </w:pPr>
          </w:p>
        </w:tc>
        <w:tc>
          <w:tcPr>
            <w:tcW w:w="709" w:type="dxa"/>
            <w:shd w:val="clear" w:color="auto" w:fill="DBE5F1" w:themeFill="accent1" w:themeFillTint="33"/>
            <w:vAlign w:val="center"/>
          </w:tcPr>
          <w:p w:rsidR="000F0513" w:rsidRPr="00BB07AF" w:rsidRDefault="000F0513" w:rsidP="00855286">
            <w:pPr>
              <w:jc w:val="right"/>
              <w:rPr>
                <w:i/>
                <w:noProof/>
                <w:sz w:val="18"/>
                <w:szCs w:val="18"/>
              </w:rPr>
            </w:pPr>
          </w:p>
        </w:tc>
        <w:tc>
          <w:tcPr>
            <w:tcW w:w="799" w:type="dxa"/>
            <w:vAlign w:val="center"/>
          </w:tcPr>
          <w:p w:rsidR="000F0513" w:rsidRPr="00BB07AF" w:rsidRDefault="000F0513" w:rsidP="00855286">
            <w:pPr>
              <w:jc w:val="right"/>
              <w:rPr>
                <w:b/>
                <w:noProof/>
                <w:sz w:val="18"/>
                <w:szCs w:val="18"/>
              </w:rPr>
            </w:pPr>
          </w:p>
        </w:tc>
      </w:tr>
      <w:tr w:rsidR="00415F9E" w:rsidRPr="003409C9" w:rsidTr="00855286">
        <w:trPr>
          <w:trHeight w:val="319"/>
        </w:trPr>
        <w:tc>
          <w:tcPr>
            <w:tcW w:w="3621" w:type="dxa"/>
            <w:vAlign w:val="center"/>
          </w:tcPr>
          <w:p w:rsidR="000F0513" w:rsidRPr="003409C9" w:rsidRDefault="000F0513" w:rsidP="00855286">
            <w:pPr>
              <w:spacing w:before="60" w:after="60"/>
              <w:rPr>
                <w:noProof/>
                <w:sz w:val="18"/>
                <w:szCs w:val="18"/>
              </w:rPr>
            </w:pPr>
            <w:r w:rsidRPr="003409C9">
              <w:rPr>
                <w:noProof/>
                <w:sz w:val="18"/>
              </w:rPr>
              <w:t>Linia budżetowa</w:t>
            </w:r>
          </w:p>
        </w:tc>
        <w:tc>
          <w:tcPr>
            <w:tcW w:w="1417" w:type="dxa"/>
            <w:vAlign w:val="center"/>
          </w:tcPr>
          <w:p w:rsidR="000F0513" w:rsidRPr="003409C9" w:rsidRDefault="000F0513" w:rsidP="00855286">
            <w:pPr>
              <w:spacing w:before="40" w:after="40"/>
              <w:jc w:val="right"/>
              <w:rPr>
                <w:noProof/>
                <w:sz w:val="18"/>
                <w:szCs w:val="18"/>
              </w:rPr>
            </w:pPr>
          </w:p>
        </w:tc>
        <w:tc>
          <w:tcPr>
            <w:tcW w:w="598" w:type="dxa"/>
            <w:gridSpan w:val="2"/>
            <w:vAlign w:val="center"/>
          </w:tcPr>
          <w:p w:rsidR="000F0513" w:rsidRPr="003409C9" w:rsidRDefault="000F0513" w:rsidP="00855286">
            <w:pPr>
              <w:spacing w:before="40" w:after="40"/>
              <w:jc w:val="center"/>
              <w:rPr>
                <w:noProof/>
                <w:sz w:val="14"/>
                <w:szCs w:val="18"/>
              </w:rPr>
            </w:pPr>
            <w:r w:rsidRPr="003409C9">
              <w:rPr>
                <w:noProof/>
                <w:sz w:val="14"/>
              </w:rPr>
              <w:t>(3)</w:t>
            </w:r>
          </w:p>
        </w:tc>
        <w:tc>
          <w:tcPr>
            <w:tcW w:w="678" w:type="dxa"/>
            <w:vAlign w:val="center"/>
          </w:tcPr>
          <w:p w:rsidR="000F0513" w:rsidRPr="003409C9" w:rsidRDefault="000F0513" w:rsidP="00855286">
            <w:pPr>
              <w:spacing w:before="40" w:after="40"/>
              <w:jc w:val="right"/>
              <w:rPr>
                <w:b/>
                <w:noProof/>
                <w:sz w:val="18"/>
                <w:szCs w:val="18"/>
              </w:rPr>
            </w:pPr>
          </w:p>
        </w:tc>
        <w:tc>
          <w:tcPr>
            <w:tcW w:w="709" w:type="dxa"/>
            <w:vAlign w:val="center"/>
          </w:tcPr>
          <w:p w:rsidR="000F0513" w:rsidRPr="003409C9" w:rsidRDefault="000F0513" w:rsidP="00855286">
            <w:pPr>
              <w:spacing w:before="40" w:after="40"/>
              <w:jc w:val="right"/>
              <w:rPr>
                <w:b/>
                <w:noProof/>
                <w:sz w:val="18"/>
                <w:szCs w:val="18"/>
              </w:rPr>
            </w:pPr>
          </w:p>
        </w:tc>
        <w:tc>
          <w:tcPr>
            <w:tcW w:w="709" w:type="dxa"/>
            <w:vAlign w:val="center"/>
          </w:tcPr>
          <w:p w:rsidR="000F0513" w:rsidRPr="003409C9" w:rsidRDefault="000F0513" w:rsidP="00855286">
            <w:pPr>
              <w:spacing w:before="40" w:after="40"/>
              <w:jc w:val="right"/>
              <w:rPr>
                <w:b/>
                <w:noProof/>
                <w:sz w:val="18"/>
                <w:szCs w:val="18"/>
              </w:rPr>
            </w:pPr>
          </w:p>
        </w:tc>
        <w:tc>
          <w:tcPr>
            <w:tcW w:w="708" w:type="dxa"/>
            <w:vAlign w:val="center"/>
          </w:tcPr>
          <w:p w:rsidR="000F0513" w:rsidRPr="00BB07AF" w:rsidRDefault="000F0513" w:rsidP="00855286">
            <w:pPr>
              <w:spacing w:before="40" w:after="40"/>
              <w:jc w:val="right"/>
              <w:rPr>
                <w:b/>
                <w:noProof/>
                <w:sz w:val="18"/>
                <w:szCs w:val="18"/>
              </w:rPr>
            </w:pPr>
          </w:p>
        </w:tc>
        <w:tc>
          <w:tcPr>
            <w:tcW w:w="709" w:type="dxa"/>
            <w:shd w:val="clear" w:color="auto" w:fill="DAEEF3" w:themeFill="accent5" w:themeFillTint="33"/>
            <w:vAlign w:val="center"/>
          </w:tcPr>
          <w:p w:rsidR="000F0513" w:rsidRPr="00BB07AF" w:rsidRDefault="000F0513" w:rsidP="00855286">
            <w:pPr>
              <w:spacing w:before="40" w:after="40"/>
              <w:jc w:val="right"/>
              <w:rPr>
                <w:b/>
                <w:i/>
                <w:noProof/>
                <w:sz w:val="18"/>
                <w:szCs w:val="18"/>
              </w:rPr>
            </w:pPr>
          </w:p>
        </w:tc>
        <w:tc>
          <w:tcPr>
            <w:tcW w:w="709" w:type="dxa"/>
            <w:vAlign w:val="center"/>
          </w:tcPr>
          <w:p w:rsidR="000F0513" w:rsidRPr="003409C9" w:rsidRDefault="000F0513" w:rsidP="00855286">
            <w:pPr>
              <w:spacing w:before="40" w:after="40"/>
              <w:jc w:val="right"/>
              <w:rPr>
                <w:b/>
                <w:noProof/>
                <w:sz w:val="18"/>
                <w:szCs w:val="18"/>
              </w:rPr>
            </w:pPr>
          </w:p>
        </w:tc>
        <w:tc>
          <w:tcPr>
            <w:tcW w:w="709" w:type="dxa"/>
            <w:vAlign w:val="center"/>
          </w:tcPr>
          <w:p w:rsidR="000F0513" w:rsidRPr="003409C9" w:rsidRDefault="000F0513" w:rsidP="00855286">
            <w:pPr>
              <w:spacing w:before="40" w:after="40"/>
              <w:jc w:val="right"/>
              <w:rPr>
                <w:b/>
                <w:noProof/>
                <w:sz w:val="18"/>
                <w:szCs w:val="18"/>
              </w:rPr>
            </w:pPr>
          </w:p>
        </w:tc>
        <w:tc>
          <w:tcPr>
            <w:tcW w:w="708" w:type="dxa"/>
            <w:vAlign w:val="center"/>
          </w:tcPr>
          <w:p w:rsidR="000F0513" w:rsidRPr="003409C9" w:rsidRDefault="000F0513" w:rsidP="00855286">
            <w:pPr>
              <w:spacing w:before="40" w:after="40"/>
              <w:jc w:val="right"/>
              <w:rPr>
                <w:b/>
                <w:noProof/>
                <w:sz w:val="18"/>
                <w:szCs w:val="18"/>
              </w:rPr>
            </w:pPr>
          </w:p>
        </w:tc>
        <w:tc>
          <w:tcPr>
            <w:tcW w:w="709" w:type="dxa"/>
            <w:vAlign w:val="center"/>
          </w:tcPr>
          <w:p w:rsidR="000F0513" w:rsidRPr="003409C9" w:rsidRDefault="000F0513" w:rsidP="00855286">
            <w:pPr>
              <w:spacing w:before="40" w:after="40"/>
              <w:jc w:val="right"/>
              <w:rPr>
                <w:b/>
                <w:noProof/>
                <w:sz w:val="18"/>
                <w:szCs w:val="18"/>
              </w:rPr>
            </w:pPr>
          </w:p>
        </w:tc>
        <w:tc>
          <w:tcPr>
            <w:tcW w:w="709" w:type="dxa"/>
            <w:vAlign w:val="center"/>
          </w:tcPr>
          <w:p w:rsidR="000F0513" w:rsidRPr="003409C9" w:rsidRDefault="000F0513" w:rsidP="00855286">
            <w:pPr>
              <w:spacing w:before="40" w:after="40"/>
              <w:jc w:val="right"/>
              <w:rPr>
                <w:b/>
                <w:noProof/>
                <w:sz w:val="18"/>
                <w:szCs w:val="18"/>
              </w:rPr>
            </w:pPr>
          </w:p>
        </w:tc>
        <w:tc>
          <w:tcPr>
            <w:tcW w:w="709" w:type="dxa"/>
            <w:vAlign w:val="center"/>
          </w:tcPr>
          <w:p w:rsidR="000F0513" w:rsidRPr="003409C9" w:rsidRDefault="000F0513" w:rsidP="00855286">
            <w:pPr>
              <w:spacing w:before="40" w:after="40"/>
              <w:jc w:val="right"/>
              <w:rPr>
                <w:b/>
                <w:noProof/>
                <w:sz w:val="18"/>
                <w:szCs w:val="18"/>
              </w:rPr>
            </w:pPr>
          </w:p>
        </w:tc>
        <w:tc>
          <w:tcPr>
            <w:tcW w:w="708" w:type="dxa"/>
            <w:vAlign w:val="center"/>
          </w:tcPr>
          <w:p w:rsidR="000F0513" w:rsidRPr="00BB07AF" w:rsidRDefault="000F0513" w:rsidP="00855286">
            <w:pPr>
              <w:spacing w:before="40" w:after="40"/>
              <w:jc w:val="right"/>
              <w:rPr>
                <w:b/>
                <w:noProof/>
                <w:sz w:val="18"/>
                <w:szCs w:val="18"/>
              </w:rPr>
            </w:pPr>
          </w:p>
        </w:tc>
        <w:tc>
          <w:tcPr>
            <w:tcW w:w="709" w:type="dxa"/>
            <w:shd w:val="clear" w:color="auto" w:fill="DBE5F1" w:themeFill="accent1" w:themeFillTint="33"/>
            <w:vAlign w:val="center"/>
          </w:tcPr>
          <w:p w:rsidR="000F0513" w:rsidRPr="00BB07AF" w:rsidRDefault="000F0513" w:rsidP="00855286">
            <w:pPr>
              <w:spacing w:before="40" w:after="40"/>
              <w:jc w:val="right"/>
              <w:rPr>
                <w:i/>
                <w:noProof/>
                <w:sz w:val="18"/>
                <w:szCs w:val="18"/>
              </w:rPr>
            </w:pPr>
          </w:p>
        </w:tc>
        <w:tc>
          <w:tcPr>
            <w:tcW w:w="799" w:type="dxa"/>
            <w:vAlign w:val="center"/>
          </w:tcPr>
          <w:p w:rsidR="000F0513" w:rsidRPr="00BB07AF" w:rsidRDefault="000F0513" w:rsidP="00855286">
            <w:pPr>
              <w:spacing w:before="40" w:after="40"/>
              <w:jc w:val="right"/>
              <w:rPr>
                <w:b/>
                <w:noProof/>
                <w:sz w:val="18"/>
                <w:szCs w:val="18"/>
              </w:rPr>
            </w:pPr>
          </w:p>
        </w:tc>
      </w:tr>
      <w:tr w:rsidR="00415F9E" w:rsidRPr="003409C9" w:rsidTr="00855286">
        <w:tc>
          <w:tcPr>
            <w:tcW w:w="3621" w:type="dxa"/>
            <w:vMerge w:val="restart"/>
            <w:vAlign w:val="center"/>
          </w:tcPr>
          <w:p w:rsidR="000F0513" w:rsidRPr="00BB07AF" w:rsidRDefault="000F0513" w:rsidP="00855286">
            <w:pPr>
              <w:jc w:val="center"/>
              <w:rPr>
                <w:b/>
                <w:noProof/>
                <w:sz w:val="18"/>
                <w:szCs w:val="18"/>
              </w:rPr>
            </w:pPr>
            <w:r w:rsidRPr="00BB07AF">
              <w:rPr>
                <w:b/>
                <w:noProof/>
                <w:sz w:val="18"/>
              </w:rPr>
              <w:t>OGÓŁEM środki</w:t>
            </w:r>
            <w:r w:rsidRPr="003409C9">
              <w:rPr>
                <w:noProof/>
              </w:rPr>
              <w:t xml:space="preserve"> </w:t>
            </w:r>
            <w:r w:rsidRPr="003409C9">
              <w:rPr>
                <w:noProof/>
              </w:rPr>
              <w:br/>
            </w:r>
            <w:r w:rsidRPr="00BB07AF">
              <w:rPr>
                <w:b/>
                <w:noProof/>
                <w:sz w:val="18"/>
              </w:rPr>
              <w:t>dla DG HOME</w:t>
            </w:r>
          </w:p>
        </w:tc>
        <w:tc>
          <w:tcPr>
            <w:tcW w:w="1417" w:type="dxa"/>
            <w:vAlign w:val="center"/>
          </w:tcPr>
          <w:p w:rsidR="000F0513" w:rsidRPr="003409C9" w:rsidRDefault="000F0513" w:rsidP="00855286">
            <w:pPr>
              <w:rPr>
                <w:noProof/>
                <w:sz w:val="18"/>
                <w:szCs w:val="18"/>
              </w:rPr>
            </w:pPr>
            <w:r w:rsidRPr="003409C9">
              <w:rPr>
                <w:noProof/>
                <w:sz w:val="18"/>
              </w:rPr>
              <w:t>Środki na zobowiązania</w:t>
            </w:r>
          </w:p>
        </w:tc>
        <w:tc>
          <w:tcPr>
            <w:tcW w:w="598" w:type="dxa"/>
            <w:gridSpan w:val="2"/>
            <w:vAlign w:val="center"/>
          </w:tcPr>
          <w:p w:rsidR="000F0513" w:rsidRPr="003409C9" w:rsidRDefault="000F0513" w:rsidP="00855286">
            <w:pPr>
              <w:jc w:val="center"/>
              <w:rPr>
                <w:noProof/>
                <w:sz w:val="14"/>
                <w:szCs w:val="18"/>
              </w:rPr>
            </w:pPr>
            <w:r w:rsidRPr="003409C9">
              <w:rPr>
                <w:noProof/>
                <w:sz w:val="14"/>
              </w:rPr>
              <w:t>=1a+1b+3</w:t>
            </w:r>
          </w:p>
        </w:tc>
        <w:tc>
          <w:tcPr>
            <w:tcW w:w="678" w:type="dxa"/>
            <w:vAlign w:val="center"/>
          </w:tcPr>
          <w:p w:rsidR="000F0513" w:rsidRPr="003409C9" w:rsidRDefault="000F0513" w:rsidP="00855286">
            <w:pPr>
              <w:spacing w:before="20" w:after="20"/>
              <w:jc w:val="right"/>
              <w:rPr>
                <w:noProof/>
                <w:sz w:val="18"/>
                <w:szCs w:val="18"/>
              </w:rPr>
            </w:pPr>
            <w:r w:rsidRPr="003409C9">
              <w:rPr>
                <w:noProof/>
                <w:sz w:val="18"/>
              </w:rPr>
              <w:t>0,314</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3,993</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7,958</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31,115</w:t>
            </w:r>
          </w:p>
        </w:tc>
        <w:tc>
          <w:tcPr>
            <w:tcW w:w="709" w:type="dxa"/>
            <w:shd w:val="clear" w:color="auto" w:fill="DAEEF3" w:themeFill="accent5" w:themeFillTint="33"/>
            <w:vAlign w:val="center"/>
          </w:tcPr>
          <w:p w:rsidR="000F0513" w:rsidRPr="00BB07AF" w:rsidRDefault="000F0513" w:rsidP="00855286">
            <w:pPr>
              <w:spacing w:before="0" w:after="0"/>
              <w:jc w:val="right"/>
              <w:rPr>
                <w:i/>
                <w:noProof/>
                <w:color w:val="000000"/>
                <w:sz w:val="18"/>
                <w:szCs w:val="18"/>
              </w:rPr>
            </w:pPr>
            <w:r w:rsidRPr="00BB07AF">
              <w:rPr>
                <w:i/>
                <w:noProof/>
                <w:color w:val="000000"/>
                <w:sz w:val="18"/>
              </w:rPr>
              <w:t>41,827</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23,253</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18,243</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19,396</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14,446</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14,446</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14,446</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14,446</w:t>
            </w:r>
          </w:p>
        </w:tc>
        <w:tc>
          <w:tcPr>
            <w:tcW w:w="709" w:type="dxa"/>
            <w:shd w:val="clear" w:color="auto" w:fill="DBE5F1" w:themeFill="accent1" w:themeFillTint="33"/>
            <w:vAlign w:val="center"/>
          </w:tcPr>
          <w:p w:rsidR="000F0513" w:rsidRPr="00BB07AF" w:rsidRDefault="000F0513" w:rsidP="00855286">
            <w:pPr>
              <w:spacing w:before="20" w:after="20"/>
              <w:jc w:val="right"/>
              <w:rPr>
                <w:i/>
                <w:noProof/>
                <w:sz w:val="18"/>
                <w:szCs w:val="18"/>
              </w:rPr>
            </w:pPr>
            <w:r w:rsidRPr="00BB07AF">
              <w:rPr>
                <w:i/>
                <w:noProof/>
                <w:sz w:val="18"/>
              </w:rPr>
              <w:t>118,673</w:t>
            </w:r>
          </w:p>
        </w:tc>
        <w:tc>
          <w:tcPr>
            <w:tcW w:w="799" w:type="dxa"/>
            <w:vAlign w:val="center"/>
          </w:tcPr>
          <w:p w:rsidR="000F0513" w:rsidRPr="00BB07AF" w:rsidRDefault="000F0513" w:rsidP="00855286">
            <w:pPr>
              <w:spacing w:before="20" w:after="20"/>
              <w:jc w:val="right"/>
              <w:rPr>
                <w:b/>
                <w:noProof/>
                <w:sz w:val="18"/>
                <w:szCs w:val="18"/>
              </w:rPr>
            </w:pPr>
            <w:r w:rsidRPr="00BB07AF">
              <w:rPr>
                <w:b/>
                <w:noProof/>
                <w:sz w:val="18"/>
              </w:rPr>
              <w:t>160,500</w:t>
            </w:r>
          </w:p>
        </w:tc>
      </w:tr>
      <w:tr w:rsidR="00415F9E" w:rsidRPr="003409C9" w:rsidTr="00855286">
        <w:tc>
          <w:tcPr>
            <w:tcW w:w="3621" w:type="dxa"/>
            <w:vMerge/>
          </w:tcPr>
          <w:p w:rsidR="000F0513" w:rsidRPr="003409C9" w:rsidRDefault="000F0513" w:rsidP="00855286">
            <w:pPr>
              <w:rPr>
                <w:noProof/>
                <w:sz w:val="18"/>
                <w:szCs w:val="18"/>
              </w:rPr>
            </w:pPr>
          </w:p>
        </w:tc>
        <w:tc>
          <w:tcPr>
            <w:tcW w:w="1417" w:type="dxa"/>
            <w:vAlign w:val="center"/>
          </w:tcPr>
          <w:p w:rsidR="000F0513" w:rsidRPr="003409C9" w:rsidRDefault="000F0513" w:rsidP="00855286">
            <w:pPr>
              <w:rPr>
                <w:noProof/>
                <w:sz w:val="18"/>
                <w:szCs w:val="18"/>
              </w:rPr>
            </w:pPr>
            <w:r w:rsidRPr="003409C9">
              <w:rPr>
                <w:noProof/>
                <w:sz w:val="18"/>
              </w:rPr>
              <w:t>Środki na płatności</w:t>
            </w:r>
          </w:p>
        </w:tc>
        <w:tc>
          <w:tcPr>
            <w:tcW w:w="598" w:type="dxa"/>
            <w:gridSpan w:val="2"/>
            <w:vAlign w:val="center"/>
          </w:tcPr>
          <w:p w:rsidR="000F0513" w:rsidRPr="003409C9" w:rsidRDefault="000F0513" w:rsidP="00855286">
            <w:pPr>
              <w:jc w:val="center"/>
              <w:rPr>
                <w:noProof/>
                <w:sz w:val="14"/>
                <w:szCs w:val="18"/>
              </w:rPr>
            </w:pPr>
            <w:r w:rsidRPr="003409C9">
              <w:rPr>
                <w:noProof/>
                <w:sz w:val="14"/>
              </w:rPr>
              <w:t>=2a+2b</w:t>
            </w:r>
          </w:p>
          <w:p w:rsidR="000F0513" w:rsidRPr="003409C9" w:rsidRDefault="000F0513" w:rsidP="00855286">
            <w:pPr>
              <w:jc w:val="center"/>
              <w:rPr>
                <w:noProof/>
                <w:sz w:val="14"/>
                <w:szCs w:val="18"/>
              </w:rPr>
            </w:pPr>
            <w:r w:rsidRPr="003409C9">
              <w:rPr>
                <w:noProof/>
                <w:sz w:val="14"/>
              </w:rPr>
              <w:t>+3</w:t>
            </w:r>
          </w:p>
        </w:tc>
        <w:tc>
          <w:tcPr>
            <w:tcW w:w="678" w:type="dxa"/>
            <w:vAlign w:val="center"/>
          </w:tcPr>
          <w:p w:rsidR="000F0513" w:rsidRPr="003409C9" w:rsidRDefault="000F0513" w:rsidP="00855286">
            <w:pPr>
              <w:spacing w:before="20" w:after="20"/>
              <w:jc w:val="right"/>
              <w:rPr>
                <w:noProof/>
                <w:sz w:val="18"/>
                <w:szCs w:val="18"/>
              </w:rPr>
            </w:pPr>
            <w:r w:rsidRPr="003409C9">
              <w:rPr>
                <w:noProof/>
                <w:sz w:val="18"/>
              </w:rPr>
              <w:t>0,314</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3,993</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7,958</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25,753</w:t>
            </w:r>
          </w:p>
        </w:tc>
        <w:tc>
          <w:tcPr>
            <w:tcW w:w="709" w:type="dxa"/>
            <w:shd w:val="clear" w:color="auto" w:fill="DAEEF3" w:themeFill="accent5" w:themeFillTint="33"/>
            <w:vAlign w:val="center"/>
          </w:tcPr>
          <w:p w:rsidR="000F0513" w:rsidRPr="00BB07AF" w:rsidRDefault="000F0513" w:rsidP="00855286">
            <w:pPr>
              <w:spacing w:before="0" w:after="0"/>
              <w:jc w:val="right"/>
              <w:rPr>
                <w:i/>
                <w:noProof/>
                <w:color w:val="000000"/>
                <w:sz w:val="18"/>
                <w:szCs w:val="18"/>
              </w:rPr>
            </w:pPr>
            <w:r w:rsidRPr="00BB07AF">
              <w:rPr>
                <w:i/>
                <w:noProof/>
                <w:color w:val="000000"/>
                <w:sz w:val="18"/>
              </w:rPr>
              <w:t>36,464</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19,808</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15,562</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17,725</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16,817</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16,302</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15,621</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14,693</w:t>
            </w:r>
          </w:p>
        </w:tc>
        <w:tc>
          <w:tcPr>
            <w:tcW w:w="709" w:type="dxa"/>
            <w:shd w:val="clear" w:color="auto" w:fill="DBE5F1" w:themeFill="accent1" w:themeFillTint="33"/>
            <w:vAlign w:val="center"/>
          </w:tcPr>
          <w:p w:rsidR="000F0513" w:rsidRPr="00BB07AF" w:rsidRDefault="000F0513" w:rsidP="00855286">
            <w:pPr>
              <w:spacing w:before="20" w:after="20"/>
              <w:jc w:val="right"/>
              <w:rPr>
                <w:i/>
                <w:noProof/>
                <w:sz w:val="18"/>
                <w:szCs w:val="18"/>
              </w:rPr>
            </w:pPr>
            <w:r w:rsidRPr="00BB07AF">
              <w:rPr>
                <w:i/>
                <w:noProof/>
                <w:sz w:val="18"/>
              </w:rPr>
              <w:t>116,528</w:t>
            </w:r>
          </w:p>
        </w:tc>
        <w:tc>
          <w:tcPr>
            <w:tcW w:w="799" w:type="dxa"/>
            <w:vAlign w:val="center"/>
          </w:tcPr>
          <w:p w:rsidR="000F0513" w:rsidRPr="00BB07AF" w:rsidRDefault="000F0513" w:rsidP="00855286">
            <w:pPr>
              <w:spacing w:before="20" w:after="20"/>
              <w:jc w:val="right"/>
              <w:rPr>
                <w:b/>
                <w:noProof/>
                <w:sz w:val="18"/>
                <w:szCs w:val="18"/>
              </w:rPr>
            </w:pPr>
            <w:r w:rsidRPr="00BB07AF">
              <w:rPr>
                <w:b/>
                <w:noProof/>
                <w:sz w:val="18"/>
              </w:rPr>
              <w:t>152,992</w:t>
            </w:r>
          </w:p>
        </w:tc>
      </w:tr>
    </w:tbl>
    <w:p w:rsidR="00CD7E2F" w:rsidRPr="003409C9" w:rsidRDefault="00CD7E2F" w:rsidP="00CD7E2F">
      <w:pPr>
        <w:rPr>
          <w:noProof/>
          <w:sz w:val="18"/>
          <w:szCs w:val="18"/>
        </w:rPr>
      </w:pPr>
      <w:r w:rsidRPr="003409C9">
        <w:rPr>
          <w:noProof/>
        </w:rPr>
        <w:t xml:space="preserve"> </w:t>
      </w:r>
      <w:r w:rsidRPr="003409C9">
        <w:rPr>
          <w:noProof/>
        </w:rPr>
        <w:br/>
      </w:r>
    </w:p>
    <w:tbl>
      <w:tblPr>
        <w:tblW w:w="156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621"/>
        <w:gridCol w:w="1417"/>
        <w:gridCol w:w="567"/>
        <w:gridCol w:w="709"/>
        <w:gridCol w:w="709"/>
        <w:gridCol w:w="709"/>
        <w:gridCol w:w="708"/>
        <w:gridCol w:w="709"/>
        <w:gridCol w:w="709"/>
        <w:gridCol w:w="709"/>
        <w:gridCol w:w="708"/>
        <w:gridCol w:w="709"/>
        <w:gridCol w:w="709"/>
        <w:gridCol w:w="709"/>
        <w:gridCol w:w="708"/>
        <w:gridCol w:w="729"/>
        <w:gridCol w:w="779"/>
      </w:tblGrid>
      <w:tr w:rsidR="00415F9E" w:rsidRPr="003409C9" w:rsidTr="00855286">
        <w:trPr>
          <w:trHeight w:val="277"/>
        </w:trPr>
        <w:tc>
          <w:tcPr>
            <w:tcW w:w="3621" w:type="dxa"/>
            <w:vMerge w:val="restart"/>
            <w:vAlign w:val="center"/>
          </w:tcPr>
          <w:p w:rsidR="000F0513" w:rsidRPr="003409C9" w:rsidRDefault="000F0513" w:rsidP="00855286">
            <w:pPr>
              <w:spacing w:before="20" w:after="20"/>
              <w:rPr>
                <w:noProof/>
                <w:sz w:val="18"/>
                <w:szCs w:val="18"/>
              </w:rPr>
            </w:pPr>
            <w:r w:rsidRPr="003409C9">
              <w:rPr>
                <w:noProof/>
              </w:rPr>
              <w:br w:type="page"/>
            </w:r>
            <w:r w:rsidRPr="003409C9">
              <w:rPr>
                <w:noProof/>
                <w:sz w:val="18"/>
              </w:rPr>
              <w:sym w:font="Wingdings" w:char="F09F"/>
            </w:r>
            <w:r w:rsidRPr="003409C9">
              <w:rPr>
                <w:noProof/>
                <w:sz w:val="18"/>
              </w:rPr>
              <w:t xml:space="preserve"> OGÓŁEM środki operacyjne </w:t>
            </w:r>
          </w:p>
        </w:tc>
        <w:tc>
          <w:tcPr>
            <w:tcW w:w="1417" w:type="dxa"/>
            <w:vAlign w:val="center"/>
          </w:tcPr>
          <w:p w:rsidR="000F0513" w:rsidRPr="003409C9" w:rsidRDefault="000F0513" w:rsidP="00855286">
            <w:pPr>
              <w:spacing w:beforeLines="20" w:before="48" w:afterLines="20" w:after="48"/>
              <w:rPr>
                <w:noProof/>
                <w:sz w:val="18"/>
                <w:szCs w:val="18"/>
              </w:rPr>
            </w:pPr>
            <w:r w:rsidRPr="003409C9">
              <w:rPr>
                <w:noProof/>
                <w:sz w:val="18"/>
              </w:rPr>
              <w:t>Środki na zobowiązania</w:t>
            </w:r>
          </w:p>
        </w:tc>
        <w:tc>
          <w:tcPr>
            <w:tcW w:w="567" w:type="dxa"/>
            <w:vAlign w:val="center"/>
          </w:tcPr>
          <w:p w:rsidR="000F0513" w:rsidRPr="003409C9" w:rsidRDefault="000F0513" w:rsidP="00855286">
            <w:pPr>
              <w:spacing w:beforeLines="20" w:before="48" w:afterLines="20" w:after="48"/>
              <w:jc w:val="center"/>
              <w:rPr>
                <w:noProof/>
                <w:sz w:val="14"/>
                <w:szCs w:val="18"/>
              </w:rPr>
            </w:pPr>
            <w:r w:rsidRPr="003409C9">
              <w:rPr>
                <w:noProof/>
                <w:sz w:val="14"/>
              </w:rPr>
              <w:t>(4)</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0,314</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3,993</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7,958</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31,115</w:t>
            </w:r>
          </w:p>
        </w:tc>
        <w:tc>
          <w:tcPr>
            <w:tcW w:w="709" w:type="dxa"/>
            <w:shd w:val="clear" w:color="auto" w:fill="DAEEF3" w:themeFill="accent5" w:themeFillTint="33"/>
            <w:vAlign w:val="center"/>
          </w:tcPr>
          <w:p w:rsidR="000F0513" w:rsidRPr="00BB07AF" w:rsidRDefault="000F0513" w:rsidP="00855286">
            <w:pPr>
              <w:spacing w:before="0" w:after="0"/>
              <w:jc w:val="right"/>
              <w:rPr>
                <w:i/>
                <w:noProof/>
                <w:color w:val="000000"/>
                <w:sz w:val="18"/>
                <w:szCs w:val="18"/>
              </w:rPr>
            </w:pPr>
            <w:r w:rsidRPr="00BB07AF">
              <w:rPr>
                <w:i/>
                <w:noProof/>
                <w:color w:val="000000"/>
                <w:sz w:val="18"/>
              </w:rPr>
              <w:t>41,827</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23,253</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18,243</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19,396</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14,446</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14,446</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14,446</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14,446</w:t>
            </w:r>
          </w:p>
        </w:tc>
        <w:tc>
          <w:tcPr>
            <w:tcW w:w="729" w:type="dxa"/>
            <w:shd w:val="clear" w:color="auto" w:fill="DBE5F1" w:themeFill="accent1" w:themeFillTint="33"/>
            <w:vAlign w:val="center"/>
          </w:tcPr>
          <w:p w:rsidR="000F0513" w:rsidRPr="00BB07AF" w:rsidRDefault="000F0513" w:rsidP="00855286">
            <w:pPr>
              <w:spacing w:before="20" w:after="20"/>
              <w:jc w:val="right"/>
              <w:rPr>
                <w:i/>
                <w:noProof/>
                <w:sz w:val="18"/>
                <w:szCs w:val="18"/>
              </w:rPr>
            </w:pPr>
            <w:r w:rsidRPr="00BB07AF">
              <w:rPr>
                <w:i/>
                <w:noProof/>
                <w:sz w:val="18"/>
              </w:rPr>
              <w:t>118,673</w:t>
            </w:r>
          </w:p>
        </w:tc>
        <w:tc>
          <w:tcPr>
            <w:tcW w:w="779" w:type="dxa"/>
            <w:vAlign w:val="center"/>
          </w:tcPr>
          <w:p w:rsidR="000F0513" w:rsidRPr="00BB07AF" w:rsidRDefault="000F0513" w:rsidP="00855286">
            <w:pPr>
              <w:spacing w:before="20" w:after="20"/>
              <w:jc w:val="right"/>
              <w:rPr>
                <w:b/>
                <w:noProof/>
                <w:sz w:val="18"/>
                <w:szCs w:val="18"/>
              </w:rPr>
            </w:pPr>
            <w:r w:rsidRPr="00BB07AF">
              <w:rPr>
                <w:b/>
                <w:noProof/>
                <w:sz w:val="18"/>
              </w:rPr>
              <w:t>160,500</w:t>
            </w:r>
          </w:p>
        </w:tc>
      </w:tr>
      <w:tr w:rsidR="00415F9E" w:rsidRPr="003409C9" w:rsidTr="00855286">
        <w:tc>
          <w:tcPr>
            <w:tcW w:w="3621" w:type="dxa"/>
            <w:vMerge/>
          </w:tcPr>
          <w:p w:rsidR="000F0513" w:rsidRPr="003409C9" w:rsidRDefault="000F0513" w:rsidP="00855286">
            <w:pPr>
              <w:jc w:val="center"/>
              <w:rPr>
                <w:noProof/>
                <w:sz w:val="18"/>
                <w:szCs w:val="18"/>
              </w:rPr>
            </w:pPr>
          </w:p>
        </w:tc>
        <w:tc>
          <w:tcPr>
            <w:tcW w:w="1417" w:type="dxa"/>
            <w:vAlign w:val="center"/>
          </w:tcPr>
          <w:p w:rsidR="000F0513" w:rsidRPr="003409C9" w:rsidRDefault="000F0513" w:rsidP="00855286">
            <w:pPr>
              <w:spacing w:beforeLines="20" w:before="48" w:afterLines="20" w:after="48"/>
              <w:rPr>
                <w:noProof/>
                <w:sz w:val="18"/>
                <w:szCs w:val="18"/>
              </w:rPr>
            </w:pPr>
            <w:r w:rsidRPr="003409C9">
              <w:rPr>
                <w:noProof/>
                <w:sz w:val="18"/>
              </w:rPr>
              <w:t>Środki na płatności</w:t>
            </w:r>
          </w:p>
        </w:tc>
        <w:tc>
          <w:tcPr>
            <w:tcW w:w="567" w:type="dxa"/>
            <w:vAlign w:val="center"/>
          </w:tcPr>
          <w:p w:rsidR="000F0513" w:rsidRPr="003409C9" w:rsidRDefault="000F0513" w:rsidP="00855286">
            <w:pPr>
              <w:spacing w:beforeLines="20" w:before="48" w:afterLines="20" w:after="48"/>
              <w:jc w:val="center"/>
              <w:rPr>
                <w:noProof/>
                <w:sz w:val="14"/>
                <w:szCs w:val="18"/>
              </w:rPr>
            </w:pPr>
            <w:r w:rsidRPr="003409C9">
              <w:rPr>
                <w:noProof/>
                <w:sz w:val="14"/>
              </w:rPr>
              <w:t>(5)</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0,314</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3,993</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7,958</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25,753</w:t>
            </w:r>
          </w:p>
        </w:tc>
        <w:tc>
          <w:tcPr>
            <w:tcW w:w="709" w:type="dxa"/>
            <w:shd w:val="clear" w:color="auto" w:fill="DAEEF3" w:themeFill="accent5" w:themeFillTint="33"/>
            <w:vAlign w:val="center"/>
          </w:tcPr>
          <w:p w:rsidR="000F0513" w:rsidRPr="00BB07AF" w:rsidRDefault="000F0513" w:rsidP="00855286">
            <w:pPr>
              <w:spacing w:before="0" w:after="0"/>
              <w:jc w:val="right"/>
              <w:rPr>
                <w:i/>
                <w:noProof/>
                <w:sz w:val="18"/>
                <w:szCs w:val="18"/>
              </w:rPr>
            </w:pPr>
            <w:r w:rsidRPr="00BB07AF">
              <w:rPr>
                <w:i/>
                <w:noProof/>
                <w:color w:val="000000"/>
                <w:sz w:val="18"/>
              </w:rPr>
              <w:t>36,464</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19,808</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15,562</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17,725</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16,817</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16,302</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15,621</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14,693</w:t>
            </w:r>
          </w:p>
        </w:tc>
        <w:tc>
          <w:tcPr>
            <w:tcW w:w="729" w:type="dxa"/>
            <w:shd w:val="clear" w:color="auto" w:fill="DBE5F1" w:themeFill="accent1" w:themeFillTint="33"/>
            <w:vAlign w:val="center"/>
          </w:tcPr>
          <w:p w:rsidR="000F0513" w:rsidRPr="00BB07AF" w:rsidRDefault="000F0513" w:rsidP="00855286">
            <w:pPr>
              <w:spacing w:before="20" w:after="20"/>
              <w:jc w:val="right"/>
              <w:rPr>
                <w:i/>
                <w:noProof/>
                <w:sz w:val="18"/>
                <w:szCs w:val="18"/>
              </w:rPr>
            </w:pPr>
            <w:r w:rsidRPr="00BB07AF">
              <w:rPr>
                <w:i/>
                <w:noProof/>
                <w:sz w:val="18"/>
              </w:rPr>
              <w:t>116,528</w:t>
            </w:r>
          </w:p>
        </w:tc>
        <w:tc>
          <w:tcPr>
            <w:tcW w:w="779" w:type="dxa"/>
            <w:vAlign w:val="center"/>
          </w:tcPr>
          <w:p w:rsidR="000F0513" w:rsidRPr="00BB07AF" w:rsidRDefault="000F0513" w:rsidP="00855286">
            <w:pPr>
              <w:spacing w:before="20" w:after="20"/>
              <w:jc w:val="right"/>
              <w:rPr>
                <w:b/>
                <w:noProof/>
                <w:sz w:val="18"/>
                <w:szCs w:val="18"/>
              </w:rPr>
            </w:pPr>
            <w:r w:rsidRPr="00BB07AF">
              <w:rPr>
                <w:b/>
                <w:noProof/>
                <w:sz w:val="18"/>
              </w:rPr>
              <w:t>152,992</w:t>
            </w:r>
          </w:p>
        </w:tc>
      </w:tr>
      <w:tr w:rsidR="00415F9E" w:rsidRPr="003409C9" w:rsidTr="00855286">
        <w:trPr>
          <w:trHeight w:val="533"/>
        </w:trPr>
        <w:tc>
          <w:tcPr>
            <w:tcW w:w="5038" w:type="dxa"/>
            <w:gridSpan w:val="2"/>
            <w:vAlign w:val="center"/>
          </w:tcPr>
          <w:p w:rsidR="000F0513" w:rsidRPr="003409C9" w:rsidRDefault="000F0513" w:rsidP="00855286">
            <w:pPr>
              <w:spacing w:beforeLines="20" w:before="48" w:afterLines="20" w:after="48"/>
              <w:rPr>
                <w:noProof/>
                <w:sz w:val="18"/>
                <w:szCs w:val="18"/>
              </w:rPr>
            </w:pPr>
            <w:r w:rsidRPr="003409C9">
              <w:rPr>
                <w:noProof/>
                <w:sz w:val="18"/>
              </w:rPr>
              <w:sym w:font="Wingdings" w:char="F09F"/>
            </w:r>
            <w:r w:rsidRPr="003409C9">
              <w:rPr>
                <w:noProof/>
                <w:sz w:val="18"/>
              </w:rPr>
              <w:t xml:space="preserve"> OGÓŁEM środki administracyjne finansowane ze środków przydzielonych na określone programy </w:t>
            </w:r>
          </w:p>
        </w:tc>
        <w:tc>
          <w:tcPr>
            <w:tcW w:w="567" w:type="dxa"/>
            <w:vAlign w:val="center"/>
          </w:tcPr>
          <w:p w:rsidR="000F0513" w:rsidRPr="003409C9" w:rsidRDefault="000F0513" w:rsidP="00855286">
            <w:pPr>
              <w:spacing w:beforeLines="20" w:before="48" w:afterLines="20" w:after="48"/>
              <w:jc w:val="center"/>
              <w:rPr>
                <w:noProof/>
                <w:sz w:val="14"/>
                <w:szCs w:val="18"/>
              </w:rPr>
            </w:pPr>
            <w:r w:rsidRPr="003409C9">
              <w:rPr>
                <w:noProof/>
                <w:sz w:val="14"/>
              </w:rPr>
              <w:t>(6)</w:t>
            </w:r>
          </w:p>
        </w:tc>
        <w:tc>
          <w:tcPr>
            <w:tcW w:w="709" w:type="dxa"/>
            <w:vAlign w:val="bottom"/>
          </w:tcPr>
          <w:p w:rsidR="000F0513" w:rsidRPr="003409C9" w:rsidRDefault="000F0513" w:rsidP="00855286">
            <w:pPr>
              <w:spacing w:before="20" w:after="20"/>
              <w:jc w:val="right"/>
              <w:rPr>
                <w:b/>
                <w:noProof/>
                <w:sz w:val="18"/>
                <w:szCs w:val="18"/>
              </w:rPr>
            </w:pPr>
          </w:p>
        </w:tc>
        <w:tc>
          <w:tcPr>
            <w:tcW w:w="709" w:type="dxa"/>
            <w:vAlign w:val="bottom"/>
          </w:tcPr>
          <w:p w:rsidR="000F0513" w:rsidRPr="003409C9" w:rsidRDefault="000F0513" w:rsidP="00855286">
            <w:pPr>
              <w:spacing w:before="20" w:after="20"/>
              <w:jc w:val="right"/>
              <w:rPr>
                <w:b/>
                <w:noProof/>
                <w:sz w:val="18"/>
                <w:szCs w:val="18"/>
              </w:rPr>
            </w:pPr>
          </w:p>
        </w:tc>
        <w:tc>
          <w:tcPr>
            <w:tcW w:w="709" w:type="dxa"/>
            <w:vAlign w:val="bottom"/>
          </w:tcPr>
          <w:p w:rsidR="000F0513" w:rsidRPr="003409C9" w:rsidRDefault="000F0513" w:rsidP="00855286">
            <w:pPr>
              <w:spacing w:before="20" w:after="20"/>
              <w:jc w:val="right"/>
              <w:rPr>
                <w:b/>
                <w:noProof/>
                <w:sz w:val="18"/>
                <w:szCs w:val="18"/>
              </w:rPr>
            </w:pPr>
          </w:p>
        </w:tc>
        <w:tc>
          <w:tcPr>
            <w:tcW w:w="708" w:type="dxa"/>
            <w:vAlign w:val="bottom"/>
          </w:tcPr>
          <w:p w:rsidR="000F0513" w:rsidRPr="00BB07AF" w:rsidRDefault="000F0513" w:rsidP="00855286">
            <w:pPr>
              <w:spacing w:before="20" w:after="20"/>
              <w:jc w:val="right"/>
              <w:rPr>
                <w:b/>
                <w:noProof/>
                <w:sz w:val="18"/>
                <w:szCs w:val="18"/>
              </w:rPr>
            </w:pPr>
          </w:p>
        </w:tc>
        <w:tc>
          <w:tcPr>
            <w:tcW w:w="709" w:type="dxa"/>
            <w:shd w:val="clear" w:color="auto" w:fill="DAEEF3" w:themeFill="accent5" w:themeFillTint="33"/>
            <w:vAlign w:val="bottom"/>
          </w:tcPr>
          <w:p w:rsidR="000F0513" w:rsidRPr="00BB07AF" w:rsidRDefault="000F0513" w:rsidP="00855286">
            <w:pPr>
              <w:spacing w:before="20" w:after="20"/>
              <w:jc w:val="right"/>
              <w:rPr>
                <w:i/>
                <w:noProof/>
                <w:sz w:val="18"/>
                <w:szCs w:val="18"/>
              </w:rPr>
            </w:pPr>
          </w:p>
        </w:tc>
        <w:tc>
          <w:tcPr>
            <w:tcW w:w="709" w:type="dxa"/>
            <w:vAlign w:val="bottom"/>
          </w:tcPr>
          <w:p w:rsidR="000F0513" w:rsidRPr="003409C9" w:rsidRDefault="000F0513" w:rsidP="00855286">
            <w:pPr>
              <w:spacing w:before="20" w:after="20"/>
              <w:jc w:val="right"/>
              <w:rPr>
                <w:b/>
                <w:noProof/>
                <w:sz w:val="18"/>
                <w:szCs w:val="18"/>
              </w:rPr>
            </w:pPr>
          </w:p>
        </w:tc>
        <w:tc>
          <w:tcPr>
            <w:tcW w:w="709" w:type="dxa"/>
            <w:vAlign w:val="bottom"/>
          </w:tcPr>
          <w:p w:rsidR="000F0513" w:rsidRPr="003409C9" w:rsidRDefault="000F0513" w:rsidP="00855286">
            <w:pPr>
              <w:spacing w:before="20" w:after="20"/>
              <w:jc w:val="right"/>
              <w:rPr>
                <w:b/>
                <w:noProof/>
                <w:sz w:val="18"/>
                <w:szCs w:val="18"/>
              </w:rPr>
            </w:pPr>
          </w:p>
        </w:tc>
        <w:tc>
          <w:tcPr>
            <w:tcW w:w="708" w:type="dxa"/>
            <w:vAlign w:val="bottom"/>
          </w:tcPr>
          <w:p w:rsidR="000F0513" w:rsidRPr="003409C9" w:rsidRDefault="000F0513" w:rsidP="00855286">
            <w:pPr>
              <w:spacing w:before="20" w:after="20"/>
              <w:jc w:val="right"/>
              <w:rPr>
                <w:b/>
                <w:noProof/>
                <w:sz w:val="18"/>
                <w:szCs w:val="18"/>
              </w:rPr>
            </w:pPr>
          </w:p>
        </w:tc>
        <w:tc>
          <w:tcPr>
            <w:tcW w:w="709" w:type="dxa"/>
            <w:vAlign w:val="bottom"/>
          </w:tcPr>
          <w:p w:rsidR="000F0513" w:rsidRPr="003409C9" w:rsidRDefault="000F0513" w:rsidP="00855286">
            <w:pPr>
              <w:spacing w:before="20" w:after="20"/>
              <w:jc w:val="right"/>
              <w:rPr>
                <w:b/>
                <w:noProof/>
                <w:sz w:val="18"/>
                <w:szCs w:val="18"/>
              </w:rPr>
            </w:pPr>
          </w:p>
        </w:tc>
        <w:tc>
          <w:tcPr>
            <w:tcW w:w="709" w:type="dxa"/>
            <w:vAlign w:val="bottom"/>
          </w:tcPr>
          <w:p w:rsidR="000F0513" w:rsidRPr="003409C9" w:rsidRDefault="000F0513" w:rsidP="00855286">
            <w:pPr>
              <w:spacing w:before="20" w:after="20"/>
              <w:jc w:val="right"/>
              <w:rPr>
                <w:b/>
                <w:noProof/>
                <w:sz w:val="18"/>
                <w:szCs w:val="18"/>
              </w:rPr>
            </w:pPr>
          </w:p>
        </w:tc>
        <w:tc>
          <w:tcPr>
            <w:tcW w:w="709" w:type="dxa"/>
            <w:vAlign w:val="bottom"/>
          </w:tcPr>
          <w:p w:rsidR="000F0513" w:rsidRPr="003409C9" w:rsidRDefault="000F0513" w:rsidP="00855286">
            <w:pPr>
              <w:spacing w:before="20" w:after="20"/>
              <w:jc w:val="right"/>
              <w:rPr>
                <w:b/>
                <w:noProof/>
                <w:sz w:val="18"/>
                <w:szCs w:val="18"/>
              </w:rPr>
            </w:pPr>
          </w:p>
        </w:tc>
        <w:tc>
          <w:tcPr>
            <w:tcW w:w="708" w:type="dxa"/>
            <w:vAlign w:val="bottom"/>
          </w:tcPr>
          <w:p w:rsidR="000F0513" w:rsidRPr="00BB07AF" w:rsidRDefault="000F0513" w:rsidP="00855286">
            <w:pPr>
              <w:spacing w:before="20" w:after="20"/>
              <w:jc w:val="right"/>
              <w:rPr>
                <w:b/>
                <w:noProof/>
                <w:sz w:val="18"/>
                <w:szCs w:val="18"/>
              </w:rPr>
            </w:pPr>
          </w:p>
        </w:tc>
        <w:tc>
          <w:tcPr>
            <w:tcW w:w="729" w:type="dxa"/>
            <w:shd w:val="clear" w:color="auto" w:fill="DBE5F1" w:themeFill="accent1" w:themeFillTint="33"/>
            <w:vAlign w:val="bottom"/>
          </w:tcPr>
          <w:p w:rsidR="000F0513" w:rsidRPr="00BB07AF" w:rsidRDefault="000F0513" w:rsidP="00855286">
            <w:pPr>
              <w:spacing w:before="20" w:after="20"/>
              <w:jc w:val="right"/>
              <w:rPr>
                <w:i/>
                <w:noProof/>
                <w:sz w:val="18"/>
                <w:szCs w:val="18"/>
              </w:rPr>
            </w:pPr>
          </w:p>
        </w:tc>
        <w:tc>
          <w:tcPr>
            <w:tcW w:w="779" w:type="dxa"/>
            <w:vAlign w:val="bottom"/>
          </w:tcPr>
          <w:p w:rsidR="000F0513" w:rsidRPr="00BB07AF" w:rsidRDefault="000F0513" w:rsidP="00855286">
            <w:pPr>
              <w:spacing w:before="20" w:after="20"/>
              <w:jc w:val="right"/>
              <w:rPr>
                <w:b/>
                <w:noProof/>
                <w:sz w:val="18"/>
                <w:szCs w:val="18"/>
              </w:rPr>
            </w:pPr>
          </w:p>
        </w:tc>
      </w:tr>
      <w:tr w:rsidR="00415F9E" w:rsidRPr="003409C9" w:rsidTr="00855286">
        <w:tc>
          <w:tcPr>
            <w:tcW w:w="3621" w:type="dxa"/>
            <w:vMerge w:val="restart"/>
            <w:shd w:val="thinDiagStripe" w:color="C0C0C0" w:fill="auto"/>
            <w:vAlign w:val="center"/>
          </w:tcPr>
          <w:p w:rsidR="000F0513" w:rsidRPr="00BB07AF" w:rsidRDefault="000F0513" w:rsidP="00855286">
            <w:pPr>
              <w:jc w:val="center"/>
              <w:rPr>
                <w:b/>
                <w:noProof/>
                <w:sz w:val="18"/>
                <w:szCs w:val="18"/>
              </w:rPr>
            </w:pPr>
            <w:r w:rsidRPr="00BB07AF">
              <w:rPr>
                <w:b/>
                <w:noProof/>
                <w:sz w:val="18"/>
              </w:rPr>
              <w:t>OGÓŁEM środki</w:t>
            </w:r>
            <w:r w:rsidR="003B5A1D" w:rsidRPr="00BB07AF">
              <w:rPr>
                <w:b/>
                <w:noProof/>
                <w:sz w:val="18"/>
              </w:rPr>
              <w:t xml:space="preserve"> </w:t>
            </w:r>
            <w:r w:rsidRPr="003409C9">
              <w:rPr>
                <w:noProof/>
              </w:rPr>
              <w:br/>
            </w:r>
            <w:r w:rsidRPr="00BB07AF">
              <w:rPr>
                <w:b/>
                <w:noProof/>
                <w:sz w:val="18"/>
              </w:rPr>
              <w:t>na DZIAŁ 4</w:t>
            </w:r>
            <w:r w:rsidRPr="003409C9">
              <w:rPr>
                <w:noProof/>
              </w:rPr>
              <w:t xml:space="preserve"> </w:t>
            </w:r>
            <w:r w:rsidRPr="003409C9">
              <w:rPr>
                <w:noProof/>
              </w:rPr>
              <w:br/>
            </w:r>
            <w:r w:rsidRPr="003409C9">
              <w:rPr>
                <w:noProof/>
                <w:sz w:val="18"/>
              </w:rPr>
              <w:t>wieloletnich ram finansowych</w:t>
            </w:r>
          </w:p>
        </w:tc>
        <w:tc>
          <w:tcPr>
            <w:tcW w:w="1417" w:type="dxa"/>
            <w:vAlign w:val="center"/>
          </w:tcPr>
          <w:p w:rsidR="000F0513" w:rsidRPr="003409C9" w:rsidRDefault="000F0513" w:rsidP="00855286">
            <w:pPr>
              <w:rPr>
                <w:noProof/>
                <w:sz w:val="18"/>
                <w:szCs w:val="18"/>
              </w:rPr>
            </w:pPr>
            <w:r w:rsidRPr="003409C9">
              <w:rPr>
                <w:noProof/>
                <w:sz w:val="18"/>
              </w:rPr>
              <w:t>Środki na zobowiązania</w:t>
            </w:r>
          </w:p>
        </w:tc>
        <w:tc>
          <w:tcPr>
            <w:tcW w:w="567" w:type="dxa"/>
            <w:vAlign w:val="center"/>
          </w:tcPr>
          <w:p w:rsidR="000F0513" w:rsidRPr="003409C9" w:rsidRDefault="000F0513" w:rsidP="00855286">
            <w:pPr>
              <w:jc w:val="center"/>
              <w:rPr>
                <w:noProof/>
                <w:sz w:val="14"/>
                <w:szCs w:val="18"/>
              </w:rPr>
            </w:pPr>
            <w:r w:rsidRPr="003409C9">
              <w:rPr>
                <w:noProof/>
                <w:sz w:val="14"/>
              </w:rPr>
              <w:t>=4+6</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0,314</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3,993</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7,958</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31,115</w:t>
            </w:r>
          </w:p>
        </w:tc>
        <w:tc>
          <w:tcPr>
            <w:tcW w:w="709" w:type="dxa"/>
            <w:shd w:val="clear" w:color="auto" w:fill="DAEEF3" w:themeFill="accent5" w:themeFillTint="33"/>
            <w:vAlign w:val="center"/>
          </w:tcPr>
          <w:p w:rsidR="000F0513" w:rsidRPr="00BB07AF" w:rsidRDefault="000F0513" w:rsidP="00855286">
            <w:pPr>
              <w:spacing w:before="0" w:after="0"/>
              <w:jc w:val="right"/>
              <w:rPr>
                <w:i/>
                <w:noProof/>
                <w:color w:val="000000"/>
                <w:sz w:val="18"/>
                <w:szCs w:val="18"/>
              </w:rPr>
            </w:pPr>
            <w:r w:rsidRPr="00BB07AF">
              <w:rPr>
                <w:i/>
                <w:noProof/>
                <w:color w:val="000000"/>
                <w:sz w:val="18"/>
              </w:rPr>
              <w:t>41,827</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23,253</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18,243</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19,396</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14,446</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14,446</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14,446</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14,446</w:t>
            </w:r>
          </w:p>
        </w:tc>
        <w:tc>
          <w:tcPr>
            <w:tcW w:w="729" w:type="dxa"/>
            <w:shd w:val="clear" w:color="auto" w:fill="DBE5F1" w:themeFill="accent1" w:themeFillTint="33"/>
            <w:vAlign w:val="center"/>
          </w:tcPr>
          <w:p w:rsidR="000F0513" w:rsidRPr="00BB07AF" w:rsidRDefault="000F0513" w:rsidP="00855286">
            <w:pPr>
              <w:spacing w:before="20" w:after="20"/>
              <w:jc w:val="right"/>
              <w:rPr>
                <w:i/>
                <w:noProof/>
                <w:sz w:val="18"/>
                <w:szCs w:val="18"/>
              </w:rPr>
            </w:pPr>
            <w:r w:rsidRPr="00BB07AF">
              <w:rPr>
                <w:i/>
                <w:noProof/>
                <w:sz w:val="18"/>
              </w:rPr>
              <w:t>118,673</w:t>
            </w:r>
          </w:p>
        </w:tc>
        <w:tc>
          <w:tcPr>
            <w:tcW w:w="779" w:type="dxa"/>
            <w:vAlign w:val="center"/>
          </w:tcPr>
          <w:p w:rsidR="000F0513" w:rsidRPr="00BB07AF" w:rsidRDefault="000F0513" w:rsidP="00855286">
            <w:pPr>
              <w:spacing w:before="20" w:after="20"/>
              <w:jc w:val="right"/>
              <w:rPr>
                <w:b/>
                <w:noProof/>
                <w:sz w:val="18"/>
                <w:szCs w:val="18"/>
              </w:rPr>
            </w:pPr>
            <w:r w:rsidRPr="00BB07AF">
              <w:rPr>
                <w:b/>
                <w:noProof/>
                <w:sz w:val="18"/>
              </w:rPr>
              <w:t>160,500</w:t>
            </w:r>
          </w:p>
        </w:tc>
      </w:tr>
      <w:tr w:rsidR="00415F9E" w:rsidRPr="003409C9" w:rsidTr="00855286">
        <w:tc>
          <w:tcPr>
            <w:tcW w:w="3621" w:type="dxa"/>
            <w:vMerge/>
            <w:shd w:val="thinDiagStripe" w:color="C0C0C0" w:fill="auto"/>
          </w:tcPr>
          <w:p w:rsidR="000F0513" w:rsidRPr="003409C9" w:rsidRDefault="000F0513" w:rsidP="00855286">
            <w:pPr>
              <w:rPr>
                <w:noProof/>
                <w:sz w:val="18"/>
                <w:szCs w:val="18"/>
              </w:rPr>
            </w:pPr>
          </w:p>
        </w:tc>
        <w:tc>
          <w:tcPr>
            <w:tcW w:w="1417" w:type="dxa"/>
            <w:vAlign w:val="center"/>
          </w:tcPr>
          <w:p w:rsidR="000F0513" w:rsidRPr="003409C9" w:rsidRDefault="000F0513" w:rsidP="00855286">
            <w:pPr>
              <w:rPr>
                <w:noProof/>
                <w:sz w:val="18"/>
                <w:szCs w:val="18"/>
              </w:rPr>
            </w:pPr>
            <w:r w:rsidRPr="003409C9">
              <w:rPr>
                <w:noProof/>
                <w:sz w:val="18"/>
              </w:rPr>
              <w:t>Środki na płatności</w:t>
            </w:r>
          </w:p>
        </w:tc>
        <w:tc>
          <w:tcPr>
            <w:tcW w:w="567" w:type="dxa"/>
            <w:vAlign w:val="center"/>
          </w:tcPr>
          <w:p w:rsidR="000F0513" w:rsidRPr="003409C9" w:rsidRDefault="000F0513" w:rsidP="00855286">
            <w:pPr>
              <w:jc w:val="center"/>
              <w:rPr>
                <w:noProof/>
                <w:sz w:val="14"/>
                <w:szCs w:val="18"/>
              </w:rPr>
            </w:pPr>
            <w:r w:rsidRPr="003409C9">
              <w:rPr>
                <w:noProof/>
                <w:sz w:val="14"/>
              </w:rPr>
              <w:t>=5+ 6</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0,314</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3,993</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7,958</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25,753</w:t>
            </w:r>
          </w:p>
        </w:tc>
        <w:tc>
          <w:tcPr>
            <w:tcW w:w="709" w:type="dxa"/>
            <w:shd w:val="clear" w:color="auto" w:fill="DAEEF3" w:themeFill="accent5" w:themeFillTint="33"/>
            <w:vAlign w:val="center"/>
          </w:tcPr>
          <w:p w:rsidR="000F0513" w:rsidRPr="00BB07AF" w:rsidRDefault="000F0513" w:rsidP="00855286">
            <w:pPr>
              <w:spacing w:before="0" w:after="0"/>
              <w:jc w:val="right"/>
              <w:rPr>
                <w:i/>
                <w:noProof/>
                <w:sz w:val="18"/>
                <w:szCs w:val="18"/>
              </w:rPr>
            </w:pPr>
            <w:r w:rsidRPr="00BB07AF">
              <w:rPr>
                <w:i/>
                <w:noProof/>
                <w:color w:val="000000"/>
                <w:sz w:val="18"/>
              </w:rPr>
              <w:t>36,464</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19,808</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15,562</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17,725</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16,817</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16,302</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15,621</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14,693</w:t>
            </w:r>
          </w:p>
        </w:tc>
        <w:tc>
          <w:tcPr>
            <w:tcW w:w="729" w:type="dxa"/>
            <w:shd w:val="clear" w:color="auto" w:fill="DBE5F1" w:themeFill="accent1" w:themeFillTint="33"/>
            <w:vAlign w:val="center"/>
          </w:tcPr>
          <w:p w:rsidR="000F0513" w:rsidRPr="00BB07AF" w:rsidRDefault="000F0513" w:rsidP="00855286">
            <w:pPr>
              <w:spacing w:before="20" w:after="20"/>
              <w:jc w:val="right"/>
              <w:rPr>
                <w:i/>
                <w:noProof/>
                <w:sz w:val="18"/>
                <w:szCs w:val="18"/>
              </w:rPr>
            </w:pPr>
            <w:r w:rsidRPr="00BB07AF">
              <w:rPr>
                <w:i/>
                <w:noProof/>
                <w:sz w:val="18"/>
              </w:rPr>
              <w:t>116,528</w:t>
            </w:r>
          </w:p>
        </w:tc>
        <w:tc>
          <w:tcPr>
            <w:tcW w:w="779" w:type="dxa"/>
            <w:vAlign w:val="center"/>
          </w:tcPr>
          <w:p w:rsidR="000F0513" w:rsidRPr="00BB07AF" w:rsidRDefault="000F0513" w:rsidP="00855286">
            <w:pPr>
              <w:spacing w:before="20" w:after="20"/>
              <w:jc w:val="right"/>
              <w:rPr>
                <w:b/>
                <w:noProof/>
                <w:sz w:val="18"/>
                <w:szCs w:val="18"/>
              </w:rPr>
            </w:pPr>
            <w:r w:rsidRPr="00BB07AF">
              <w:rPr>
                <w:b/>
                <w:noProof/>
                <w:sz w:val="18"/>
              </w:rPr>
              <w:t>152,992</w:t>
            </w:r>
          </w:p>
        </w:tc>
      </w:tr>
    </w:tbl>
    <w:p w:rsidR="00CD7E2F" w:rsidRPr="00BB07AF" w:rsidRDefault="00CD7E2F" w:rsidP="00CD7E2F">
      <w:pPr>
        <w:spacing w:after="40"/>
        <w:rPr>
          <w:b/>
          <w:noProof/>
          <w:sz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D7E2F" w:rsidRPr="003409C9" w:rsidTr="00EA0500">
        <w:trPr>
          <w:jc w:val="center"/>
        </w:trPr>
        <w:tc>
          <w:tcPr>
            <w:tcW w:w="4744" w:type="dxa"/>
            <w:shd w:val="thinDiagStripe" w:color="C0C0C0" w:fill="auto"/>
            <w:vAlign w:val="center"/>
          </w:tcPr>
          <w:p w:rsidR="00CD7E2F" w:rsidRPr="00BB07AF" w:rsidRDefault="00CD7E2F" w:rsidP="00EA0500">
            <w:pPr>
              <w:spacing w:before="60" w:after="60"/>
              <w:jc w:val="center"/>
              <w:rPr>
                <w:b/>
                <w:noProof/>
              </w:rPr>
            </w:pPr>
            <w:r w:rsidRPr="00BB07AF">
              <w:rPr>
                <w:b/>
                <w:noProof/>
                <w:sz w:val="22"/>
              </w:rPr>
              <w:t>Dział</w:t>
            </w:r>
            <w:r w:rsidRPr="003409C9">
              <w:rPr>
                <w:noProof/>
              </w:rPr>
              <w:t xml:space="preserve"> </w:t>
            </w:r>
            <w:r w:rsidRPr="00BB07AF">
              <w:rPr>
                <w:b/>
                <w:noProof/>
                <w:sz w:val="22"/>
              </w:rPr>
              <w:t xml:space="preserve">wieloletnich ram finansowych </w:t>
            </w:r>
          </w:p>
        </w:tc>
        <w:tc>
          <w:tcPr>
            <w:tcW w:w="1080" w:type="dxa"/>
            <w:vAlign w:val="center"/>
          </w:tcPr>
          <w:p w:rsidR="00CD7E2F" w:rsidRPr="003409C9" w:rsidRDefault="00CD7E2F" w:rsidP="00EA0500">
            <w:pPr>
              <w:spacing w:before="60" w:after="60"/>
              <w:jc w:val="center"/>
              <w:rPr>
                <w:noProof/>
              </w:rPr>
            </w:pPr>
            <w:r w:rsidRPr="003409C9">
              <w:rPr>
                <w:noProof/>
                <w:sz w:val="22"/>
              </w:rPr>
              <w:t>5</w:t>
            </w:r>
          </w:p>
        </w:tc>
        <w:tc>
          <w:tcPr>
            <w:tcW w:w="7817" w:type="dxa"/>
            <w:vAlign w:val="center"/>
          </w:tcPr>
          <w:p w:rsidR="00CD7E2F" w:rsidRPr="003409C9" w:rsidRDefault="00CD7E2F" w:rsidP="00EA0500">
            <w:pPr>
              <w:spacing w:before="60" w:after="60"/>
              <w:rPr>
                <w:noProof/>
              </w:rPr>
            </w:pPr>
            <w:r w:rsidRPr="003409C9">
              <w:rPr>
                <w:noProof/>
              </w:rPr>
              <w:t>Bezpieczeństwo</w:t>
            </w:r>
            <w:r w:rsidR="003409C9" w:rsidRPr="003409C9">
              <w:rPr>
                <w:noProof/>
              </w:rPr>
              <w:t xml:space="preserve"> i obr</w:t>
            </w:r>
            <w:r w:rsidRPr="003409C9">
              <w:rPr>
                <w:noProof/>
              </w:rPr>
              <w:t>ona</w:t>
            </w:r>
          </w:p>
        </w:tc>
      </w:tr>
    </w:tbl>
    <w:p w:rsidR="00CD7E2F" w:rsidRPr="00BB07AF" w:rsidRDefault="00CD7E2F" w:rsidP="00CD7E2F">
      <w:pPr>
        <w:spacing w:after="40"/>
        <w:rPr>
          <w:b/>
          <w:noProof/>
          <w:sz w:val="22"/>
          <w:u w:val="single"/>
        </w:rPr>
      </w:pPr>
    </w:p>
    <w:tbl>
      <w:tblPr>
        <w:tblW w:w="156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86"/>
        <w:gridCol w:w="1418"/>
        <w:gridCol w:w="901"/>
        <w:gridCol w:w="31"/>
        <w:gridCol w:w="678"/>
        <w:gridCol w:w="709"/>
        <w:gridCol w:w="709"/>
        <w:gridCol w:w="708"/>
        <w:gridCol w:w="709"/>
        <w:gridCol w:w="709"/>
        <w:gridCol w:w="709"/>
        <w:gridCol w:w="708"/>
        <w:gridCol w:w="709"/>
        <w:gridCol w:w="709"/>
        <w:gridCol w:w="709"/>
        <w:gridCol w:w="708"/>
        <w:gridCol w:w="729"/>
        <w:gridCol w:w="779"/>
      </w:tblGrid>
      <w:tr w:rsidR="00415F9E" w:rsidRPr="003409C9" w:rsidTr="00855286">
        <w:tc>
          <w:tcPr>
            <w:tcW w:w="3286" w:type="dxa"/>
            <w:vAlign w:val="center"/>
          </w:tcPr>
          <w:p w:rsidR="000F0513" w:rsidRPr="003409C9" w:rsidRDefault="000F0513" w:rsidP="00855286">
            <w:pPr>
              <w:jc w:val="center"/>
              <w:rPr>
                <w:noProof/>
              </w:rPr>
            </w:pPr>
            <w:r w:rsidRPr="003409C9">
              <w:rPr>
                <w:noProof/>
                <w:sz w:val="22"/>
              </w:rPr>
              <w:t>DG HOME</w:t>
            </w:r>
          </w:p>
        </w:tc>
        <w:tc>
          <w:tcPr>
            <w:tcW w:w="1418" w:type="dxa"/>
          </w:tcPr>
          <w:p w:rsidR="000F0513" w:rsidRPr="003409C9" w:rsidRDefault="000F0513" w:rsidP="00855286">
            <w:pPr>
              <w:rPr>
                <w:noProof/>
                <w:sz w:val="20"/>
              </w:rPr>
            </w:pPr>
          </w:p>
        </w:tc>
        <w:tc>
          <w:tcPr>
            <w:tcW w:w="901" w:type="dxa"/>
          </w:tcPr>
          <w:p w:rsidR="000F0513" w:rsidRPr="003409C9" w:rsidRDefault="000F0513" w:rsidP="00855286">
            <w:pPr>
              <w:jc w:val="center"/>
              <w:rPr>
                <w:noProof/>
                <w:sz w:val="20"/>
              </w:rPr>
            </w:pPr>
          </w:p>
        </w:tc>
        <w:tc>
          <w:tcPr>
            <w:tcW w:w="709" w:type="dxa"/>
            <w:gridSpan w:val="2"/>
            <w:vAlign w:val="center"/>
          </w:tcPr>
          <w:p w:rsidR="000F0513" w:rsidRPr="003409C9" w:rsidRDefault="000F0513" w:rsidP="00855286">
            <w:pPr>
              <w:jc w:val="center"/>
              <w:rPr>
                <w:noProof/>
                <w:sz w:val="20"/>
                <w:szCs w:val="20"/>
              </w:rPr>
            </w:pPr>
            <w:r w:rsidRPr="003409C9">
              <w:rPr>
                <w:noProof/>
                <w:sz w:val="20"/>
              </w:rPr>
              <w:t>Rok</w:t>
            </w:r>
            <w:r w:rsidRPr="003409C9">
              <w:rPr>
                <w:noProof/>
              </w:rPr>
              <w:t xml:space="preserve"> </w:t>
            </w:r>
            <w:r w:rsidRPr="003409C9">
              <w:rPr>
                <w:noProof/>
              </w:rPr>
              <w:br/>
            </w:r>
            <w:r w:rsidRPr="00BB07AF">
              <w:rPr>
                <w:b/>
                <w:noProof/>
                <w:sz w:val="20"/>
              </w:rPr>
              <w:t>2024</w:t>
            </w:r>
          </w:p>
        </w:tc>
        <w:tc>
          <w:tcPr>
            <w:tcW w:w="709" w:type="dxa"/>
            <w:vAlign w:val="center"/>
          </w:tcPr>
          <w:p w:rsidR="000F0513" w:rsidRPr="003409C9" w:rsidRDefault="000F0513" w:rsidP="00855286">
            <w:pPr>
              <w:jc w:val="center"/>
              <w:rPr>
                <w:noProof/>
                <w:sz w:val="20"/>
                <w:szCs w:val="20"/>
              </w:rPr>
            </w:pPr>
            <w:r w:rsidRPr="003409C9">
              <w:rPr>
                <w:noProof/>
                <w:sz w:val="20"/>
              </w:rPr>
              <w:t>Rok</w:t>
            </w:r>
            <w:r w:rsidRPr="003409C9">
              <w:rPr>
                <w:noProof/>
              </w:rPr>
              <w:t xml:space="preserve"> </w:t>
            </w:r>
            <w:r w:rsidRPr="003409C9">
              <w:rPr>
                <w:noProof/>
              </w:rPr>
              <w:br/>
            </w:r>
            <w:r w:rsidRPr="00BB07AF">
              <w:rPr>
                <w:b/>
                <w:noProof/>
                <w:sz w:val="20"/>
              </w:rPr>
              <w:t>2025</w:t>
            </w:r>
          </w:p>
        </w:tc>
        <w:tc>
          <w:tcPr>
            <w:tcW w:w="709" w:type="dxa"/>
            <w:vAlign w:val="center"/>
          </w:tcPr>
          <w:p w:rsidR="000F0513" w:rsidRPr="003409C9" w:rsidRDefault="000F0513" w:rsidP="00855286">
            <w:pPr>
              <w:jc w:val="center"/>
              <w:rPr>
                <w:noProof/>
                <w:sz w:val="20"/>
                <w:szCs w:val="20"/>
              </w:rPr>
            </w:pPr>
            <w:r w:rsidRPr="003409C9">
              <w:rPr>
                <w:noProof/>
                <w:sz w:val="20"/>
              </w:rPr>
              <w:t>Rok</w:t>
            </w:r>
            <w:r w:rsidRPr="003409C9">
              <w:rPr>
                <w:noProof/>
              </w:rPr>
              <w:t xml:space="preserve"> </w:t>
            </w:r>
            <w:r w:rsidRPr="003409C9">
              <w:rPr>
                <w:noProof/>
              </w:rPr>
              <w:br/>
            </w:r>
            <w:r w:rsidRPr="00BB07AF">
              <w:rPr>
                <w:b/>
                <w:noProof/>
                <w:sz w:val="20"/>
              </w:rPr>
              <w:t>2026</w:t>
            </w:r>
          </w:p>
        </w:tc>
        <w:tc>
          <w:tcPr>
            <w:tcW w:w="708" w:type="dxa"/>
            <w:vAlign w:val="center"/>
          </w:tcPr>
          <w:p w:rsidR="000F0513" w:rsidRPr="003409C9" w:rsidRDefault="000F0513" w:rsidP="00855286">
            <w:pPr>
              <w:jc w:val="center"/>
              <w:rPr>
                <w:noProof/>
                <w:sz w:val="20"/>
                <w:szCs w:val="20"/>
              </w:rPr>
            </w:pPr>
            <w:r w:rsidRPr="003409C9">
              <w:rPr>
                <w:noProof/>
                <w:sz w:val="20"/>
              </w:rPr>
              <w:t>Rok</w:t>
            </w:r>
            <w:r w:rsidRPr="003409C9">
              <w:rPr>
                <w:noProof/>
              </w:rPr>
              <w:t xml:space="preserve"> </w:t>
            </w:r>
            <w:r w:rsidRPr="003409C9">
              <w:rPr>
                <w:noProof/>
              </w:rPr>
              <w:br/>
            </w:r>
            <w:r w:rsidRPr="00BB07AF">
              <w:rPr>
                <w:b/>
                <w:noProof/>
                <w:sz w:val="20"/>
              </w:rPr>
              <w:t>2027</w:t>
            </w:r>
          </w:p>
        </w:tc>
        <w:tc>
          <w:tcPr>
            <w:tcW w:w="709" w:type="dxa"/>
            <w:shd w:val="clear" w:color="auto" w:fill="DAEEF3" w:themeFill="accent5" w:themeFillTint="33"/>
          </w:tcPr>
          <w:p w:rsidR="000F0513" w:rsidRPr="003409C9" w:rsidRDefault="000F0513" w:rsidP="00855286">
            <w:pPr>
              <w:jc w:val="center"/>
              <w:rPr>
                <w:noProof/>
                <w:sz w:val="20"/>
                <w:szCs w:val="20"/>
              </w:rPr>
            </w:pPr>
            <w:r w:rsidRPr="00BB07AF">
              <w:rPr>
                <w:i/>
                <w:noProof/>
                <w:sz w:val="20"/>
              </w:rPr>
              <w:t>Ogółem</w:t>
            </w:r>
            <w:r w:rsidRPr="003409C9">
              <w:rPr>
                <w:noProof/>
              </w:rPr>
              <w:t xml:space="preserve"> </w:t>
            </w:r>
            <w:r w:rsidRPr="003409C9">
              <w:rPr>
                <w:noProof/>
              </w:rPr>
              <w:br/>
            </w:r>
            <w:r w:rsidRPr="00BB07AF">
              <w:rPr>
                <w:b/>
                <w:i/>
                <w:noProof/>
                <w:sz w:val="20"/>
              </w:rPr>
              <w:t>21-27</w:t>
            </w:r>
          </w:p>
        </w:tc>
        <w:tc>
          <w:tcPr>
            <w:tcW w:w="709" w:type="dxa"/>
            <w:vAlign w:val="center"/>
          </w:tcPr>
          <w:p w:rsidR="000F0513" w:rsidRPr="003409C9" w:rsidRDefault="000F0513" w:rsidP="00855286">
            <w:pPr>
              <w:jc w:val="center"/>
              <w:rPr>
                <w:noProof/>
                <w:sz w:val="20"/>
                <w:szCs w:val="20"/>
              </w:rPr>
            </w:pPr>
            <w:r w:rsidRPr="003409C9">
              <w:rPr>
                <w:noProof/>
                <w:sz w:val="20"/>
              </w:rPr>
              <w:t>Rok</w:t>
            </w:r>
            <w:r w:rsidRPr="003409C9">
              <w:rPr>
                <w:noProof/>
              </w:rPr>
              <w:t xml:space="preserve"> </w:t>
            </w:r>
            <w:r w:rsidRPr="003409C9">
              <w:rPr>
                <w:noProof/>
              </w:rPr>
              <w:br/>
            </w:r>
            <w:r w:rsidRPr="00BB07AF">
              <w:rPr>
                <w:b/>
                <w:noProof/>
                <w:sz w:val="20"/>
              </w:rPr>
              <w:t>2028</w:t>
            </w:r>
          </w:p>
        </w:tc>
        <w:tc>
          <w:tcPr>
            <w:tcW w:w="709" w:type="dxa"/>
            <w:vAlign w:val="center"/>
          </w:tcPr>
          <w:p w:rsidR="000F0513" w:rsidRPr="003409C9" w:rsidRDefault="000F0513" w:rsidP="00855286">
            <w:pPr>
              <w:jc w:val="center"/>
              <w:rPr>
                <w:noProof/>
                <w:sz w:val="20"/>
                <w:szCs w:val="20"/>
              </w:rPr>
            </w:pPr>
            <w:r w:rsidRPr="003409C9">
              <w:rPr>
                <w:noProof/>
                <w:sz w:val="20"/>
              </w:rPr>
              <w:t>Rok</w:t>
            </w:r>
            <w:r w:rsidRPr="003409C9">
              <w:rPr>
                <w:noProof/>
              </w:rPr>
              <w:t xml:space="preserve"> </w:t>
            </w:r>
            <w:r w:rsidRPr="003409C9">
              <w:rPr>
                <w:noProof/>
              </w:rPr>
              <w:br/>
            </w:r>
            <w:r w:rsidRPr="00BB07AF">
              <w:rPr>
                <w:b/>
                <w:noProof/>
                <w:sz w:val="20"/>
              </w:rPr>
              <w:t>2029</w:t>
            </w:r>
          </w:p>
        </w:tc>
        <w:tc>
          <w:tcPr>
            <w:tcW w:w="708" w:type="dxa"/>
            <w:vAlign w:val="center"/>
          </w:tcPr>
          <w:p w:rsidR="000F0513" w:rsidRPr="003409C9" w:rsidRDefault="000F0513" w:rsidP="00855286">
            <w:pPr>
              <w:jc w:val="center"/>
              <w:rPr>
                <w:noProof/>
                <w:sz w:val="20"/>
                <w:szCs w:val="20"/>
              </w:rPr>
            </w:pPr>
            <w:r w:rsidRPr="003409C9">
              <w:rPr>
                <w:noProof/>
                <w:sz w:val="20"/>
              </w:rPr>
              <w:t>Rok</w:t>
            </w:r>
            <w:r w:rsidRPr="003409C9">
              <w:rPr>
                <w:noProof/>
              </w:rPr>
              <w:t xml:space="preserve"> </w:t>
            </w:r>
            <w:r w:rsidRPr="003409C9">
              <w:rPr>
                <w:noProof/>
              </w:rPr>
              <w:br/>
            </w:r>
            <w:r w:rsidRPr="00BB07AF">
              <w:rPr>
                <w:b/>
                <w:noProof/>
                <w:sz w:val="20"/>
              </w:rPr>
              <w:t>2030</w:t>
            </w:r>
          </w:p>
        </w:tc>
        <w:tc>
          <w:tcPr>
            <w:tcW w:w="709" w:type="dxa"/>
            <w:vAlign w:val="center"/>
          </w:tcPr>
          <w:p w:rsidR="000F0513" w:rsidRPr="003409C9" w:rsidRDefault="000F0513" w:rsidP="00855286">
            <w:pPr>
              <w:jc w:val="center"/>
              <w:rPr>
                <w:noProof/>
                <w:sz w:val="20"/>
                <w:szCs w:val="20"/>
              </w:rPr>
            </w:pPr>
            <w:r w:rsidRPr="003409C9">
              <w:rPr>
                <w:noProof/>
                <w:sz w:val="20"/>
              </w:rPr>
              <w:t>Rok</w:t>
            </w:r>
            <w:r w:rsidRPr="003409C9">
              <w:rPr>
                <w:noProof/>
              </w:rPr>
              <w:t xml:space="preserve"> </w:t>
            </w:r>
            <w:r w:rsidRPr="003409C9">
              <w:rPr>
                <w:noProof/>
              </w:rPr>
              <w:br/>
            </w:r>
            <w:r w:rsidRPr="00BB07AF">
              <w:rPr>
                <w:b/>
                <w:noProof/>
                <w:sz w:val="20"/>
              </w:rPr>
              <w:t>2031</w:t>
            </w:r>
          </w:p>
        </w:tc>
        <w:tc>
          <w:tcPr>
            <w:tcW w:w="709" w:type="dxa"/>
            <w:vAlign w:val="center"/>
          </w:tcPr>
          <w:p w:rsidR="000F0513" w:rsidRPr="003409C9" w:rsidRDefault="000F0513" w:rsidP="00855286">
            <w:pPr>
              <w:jc w:val="center"/>
              <w:rPr>
                <w:noProof/>
                <w:sz w:val="20"/>
                <w:szCs w:val="20"/>
              </w:rPr>
            </w:pPr>
            <w:r w:rsidRPr="003409C9">
              <w:rPr>
                <w:noProof/>
                <w:sz w:val="20"/>
              </w:rPr>
              <w:t>Rok</w:t>
            </w:r>
            <w:r w:rsidRPr="003409C9">
              <w:rPr>
                <w:noProof/>
              </w:rPr>
              <w:t xml:space="preserve"> </w:t>
            </w:r>
            <w:r w:rsidRPr="003409C9">
              <w:rPr>
                <w:noProof/>
              </w:rPr>
              <w:br/>
            </w:r>
            <w:r w:rsidRPr="00BB07AF">
              <w:rPr>
                <w:b/>
                <w:noProof/>
                <w:sz w:val="20"/>
              </w:rPr>
              <w:t>2032</w:t>
            </w:r>
          </w:p>
        </w:tc>
        <w:tc>
          <w:tcPr>
            <w:tcW w:w="709" w:type="dxa"/>
            <w:vAlign w:val="center"/>
          </w:tcPr>
          <w:p w:rsidR="000F0513" w:rsidRPr="003409C9" w:rsidRDefault="000F0513" w:rsidP="00855286">
            <w:pPr>
              <w:jc w:val="center"/>
              <w:rPr>
                <w:noProof/>
                <w:sz w:val="20"/>
                <w:szCs w:val="20"/>
              </w:rPr>
            </w:pPr>
            <w:r w:rsidRPr="003409C9">
              <w:rPr>
                <w:noProof/>
                <w:sz w:val="20"/>
              </w:rPr>
              <w:t>Rok</w:t>
            </w:r>
            <w:r w:rsidRPr="003409C9">
              <w:rPr>
                <w:noProof/>
              </w:rPr>
              <w:t xml:space="preserve"> </w:t>
            </w:r>
            <w:r w:rsidRPr="003409C9">
              <w:rPr>
                <w:noProof/>
              </w:rPr>
              <w:br/>
            </w:r>
            <w:r w:rsidRPr="00BB07AF">
              <w:rPr>
                <w:b/>
                <w:noProof/>
                <w:sz w:val="20"/>
              </w:rPr>
              <w:t>2033</w:t>
            </w:r>
          </w:p>
        </w:tc>
        <w:tc>
          <w:tcPr>
            <w:tcW w:w="708" w:type="dxa"/>
            <w:vAlign w:val="center"/>
          </w:tcPr>
          <w:p w:rsidR="000F0513" w:rsidRPr="003409C9" w:rsidRDefault="000F0513" w:rsidP="00855286">
            <w:pPr>
              <w:jc w:val="center"/>
              <w:rPr>
                <w:noProof/>
                <w:sz w:val="20"/>
                <w:szCs w:val="20"/>
              </w:rPr>
            </w:pPr>
            <w:r w:rsidRPr="003409C9">
              <w:rPr>
                <w:noProof/>
                <w:sz w:val="20"/>
              </w:rPr>
              <w:t>Rok</w:t>
            </w:r>
            <w:r w:rsidRPr="003409C9">
              <w:rPr>
                <w:noProof/>
              </w:rPr>
              <w:t xml:space="preserve"> </w:t>
            </w:r>
            <w:r w:rsidRPr="003409C9">
              <w:rPr>
                <w:noProof/>
              </w:rPr>
              <w:br/>
            </w:r>
            <w:r w:rsidRPr="00BB07AF">
              <w:rPr>
                <w:b/>
                <w:noProof/>
                <w:sz w:val="20"/>
              </w:rPr>
              <w:t>2034</w:t>
            </w:r>
          </w:p>
        </w:tc>
        <w:tc>
          <w:tcPr>
            <w:tcW w:w="729" w:type="dxa"/>
            <w:shd w:val="clear" w:color="auto" w:fill="DBE5F1" w:themeFill="accent1" w:themeFillTint="33"/>
            <w:vAlign w:val="center"/>
          </w:tcPr>
          <w:p w:rsidR="000F0513" w:rsidRPr="00BB07AF" w:rsidRDefault="000F0513" w:rsidP="00855286">
            <w:pPr>
              <w:jc w:val="center"/>
              <w:rPr>
                <w:i/>
                <w:noProof/>
                <w:sz w:val="20"/>
                <w:szCs w:val="20"/>
              </w:rPr>
            </w:pPr>
            <w:r w:rsidRPr="00BB07AF">
              <w:rPr>
                <w:i/>
                <w:noProof/>
                <w:sz w:val="20"/>
              </w:rPr>
              <w:t>Ogółem 28-34</w:t>
            </w:r>
          </w:p>
        </w:tc>
        <w:tc>
          <w:tcPr>
            <w:tcW w:w="779" w:type="dxa"/>
            <w:vAlign w:val="center"/>
          </w:tcPr>
          <w:p w:rsidR="000F0513" w:rsidRPr="00BB07AF" w:rsidRDefault="000F0513" w:rsidP="00855286">
            <w:pPr>
              <w:jc w:val="center"/>
              <w:rPr>
                <w:b/>
                <w:noProof/>
                <w:sz w:val="20"/>
                <w:szCs w:val="20"/>
              </w:rPr>
            </w:pPr>
            <w:r w:rsidRPr="00BB07AF">
              <w:rPr>
                <w:b/>
                <w:noProof/>
                <w:sz w:val="20"/>
              </w:rPr>
              <w:t>OGÓŁEM</w:t>
            </w:r>
          </w:p>
        </w:tc>
      </w:tr>
      <w:tr w:rsidR="000F0513" w:rsidRPr="003409C9" w:rsidTr="00855286">
        <w:trPr>
          <w:gridAfter w:val="13"/>
          <w:wAfter w:w="9304" w:type="dxa"/>
          <w:trHeight w:val="213"/>
        </w:trPr>
        <w:tc>
          <w:tcPr>
            <w:tcW w:w="5605" w:type="dxa"/>
            <w:gridSpan w:val="3"/>
            <w:vAlign w:val="center"/>
          </w:tcPr>
          <w:p w:rsidR="000F0513" w:rsidRPr="003409C9" w:rsidRDefault="000F0513" w:rsidP="00855286">
            <w:pPr>
              <w:spacing w:before="20" w:after="20"/>
              <w:rPr>
                <w:noProof/>
                <w:sz w:val="21"/>
              </w:rPr>
            </w:pPr>
            <w:r w:rsidRPr="003409C9">
              <w:rPr>
                <w:noProof/>
                <w:sz w:val="21"/>
              </w:rPr>
              <w:sym w:font="Wingdings" w:char="F09F"/>
            </w:r>
            <w:r w:rsidRPr="003409C9">
              <w:rPr>
                <w:noProof/>
                <w:sz w:val="21"/>
              </w:rPr>
              <w:t xml:space="preserve"> Środki operacyjne </w:t>
            </w:r>
          </w:p>
        </w:tc>
        <w:tc>
          <w:tcPr>
            <w:tcW w:w="709" w:type="dxa"/>
            <w:gridSpan w:val="2"/>
          </w:tcPr>
          <w:p w:rsidR="000F0513" w:rsidRPr="003409C9" w:rsidRDefault="000F0513" w:rsidP="00855286">
            <w:pPr>
              <w:spacing w:before="20" w:after="20"/>
              <w:rPr>
                <w:noProof/>
                <w:sz w:val="21"/>
              </w:rPr>
            </w:pPr>
          </w:p>
        </w:tc>
      </w:tr>
      <w:tr w:rsidR="00415F9E" w:rsidRPr="003409C9" w:rsidTr="00855286">
        <w:trPr>
          <w:trHeight w:val="277"/>
        </w:trPr>
        <w:tc>
          <w:tcPr>
            <w:tcW w:w="3286" w:type="dxa"/>
            <w:vMerge w:val="restart"/>
            <w:vAlign w:val="center"/>
          </w:tcPr>
          <w:p w:rsidR="000F0513" w:rsidRPr="003409C9" w:rsidRDefault="000F0513" w:rsidP="00855286">
            <w:pPr>
              <w:rPr>
                <w:noProof/>
              </w:rPr>
            </w:pPr>
            <w:r w:rsidRPr="003409C9">
              <w:rPr>
                <w:noProof/>
                <w:sz w:val="20"/>
              </w:rPr>
              <w:t>12 02 01 Fundusz Bezpieczeństwa Wewnętrznego (FBW)</w:t>
            </w:r>
          </w:p>
        </w:tc>
        <w:tc>
          <w:tcPr>
            <w:tcW w:w="1418" w:type="dxa"/>
            <w:vAlign w:val="center"/>
          </w:tcPr>
          <w:p w:rsidR="000F0513" w:rsidRPr="003409C9" w:rsidRDefault="000F0513" w:rsidP="00855286">
            <w:pPr>
              <w:spacing w:before="20" w:after="20"/>
              <w:rPr>
                <w:noProof/>
                <w:sz w:val="18"/>
                <w:szCs w:val="18"/>
              </w:rPr>
            </w:pPr>
            <w:r w:rsidRPr="003409C9">
              <w:rPr>
                <w:noProof/>
                <w:sz w:val="18"/>
              </w:rPr>
              <w:t>Środki na zobowiązania</w:t>
            </w:r>
          </w:p>
        </w:tc>
        <w:tc>
          <w:tcPr>
            <w:tcW w:w="932" w:type="dxa"/>
            <w:gridSpan w:val="2"/>
            <w:vAlign w:val="center"/>
          </w:tcPr>
          <w:p w:rsidR="000F0513" w:rsidRPr="003409C9" w:rsidRDefault="000F0513" w:rsidP="00855286">
            <w:pPr>
              <w:spacing w:before="20" w:after="20"/>
              <w:jc w:val="center"/>
              <w:rPr>
                <w:noProof/>
                <w:sz w:val="14"/>
                <w:szCs w:val="18"/>
              </w:rPr>
            </w:pPr>
            <w:r w:rsidRPr="003409C9">
              <w:rPr>
                <w:noProof/>
                <w:sz w:val="14"/>
              </w:rPr>
              <w:t>(1a)</w:t>
            </w:r>
          </w:p>
        </w:tc>
        <w:tc>
          <w:tcPr>
            <w:tcW w:w="678" w:type="dxa"/>
            <w:vAlign w:val="center"/>
          </w:tcPr>
          <w:p w:rsidR="000F0513" w:rsidRPr="003409C9" w:rsidRDefault="000F0513" w:rsidP="00855286">
            <w:pPr>
              <w:spacing w:before="20" w:after="20"/>
              <w:jc w:val="right"/>
              <w:rPr>
                <w:noProof/>
                <w:sz w:val="18"/>
                <w:szCs w:val="18"/>
              </w:rPr>
            </w:pPr>
          </w:p>
        </w:tc>
        <w:tc>
          <w:tcPr>
            <w:tcW w:w="709" w:type="dxa"/>
            <w:vAlign w:val="center"/>
          </w:tcPr>
          <w:p w:rsidR="000F0513" w:rsidRPr="003409C9" w:rsidRDefault="000F0513" w:rsidP="00855286">
            <w:pPr>
              <w:spacing w:before="20" w:after="20"/>
              <w:jc w:val="right"/>
              <w:rPr>
                <w:noProof/>
                <w:sz w:val="18"/>
                <w:szCs w:val="18"/>
              </w:rPr>
            </w:pPr>
          </w:p>
        </w:tc>
        <w:tc>
          <w:tcPr>
            <w:tcW w:w="709" w:type="dxa"/>
            <w:vAlign w:val="center"/>
          </w:tcPr>
          <w:p w:rsidR="000F0513" w:rsidRPr="003409C9" w:rsidRDefault="000F0513" w:rsidP="00855286">
            <w:pPr>
              <w:spacing w:before="20" w:after="20"/>
              <w:jc w:val="right"/>
              <w:rPr>
                <w:noProof/>
                <w:sz w:val="18"/>
                <w:szCs w:val="18"/>
              </w:rPr>
            </w:pPr>
          </w:p>
        </w:tc>
        <w:tc>
          <w:tcPr>
            <w:tcW w:w="708" w:type="dxa"/>
            <w:vAlign w:val="center"/>
          </w:tcPr>
          <w:p w:rsidR="000F0513" w:rsidRPr="003409C9" w:rsidRDefault="000F0513" w:rsidP="00855286">
            <w:pPr>
              <w:spacing w:before="20" w:after="20"/>
              <w:jc w:val="right"/>
              <w:rPr>
                <w:noProof/>
                <w:sz w:val="18"/>
                <w:szCs w:val="18"/>
              </w:rPr>
            </w:pPr>
            <w:r w:rsidRPr="003409C9">
              <w:rPr>
                <w:noProof/>
                <w:color w:val="000000"/>
                <w:sz w:val="18"/>
              </w:rPr>
              <w:t>3,300</w:t>
            </w:r>
          </w:p>
        </w:tc>
        <w:tc>
          <w:tcPr>
            <w:tcW w:w="709" w:type="dxa"/>
            <w:shd w:val="clear" w:color="auto" w:fill="DAEEF3" w:themeFill="accent5" w:themeFillTint="33"/>
            <w:vAlign w:val="center"/>
          </w:tcPr>
          <w:p w:rsidR="000F0513" w:rsidRPr="00BB07AF" w:rsidRDefault="000F0513" w:rsidP="00855286">
            <w:pPr>
              <w:spacing w:before="20" w:after="20"/>
              <w:jc w:val="right"/>
              <w:rPr>
                <w:i/>
                <w:noProof/>
                <w:sz w:val="18"/>
                <w:szCs w:val="18"/>
              </w:rPr>
            </w:pPr>
            <w:r w:rsidRPr="00BB07AF">
              <w:rPr>
                <w:i/>
                <w:noProof/>
                <w:color w:val="000000"/>
                <w:sz w:val="18"/>
              </w:rPr>
              <w:t>3,300</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3,135</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3,630</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4,125</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2,145</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2,145</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2,145</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2,145</w:t>
            </w:r>
          </w:p>
        </w:tc>
        <w:tc>
          <w:tcPr>
            <w:tcW w:w="729" w:type="dxa"/>
            <w:shd w:val="clear" w:color="auto" w:fill="DBE5F1" w:themeFill="accent1" w:themeFillTint="33"/>
            <w:vAlign w:val="center"/>
          </w:tcPr>
          <w:p w:rsidR="000F0513" w:rsidRPr="00BB07AF" w:rsidRDefault="000F0513" w:rsidP="00855286">
            <w:pPr>
              <w:spacing w:before="0" w:after="0"/>
              <w:jc w:val="right"/>
              <w:rPr>
                <w:i/>
                <w:noProof/>
                <w:sz w:val="18"/>
                <w:szCs w:val="18"/>
              </w:rPr>
            </w:pPr>
            <w:r w:rsidRPr="003409C9">
              <w:rPr>
                <w:noProof/>
                <w:sz w:val="18"/>
              </w:rPr>
              <w:t>19,470</w:t>
            </w:r>
          </w:p>
        </w:tc>
        <w:tc>
          <w:tcPr>
            <w:tcW w:w="779" w:type="dxa"/>
            <w:vAlign w:val="center"/>
          </w:tcPr>
          <w:p w:rsidR="000F0513" w:rsidRPr="00BB07AF" w:rsidRDefault="000F0513" w:rsidP="00855286">
            <w:pPr>
              <w:spacing w:before="20" w:after="20"/>
              <w:jc w:val="right"/>
              <w:rPr>
                <w:b/>
                <w:noProof/>
                <w:sz w:val="18"/>
                <w:szCs w:val="18"/>
              </w:rPr>
            </w:pPr>
            <w:r w:rsidRPr="00BB07AF">
              <w:rPr>
                <w:b/>
                <w:noProof/>
                <w:sz w:val="18"/>
              </w:rPr>
              <w:t>22,770</w:t>
            </w:r>
          </w:p>
        </w:tc>
      </w:tr>
      <w:tr w:rsidR="00415F9E" w:rsidRPr="003409C9" w:rsidTr="00855286">
        <w:tc>
          <w:tcPr>
            <w:tcW w:w="3286" w:type="dxa"/>
            <w:vMerge/>
          </w:tcPr>
          <w:p w:rsidR="000F0513" w:rsidRPr="003409C9" w:rsidRDefault="000F0513" w:rsidP="00855286">
            <w:pPr>
              <w:jc w:val="center"/>
              <w:rPr>
                <w:noProof/>
                <w:sz w:val="20"/>
              </w:rPr>
            </w:pPr>
          </w:p>
        </w:tc>
        <w:tc>
          <w:tcPr>
            <w:tcW w:w="1418" w:type="dxa"/>
            <w:vAlign w:val="center"/>
          </w:tcPr>
          <w:p w:rsidR="000F0513" w:rsidRPr="003409C9" w:rsidRDefault="000F0513" w:rsidP="00855286">
            <w:pPr>
              <w:spacing w:before="20" w:after="20"/>
              <w:rPr>
                <w:noProof/>
                <w:sz w:val="18"/>
                <w:szCs w:val="18"/>
              </w:rPr>
            </w:pPr>
            <w:r w:rsidRPr="003409C9">
              <w:rPr>
                <w:noProof/>
                <w:sz w:val="18"/>
              </w:rPr>
              <w:t>Środki na płatności</w:t>
            </w:r>
          </w:p>
        </w:tc>
        <w:tc>
          <w:tcPr>
            <w:tcW w:w="932" w:type="dxa"/>
            <w:gridSpan w:val="2"/>
            <w:vAlign w:val="center"/>
          </w:tcPr>
          <w:p w:rsidR="000F0513" w:rsidRPr="003409C9" w:rsidRDefault="000F0513" w:rsidP="00855286">
            <w:pPr>
              <w:spacing w:before="20" w:after="20"/>
              <w:jc w:val="center"/>
              <w:rPr>
                <w:noProof/>
                <w:sz w:val="14"/>
                <w:szCs w:val="18"/>
              </w:rPr>
            </w:pPr>
            <w:r w:rsidRPr="003409C9">
              <w:rPr>
                <w:noProof/>
                <w:sz w:val="14"/>
              </w:rPr>
              <w:t>(2a)</w:t>
            </w:r>
          </w:p>
        </w:tc>
        <w:tc>
          <w:tcPr>
            <w:tcW w:w="678" w:type="dxa"/>
            <w:vAlign w:val="center"/>
          </w:tcPr>
          <w:p w:rsidR="000F0513" w:rsidRPr="003409C9" w:rsidRDefault="000F0513" w:rsidP="00855286">
            <w:pPr>
              <w:spacing w:before="20" w:after="20"/>
              <w:jc w:val="right"/>
              <w:rPr>
                <w:noProof/>
                <w:sz w:val="18"/>
                <w:szCs w:val="18"/>
              </w:rPr>
            </w:pPr>
          </w:p>
        </w:tc>
        <w:tc>
          <w:tcPr>
            <w:tcW w:w="709" w:type="dxa"/>
            <w:vAlign w:val="center"/>
          </w:tcPr>
          <w:p w:rsidR="000F0513" w:rsidRPr="003409C9" w:rsidRDefault="000F0513" w:rsidP="00855286">
            <w:pPr>
              <w:spacing w:before="20" w:after="20"/>
              <w:jc w:val="right"/>
              <w:rPr>
                <w:noProof/>
                <w:sz w:val="18"/>
                <w:szCs w:val="18"/>
              </w:rPr>
            </w:pPr>
          </w:p>
        </w:tc>
        <w:tc>
          <w:tcPr>
            <w:tcW w:w="709" w:type="dxa"/>
            <w:vAlign w:val="center"/>
          </w:tcPr>
          <w:p w:rsidR="000F0513" w:rsidRPr="003409C9" w:rsidRDefault="000F0513" w:rsidP="00855286">
            <w:pPr>
              <w:spacing w:before="20" w:after="20"/>
              <w:jc w:val="right"/>
              <w:rPr>
                <w:noProof/>
                <w:sz w:val="18"/>
                <w:szCs w:val="18"/>
              </w:rPr>
            </w:pPr>
          </w:p>
        </w:tc>
        <w:tc>
          <w:tcPr>
            <w:tcW w:w="708" w:type="dxa"/>
            <w:vAlign w:val="center"/>
          </w:tcPr>
          <w:p w:rsidR="000F0513" w:rsidRPr="003409C9" w:rsidRDefault="000F0513" w:rsidP="00855286">
            <w:pPr>
              <w:spacing w:before="20" w:after="20"/>
              <w:jc w:val="right"/>
              <w:rPr>
                <w:noProof/>
                <w:sz w:val="18"/>
                <w:szCs w:val="18"/>
              </w:rPr>
            </w:pPr>
            <w:r w:rsidRPr="003409C9">
              <w:rPr>
                <w:noProof/>
                <w:color w:val="000000"/>
                <w:sz w:val="18"/>
              </w:rPr>
              <w:t>1,155</w:t>
            </w:r>
          </w:p>
        </w:tc>
        <w:tc>
          <w:tcPr>
            <w:tcW w:w="709" w:type="dxa"/>
            <w:shd w:val="clear" w:color="auto" w:fill="DAEEF3" w:themeFill="accent5" w:themeFillTint="33"/>
            <w:vAlign w:val="center"/>
          </w:tcPr>
          <w:p w:rsidR="000F0513" w:rsidRPr="00BB07AF" w:rsidRDefault="000F0513" w:rsidP="00855286">
            <w:pPr>
              <w:spacing w:before="20" w:after="20"/>
              <w:jc w:val="right"/>
              <w:rPr>
                <w:i/>
                <w:noProof/>
                <w:sz w:val="18"/>
                <w:szCs w:val="18"/>
              </w:rPr>
            </w:pPr>
            <w:r w:rsidRPr="00BB07AF">
              <w:rPr>
                <w:i/>
                <w:noProof/>
                <w:color w:val="000000"/>
                <w:sz w:val="18"/>
              </w:rPr>
              <w:t>1,155</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1,757</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2,558</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3,457</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3,094</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2,888</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2,615</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2,244</w:t>
            </w:r>
          </w:p>
        </w:tc>
        <w:tc>
          <w:tcPr>
            <w:tcW w:w="729" w:type="dxa"/>
            <w:shd w:val="clear" w:color="auto" w:fill="DBE5F1" w:themeFill="accent1" w:themeFillTint="33"/>
            <w:vAlign w:val="center"/>
          </w:tcPr>
          <w:p w:rsidR="000F0513" w:rsidRPr="00BB07AF" w:rsidRDefault="000F0513" w:rsidP="00855286">
            <w:pPr>
              <w:spacing w:before="20" w:after="20"/>
              <w:jc w:val="right"/>
              <w:rPr>
                <w:i/>
                <w:noProof/>
                <w:sz w:val="18"/>
                <w:szCs w:val="18"/>
              </w:rPr>
            </w:pPr>
            <w:r w:rsidRPr="003409C9">
              <w:rPr>
                <w:noProof/>
                <w:sz w:val="18"/>
              </w:rPr>
              <w:t>18,612</w:t>
            </w:r>
          </w:p>
        </w:tc>
        <w:tc>
          <w:tcPr>
            <w:tcW w:w="779" w:type="dxa"/>
            <w:vAlign w:val="center"/>
          </w:tcPr>
          <w:p w:rsidR="000F0513" w:rsidRPr="00BB07AF" w:rsidRDefault="000F0513" w:rsidP="00855286">
            <w:pPr>
              <w:spacing w:before="20" w:after="20"/>
              <w:jc w:val="right"/>
              <w:rPr>
                <w:b/>
                <w:noProof/>
                <w:sz w:val="18"/>
                <w:szCs w:val="18"/>
              </w:rPr>
            </w:pPr>
            <w:r w:rsidRPr="00BB07AF">
              <w:rPr>
                <w:b/>
                <w:noProof/>
                <w:sz w:val="18"/>
              </w:rPr>
              <w:t>19,767</w:t>
            </w:r>
          </w:p>
        </w:tc>
      </w:tr>
      <w:tr w:rsidR="000F0513" w:rsidRPr="003409C9" w:rsidTr="00855286">
        <w:trPr>
          <w:gridAfter w:val="13"/>
          <w:wAfter w:w="9304" w:type="dxa"/>
          <w:trHeight w:val="231"/>
        </w:trPr>
        <w:tc>
          <w:tcPr>
            <w:tcW w:w="5605" w:type="dxa"/>
            <w:gridSpan w:val="3"/>
            <w:vAlign w:val="center"/>
          </w:tcPr>
          <w:p w:rsidR="000F0513" w:rsidRPr="003409C9" w:rsidRDefault="000F0513" w:rsidP="00855286">
            <w:pPr>
              <w:spacing w:before="20" w:after="20"/>
              <w:rPr>
                <w:noProof/>
              </w:rPr>
            </w:pPr>
            <w:r w:rsidRPr="003409C9">
              <w:rPr>
                <w:noProof/>
                <w:sz w:val="21"/>
              </w:rPr>
              <w:t>Środki administracyjne finansowane ze środków przydzielonych na określone programy</w:t>
            </w:r>
            <w:r w:rsidRPr="003409C9">
              <w:rPr>
                <w:rStyle w:val="FootnoteReference0"/>
                <w:noProof/>
                <w:sz w:val="21"/>
              </w:rPr>
              <w:footnoteReference w:id="61"/>
            </w:r>
            <w:r w:rsidRPr="003409C9">
              <w:rPr>
                <w:noProof/>
                <w:sz w:val="21"/>
              </w:rPr>
              <w:t xml:space="preserve"> </w:t>
            </w:r>
          </w:p>
          <w:p w:rsidR="000F0513" w:rsidRPr="003409C9" w:rsidRDefault="000F0513" w:rsidP="00855286">
            <w:pPr>
              <w:spacing w:before="0" w:after="0"/>
              <w:rPr>
                <w:noProof/>
              </w:rPr>
            </w:pPr>
          </w:p>
        </w:tc>
        <w:tc>
          <w:tcPr>
            <w:tcW w:w="709" w:type="dxa"/>
            <w:gridSpan w:val="2"/>
            <w:vAlign w:val="center"/>
          </w:tcPr>
          <w:p w:rsidR="000F0513" w:rsidRPr="003409C9" w:rsidRDefault="000F0513" w:rsidP="00855286">
            <w:pPr>
              <w:spacing w:before="20" w:after="20"/>
              <w:jc w:val="right"/>
              <w:rPr>
                <w:noProof/>
                <w:sz w:val="18"/>
                <w:szCs w:val="18"/>
              </w:rPr>
            </w:pPr>
          </w:p>
        </w:tc>
      </w:tr>
      <w:tr w:rsidR="00415F9E" w:rsidRPr="003409C9" w:rsidTr="00855286">
        <w:trPr>
          <w:trHeight w:val="319"/>
        </w:trPr>
        <w:tc>
          <w:tcPr>
            <w:tcW w:w="3286" w:type="dxa"/>
            <w:vAlign w:val="center"/>
          </w:tcPr>
          <w:p w:rsidR="000F0513" w:rsidRPr="003409C9" w:rsidRDefault="000F0513" w:rsidP="00855286">
            <w:pPr>
              <w:spacing w:before="60" w:after="60"/>
              <w:rPr>
                <w:noProof/>
              </w:rPr>
            </w:pPr>
            <w:r w:rsidRPr="003409C9">
              <w:rPr>
                <w:noProof/>
                <w:sz w:val="20"/>
              </w:rPr>
              <w:t>Linia budżetowa</w:t>
            </w:r>
          </w:p>
        </w:tc>
        <w:tc>
          <w:tcPr>
            <w:tcW w:w="1418" w:type="dxa"/>
            <w:vAlign w:val="center"/>
          </w:tcPr>
          <w:p w:rsidR="000F0513" w:rsidRPr="003409C9" w:rsidRDefault="000F0513" w:rsidP="00855286">
            <w:pPr>
              <w:spacing w:before="40" w:after="40"/>
              <w:jc w:val="right"/>
              <w:rPr>
                <w:noProof/>
                <w:sz w:val="18"/>
              </w:rPr>
            </w:pPr>
          </w:p>
        </w:tc>
        <w:tc>
          <w:tcPr>
            <w:tcW w:w="932" w:type="dxa"/>
            <w:gridSpan w:val="2"/>
            <w:vAlign w:val="center"/>
          </w:tcPr>
          <w:p w:rsidR="000F0513" w:rsidRPr="003409C9" w:rsidRDefault="000F0513" w:rsidP="00855286">
            <w:pPr>
              <w:spacing w:before="40" w:after="40"/>
              <w:jc w:val="center"/>
              <w:rPr>
                <w:noProof/>
                <w:sz w:val="14"/>
              </w:rPr>
            </w:pPr>
            <w:r w:rsidRPr="003409C9">
              <w:rPr>
                <w:noProof/>
                <w:sz w:val="14"/>
              </w:rPr>
              <w:t>(3)</w:t>
            </w:r>
          </w:p>
        </w:tc>
        <w:tc>
          <w:tcPr>
            <w:tcW w:w="678" w:type="dxa"/>
            <w:vAlign w:val="center"/>
          </w:tcPr>
          <w:p w:rsidR="000F0513" w:rsidRPr="003409C9" w:rsidRDefault="000F0513" w:rsidP="00855286">
            <w:pPr>
              <w:spacing w:before="40" w:after="40"/>
              <w:jc w:val="right"/>
              <w:rPr>
                <w:b/>
                <w:noProof/>
                <w:sz w:val="18"/>
                <w:szCs w:val="18"/>
              </w:rPr>
            </w:pPr>
          </w:p>
        </w:tc>
        <w:tc>
          <w:tcPr>
            <w:tcW w:w="709" w:type="dxa"/>
            <w:vAlign w:val="center"/>
          </w:tcPr>
          <w:p w:rsidR="000F0513" w:rsidRPr="003409C9" w:rsidRDefault="000F0513" w:rsidP="00855286">
            <w:pPr>
              <w:spacing w:before="40" w:after="40"/>
              <w:jc w:val="right"/>
              <w:rPr>
                <w:b/>
                <w:noProof/>
                <w:sz w:val="18"/>
                <w:szCs w:val="18"/>
              </w:rPr>
            </w:pPr>
          </w:p>
        </w:tc>
        <w:tc>
          <w:tcPr>
            <w:tcW w:w="709" w:type="dxa"/>
            <w:vAlign w:val="center"/>
          </w:tcPr>
          <w:p w:rsidR="000F0513" w:rsidRPr="003409C9" w:rsidRDefault="000F0513" w:rsidP="00855286">
            <w:pPr>
              <w:spacing w:before="40" w:after="40"/>
              <w:jc w:val="right"/>
              <w:rPr>
                <w:b/>
                <w:noProof/>
                <w:sz w:val="18"/>
                <w:szCs w:val="18"/>
              </w:rPr>
            </w:pPr>
          </w:p>
        </w:tc>
        <w:tc>
          <w:tcPr>
            <w:tcW w:w="708" w:type="dxa"/>
            <w:vAlign w:val="center"/>
          </w:tcPr>
          <w:p w:rsidR="000F0513" w:rsidRPr="00BB07AF" w:rsidRDefault="000F0513" w:rsidP="00855286">
            <w:pPr>
              <w:spacing w:before="40" w:after="40"/>
              <w:jc w:val="right"/>
              <w:rPr>
                <w:b/>
                <w:noProof/>
                <w:sz w:val="18"/>
                <w:szCs w:val="18"/>
              </w:rPr>
            </w:pPr>
          </w:p>
        </w:tc>
        <w:tc>
          <w:tcPr>
            <w:tcW w:w="709" w:type="dxa"/>
            <w:shd w:val="clear" w:color="auto" w:fill="DAEEF3" w:themeFill="accent5" w:themeFillTint="33"/>
            <w:vAlign w:val="center"/>
          </w:tcPr>
          <w:p w:rsidR="000F0513" w:rsidRPr="00BB07AF" w:rsidRDefault="000F0513" w:rsidP="00855286">
            <w:pPr>
              <w:spacing w:before="40" w:after="40"/>
              <w:jc w:val="right"/>
              <w:rPr>
                <w:b/>
                <w:i/>
                <w:noProof/>
                <w:sz w:val="18"/>
                <w:szCs w:val="18"/>
              </w:rPr>
            </w:pPr>
          </w:p>
        </w:tc>
        <w:tc>
          <w:tcPr>
            <w:tcW w:w="709" w:type="dxa"/>
            <w:vAlign w:val="center"/>
          </w:tcPr>
          <w:p w:rsidR="000F0513" w:rsidRPr="003409C9" w:rsidRDefault="000F0513" w:rsidP="00855286">
            <w:pPr>
              <w:spacing w:before="40" w:after="40"/>
              <w:jc w:val="right"/>
              <w:rPr>
                <w:b/>
                <w:noProof/>
                <w:sz w:val="18"/>
                <w:szCs w:val="18"/>
              </w:rPr>
            </w:pPr>
          </w:p>
        </w:tc>
        <w:tc>
          <w:tcPr>
            <w:tcW w:w="709" w:type="dxa"/>
            <w:vAlign w:val="center"/>
          </w:tcPr>
          <w:p w:rsidR="000F0513" w:rsidRPr="003409C9" w:rsidRDefault="000F0513" w:rsidP="00855286">
            <w:pPr>
              <w:spacing w:before="40" w:after="40"/>
              <w:jc w:val="right"/>
              <w:rPr>
                <w:b/>
                <w:noProof/>
                <w:sz w:val="18"/>
                <w:szCs w:val="18"/>
              </w:rPr>
            </w:pPr>
          </w:p>
        </w:tc>
        <w:tc>
          <w:tcPr>
            <w:tcW w:w="708" w:type="dxa"/>
            <w:vAlign w:val="center"/>
          </w:tcPr>
          <w:p w:rsidR="000F0513" w:rsidRPr="003409C9" w:rsidRDefault="000F0513" w:rsidP="00855286">
            <w:pPr>
              <w:spacing w:before="40" w:after="40"/>
              <w:jc w:val="right"/>
              <w:rPr>
                <w:b/>
                <w:noProof/>
                <w:sz w:val="18"/>
                <w:szCs w:val="18"/>
              </w:rPr>
            </w:pPr>
          </w:p>
        </w:tc>
        <w:tc>
          <w:tcPr>
            <w:tcW w:w="709" w:type="dxa"/>
            <w:vAlign w:val="center"/>
          </w:tcPr>
          <w:p w:rsidR="000F0513" w:rsidRPr="003409C9" w:rsidRDefault="000F0513" w:rsidP="00855286">
            <w:pPr>
              <w:spacing w:before="40" w:after="40"/>
              <w:jc w:val="right"/>
              <w:rPr>
                <w:b/>
                <w:noProof/>
                <w:sz w:val="18"/>
                <w:szCs w:val="18"/>
              </w:rPr>
            </w:pPr>
          </w:p>
        </w:tc>
        <w:tc>
          <w:tcPr>
            <w:tcW w:w="709" w:type="dxa"/>
            <w:vAlign w:val="center"/>
          </w:tcPr>
          <w:p w:rsidR="000F0513" w:rsidRPr="003409C9" w:rsidRDefault="000F0513" w:rsidP="00855286">
            <w:pPr>
              <w:spacing w:before="40" w:after="40"/>
              <w:jc w:val="right"/>
              <w:rPr>
                <w:b/>
                <w:noProof/>
                <w:sz w:val="18"/>
                <w:szCs w:val="18"/>
              </w:rPr>
            </w:pPr>
          </w:p>
        </w:tc>
        <w:tc>
          <w:tcPr>
            <w:tcW w:w="709" w:type="dxa"/>
            <w:vAlign w:val="center"/>
          </w:tcPr>
          <w:p w:rsidR="000F0513" w:rsidRPr="003409C9" w:rsidRDefault="000F0513" w:rsidP="00855286">
            <w:pPr>
              <w:spacing w:before="40" w:after="40"/>
              <w:jc w:val="right"/>
              <w:rPr>
                <w:b/>
                <w:noProof/>
                <w:sz w:val="18"/>
                <w:szCs w:val="18"/>
              </w:rPr>
            </w:pPr>
          </w:p>
        </w:tc>
        <w:tc>
          <w:tcPr>
            <w:tcW w:w="708" w:type="dxa"/>
            <w:vAlign w:val="center"/>
          </w:tcPr>
          <w:p w:rsidR="000F0513" w:rsidRPr="00BB07AF" w:rsidRDefault="000F0513" w:rsidP="00855286">
            <w:pPr>
              <w:spacing w:before="40" w:after="40"/>
              <w:jc w:val="right"/>
              <w:rPr>
                <w:b/>
                <w:noProof/>
                <w:sz w:val="18"/>
                <w:szCs w:val="18"/>
              </w:rPr>
            </w:pPr>
          </w:p>
        </w:tc>
        <w:tc>
          <w:tcPr>
            <w:tcW w:w="729" w:type="dxa"/>
            <w:shd w:val="clear" w:color="auto" w:fill="DBE5F1" w:themeFill="accent1" w:themeFillTint="33"/>
            <w:vAlign w:val="center"/>
          </w:tcPr>
          <w:p w:rsidR="000F0513" w:rsidRPr="00BB07AF" w:rsidRDefault="000F0513" w:rsidP="00855286">
            <w:pPr>
              <w:spacing w:before="40" w:after="40"/>
              <w:jc w:val="right"/>
              <w:rPr>
                <w:b/>
                <w:i/>
                <w:noProof/>
                <w:sz w:val="18"/>
                <w:szCs w:val="18"/>
              </w:rPr>
            </w:pPr>
          </w:p>
        </w:tc>
        <w:tc>
          <w:tcPr>
            <w:tcW w:w="779" w:type="dxa"/>
            <w:vAlign w:val="center"/>
          </w:tcPr>
          <w:p w:rsidR="000F0513" w:rsidRPr="00BB07AF" w:rsidRDefault="000F0513" w:rsidP="00855286">
            <w:pPr>
              <w:spacing w:before="40" w:after="40"/>
              <w:jc w:val="right"/>
              <w:rPr>
                <w:b/>
                <w:noProof/>
                <w:sz w:val="18"/>
                <w:szCs w:val="18"/>
              </w:rPr>
            </w:pPr>
          </w:p>
        </w:tc>
      </w:tr>
      <w:tr w:rsidR="00415F9E" w:rsidRPr="003409C9" w:rsidTr="00855286">
        <w:tc>
          <w:tcPr>
            <w:tcW w:w="3286" w:type="dxa"/>
            <w:vMerge w:val="restart"/>
            <w:vAlign w:val="center"/>
          </w:tcPr>
          <w:p w:rsidR="000F0513" w:rsidRPr="00BB07AF" w:rsidRDefault="000F0513" w:rsidP="00855286">
            <w:pPr>
              <w:jc w:val="center"/>
              <w:rPr>
                <w:b/>
                <w:noProof/>
              </w:rPr>
            </w:pPr>
            <w:r w:rsidRPr="00BB07AF">
              <w:rPr>
                <w:b/>
                <w:noProof/>
                <w:sz w:val="22"/>
              </w:rPr>
              <w:t>OGÓŁEM środki</w:t>
            </w:r>
            <w:r w:rsidRPr="003409C9">
              <w:rPr>
                <w:noProof/>
              </w:rPr>
              <w:t xml:space="preserve"> </w:t>
            </w:r>
            <w:r w:rsidRPr="003409C9">
              <w:rPr>
                <w:noProof/>
              </w:rPr>
              <w:br/>
            </w:r>
            <w:r w:rsidRPr="00BB07AF">
              <w:rPr>
                <w:b/>
                <w:noProof/>
                <w:sz w:val="22"/>
              </w:rPr>
              <w:t>dla DG HOME</w:t>
            </w:r>
          </w:p>
        </w:tc>
        <w:tc>
          <w:tcPr>
            <w:tcW w:w="1418" w:type="dxa"/>
            <w:vAlign w:val="center"/>
          </w:tcPr>
          <w:p w:rsidR="000F0513" w:rsidRPr="003409C9" w:rsidRDefault="000F0513" w:rsidP="00855286">
            <w:pPr>
              <w:rPr>
                <w:noProof/>
                <w:sz w:val="18"/>
              </w:rPr>
            </w:pPr>
            <w:r w:rsidRPr="003409C9">
              <w:rPr>
                <w:noProof/>
                <w:sz w:val="18"/>
              </w:rPr>
              <w:t>Środki na zobowiązania</w:t>
            </w:r>
          </w:p>
        </w:tc>
        <w:tc>
          <w:tcPr>
            <w:tcW w:w="932" w:type="dxa"/>
            <w:gridSpan w:val="2"/>
            <w:vAlign w:val="center"/>
          </w:tcPr>
          <w:p w:rsidR="000F0513" w:rsidRPr="003409C9" w:rsidRDefault="000F0513" w:rsidP="00855286">
            <w:pPr>
              <w:jc w:val="center"/>
              <w:rPr>
                <w:noProof/>
                <w:sz w:val="14"/>
              </w:rPr>
            </w:pPr>
            <w:r w:rsidRPr="003409C9">
              <w:rPr>
                <w:noProof/>
                <w:sz w:val="14"/>
              </w:rPr>
              <w:t>=1a+1b+3</w:t>
            </w:r>
          </w:p>
        </w:tc>
        <w:tc>
          <w:tcPr>
            <w:tcW w:w="678" w:type="dxa"/>
            <w:vAlign w:val="center"/>
          </w:tcPr>
          <w:p w:rsidR="000F0513" w:rsidRPr="003409C9" w:rsidRDefault="000F0513" w:rsidP="00855286">
            <w:pPr>
              <w:spacing w:before="20" w:after="20"/>
              <w:jc w:val="right"/>
              <w:rPr>
                <w:noProof/>
                <w:sz w:val="18"/>
                <w:szCs w:val="18"/>
              </w:rPr>
            </w:pPr>
          </w:p>
        </w:tc>
        <w:tc>
          <w:tcPr>
            <w:tcW w:w="709" w:type="dxa"/>
            <w:vAlign w:val="center"/>
          </w:tcPr>
          <w:p w:rsidR="000F0513" w:rsidRPr="003409C9" w:rsidRDefault="000F0513" w:rsidP="00855286">
            <w:pPr>
              <w:spacing w:before="20" w:after="20"/>
              <w:jc w:val="right"/>
              <w:rPr>
                <w:noProof/>
                <w:sz w:val="18"/>
                <w:szCs w:val="18"/>
              </w:rPr>
            </w:pPr>
          </w:p>
        </w:tc>
        <w:tc>
          <w:tcPr>
            <w:tcW w:w="709" w:type="dxa"/>
            <w:vAlign w:val="center"/>
          </w:tcPr>
          <w:p w:rsidR="000F0513" w:rsidRPr="003409C9" w:rsidRDefault="000F0513" w:rsidP="00855286">
            <w:pPr>
              <w:spacing w:before="20" w:after="20"/>
              <w:jc w:val="right"/>
              <w:rPr>
                <w:noProof/>
                <w:sz w:val="18"/>
                <w:szCs w:val="18"/>
              </w:rPr>
            </w:pPr>
          </w:p>
        </w:tc>
        <w:tc>
          <w:tcPr>
            <w:tcW w:w="708" w:type="dxa"/>
            <w:vAlign w:val="center"/>
          </w:tcPr>
          <w:p w:rsidR="000F0513" w:rsidRPr="003409C9" w:rsidRDefault="000F0513" w:rsidP="00855286">
            <w:pPr>
              <w:spacing w:before="20" w:after="20"/>
              <w:jc w:val="right"/>
              <w:rPr>
                <w:noProof/>
                <w:sz w:val="18"/>
                <w:szCs w:val="18"/>
              </w:rPr>
            </w:pPr>
            <w:r w:rsidRPr="003409C9">
              <w:rPr>
                <w:noProof/>
                <w:color w:val="000000"/>
                <w:sz w:val="18"/>
              </w:rPr>
              <w:t>3,300</w:t>
            </w:r>
          </w:p>
        </w:tc>
        <w:tc>
          <w:tcPr>
            <w:tcW w:w="709" w:type="dxa"/>
            <w:shd w:val="clear" w:color="auto" w:fill="DAEEF3" w:themeFill="accent5" w:themeFillTint="33"/>
            <w:vAlign w:val="center"/>
          </w:tcPr>
          <w:p w:rsidR="000F0513" w:rsidRPr="00BB07AF" w:rsidRDefault="000F0513" w:rsidP="00855286">
            <w:pPr>
              <w:spacing w:before="20" w:after="20"/>
              <w:jc w:val="right"/>
              <w:rPr>
                <w:i/>
                <w:noProof/>
                <w:sz w:val="18"/>
                <w:szCs w:val="18"/>
              </w:rPr>
            </w:pPr>
            <w:r w:rsidRPr="00BB07AF">
              <w:rPr>
                <w:i/>
                <w:noProof/>
                <w:color w:val="000000"/>
                <w:sz w:val="18"/>
              </w:rPr>
              <w:t>3,300</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3,135</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3,630</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4,125</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2,145</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2,145</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2,145</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2,145</w:t>
            </w:r>
          </w:p>
        </w:tc>
        <w:tc>
          <w:tcPr>
            <w:tcW w:w="729" w:type="dxa"/>
            <w:shd w:val="clear" w:color="auto" w:fill="DBE5F1" w:themeFill="accent1" w:themeFillTint="33"/>
            <w:vAlign w:val="center"/>
          </w:tcPr>
          <w:p w:rsidR="000F0513" w:rsidRPr="00BB07AF" w:rsidRDefault="000F0513" w:rsidP="00855286">
            <w:pPr>
              <w:spacing w:before="20" w:after="20"/>
              <w:jc w:val="right"/>
              <w:rPr>
                <w:i/>
                <w:noProof/>
                <w:sz w:val="18"/>
                <w:szCs w:val="18"/>
              </w:rPr>
            </w:pPr>
            <w:r w:rsidRPr="00BB07AF">
              <w:rPr>
                <w:i/>
                <w:noProof/>
                <w:sz w:val="18"/>
              </w:rPr>
              <w:t>19,470</w:t>
            </w:r>
          </w:p>
        </w:tc>
        <w:tc>
          <w:tcPr>
            <w:tcW w:w="779" w:type="dxa"/>
            <w:vAlign w:val="center"/>
          </w:tcPr>
          <w:p w:rsidR="000F0513" w:rsidRPr="00BB07AF" w:rsidRDefault="000F0513" w:rsidP="00855286">
            <w:pPr>
              <w:spacing w:before="20" w:after="20"/>
              <w:jc w:val="right"/>
              <w:rPr>
                <w:b/>
                <w:noProof/>
                <w:sz w:val="18"/>
                <w:szCs w:val="18"/>
              </w:rPr>
            </w:pPr>
            <w:r w:rsidRPr="00BB07AF">
              <w:rPr>
                <w:b/>
                <w:noProof/>
                <w:sz w:val="18"/>
              </w:rPr>
              <w:t>22,770</w:t>
            </w:r>
          </w:p>
        </w:tc>
      </w:tr>
      <w:tr w:rsidR="00415F9E" w:rsidRPr="003409C9" w:rsidTr="00855286">
        <w:tc>
          <w:tcPr>
            <w:tcW w:w="3286" w:type="dxa"/>
            <w:vMerge/>
          </w:tcPr>
          <w:p w:rsidR="000F0513" w:rsidRPr="003409C9" w:rsidRDefault="000F0513" w:rsidP="00855286">
            <w:pPr>
              <w:rPr>
                <w:noProof/>
                <w:sz w:val="20"/>
              </w:rPr>
            </w:pPr>
          </w:p>
        </w:tc>
        <w:tc>
          <w:tcPr>
            <w:tcW w:w="1418" w:type="dxa"/>
            <w:vAlign w:val="center"/>
          </w:tcPr>
          <w:p w:rsidR="000F0513" w:rsidRPr="003409C9" w:rsidRDefault="000F0513" w:rsidP="00855286">
            <w:pPr>
              <w:rPr>
                <w:noProof/>
                <w:sz w:val="18"/>
              </w:rPr>
            </w:pPr>
            <w:r w:rsidRPr="003409C9">
              <w:rPr>
                <w:noProof/>
                <w:sz w:val="18"/>
              </w:rPr>
              <w:t>Środki na płatności</w:t>
            </w:r>
          </w:p>
        </w:tc>
        <w:tc>
          <w:tcPr>
            <w:tcW w:w="932" w:type="dxa"/>
            <w:gridSpan w:val="2"/>
            <w:vAlign w:val="center"/>
          </w:tcPr>
          <w:p w:rsidR="000F0513" w:rsidRPr="003409C9" w:rsidRDefault="000F0513" w:rsidP="00855286">
            <w:pPr>
              <w:jc w:val="center"/>
              <w:rPr>
                <w:noProof/>
                <w:sz w:val="14"/>
              </w:rPr>
            </w:pPr>
            <w:r w:rsidRPr="003409C9">
              <w:rPr>
                <w:noProof/>
                <w:sz w:val="14"/>
              </w:rPr>
              <w:t>=2a+2b+3</w:t>
            </w:r>
          </w:p>
        </w:tc>
        <w:tc>
          <w:tcPr>
            <w:tcW w:w="678" w:type="dxa"/>
            <w:vAlign w:val="center"/>
          </w:tcPr>
          <w:p w:rsidR="000F0513" w:rsidRPr="003409C9" w:rsidRDefault="000F0513" w:rsidP="00855286">
            <w:pPr>
              <w:spacing w:before="20" w:after="20"/>
              <w:jc w:val="right"/>
              <w:rPr>
                <w:noProof/>
                <w:sz w:val="18"/>
                <w:szCs w:val="18"/>
              </w:rPr>
            </w:pPr>
          </w:p>
        </w:tc>
        <w:tc>
          <w:tcPr>
            <w:tcW w:w="709" w:type="dxa"/>
            <w:vAlign w:val="center"/>
          </w:tcPr>
          <w:p w:rsidR="000F0513" w:rsidRPr="003409C9" w:rsidRDefault="000F0513" w:rsidP="00855286">
            <w:pPr>
              <w:spacing w:before="20" w:after="20"/>
              <w:jc w:val="right"/>
              <w:rPr>
                <w:noProof/>
                <w:sz w:val="18"/>
                <w:szCs w:val="18"/>
              </w:rPr>
            </w:pPr>
          </w:p>
        </w:tc>
        <w:tc>
          <w:tcPr>
            <w:tcW w:w="709" w:type="dxa"/>
            <w:vAlign w:val="center"/>
          </w:tcPr>
          <w:p w:rsidR="000F0513" w:rsidRPr="003409C9" w:rsidRDefault="000F0513" w:rsidP="00855286">
            <w:pPr>
              <w:spacing w:before="20" w:after="20"/>
              <w:jc w:val="right"/>
              <w:rPr>
                <w:noProof/>
                <w:sz w:val="18"/>
                <w:szCs w:val="18"/>
              </w:rPr>
            </w:pPr>
          </w:p>
        </w:tc>
        <w:tc>
          <w:tcPr>
            <w:tcW w:w="708" w:type="dxa"/>
            <w:vAlign w:val="center"/>
          </w:tcPr>
          <w:p w:rsidR="000F0513" w:rsidRPr="003409C9" w:rsidRDefault="000F0513" w:rsidP="00855286">
            <w:pPr>
              <w:spacing w:before="20" w:after="20"/>
              <w:jc w:val="right"/>
              <w:rPr>
                <w:noProof/>
                <w:sz w:val="18"/>
                <w:szCs w:val="18"/>
              </w:rPr>
            </w:pPr>
            <w:r w:rsidRPr="003409C9">
              <w:rPr>
                <w:noProof/>
                <w:color w:val="000000"/>
                <w:sz w:val="18"/>
              </w:rPr>
              <w:t>1,155</w:t>
            </w:r>
          </w:p>
        </w:tc>
        <w:tc>
          <w:tcPr>
            <w:tcW w:w="709" w:type="dxa"/>
            <w:shd w:val="clear" w:color="auto" w:fill="DAEEF3" w:themeFill="accent5" w:themeFillTint="33"/>
            <w:vAlign w:val="center"/>
          </w:tcPr>
          <w:p w:rsidR="000F0513" w:rsidRPr="00BB07AF" w:rsidRDefault="000F0513" w:rsidP="00855286">
            <w:pPr>
              <w:spacing w:before="20" w:after="20"/>
              <w:jc w:val="right"/>
              <w:rPr>
                <w:i/>
                <w:noProof/>
                <w:sz w:val="18"/>
                <w:szCs w:val="18"/>
              </w:rPr>
            </w:pPr>
            <w:r w:rsidRPr="00BB07AF">
              <w:rPr>
                <w:i/>
                <w:noProof/>
                <w:color w:val="000000"/>
                <w:sz w:val="18"/>
              </w:rPr>
              <w:t>1,155</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1,757</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2,558</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3,457</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3,094</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2,888</w:t>
            </w:r>
          </w:p>
        </w:tc>
        <w:tc>
          <w:tcPr>
            <w:tcW w:w="709" w:type="dxa"/>
            <w:vAlign w:val="center"/>
          </w:tcPr>
          <w:p w:rsidR="000F0513" w:rsidRPr="003409C9" w:rsidRDefault="000F0513" w:rsidP="00855286">
            <w:pPr>
              <w:spacing w:before="20" w:after="20"/>
              <w:jc w:val="right"/>
              <w:rPr>
                <w:noProof/>
                <w:sz w:val="18"/>
                <w:szCs w:val="18"/>
              </w:rPr>
            </w:pPr>
            <w:r w:rsidRPr="003409C9">
              <w:rPr>
                <w:noProof/>
                <w:sz w:val="18"/>
              </w:rPr>
              <w:t>2,615</w:t>
            </w:r>
          </w:p>
        </w:tc>
        <w:tc>
          <w:tcPr>
            <w:tcW w:w="708" w:type="dxa"/>
            <w:vAlign w:val="center"/>
          </w:tcPr>
          <w:p w:rsidR="000F0513" w:rsidRPr="003409C9" w:rsidRDefault="000F0513" w:rsidP="00855286">
            <w:pPr>
              <w:spacing w:before="20" w:after="20"/>
              <w:jc w:val="right"/>
              <w:rPr>
                <w:noProof/>
                <w:sz w:val="18"/>
                <w:szCs w:val="18"/>
              </w:rPr>
            </w:pPr>
            <w:r w:rsidRPr="003409C9">
              <w:rPr>
                <w:noProof/>
                <w:sz w:val="18"/>
              </w:rPr>
              <w:t>2,244</w:t>
            </w:r>
          </w:p>
        </w:tc>
        <w:tc>
          <w:tcPr>
            <w:tcW w:w="729" w:type="dxa"/>
            <w:shd w:val="clear" w:color="auto" w:fill="DBE5F1" w:themeFill="accent1" w:themeFillTint="33"/>
            <w:vAlign w:val="center"/>
          </w:tcPr>
          <w:p w:rsidR="000F0513" w:rsidRPr="00BB07AF" w:rsidRDefault="000F0513" w:rsidP="00855286">
            <w:pPr>
              <w:spacing w:before="20" w:after="20"/>
              <w:jc w:val="right"/>
              <w:rPr>
                <w:i/>
                <w:noProof/>
                <w:sz w:val="18"/>
                <w:szCs w:val="18"/>
              </w:rPr>
            </w:pPr>
            <w:r w:rsidRPr="00BB07AF">
              <w:rPr>
                <w:i/>
                <w:noProof/>
                <w:sz w:val="18"/>
              </w:rPr>
              <w:t>18,612</w:t>
            </w:r>
          </w:p>
        </w:tc>
        <w:tc>
          <w:tcPr>
            <w:tcW w:w="779" w:type="dxa"/>
            <w:vAlign w:val="center"/>
          </w:tcPr>
          <w:p w:rsidR="000F0513" w:rsidRPr="00BB07AF" w:rsidRDefault="000F0513" w:rsidP="00855286">
            <w:pPr>
              <w:spacing w:before="20" w:after="20"/>
              <w:jc w:val="right"/>
              <w:rPr>
                <w:b/>
                <w:noProof/>
                <w:sz w:val="18"/>
                <w:szCs w:val="18"/>
              </w:rPr>
            </w:pPr>
            <w:r w:rsidRPr="00BB07AF">
              <w:rPr>
                <w:b/>
                <w:noProof/>
                <w:sz w:val="18"/>
              </w:rPr>
              <w:t>19,767</w:t>
            </w:r>
          </w:p>
        </w:tc>
      </w:tr>
    </w:tbl>
    <w:p w:rsidR="00CD7E2F" w:rsidRPr="003409C9" w:rsidRDefault="00CD7E2F" w:rsidP="00CD7E2F">
      <w:pPr>
        <w:rPr>
          <w:noProof/>
        </w:rPr>
      </w:pPr>
    </w:p>
    <w:tbl>
      <w:tblPr>
        <w:tblW w:w="156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641"/>
        <w:gridCol w:w="1417"/>
        <w:gridCol w:w="567"/>
        <w:gridCol w:w="709"/>
        <w:gridCol w:w="709"/>
        <w:gridCol w:w="709"/>
        <w:gridCol w:w="709"/>
        <w:gridCol w:w="708"/>
        <w:gridCol w:w="709"/>
        <w:gridCol w:w="709"/>
        <w:gridCol w:w="709"/>
        <w:gridCol w:w="708"/>
        <w:gridCol w:w="709"/>
        <w:gridCol w:w="709"/>
        <w:gridCol w:w="709"/>
        <w:gridCol w:w="708"/>
        <w:gridCol w:w="779"/>
      </w:tblGrid>
      <w:tr w:rsidR="00415F9E" w:rsidRPr="003409C9" w:rsidTr="00855286">
        <w:trPr>
          <w:trHeight w:val="277"/>
        </w:trPr>
        <w:tc>
          <w:tcPr>
            <w:tcW w:w="3641" w:type="dxa"/>
            <w:vMerge w:val="restart"/>
            <w:vAlign w:val="center"/>
          </w:tcPr>
          <w:p w:rsidR="00334478" w:rsidRPr="003409C9" w:rsidRDefault="00334478" w:rsidP="00855286">
            <w:pPr>
              <w:spacing w:before="20" w:after="20"/>
              <w:rPr>
                <w:noProof/>
              </w:rPr>
            </w:pPr>
            <w:r w:rsidRPr="003409C9">
              <w:rPr>
                <w:noProof/>
              </w:rPr>
              <w:br w:type="page"/>
            </w:r>
            <w:r w:rsidRPr="003409C9">
              <w:rPr>
                <w:noProof/>
                <w:sz w:val="21"/>
              </w:rPr>
              <w:sym w:font="Wingdings" w:char="F09F"/>
            </w:r>
            <w:r w:rsidRPr="003409C9">
              <w:rPr>
                <w:noProof/>
                <w:sz w:val="21"/>
              </w:rPr>
              <w:t xml:space="preserve"> OGÓŁEM środki operacyjne </w:t>
            </w:r>
          </w:p>
        </w:tc>
        <w:tc>
          <w:tcPr>
            <w:tcW w:w="1417" w:type="dxa"/>
            <w:vAlign w:val="center"/>
          </w:tcPr>
          <w:p w:rsidR="00334478" w:rsidRPr="003409C9" w:rsidRDefault="00334478" w:rsidP="00855286">
            <w:pPr>
              <w:spacing w:beforeLines="20" w:before="48" w:afterLines="20" w:after="48"/>
              <w:rPr>
                <w:noProof/>
                <w:sz w:val="18"/>
              </w:rPr>
            </w:pPr>
            <w:r w:rsidRPr="003409C9">
              <w:rPr>
                <w:noProof/>
                <w:sz w:val="18"/>
              </w:rPr>
              <w:t>Środki na zobowiązania</w:t>
            </w:r>
          </w:p>
        </w:tc>
        <w:tc>
          <w:tcPr>
            <w:tcW w:w="567" w:type="dxa"/>
            <w:vAlign w:val="center"/>
          </w:tcPr>
          <w:p w:rsidR="00334478" w:rsidRPr="003409C9" w:rsidRDefault="00334478" w:rsidP="00855286">
            <w:pPr>
              <w:spacing w:beforeLines="20" w:before="48" w:afterLines="20" w:after="48"/>
              <w:jc w:val="center"/>
              <w:rPr>
                <w:noProof/>
                <w:sz w:val="14"/>
              </w:rPr>
            </w:pPr>
            <w:r w:rsidRPr="003409C9">
              <w:rPr>
                <w:noProof/>
                <w:sz w:val="14"/>
              </w:rPr>
              <w:t>(4)</w:t>
            </w:r>
          </w:p>
        </w:tc>
        <w:tc>
          <w:tcPr>
            <w:tcW w:w="709" w:type="dxa"/>
            <w:vAlign w:val="center"/>
          </w:tcPr>
          <w:p w:rsidR="00334478" w:rsidRPr="003409C9" w:rsidRDefault="00334478" w:rsidP="00855286">
            <w:pPr>
              <w:tabs>
                <w:tab w:val="left" w:pos="420"/>
              </w:tabs>
              <w:spacing w:before="20" w:after="20"/>
              <w:jc w:val="right"/>
              <w:rPr>
                <w:noProof/>
                <w:sz w:val="18"/>
                <w:szCs w:val="18"/>
              </w:rPr>
            </w:pPr>
          </w:p>
        </w:tc>
        <w:tc>
          <w:tcPr>
            <w:tcW w:w="709" w:type="dxa"/>
            <w:vAlign w:val="center"/>
          </w:tcPr>
          <w:p w:rsidR="00334478" w:rsidRPr="003409C9" w:rsidRDefault="00334478" w:rsidP="00855286">
            <w:pPr>
              <w:spacing w:before="20" w:after="20"/>
              <w:jc w:val="right"/>
              <w:rPr>
                <w:noProof/>
                <w:sz w:val="18"/>
                <w:szCs w:val="18"/>
              </w:rPr>
            </w:pPr>
          </w:p>
        </w:tc>
        <w:tc>
          <w:tcPr>
            <w:tcW w:w="709" w:type="dxa"/>
            <w:vAlign w:val="center"/>
          </w:tcPr>
          <w:p w:rsidR="00334478" w:rsidRPr="003409C9" w:rsidRDefault="00334478" w:rsidP="00855286">
            <w:pPr>
              <w:spacing w:before="20" w:after="20"/>
              <w:jc w:val="right"/>
              <w:rPr>
                <w:noProof/>
                <w:sz w:val="18"/>
                <w:szCs w:val="18"/>
              </w:rPr>
            </w:pPr>
          </w:p>
        </w:tc>
        <w:tc>
          <w:tcPr>
            <w:tcW w:w="709" w:type="dxa"/>
            <w:vAlign w:val="center"/>
          </w:tcPr>
          <w:p w:rsidR="00334478" w:rsidRPr="003409C9" w:rsidRDefault="00334478" w:rsidP="00855286">
            <w:pPr>
              <w:spacing w:before="20" w:after="20"/>
              <w:jc w:val="right"/>
              <w:rPr>
                <w:noProof/>
                <w:sz w:val="18"/>
                <w:szCs w:val="18"/>
              </w:rPr>
            </w:pPr>
            <w:r w:rsidRPr="003409C9">
              <w:rPr>
                <w:noProof/>
                <w:color w:val="000000"/>
                <w:sz w:val="18"/>
              </w:rPr>
              <w:t>3,300</w:t>
            </w:r>
          </w:p>
        </w:tc>
        <w:tc>
          <w:tcPr>
            <w:tcW w:w="708" w:type="dxa"/>
            <w:shd w:val="clear" w:color="auto" w:fill="DAEEF3" w:themeFill="accent5" w:themeFillTint="33"/>
            <w:vAlign w:val="center"/>
          </w:tcPr>
          <w:p w:rsidR="00334478" w:rsidRPr="00BB07AF" w:rsidRDefault="00334478" w:rsidP="00855286">
            <w:pPr>
              <w:spacing w:before="20" w:after="20"/>
              <w:jc w:val="right"/>
              <w:rPr>
                <w:i/>
                <w:noProof/>
                <w:sz w:val="18"/>
                <w:szCs w:val="18"/>
              </w:rPr>
            </w:pPr>
            <w:r w:rsidRPr="00BB07AF">
              <w:rPr>
                <w:i/>
                <w:noProof/>
                <w:color w:val="000000"/>
                <w:sz w:val="18"/>
              </w:rPr>
              <w:t>3,300</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3,135</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3,630</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4,125</w:t>
            </w:r>
          </w:p>
        </w:tc>
        <w:tc>
          <w:tcPr>
            <w:tcW w:w="708" w:type="dxa"/>
            <w:vAlign w:val="center"/>
          </w:tcPr>
          <w:p w:rsidR="00334478" w:rsidRPr="003409C9" w:rsidRDefault="00334478" w:rsidP="00855286">
            <w:pPr>
              <w:spacing w:before="20" w:after="20"/>
              <w:jc w:val="right"/>
              <w:rPr>
                <w:noProof/>
                <w:sz w:val="18"/>
                <w:szCs w:val="18"/>
              </w:rPr>
            </w:pPr>
            <w:r w:rsidRPr="003409C9">
              <w:rPr>
                <w:noProof/>
                <w:sz w:val="18"/>
              </w:rPr>
              <w:t>2,145</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2,145</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2,145</w:t>
            </w:r>
          </w:p>
        </w:tc>
        <w:tc>
          <w:tcPr>
            <w:tcW w:w="709" w:type="dxa"/>
            <w:vAlign w:val="center"/>
          </w:tcPr>
          <w:p w:rsidR="00334478" w:rsidRPr="003409C9" w:rsidRDefault="00334478" w:rsidP="00855286">
            <w:pPr>
              <w:spacing w:before="20" w:after="20"/>
              <w:jc w:val="right"/>
              <w:rPr>
                <w:rStyle w:val="CommentReference"/>
                <w:noProof/>
                <w:sz w:val="18"/>
                <w:szCs w:val="18"/>
              </w:rPr>
            </w:pPr>
            <w:r w:rsidRPr="003409C9">
              <w:rPr>
                <w:noProof/>
                <w:sz w:val="18"/>
              </w:rPr>
              <w:t>2,145</w:t>
            </w:r>
          </w:p>
        </w:tc>
        <w:tc>
          <w:tcPr>
            <w:tcW w:w="708" w:type="dxa"/>
            <w:shd w:val="clear" w:color="auto" w:fill="DBE5F1" w:themeFill="accent1" w:themeFillTint="33"/>
            <w:vAlign w:val="center"/>
          </w:tcPr>
          <w:p w:rsidR="00334478" w:rsidRPr="00BB07AF" w:rsidRDefault="00334478" w:rsidP="00855286">
            <w:pPr>
              <w:spacing w:before="20" w:after="20"/>
              <w:jc w:val="right"/>
              <w:rPr>
                <w:b/>
                <w:i/>
                <w:noProof/>
                <w:sz w:val="18"/>
                <w:szCs w:val="18"/>
              </w:rPr>
            </w:pPr>
            <w:r w:rsidRPr="00BB07AF">
              <w:rPr>
                <w:i/>
                <w:noProof/>
                <w:sz w:val="18"/>
              </w:rPr>
              <w:t>19,470</w:t>
            </w:r>
          </w:p>
        </w:tc>
        <w:tc>
          <w:tcPr>
            <w:tcW w:w="779" w:type="dxa"/>
            <w:vAlign w:val="center"/>
          </w:tcPr>
          <w:p w:rsidR="00334478" w:rsidRPr="00BB07AF" w:rsidRDefault="00334478" w:rsidP="00855286">
            <w:pPr>
              <w:spacing w:before="20" w:after="20"/>
              <w:jc w:val="right"/>
              <w:rPr>
                <w:b/>
                <w:noProof/>
                <w:sz w:val="18"/>
                <w:szCs w:val="18"/>
              </w:rPr>
            </w:pPr>
            <w:r w:rsidRPr="00BB07AF">
              <w:rPr>
                <w:b/>
                <w:noProof/>
                <w:sz w:val="18"/>
              </w:rPr>
              <w:t>22,770</w:t>
            </w:r>
          </w:p>
        </w:tc>
      </w:tr>
      <w:tr w:rsidR="00415F9E" w:rsidRPr="003409C9" w:rsidTr="00855286">
        <w:tc>
          <w:tcPr>
            <w:tcW w:w="3641" w:type="dxa"/>
            <w:vMerge/>
          </w:tcPr>
          <w:p w:rsidR="00334478" w:rsidRPr="003409C9" w:rsidRDefault="00334478" w:rsidP="00855286">
            <w:pPr>
              <w:jc w:val="center"/>
              <w:rPr>
                <w:noProof/>
                <w:sz w:val="20"/>
              </w:rPr>
            </w:pPr>
          </w:p>
        </w:tc>
        <w:tc>
          <w:tcPr>
            <w:tcW w:w="1417" w:type="dxa"/>
            <w:vAlign w:val="center"/>
          </w:tcPr>
          <w:p w:rsidR="00334478" w:rsidRPr="003409C9" w:rsidRDefault="00334478" w:rsidP="00855286">
            <w:pPr>
              <w:spacing w:beforeLines="20" w:before="48" w:afterLines="20" w:after="48"/>
              <w:rPr>
                <w:noProof/>
                <w:sz w:val="18"/>
              </w:rPr>
            </w:pPr>
            <w:r w:rsidRPr="003409C9">
              <w:rPr>
                <w:noProof/>
                <w:sz w:val="18"/>
              </w:rPr>
              <w:t>Środki na płatności</w:t>
            </w:r>
          </w:p>
        </w:tc>
        <w:tc>
          <w:tcPr>
            <w:tcW w:w="567" w:type="dxa"/>
            <w:vAlign w:val="center"/>
          </w:tcPr>
          <w:p w:rsidR="00334478" w:rsidRPr="003409C9" w:rsidRDefault="00334478" w:rsidP="00855286">
            <w:pPr>
              <w:spacing w:beforeLines="20" w:before="48" w:afterLines="20" w:after="48"/>
              <w:jc w:val="center"/>
              <w:rPr>
                <w:noProof/>
                <w:sz w:val="14"/>
              </w:rPr>
            </w:pPr>
            <w:r w:rsidRPr="003409C9">
              <w:rPr>
                <w:noProof/>
                <w:sz w:val="14"/>
              </w:rPr>
              <w:t>(5)</w:t>
            </w:r>
          </w:p>
        </w:tc>
        <w:tc>
          <w:tcPr>
            <w:tcW w:w="709" w:type="dxa"/>
            <w:vAlign w:val="center"/>
          </w:tcPr>
          <w:p w:rsidR="00334478" w:rsidRPr="003409C9" w:rsidRDefault="00334478" w:rsidP="00855286">
            <w:pPr>
              <w:spacing w:before="20" w:after="20"/>
              <w:jc w:val="right"/>
              <w:rPr>
                <w:noProof/>
                <w:sz w:val="18"/>
                <w:szCs w:val="18"/>
              </w:rPr>
            </w:pPr>
          </w:p>
        </w:tc>
        <w:tc>
          <w:tcPr>
            <w:tcW w:w="709" w:type="dxa"/>
            <w:vAlign w:val="center"/>
          </w:tcPr>
          <w:p w:rsidR="00334478" w:rsidRPr="003409C9" w:rsidRDefault="00334478" w:rsidP="00855286">
            <w:pPr>
              <w:spacing w:before="20" w:after="20"/>
              <w:jc w:val="right"/>
              <w:rPr>
                <w:noProof/>
                <w:sz w:val="18"/>
                <w:szCs w:val="18"/>
              </w:rPr>
            </w:pPr>
          </w:p>
        </w:tc>
        <w:tc>
          <w:tcPr>
            <w:tcW w:w="709" w:type="dxa"/>
            <w:vAlign w:val="center"/>
          </w:tcPr>
          <w:p w:rsidR="00334478" w:rsidRPr="003409C9" w:rsidRDefault="00334478" w:rsidP="00855286">
            <w:pPr>
              <w:spacing w:before="20" w:after="20"/>
              <w:jc w:val="right"/>
              <w:rPr>
                <w:noProof/>
                <w:sz w:val="18"/>
                <w:szCs w:val="18"/>
              </w:rPr>
            </w:pPr>
          </w:p>
        </w:tc>
        <w:tc>
          <w:tcPr>
            <w:tcW w:w="709" w:type="dxa"/>
            <w:vAlign w:val="center"/>
          </w:tcPr>
          <w:p w:rsidR="00334478" w:rsidRPr="003409C9" w:rsidRDefault="00334478" w:rsidP="00855286">
            <w:pPr>
              <w:spacing w:before="20" w:after="20"/>
              <w:jc w:val="right"/>
              <w:rPr>
                <w:noProof/>
                <w:sz w:val="18"/>
                <w:szCs w:val="18"/>
              </w:rPr>
            </w:pPr>
            <w:r w:rsidRPr="003409C9">
              <w:rPr>
                <w:noProof/>
                <w:color w:val="000000"/>
                <w:sz w:val="18"/>
              </w:rPr>
              <w:t>1,155</w:t>
            </w:r>
          </w:p>
        </w:tc>
        <w:tc>
          <w:tcPr>
            <w:tcW w:w="708" w:type="dxa"/>
            <w:shd w:val="clear" w:color="auto" w:fill="DAEEF3" w:themeFill="accent5" w:themeFillTint="33"/>
            <w:vAlign w:val="center"/>
          </w:tcPr>
          <w:p w:rsidR="00334478" w:rsidRPr="00BB07AF" w:rsidRDefault="00334478" w:rsidP="00855286">
            <w:pPr>
              <w:spacing w:before="20" w:after="20"/>
              <w:jc w:val="right"/>
              <w:rPr>
                <w:i/>
                <w:noProof/>
                <w:sz w:val="18"/>
                <w:szCs w:val="18"/>
              </w:rPr>
            </w:pPr>
            <w:r w:rsidRPr="00BB07AF">
              <w:rPr>
                <w:i/>
                <w:noProof/>
                <w:color w:val="000000"/>
                <w:sz w:val="18"/>
              </w:rPr>
              <w:t>1,155</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1,757</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2,558</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3,457</w:t>
            </w:r>
          </w:p>
        </w:tc>
        <w:tc>
          <w:tcPr>
            <w:tcW w:w="708" w:type="dxa"/>
            <w:vAlign w:val="center"/>
          </w:tcPr>
          <w:p w:rsidR="00334478" w:rsidRPr="003409C9" w:rsidRDefault="00334478" w:rsidP="00855286">
            <w:pPr>
              <w:spacing w:before="20" w:after="20"/>
              <w:jc w:val="right"/>
              <w:rPr>
                <w:noProof/>
                <w:sz w:val="18"/>
                <w:szCs w:val="18"/>
              </w:rPr>
            </w:pPr>
            <w:r w:rsidRPr="003409C9">
              <w:rPr>
                <w:noProof/>
                <w:sz w:val="18"/>
              </w:rPr>
              <w:t>3,094</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2,888</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2,615</w:t>
            </w:r>
          </w:p>
        </w:tc>
        <w:tc>
          <w:tcPr>
            <w:tcW w:w="709" w:type="dxa"/>
            <w:vAlign w:val="center"/>
          </w:tcPr>
          <w:p w:rsidR="00334478" w:rsidRPr="00BB07AF" w:rsidRDefault="00334478" w:rsidP="00855286">
            <w:pPr>
              <w:spacing w:before="20" w:after="20"/>
              <w:jc w:val="right"/>
              <w:rPr>
                <w:b/>
                <w:noProof/>
                <w:sz w:val="18"/>
                <w:szCs w:val="18"/>
              </w:rPr>
            </w:pPr>
            <w:r w:rsidRPr="003409C9">
              <w:rPr>
                <w:noProof/>
                <w:sz w:val="18"/>
              </w:rPr>
              <w:t>2,244</w:t>
            </w:r>
          </w:p>
        </w:tc>
        <w:tc>
          <w:tcPr>
            <w:tcW w:w="708" w:type="dxa"/>
            <w:shd w:val="clear" w:color="auto" w:fill="DBE5F1" w:themeFill="accent1" w:themeFillTint="33"/>
            <w:vAlign w:val="center"/>
          </w:tcPr>
          <w:p w:rsidR="00334478" w:rsidRPr="00BB07AF" w:rsidRDefault="00334478" w:rsidP="00855286">
            <w:pPr>
              <w:spacing w:before="20" w:after="20"/>
              <w:jc w:val="right"/>
              <w:rPr>
                <w:b/>
                <w:i/>
                <w:noProof/>
                <w:sz w:val="18"/>
                <w:szCs w:val="18"/>
              </w:rPr>
            </w:pPr>
            <w:r w:rsidRPr="00BB07AF">
              <w:rPr>
                <w:i/>
                <w:noProof/>
                <w:sz w:val="18"/>
              </w:rPr>
              <w:t>18,612</w:t>
            </w:r>
          </w:p>
        </w:tc>
        <w:tc>
          <w:tcPr>
            <w:tcW w:w="779" w:type="dxa"/>
            <w:vAlign w:val="center"/>
          </w:tcPr>
          <w:p w:rsidR="00334478" w:rsidRPr="00BB07AF" w:rsidRDefault="00334478" w:rsidP="00855286">
            <w:pPr>
              <w:spacing w:before="20" w:after="20"/>
              <w:jc w:val="right"/>
              <w:rPr>
                <w:b/>
                <w:noProof/>
                <w:sz w:val="18"/>
                <w:szCs w:val="18"/>
              </w:rPr>
            </w:pPr>
            <w:r w:rsidRPr="00BB07AF">
              <w:rPr>
                <w:b/>
                <w:noProof/>
                <w:sz w:val="18"/>
              </w:rPr>
              <w:t>19,767</w:t>
            </w:r>
          </w:p>
        </w:tc>
      </w:tr>
      <w:tr w:rsidR="00415F9E" w:rsidRPr="003409C9" w:rsidTr="00855286">
        <w:trPr>
          <w:trHeight w:val="533"/>
        </w:trPr>
        <w:tc>
          <w:tcPr>
            <w:tcW w:w="5058" w:type="dxa"/>
            <w:gridSpan w:val="2"/>
            <w:vAlign w:val="center"/>
          </w:tcPr>
          <w:p w:rsidR="00334478" w:rsidRPr="003409C9" w:rsidRDefault="00334478" w:rsidP="00855286">
            <w:pPr>
              <w:spacing w:beforeLines="20" w:before="48" w:afterLines="20" w:after="48"/>
              <w:rPr>
                <w:noProof/>
              </w:rPr>
            </w:pPr>
            <w:r w:rsidRPr="003409C9">
              <w:rPr>
                <w:noProof/>
                <w:sz w:val="21"/>
              </w:rPr>
              <w:sym w:font="Wingdings" w:char="F09F"/>
            </w:r>
            <w:r w:rsidRPr="003409C9">
              <w:rPr>
                <w:noProof/>
                <w:sz w:val="21"/>
              </w:rPr>
              <w:t xml:space="preserve"> OGÓŁEM środki administracyjne finansowane ze środków przydzielonych na określone programy </w:t>
            </w:r>
          </w:p>
        </w:tc>
        <w:tc>
          <w:tcPr>
            <w:tcW w:w="567" w:type="dxa"/>
            <w:vAlign w:val="center"/>
          </w:tcPr>
          <w:p w:rsidR="00334478" w:rsidRPr="003409C9" w:rsidRDefault="00334478" w:rsidP="00855286">
            <w:pPr>
              <w:spacing w:beforeLines="20" w:before="48" w:afterLines="20" w:after="48"/>
              <w:jc w:val="center"/>
              <w:rPr>
                <w:noProof/>
                <w:sz w:val="14"/>
              </w:rPr>
            </w:pPr>
            <w:r w:rsidRPr="003409C9">
              <w:rPr>
                <w:noProof/>
                <w:sz w:val="14"/>
              </w:rPr>
              <w:t>(6)</w:t>
            </w:r>
          </w:p>
        </w:tc>
        <w:tc>
          <w:tcPr>
            <w:tcW w:w="709" w:type="dxa"/>
            <w:vAlign w:val="center"/>
          </w:tcPr>
          <w:p w:rsidR="00334478" w:rsidRPr="003409C9" w:rsidRDefault="00334478" w:rsidP="00855286">
            <w:pPr>
              <w:spacing w:before="20" w:after="20"/>
              <w:jc w:val="right"/>
              <w:rPr>
                <w:b/>
                <w:noProof/>
                <w:sz w:val="18"/>
                <w:szCs w:val="18"/>
              </w:rPr>
            </w:pPr>
          </w:p>
        </w:tc>
        <w:tc>
          <w:tcPr>
            <w:tcW w:w="709" w:type="dxa"/>
            <w:vAlign w:val="center"/>
          </w:tcPr>
          <w:p w:rsidR="00334478" w:rsidRPr="003409C9" w:rsidRDefault="00334478" w:rsidP="00855286">
            <w:pPr>
              <w:spacing w:before="20" w:after="20"/>
              <w:jc w:val="right"/>
              <w:rPr>
                <w:b/>
                <w:noProof/>
                <w:sz w:val="18"/>
                <w:szCs w:val="18"/>
              </w:rPr>
            </w:pPr>
          </w:p>
        </w:tc>
        <w:tc>
          <w:tcPr>
            <w:tcW w:w="709" w:type="dxa"/>
            <w:vAlign w:val="center"/>
          </w:tcPr>
          <w:p w:rsidR="00334478" w:rsidRPr="003409C9" w:rsidRDefault="00334478" w:rsidP="00855286">
            <w:pPr>
              <w:spacing w:before="20" w:after="20"/>
              <w:jc w:val="right"/>
              <w:rPr>
                <w:b/>
                <w:noProof/>
                <w:sz w:val="18"/>
                <w:szCs w:val="18"/>
              </w:rPr>
            </w:pPr>
          </w:p>
        </w:tc>
        <w:tc>
          <w:tcPr>
            <w:tcW w:w="709" w:type="dxa"/>
            <w:vAlign w:val="center"/>
          </w:tcPr>
          <w:p w:rsidR="00334478" w:rsidRPr="00BB07AF" w:rsidRDefault="00334478" w:rsidP="00855286">
            <w:pPr>
              <w:spacing w:before="20" w:after="20"/>
              <w:jc w:val="right"/>
              <w:rPr>
                <w:b/>
                <w:noProof/>
                <w:sz w:val="18"/>
                <w:szCs w:val="18"/>
              </w:rPr>
            </w:pPr>
          </w:p>
        </w:tc>
        <w:tc>
          <w:tcPr>
            <w:tcW w:w="708" w:type="dxa"/>
            <w:shd w:val="clear" w:color="auto" w:fill="DAEEF3" w:themeFill="accent5" w:themeFillTint="33"/>
            <w:vAlign w:val="center"/>
          </w:tcPr>
          <w:p w:rsidR="00334478" w:rsidRPr="00BB07AF" w:rsidRDefault="00334478" w:rsidP="00855286">
            <w:pPr>
              <w:spacing w:before="20" w:after="20"/>
              <w:jc w:val="right"/>
              <w:rPr>
                <w:b/>
                <w:i/>
                <w:noProof/>
                <w:sz w:val="18"/>
                <w:szCs w:val="18"/>
              </w:rPr>
            </w:pPr>
          </w:p>
        </w:tc>
        <w:tc>
          <w:tcPr>
            <w:tcW w:w="709" w:type="dxa"/>
            <w:vAlign w:val="center"/>
          </w:tcPr>
          <w:p w:rsidR="00334478" w:rsidRPr="003409C9" w:rsidRDefault="00334478" w:rsidP="00855286">
            <w:pPr>
              <w:spacing w:before="20" w:after="20"/>
              <w:jc w:val="right"/>
              <w:rPr>
                <w:b/>
                <w:noProof/>
                <w:sz w:val="18"/>
                <w:szCs w:val="18"/>
              </w:rPr>
            </w:pPr>
          </w:p>
        </w:tc>
        <w:tc>
          <w:tcPr>
            <w:tcW w:w="709" w:type="dxa"/>
            <w:vAlign w:val="center"/>
          </w:tcPr>
          <w:p w:rsidR="00334478" w:rsidRPr="003409C9" w:rsidRDefault="00334478" w:rsidP="00855286">
            <w:pPr>
              <w:spacing w:before="20" w:after="20"/>
              <w:jc w:val="right"/>
              <w:rPr>
                <w:b/>
                <w:noProof/>
                <w:sz w:val="18"/>
                <w:szCs w:val="18"/>
              </w:rPr>
            </w:pPr>
          </w:p>
        </w:tc>
        <w:tc>
          <w:tcPr>
            <w:tcW w:w="709" w:type="dxa"/>
            <w:vAlign w:val="center"/>
          </w:tcPr>
          <w:p w:rsidR="00334478" w:rsidRPr="003409C9" w:rsidRDefault="00334478" w:rsidP="00855286">
            <w:pPr>
              <w:spacing w:before="20" w:after="20"/>
              <w:jc w:val="right"/>
              <w:rPr>
                <w:b/>
                <w:noProof/>
                <w:sz w:val="18"/>
                <w:szCs w:val="18"/>
              </w:rPr>
            </w:pPr>
          </w:p>
        </w:tc>
        <w:tc>
          <w:tcPr>
            <w:tcW w:w="708" w:type="dxa"/>
            <w:vAlign w:val="center"/>
          </w:tcPr>
          <w:p w:rsidR="00334478" w:rsidRPr="003409C9" w:rsidRDefault="00334478" w:rsidP="00855286">
            <w:pPr>
              <w:spacing w:before="20" w:after="20"/>
              <w:jc w:val="right"/>
              <w:rPr>
                <w:b/>
                <w:noProof/>
                <w:sz w:val="18"/>
                <w:szCs w:val="18"/>
              </w:rPr>
            </w:pPr>
          </w:p>
        </w:tc>
        <w:tc>
          <w:tcPr>
            <w:tcW w:w="709" w:type="dxa"/>
            <w:vAlign w:val="center"/>
          </w:tcPr>
          <w:p w:rsidR="00334478" w:rsidRPr="003409C9" w:rsidRDefault="00334478" w:rsidP="00855286">
            <w:pPr>
              <w:spacing w:before="20" w:after="20"/>
              <w:jc w:val="right"/>
              <w:rPr>
                <w:b/>
                <w:noProof/>
                <w:sz w:val="18"/>
                <w:szCs w:val="18"/>
              </w:rPr>
            </w:pPr>
          </w:p>
        </w:tc>
        <w:tc>
          <w:tcPr>
            <w:tcW w:w="709" w:type="dxa"/>
            <w:vAlign w:val="center"/>
          </w:tcPr>
          <w:p w:rsidR="00334478" w:rsidRPr="003409C9" w:rsidRDefault="00334478" w:rsidP="00855286">
            <w:pPr>
              <w:spacing w:before="20" w:after="20"/>
              <w:jc w:val="right"/>
              <w:rPr>
                <w:b/>
                <w:noProof/>
                <w:sz w:val="18"/>
                <w:szCs w:val="18"/>
              </w:rPr>
            </w:pPr>
          </w:p>
        </w:tc>
        <w:tc>
          <w:tcPr>
            <w:tcW w:w="709" w:type="dxa"/>
            <w:vAlign w:val="center"/>
          </w:tcPr>
          <w:p w:rsidR="00334478" w:rsidRPr="00BB07AF" w:rsidRDefault="00334478" w:rsidP="00855286">
            <w:pPr>
              <w:spacing w:before="20" w:after="20"/>
              <w:jc w:val="right"/>
              <w:rPr>
                <w:b/>
                <w:noProof/>
                <w:sz w:val="18"/>
                <w:szCs w:val="18"/>
              </w:rPr>
            </w:pPr>
          </w:p>
        </w:tc>
        <w:tc>
          <w:tcPr>
            <w:tcW w:w="708" w:type="dxa"/>
            <w:shd w:val="clear" w:color="auto" w:fill="DBE5F1" w:themeFill="accent1" w:themeFillTint="33"/>
            <w:vAlign w:val="center"/>
          </w:tcPr>
          <w:p w:rsidR="00334478" w:rsidRPr="00BB07AF" w:rsidRDefault="00334478" w:rsidP="00855286">
            <w:pPr>
              <w:spacing w:before="20" w:after="20"/>
              <w:jc w:val="right"/>
              <w:rPr>
                <w:b/>
                <w:i/>
                <w:noProof/>
                <w:sz w:val="18"/>
                <w:szCs w:val="18"/>
              </w:rPr>
            </w:pPr>
          </w:p>
        </w:tc>
        <w:tc>
          <w:tcPr>
            <w:tcW w:w="779" w:type="dxa"/>
            <w:vAlign w:val="center"/>
          </w:tcPr>
          <w:p w:rsidR="00334478" w:rsidRPr="00BB07AF" w:rsidRDefault="00334478" w:rsidP="00855286">
            <w:pPr>
              <w:spacing w:before="20" w:after="20"/>
              <w:jc w:val="right"/>
              <w:rPr>
                <w:b/>
                <w:noProof/>
                <w:sz w:val="18"/>
                <w:szCs w:val="18"/>
              </w:rPr>
            </w:pPr>
          </w:p>
        </w:tc>
      </w:tr>
      <w:tr w:rsidR="00415F9E" w:rsidRPr="003409C9" w:rsidTr="00855286">
        <w:tc>
          <w:tcPr>
            <w:tcW w:w="3641" w:type="dxa"/>
            <w:vMerge w:val="restart"/>
            <w:shd w:val="thinDiagStripe" w:color="C0C0C0" w:fill="auto"/>
            <w:vAlign w:val="center"/>
          </w:tcPr>
          <w:p w:rsidR="00334478" w:rsidRPr="00BB07AF" w:rsidRDefault="00334478" w:rsidP="00855286">
            <w:pPr>
              <w:jc w:val="center"/>
              <w:rPr>
                <w:b/>
                <w:noProof/>
              </w:rPr>
            </w:pPr>
            <w:r w:rsidRPr="00BB07AF">
              <w:rPr>
                <w:b/>
                <w:noProof/>
                <w:sz w:val="22"/>
              </w:rPr>
              <w:t>OGÓŁEM środki</w:t>
            </w:r>
            <w:r w:rsidR="003B5A1D" w:rsidRPr="00BB07AF">
              <w:rPr>
                <w:b/>
                <w:noProof/>
                <w:sz w:val="22"/>
              </w:rPr>
              <w:t xml:space="preserve"> </w:t>
            </w:r>
            <w:r w:rsidRPr="003409C9">
              <w:rPr>
                <w:noProof/>
              </w:rPr>
              <w:br/>
            </w:r>
            <w:r w:rsidRPr="00BB07AF">
              <w:rPr>
                <w:b/>
                <w:noProof/>
                <w:sz w:val="22"/>
              </w:rPr>
              <w:t>na DZIAŁ 5</w:t>
            </w:r>
            <w:r w:rsidRPr="003409C9">
              <w:rPr>
                <w:noProof/>
              </w:rPr>
              <w:t xml:space="preserve"> </w:t>
            </w:r>
            <w:r w:rsidRPr="003409C9">
              <w:rPr>
                <w:noProof/>
              </w:rPr>
              <w:br/>
            </w:r>
            <w:r w:rsidRPr="003409C9">
              <w:rPr>
                <w:noProof/>
                <w:sz w:val="22"/>
              </w:rPr>
              <w:t>wieloletnich ram finansowych</w:t>
            </w:r>
          </w:p>
        </w:tc>
        <w:tc>
          <w:tcPr>
            <w:tcW w:w="1417" w:type="dxa"/>
            <w:vAlign w:val="center"/>
          </w:tcPr>
          <w:p w:rsidR="00334478" w:rsidRPr="003409C9" w:rsidRDefault="00334478" w:rsidP="00855286">
            <w:pPr>
              <w:rPr>
                <w:noProof/>
                <w:sz w:val="18"/>
              </w:rPr>
            </w:pPr>
            <w:r w:rsidRPr="003409C9">
              <w:rPr>
                <w:noProof/>
                <w:sz w:val="18"/>
              </w:rPr>
              <w:t>Środki na zobowiązania</w:t>
            </w:r>
          </w:p>
        </w:tc>
        <w:tc>
          <w:tcPr>
            <w:tcW w:w="567" w:type="dxa"/>
            <w:vAlign w:val="center"/>
          </w:tcPr>
          <w:p w:rsidR="00334478" w:rsidRPr="003409C9" w:rsidRDefault="00334478" w:rsidP="00855286">
            <w:pPr>
              <w:jc w:val="center"/>
              <w:rPr>
                <w:noProof/>
                <w:sz w:val="14"/>
              </w:rPr>
            </w:pPr>
            <w:r w:rsidRPr="003409C9">
              <w:rPr>
                <w:noProof/>
                <w:sz w:val="14"/>
              </w:rPr>
              <w:t>=4+6</w:t>
            </w:r>
          </w:p>
        </w:tc>
        <w:tc>
          <w:tcPr>
            <w:tcW w:w="709" w:type="dxa"/>
            <w:vAlign w:val="center"/>
          </w:tcPr>
          <w:p w:rsidR="00334478" w:rsidRPr="003409C9" w:rsidRDefault="00334478" w:rsidP="00855286">
            <w:pPr>
              <w:spacing w:before="20" w:after="20"/>
              <w:jc w:val="right"/>
              <w:rPr>
                <w:noProof/>
                <w:sz w:val="18"/>
                <w:szCs w:val="18"/>
              </w:rPr>
            </w:pPr>
          </w:p>
        </w:tc>
        <w:tc>
          <w:tcPr>
            <w:tcW w:w="709" w:type="dxa"/>
            <w:vAlign w:val="center"/>
          </w:tcPr>
          <w:p w:rsidR="00334478" w:rsidRPr="003409C9" w:rsidRDefault="00334478" w:rsidP="00855286">
            <w:pPr>
              <w:spacing w:before="20" w:after="20"/>
              <w:jc w:val="right"/>
              <w:rPr>
                <w:noProof/>
                <w:sz w:val="18"/>
                <w:szCs w:val="18"/>
              </w:rPr>
            </w:pPr>
          </w:p>
        </w:tc>
        <w:tc>
          <w:tcPr>
            <w:tcW w:w="709" w:type="dxa"/>
            <w:vAlign w:val="center"/>
          </w:tcPr>
          <w:p w:rsidR="00334478" w:rsidRPr="003409C9" w:rsidRDefault="00334478" w:rsidP="00855286">
            <w:pPr>
              <w:spacing w:before="20" w:after="20"/>
              <w:jc w:val="right"/>
              <w:rPr>
                <w:noProof/>
                <w:sz w:val="18"/>
                <w:szCs w:val="18"/>
              </w:rPr>
            </w:pPr>
          </w:p>
        </w:tc>
        <w:tc>
          <w:tcPr>
            <w:tcW w:w="709" w:type="dxa"/>
            <w:vAlign w:val="center"/>
          </w:tcPr>
          <w:p w:rsidR="00334478" w:rsidRPr="003409C9" w:rsidRDefault="00334478" w:rsidP="00855286">
            <w:pPr>
              <w:spacing w:before="20" w:after="20"/>
              <w:jc w:val="right"/>
              <w:rPr>
                <w:noProof/>
                <w:sz w:val="18"/>
                <w:szCs w:val="18"/>
              </w:rPr>
            </w:pPr>
            <w:r w:rsidRPr="003409C9">
              <w:rPr>
                <w:noProof/>
                <w:color w:val="000000"/>
                <w:sz w:val="18"/>
              </w:rPr>
              <w:t>3,300</w:t>
            </w:r>
          </w:p>
        </w:tc>
        <w:tc>
          <w:tcPr>
            <w:tcW w:w="708" w:type="dxa"/>
            <w:shd w:val="clear" w:color="auto" w:fill="DAEEF3" w:themeFill="accent5" w:themeFillTint="33"/>
            <w:vAlign w:val="center"/>
          </w:tcPr>
          <w:p w:rsidR="00334478" w:rsidRPr="00BB07AF" w:rsidRDefault="00334478" w:rsidP="00855286">
            <w:pPr>
              <w:spacing w:before="20" w:after="20"/>
              <w:jc w:val="right"/>
              <w:rPr>
                <w:i/>
                <w:noProof/>
                <w:sz w:val="18"/>
                <w:szCs w:val="18"/>
              </w:rPr>
            </w:pPr>
            <w:r w:rsidRPr="00BB07AF">
              <w:rPr>
                <w:i/>
                <w:noProof/>
                <w:color w:val="000000"/>
                <w:sz w:val="18"/>
              </w:rPr>
              <w:t>3,300</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3,135</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3,630</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4,125</w:t>
            </w:r>
          </w:p>
        </w:tc>
        <w:tc>
          <w:tcPr>
            <w:tcW w:w="708" w:type="dxa"/>
            <w:vAlign w:val="center"/>
          </w:tcPr>
          <w:p w:rsidR="00334478" w:rsidRPr="003409C9" w:rsidRDefault="00334478" w:rsidP="00855286">
            <w:pPr>
              <w:spacing w:before="20" w:after="20"/>
              <w:jc w:val="right"/>
              <w:rPr>
                <w:noProof/>
                <w:sz w:val="18"/>
                <w:szCs w:val="18"/>
              </w:rPr>
            </w:pPr>
            <w:r w:rsidRPr="003409C9">
              <w:rPr>
                <w:noProof/>
                <w:sz w:val="18"/>
              </w:rPr>
              <w:t>2,145</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2,145</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2,145</w:t>
            </w:r>
          </w:p>
        </w:tc>
        <w:tc>
          <w:tcPr>
            <w:tcW w:w="709" w:type="dxa"/>
            <w:vAlign w:val="center"/>
          </w:tcPr>
          <w:p w:rsidR="00334478" w:rsidRPr="00BB07AF" w:rsidRDefault="00334478" w:rsidP="00855286">
            <w:pPr>
              <w:spacing w:before="20" w:after="20"/>
              <w:jc w:val="right"/>
              <w:rPr>
                <w:b/>
                <w:noProof/>
                <w:sz w:val="18"/>
                <w:szCs w:val="18"/>
              </w:rPr>
            </w:pPr>
            <w:r w:rsidRPr="003409C9">
              <w:rPr>
                <w:noProof/>
                <w:sz w:val="18"/>
              </w:rPr>
              <w:t>2,145</w:t>
            </w:r>
          </w:p>
        </w:tc>
        <w:tc>
          <w:tcPr>
            <w:tcW w:w="708" w:type="dxa"/>
            <w:shd w:val="clear" w:color="auto" w:fill="DBE5F1" w:themeFill="accent1" w:themeFillTint="33"/>
            <w:vAlign w:val="center"/>
          </w:tcPr>
          <w:p w:rsidR="00334478" w:rsidRPr="00BB07AF" w:rsidRDefault="00334478" w:rsidP="00855286">
            <w:pPr>
              <w:spacing w:before="20" w:after="20"/>
              <w:jc w:val="right"/>
              <w:rPr>
                <w:b/>
                <w:i/>
                <w:noProof/>
                <w:sz w:val="18"/>
                <w:szCs w:val="18"/>
              </w:rPr>
            </w:pPr>
            <w:r w:rsidRPr="00BB07AF">
              <w:rPr>
                <w:i/>
                <w:noProof/>
                <w:sz w:val="18"/>
              </w:rPr>
              <w:t>19,470</w:t>
            </w:r>
          </w:p>
        </w:tc>
        <w:tc>
          <w:tcPr>
            <w:tcW w:w="779" w:type="dxa"/>
            <w:vAlign w:val="center"/>
          </w:tcPr>
          <w:p w:rsidR="00334478" w:rsidRPr="00BB07AF" w:rsidRDefault="00334478" w:rsidP="00855286">
            <w:pPr>
              <w:spacing w:before="20" w:after="20"/>
              <w:jc w:val="right"/>
              <w:rPr>
                <w:b/>
                <w:noProof/>
                <w:sz w:val="18"/>
                <w:szCs w:val="18"/>
              </w:rPr>
            </w:pPr>
            <w:r w:rsidRPr="00BB07AF">
              <w:rPr>
                <w:b/>
                <w:noProof/>
                <w:sz w:val="18"/>
              </w:rPr>
              <w:t>22,770</w:t>
            </w:r>
          </w:p>
        </w:tc>
      </w:tr>
      <w:tr w:rsidR="00415F9E" w:rsidRPr="003409C9" w:rsidTr="00855286">
        <w:tc>
          <w:tcPr>
            <w:tcW w:w="3641" w:type="dxa"/>
            <w:vMerge/>
            <w:shd w:val="thinDiagStripe" w:color="C0C0C0" w:fill="auto"/>
          </w:tcPr>
          <w:p w:rsidR="00334478" w:rsidRPr="003409C9" w:rsidRDefault="00334478" w:rsidP="00855286">
            <w:pPr>
              <w:rPr>
                <w:noProof/>
                <w:sz w:val="20"/>
              </w:rPr>
            </w:pPr>
          </w:p>
        </w:tc>
        <w:tc>
          <w:tcPr>
            <w:tcW w:w="1417" w:type="dxa"/>
            <w:vAlign w:val="center"/>
          </w:tcPr>
          <w:p w:rsidR="00334478" w:rsidRPr="003409C9" w:rsidRDefault="00334478" w:rsidP="00855286">
            <w:pPr>
              <w:rPr>
                <w:noProof/>
                <w:sz w:val="18"/>
              </w:rPr>
            </w:pPr>
            <w:r w:rsidRPr="003409C9">
              <w:rPr>
                <w:noProof/>
                <w:sz w:val="18"/>
              </w:rPr>
              <w:t>Środki na płatności</w:t>
            </w:r>
          </w:p>
        </w:tc>
        <w:tc>
          <w:tcPr>
            <w:tcW w:w="567" w:type="dxa"/>
            <w:vAlign w:val="center"/>
          </w:tcPr>
          <w:p w:rsidR="00334478" w:rsidRPr="003409C9" w:rsidRDefault="00334478" w:rsidP="00855286">
            <w:pPr>
              <w:jc w:val="center"/>
              <w:rPr>
                <w:noProof/>
                <w:sz w:val="14"/>
              </w:rPr>
            </w:pPr>
            <w:r w:rsidRPr="003409C9">
              <w:rPr>
                <w:noProof/>
                <w:sz w:val="14"/>
              </w:rPr>
              <w:t>=5+ 6</w:t>
            </w:r>
          </w:p>
        </w:tc>
        <w:tc>
          <w:tcPr>
            <w:tcW w:w="709" w:type="dxa"/>
            <w:vAlign w:val="center"/>
          </w:tcPr>
          <w:p w:rsidR="00334478" w:rsidRPr="003409C9" w:rsidRDefault="00334478" w:rsidP="00855286">
            <w:pPr>
              <w:spacing w:before="20" w:after="20"/>
              <w:jc w:val="right"/>
              <w:rPr>
                <w:noProof/>
                <w:sz w:val="18"/>
                <w:szCs w:val="18"/>
              </w:rPr>
            </w:pPr>
          </w:p>
        </w:tc>
        <w:tc>
          <w:tcPr>
            <w:tcW w:w="709" w:type="dxa"/>
            <w:vAlign w:val="center"/>
          </w:tcPr>
          <w:p w:rsidR="00334478" w:rsidRPr="003409C9" w:rsidRDefault="00334478" w:rsidP="00855286">
            <w:pPr>
              <w:spacing w:before="20" w:after="20"/>
              <w:jc w:val="right"/>
              <w:rPr>
                <w:noProof/>
                <w:sz w:val="18"/>
                <w:szCs w:val="18"/>
              </w:rPr>
            </w:pPr>
          </w:p>
        </w:tc>
        <w:tc>
          <w:tcPr>
            <w:tcW w:w="709" w:type="dxa"/>
            <w:vAlign w:val="center"/>
          </w:tcPr>
          <w:p w:rsidR="00334478" w:rsidRPr="003409C9" w:rsidRDefault="00334478" w:rsidP="00855286">
            <w:pPr>
              <w:spacing w:before="20" w:after="20"/>
              <w:jc w:val="right"/>
              <w:rPr>
                <w:noProof/>
                <w:sz w:val="18"/>
                <w:szCs w:val="18"/>
              </w:rPr>
            </w:pPr>
          </w:p>
        </w:tc>
        <w:tc>
          <w:tcPr>
            <w:tcW w:w="709" w:type="dxa"/>
            <w:vAlign w:val="center"/>
          </w:tcPr>
          <w:p w:rsidR="00334478" w:rsidRPr="003409C9" w:rsidRDefault="00334478" w:rsidP="00855286">
            <w:pPr>
              <w:spacing w:before="20" w:after="20"/>
              <w:jc w:val="right"/>
              <w:rPr>
                <w:noProof/>
                <w:sz w:val="18"/>
                <w:szCs w:val="18"/>
              </w:rPr>
            </w:pPr>
            <w:r w:rsidRPr="003409C9">
              <w:rPr>
                <w:noProof/>
                <w:color w:val="000000"/>
                <w:sz w:val="18"/>
              </w:rPr>
              <w:t>1,155</w:t>
            </w:r>
          </w:p>
        </w:tc>
        <w:tc>
          <w:tcPr>
            <w:tcW w:w="708" w:type="dxa"/>
            <w:shd w:val="clear" w:color="auto" w:fill="DAEEF3" w:themeFill="accent5" w:themeFillTint="33"/>
            <w:vAlign w:val="center"/>
          </w:tcPr>
          <w:p w:rsidR="00334478" w:rsidRPr="00BB07AF" w:rsidRDefault="00334478" w:rsidP="00855286">
            <w:pPr>
              <w:spacing w:before="20" w:after="20"/>
              <w:jc w:val="right"/>
              <w:rPr>
                <w:i/>
                <w:noProof/>
                <w:sz w:val="18"/>
                <w:szCs w:val="18"/>
              </w:rPr>
            </w:pPr>
            <w:r w:rsidRPr="00BB07AF">
              <w:rPr>
                <w:i/>
                <w:noProof/>
                <w:color w:val="000000"/>
                <w:sz w:val="18"/>
              </w:rPr>
              <w:t>1,155</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1,757</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2,558</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3,457</w:t>
            </w:r>
          </w:p>
        </w:tc>
        <w:tc>
          <w:tcPr>
            <w:tcW w:w="708" w:type="dxa"/>
            <w:vAlign w:val="center"/>
          </w:tcPr>
          <w:p w:rsidR="00334478" w:rsidRPr="003409C9" w:rsidRDefault="00334478" w:rsidP="00855286">
            <w:pPr>
              <w:spacing w:before="20" w:after="20"/>
              <w:jc w:val="right"/>
              <w:rPr>
                <w:noProof/>
                <w:sz w:val="18"/>
                <w:szCs w:val="18"/>
              </w:rPr>
            </w:pPr>
            <w:r w:rsidRPr="003409C9">
              <w:rPr>
                <w:noProof/>
                <w:sz w:val="18"/>
              </w:rPr>
              <w:t>3,094</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2,888</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2,615</w:t>
            </w:r>
          </w:p>
        </w:tc>
        <w:tc>
          <w:tcPr>
            <w:tcW w:w="709" w:type="dxa"/>
            <w:vAlign w:val="center"/>
          </w:tcPr>
          <w:p w:rsidR="00334478" w:rsidRPr="00BB07AF" w:rsidRDefault="00334478" w:rsidP="00855286">
            <w:pPr>
              <w:spacing w:before="20" w:after="20"/>
              <w:jc w:val="right"/>
              <w:rPr>
                <w:b/>
                <w:noProof/>
                <w:sz w:val="18"/>
                <w:szCs w:val="18"/>
              </w:rPr>
            </w:pPr>
            <w:r w:rsidRPr="003409C9">
              <w:rPr>
                <w:noProof/>
                <w:sz w:val="18"/>
              </w:rPr>
              <w:t>2,244</w:t>
            </w:r>
          </w:p>
        </w:tc>
        <w:tc>
          <w:tcPr>
            <w:tcW w:w="708" w:type="dxa"/>
            <w:shd w:val="clear" w:color="auto" w:fill="DBE5F1" w:themeFill="accent1" w:themeFillTint="33"/>
            <w:vAlign w:val="center"/>
          </w:tcPr>
          <w:p w:rsidR="00334478" w:rsidRPr="00BB07AF" w:rsidRDefault="00334478" w:rsidP="00855286">
            <w:pPr>
              <w:spacing w:before="20" w:after="20"/>
              <w:jc w:val="right"/>
              <w:rPr>
                <w:b/>
                <w:i/>
                <w:noProof/>
                <w:sz w:val="18"/>
                <w:szCs w:val="18"/>
              </w:rPr>
            </w:pPr>
            <w:r w:rsidRPr="00BB07AF">
              <w:rPr>
                <w:i/>
                <w:noProof/>
                <w:sz w:val="18"/>
              </w:rPr>
              <w:t>18,612</w:t>
            </w:r>
          </w:p>
        </w:tc>
        <w:tc>
          <w:tcPr>
            <w:tcW w:w="779" w:type="dxa"/>
            <w:vAlign w:val="center"/>
          </w:tcPr>
          <w:p w:rsidR="00334478" w:rsidRPr="00BB07AF" w:rsidRDefault="00334478" w:rsidP="00855286">
            <w:pPr>
              <w:spacing w:before="20" w:after="20"/>
              <w:jc w:val="right"/>
              <w:rPr>
                <w:b/>
                <w:noProof/>
                <w:sz w:val="18"/>
                <w:szCs w:val="18"/>
              </w:rPr>
            </w:pPr>
            <w:r w:rsidRPr="00BB07AF">
              <w:rPr>
                <w:b/>
                <w:noProof/>
                <w:sz w:val="18"/>
              </w:rPr>
              <w:t>19,767</w:t>
            </w:r>
          </w:p>
        </w:tc>
      </w:tr>
    </w:tbl>
    <w:p w:rsidR="00334478" w:rsidRPr="00BB07AF" w:rsidRDefault="00334478" w:rsidP="00CD7E2F">
      <w:pPr>
        <w:spacing w:after="40"/>
        <w:rPr>
          <w:b/>
          <w:noProof/>
          <w:sz w:val="22"/>
          <w:u w:val="single"/>
        </w:rPr>
      </w:pPr>
    </w:p>
    <w:tbl>
      <w:tblPr>
        <w:tblW w:w="15618" w:type="dxa"/>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641"/>
        <w:gridCol w:w="1417"/>
        <w:gridCol w:w="567"/>
        <w:gridCol w:w="709"/>
        <w:gridCol w:w="709"/>
        <w:gridCol w:w="709"/>
        <w:gridCol w:w="709"/>
        <w:gridCol w:w="708"/>
        <w:gridCol w:w="709"/>
        <w:gridCol w:w="709"/>
        <w:gridCol w:w="709"/>
        <w:gridCol w:w="708"/>
        <w:gridCol w:w="709"/>
        <w:gridCol w:w="709"/>
        <w:gridCol w:w="709"/>
        <w:gridCol w:w="708"/>
        <w:gridCol w:w="779"/>
      </w:tblGrid>
      <w:tr w:rsidR="00415F9E" w:rsidRPr="003409C9" w:rsidTr="00855286">
        <w:trPr>
          <w:trHeight w:val="277"/>
        </w:trPr>
        <w:tc>
          <w:tcPr>
            <w:tcW w:w="3641" w:type="dxa"/>
            <w:vMerge w:val="restart"/>
            <w:tcBorders>
              <w:top w:val="single" w:sz="4" w:space="0" w:color="auto"/>
              <w:left w:val="single" w:sz="4" w:space="0" w:color="auto"/>
              <w:bottom w:val="single" w:sz="4" w:space="0" w:color="FF0000"/>
            </w:tcBorders>
            <w:vAlign w:val="center"/>
          </w:tcPr>
          <w:p w:rsidR="00334478" w:rsidRPr="003409C9" w:rsidRDefault="00334478" w:rsidP="00855286">
            <w:pPr>
              <w:spacing w:before="20" w:after="20"/>
              <w:rPr>
                <w:noProof/>
              </w:rPr>
            </w:pPr>
            <w:r w:rsidRPr="003409C9">
              <w:rPr>
                <w:noProof/>
                <w:sz w:val="21"/>
              </w:rPr>
              <w:sym w:font="Wingdings" w:char="F09F"/>
            </w:r>
            <w:r w:rsidRPr="003409C9">
              <w:rPr>
                <w:noProof/>
                <w:sz w:val="21"/>
              </w:rPr>
              <w:t xml:space="preserve"> OGÓŁEM środki operacyjne (wszystkie działy operacyjne)</w:t>
            </w:r>
          </w:p>
        </w:tc>
        <w:tc>
          <w:tcPr>
            <w:tcW w:w="1417" w:type="dxa"/>
            <w:tcBorders>
              <w:top w:val="single" w:sz="4" w:space="0" w:color="auto"/>
            </w:tcBorders>
            <w:vAlign w:val="center"/>
          </w:tcPr>
          <w:p w:rsidR="00334478" w:rsidRPr="003409C9" w:rsidRDefault="00334478" w:rsidP="00855286">
            <w:pPr>
              <w:spacing w:beforeLines="20" w:before="48" w:afterLines="20" w:after="48"/>
              <w:rPr>
                <w:noProof/>
                <w:sz w:val="18"/>
              </w:rPr>
            </w:pPr>
            <w:r w:rsidRPr="003409C9">
              <w:rPr>
                <w:noProof/>
                <w:sz w:val="18"/>
              </w:rPr>
              <w:t>Środki na zobowiązania</w:t>
            </w:r>
          </w:p>
        </w:tc>
        <w:tc>
          <w:tcPr>
            <w:tcW w:w="567" w:type="dxa"/>
            <w:tcBorders>
              <w:top w:val="single" w:sz="4" w:space="0" w:color="auto"/>
            </w:tcBorders>
            <w:vAlign w:val="center"/>
          </w:tcPr>
          <w:p w:rsidR="00334478" w:rsidRPr="003409C9" w:rsidRDefault="00334478" w:rsidP="00855286">
            <w:pPr>
              <w:spacing w:beforeLines="20" w:before="48" w:afterLines="20" w:after="48"/>
              <w:jc w:val="center"/>
              <w:rPr>
                <w:noProof/>
                <w:sz w:val="14"/>
              </w:rPr>
            </w:pPr>
            <w:r w:rsidRPr="003409C9">
              <w:rPr>
                <w:noProof/>
                <w:sz w:val="14"/>
              </w:rPr>
              <w:t>(4)</w:t>
            </w:r>
          </w:p>
        </w:tc>
        <w:tc>
          <w:tcPr>
            <w:tcW w:w="709" w:type="dxa"/>
            <w:tcBorders>
              <w:top w:val="single" w:sz="4" w:space="0" w:color="auto"/>
            </w:tcBorders>
            <w:vAlign w:val="center"/>
          </w:tcPr>
          <w:p w:rsidR="00334478" w:rsidRPr="003409C9" w:rsidRDefault="00334478" w:rsidP="00855286">
            <w:pPr>
              <w:spacing w:before="20" w:after="20"/>
              <w:jc w:val="right"/>
              <w:rPr>
                <w:noProof/>
                <w:sz w:val="18"/>
                <w:szCs w:val="18"/>
              </w:rPr>
            </w:pPr>
            <w:r w:rsidRPr="003409C9">
              <w:rPr>
                <w:noProof/>
                <w:sz w:val="18"/>
              </w:rPr>
              <w:t>0,157</w:t>
            </w:r>
          </w:p>
        </w:tc>
        <w:tc>
          <w:tcPr>
            <w:tcW w:w="709" w:type="dxa"/>
            <w:tcBorders>
              <w:top w:val="single" w:sz="4" w:space="0" w:color="auto"/>
            </w:tcBorders>
            <w:vAlign w:val="center"/>
          </w:tcPr>
          <w:p w:rsidR="00334478" w:rsidRPr="003409C9" w:rsidRDefault="00334478" w:rsidP="00855286">
            <w:pPr>
              <w:spacing w:before="20" w:after="20"/>
              <w:jc w:val="right"/>
              <w:rPr>
                <w:noProof/>
                <w:sz w:val="18"/>
                <w:szCs w:val="18"/>
              </w:rPr>
            </w:pPr>
            <w:r w:rsidRPr="003409C9">
              <w:rPr>
                <w:noProof/>
                <w:sz w:val="18"/>
              </w:rPr>
              <w:t>2,597</w:t>
            </w:r>
          </w:p>
        </w:tc>
        <w:tc>
          <w:tcPr>
            <w:tcW w:w="709" w:type="dxa"/>
            <w:tcBorders>
              <w:top w:val="single" w:sz="4" w:space="0" w:color="auto"/>
            </w:tcBorders>
            <w:vAlign w:val="center"/>
          </w:tcPr>
          <w:p w:rsidR="00334478" w:rsidRPr="003409C9" w:rsidRDefault="00334478" w:rsidP="00855286">
            <w:pPr>
              <w:spacing w:before="20" w:after="20"/>
              <w:jc w:val="right"/>
              <w:rPr>
                <w:noProof/>
                <w:sz w:val="18"/>
                <w:szCs w:val="18"/>
              </w:rPr>
            </w:pPr>
            <w:r w:rsidRPr="003409C9">
              <w:rPr>
                <w:noProof/>
                <w:sz w:val="18"/>
              </w:rPr>
              <w:t>7,958</w:t>
            </w:r>
          </w:p>
        </w:tc>
        <w:tc>
          <w:tcPr>
            <w:tcW w:w="709" w:type="dxa"/>
            <w:tcBorders>
              <w:top w:val="single" w:sz="4" w:space="0" w:color="auto"/>
            </w:tcBorders>
            <w:vAlign w:val="center"/>
          </w:tcPr>
          <w:p w:rsidR="00334478" w:rsidRPr="003409C9" w:rsidRDefault="00334478" w:rsidP="00855286">
            <w:pPr>
              <w:spacing w:before="20" w:after="20"/>
              <w:jc w:val="right"/>
              <w:rPr>
                <w:noProof/>
                <w:sz w:val="18"/>
                <w:szCs w:val="18"/>
              </w:rPr>
            </w:pPr>
            <w:r w:rsidRPr="003409C9">
              <w:rPr>
                <w:noProof/>
                <w:sz w:val="18"/>
              </w:rPr>
              <w:t>34,415</w:t>
            </w:r>
          </w:p>
        </w:tc>
        <w:tc>
          <w:tcPr>
            <w:tcW w:w="708" w:type="dxa"/>
            <w:tcBorders>
              <w:top w:val="single" w:sz="4" w:space="0" w:color="auto"/>
            </w:tcBorders>
            <w:shd w:val="clear" w:color="auto" w:fill="DAEEF3" w:themeFill="accent5" w:themeFillTint="33"/>
            <w:vAlign w:val="center"/>
          </w:tcPr>
          <w:p w:rsidR="00334478" w:rsidRPr="00BB07AF" w:rsidRDefault="00334478" w:rsidP="00855286">
            <w:pPr>
              <w:spacing w:before="0" w:after="0"/>
              <w:jc w:val="right"/>
              <w:rPr>
                <w:i/>
                <w:noProof/>
                <w:sz w:val="18"/>
                <w:szCs w:val="18"/>
              </w:rPr>
            </w:pPr>
            <w:r w:rsidRPr="00BB07AF">
              <w:rPr>
                <w:i/>
                <w:noProof/>
                <w:sz w:val="18"/>
              </w:rPr>
              <w:t>45,127</w:t>
            </w:r>
          </w:p>
        </w:tc>
        <w:tc>
          <w:tcPr>
            <w:tcW w:w="709" w:type="dxa"/>
            <w:tcBorders>
              <w:top w:val="single" w:sz="4" w:space="0" w:color="auto"/>
            </w:tcBorders>
            <w:vAlign w:val="center"/>
          </w:tcPr>
          <w:p w:rsidR="00334478" w:rsidRPr="003409C9" w:rsidRDefault="00334478" w:rsidP="00855286">
            <w:pPr>
              <w:spacing w:before="20" w:after="20"/>
              <w:jc w:val="right"/>
              <w:rPr>
                <w:noProof/>
                <w:sz w:val="18"/>
                <w:szCs w:val="18"/>
              </w:rPr>
            </w:pPr>
            <w:r w:rsidRPr="003409C9">
              <w:rPr>
                <w:noProof/>
                <w:sz w:val="18"/>
              </w:rPr>
              <w:t>31,668</w:t>
            </w:r>
          </w:p>
        </w:tc>
        <w:tc>
          <w:tcPr>
            <w:tcW w:w="709" w:type="dxa"/>
            <w:tcBorders>
              <w:top w:val="single" w:sz="4" w:space="0" w:color="auto"/>
            </w:tcBorders>
            <w:vAlign w:val="center"/>
          </w:tcPr>
          <w:p w:rsidR="00334478" w:rsidRPr="003409C9" w:rsidRDefault="00334478" w:rsidP="00855286">
            <w:pPr>
              <w:spacing w:before="20" w:after="20"/>
              <w:jc w:val="right"/>
              <w:rPr>
                <w:noProof/>
                <w:sz w:val="18"/>
                <w:szCs w:val="18"/>
              </w:rPr>
            </w:pPr>
            <w:r w:rsidRPr="003409C9">
              <w:rPr>
                <w:noProof/>
                <w:sz w:val="18"/>
              </w:rPr>
              <w:t>31,113</w:t>
            </w:r>
          </w:p>
        </w:tc>
        <w:tc>
          <w:tcPr>
            <w:tcW w:w="709" w:type="dxa"/>
            <w:tcBorders>
              <w:top w:val="single" w:sz="4" w:space="0" w:color="auto"/>
            </w:tcBorders>
            <w:vAlign w:val="center"/>
          </w:tcPr>
          <w:p w:rsidR="00334478" w:rsidRPr="003409C9" w:rsidRDefault="00334478" w:rsidP="00855286">
            <w:pPr>
              <w:spacing w:before="20" w:after="20"/>
              <w:jc w:val="right"/>
              <w:rPr>
                <w:noProof/>
                <w:sz w:val="18"/>
                <w:szCs w:val="18"/>
              </w:rPr>
            </w:pPr>
            <w:r w:rsidRPr="003409C9">
              <w:rPr>
                <w:noProof/>
                <w:sz w:val="18"/>
              </w:rPr>
              <w:t>36,721</w:t>
            </w:r>
          </w:p>
        </w:tc>
        <w:tc>
          <w:tcPr>
            <w:tcW w:w="708" w:type="dxa"/>
            <w:tcBorders>
              <w:top w:val="single" w:sz="4" w:space="0" w:color="auto"/>
            </w:tcBorders>
            <w:vAlign w:val="center"/>
          </w:tcPr>
          <w:p w:rsidR="00334478" w:rsidRPr="003409C9" w:rsidRDefault="00334478" w:rsidP="00855286">
            <w:pPr>
              <w:spacing w:before="20" w:after="20"/>
              <w:jc w:val="right"/>
              <w:rPr>
                <w:noProof/>
                <w:sz w:val="18"/>
                <w:szCs w:val="18"/>
              </w:rPr>
            </w:pPr>
            <w:r w:rsidRPr="003409C9">
              <w:rPr>
                <w:noProof/>
                <w:sz w:val="18"/>
              </w:rPr>
              <w:t>33,751</w:t>
            </w:r>
          </w:p>
        </w:tc>
        <w:tc>
          <w:tcPr>
            <w:tcW w:w="709" w:type="dxa"/>
            <w:tcBorders>
              <w:top w:val="single" w:sz="4" w:space="0" w:color="auto"/>
            </w:tcBorders>
            <w:vAlign w:val="center"/>
          </w:tcPr>
          <w:p w:rsidR="00334478" w:rsidRPr="003409C9" w:rsidRDefault="00334478" w:rsidP="00855286">
            <w:pPr>
              <w:spacing w:before="20" w:after="20"/>
              <w:jc w:val="right"/>
              <w:rPr>
                <w:noProof/>
                <w:sz w:val="18"/>
                <w:szCs w:val="18"/>
              </w:rPr>
            </w:pPr>
            <w:r w:rsidRPr="003409C9">
              <w:rPr>
                <w:noProof/>
                <w:sz w:val="18"/>
              </w:rPr>
              <w:t>33,751</w:t>
            </w:r>
          </w:p>
        </w:tc>
        <w:tc>
          <w:tcPr>
            <w:tcW w:w="709" w:type="dxa"/>
            <w:tcBorders>
              <w:top w:val="single" w:sz="4" w:space="0" w:color="auto"/>
            </w:tcBorders>
            <w:vAlign w:val="center"/>
          </w:tcPr>
          <w:p w:rsidR="00334478" w:rsidRPr="003409C9" w:rsidRDefault="00334478" w:rsidP="00855286">
            <w:pPr>
              <w:spacing w:before="20" w:after="20"/>
              <w:jc w:val="right"/>
              <w:rPr>
                <w:noProof/>
                <w:sz w:val="18"/>
                <w:szCs w:val="18"/>
              </w:rPr>
            </w:pPr>
            <w:r w:rsidRPr="003409C9">
              <w:rPr>
                <w:noProof/>
                <w:sz w:val="18"/>
              </w:rPr>
              <w:t>33,751</w:t>
            </w:r>
          </w:p>
        </w:tc>
        <w:tc>
          <w:tcPr>
            <w:tcW w:w="709" w:type="dxa"/>
            <w:tcBorders>
              <w:top w:val="single" w:sz="4" w:space="0" w:color="auto"/>
            </w:tcBorders>
            <w:vAlign w:val="center"/>
          </w:tcPr>
          <w:p w:rsidR="00334478" w:rsidRPr="003409C9" w:rsidRDefault="00334478" w:rsidP="00855286">
            <w:pPr>
              <w:spacing w:before="20" w:after="20"/>
              <w:jc w:val="right"/>
              <w:rPr>
                <w:noProof/>
                <w:sz w:val="18"/>
                <w:szCs w:val="18"/>
              </w:rPr>
            </w:pPr>
            <w:r w:rsidRPr="003409C9">
              <w:rPr>
                <w:noProof/>
                <w:sz w:val="18"/>
              </w:rPr>
              <w:t>27,151</w:t>
            </w:r>
          </w:p>
        </w:tc>
        <w:tc>
          <w:tcPr>
            <w:tcW w:w="708" w:type="dxa"/>
            <w:tcBorders>
              <w:top w:val="single" w:sz="4" w:space="0" w:color="auto"/>
            </w:tcBorders>
            <w:shd w:val="clear" w:color="auto" w:fill="DBE5F1" w:themeFill="accent1" w:themeFillTint="33"/>
            <w:vAlign w:val="center"/>
          </w:tcPr>
          <w:p w:rsidR="00334478" w:rsidRPr="00BB07AF" w:rsidRDefault="00334478" w:rsidP="00855286">
            <w:pPr>
              <w:spacing w:before="20" w:after="20"/>
              <w:jc w:val="right"/>
              <w:rPr>
                <w:i/>
                <w:noProof/>
                <w:sz w:val="18"/>
                <w:szCs w:val="18"/>
              </w:rPr>
            </w:pPr>
            <w:r w:rsidRPr="00BB07AF">
              <w:rPr>
                <w:i/>
                <w:noProof/>
                <w:sz w:val="18"/>
              </w:rPr>
              <w:t>227,903</w:t>
            </w:r>
          </w:p>
        </w:tc>
        <w:tc>
          <w:tcPr>
            <w:tcW w:w="779" w:type="dxa"/>
            <w:tcBorders>
              <w:top w:val="single" w:sz="4" w:space="0" w:color="auto"/>
              <w:right w:val="single" w:sz="4" w:space="0" w:color="auto"/>
            </w:tcBorders>
            <w:vAlign w:val="center"/>
          </w:tcPr>
          <w:p w:rsidR="00334478" w:rsidRPr="00BB07AF" w:rsidRDefault="00334478" w:rsidP="00855286">
            <w:pPr>
              <w:spacing w:before="0" w:after="0"/>
              <w:jc w:val="right"/>
              <w:rPr>
                <w:b/>
                <w:noProof/>
                <w:sz w:val="18"/>
                <w:szCs w:val="18"/>
              </w:rPr>
            </w:pPr>
            <w:r w:rsidRPr="00BB07AF">
              <w:rPr>
                <w:b/>
                <w:noProof/>
                <w:sz w:val="18"/>
              </w:rPr>
              <w:t>273,030</w:t>
            </w:r>
          </w:p>
        </w:tc>
      </w:tr>
      <w:tr w:rsidR="00415F9E" w:rsidRPr="003409C9" w:rsidTr="00855286">
        <w:tc>
          <w:tcPr>
            <w:tcW w:w="3641" w:type="dxa"/>
            <w:vMerge/>
            <w:tcBorders>
              <w:top w:val="single" w:sz="4" w:space="0" w:color="FF0000"/>
              <w:left w:val="single" w:sz="4" w:space="0" w:color="auto"/>
              <w:bottom w:val="single" w:sz="4" w:space="0" w:color="FF0000"/>
            </w:tcBorders>
          </w:tcPr>
          <w:p w:rsidR="00334478" w:rsidRPr="003409C9" w:rsidRDefault="00334478" w:rsidP="00855286">
            <w:pPr>
              <w:jc w:val="center"/>
              <w:rPr>
                <w:noProof/>
                <w:sz w:val="20"/>
              </w:rPr>
            </w:pPr>
          </w:p>
        </w:tc>
        <w:tc>
          <w:tcPr>
            <w:tcW w:w="1417" w:type="dxa"/>
            <w:vAlign w:val="center"/>
          </w:tcPr>
          <w:p w:rsidR="00334478" w:rsidRPr="003409C9" w:rsidRDefault="00334478" w:rsidP="00855286">
            <w:pPr>
              <w:spacing w:beforeLines="20" w:before="48" w:afterLines="20" w:after="48"/>
              <w:rPr>
                <w:noProof/>
                <w:sz w:val="18"/>
              </w:rPr>
            </w:pPr>
            <w:r w:rsidRPr="003409C9">
              <w:rPr>
                <w:noProof/>
                <w:sz w:val="18"/>
              </w:rPr>
              <w:t>Środki na płatności</w:t>
            </w:r>
          </w:p>
        </w:tc>
        <w:tc>
          <w:tcPr>
            <w:tcW w:w="567" w:type="dxa"/>
            <w:vAlign w:val="center"/>
          </w:tcPr>
          <w:p w:rsidR="00334478" w:rsidRPr="003409C9" w:rsidRDefault="00334478" w:rsidP="00855286">
            <w:pPr>
              <w:spacing w:beforeLines="20" w:before="48" w:afterLines="20" w:after="48"/>
              <w:jc w:val="center"/>
              <w:rPr>
                <w:noProof/>
                <w:sz w:val="14"/>
              </w:rPr>
            </w:pPr>
            <w:r w:rsidRPr="003409C9">
              <w:rPr>
                <w:noProof/>
                <w:sz w:val="14"/>
              </w:rPr>
              <w:t>(5)</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0,157</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2,597</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7,958</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26,908</w:t>
            </w:r>
          </w:p>
        </w:tc>
        <w:tc>
          <w:tcPr>
            <w:tcW w:w="708" w:type="dxa"/>
            <w:shd w:val="clear" w:color="auto" w:fill="DAEEF3" w:themeFill="accent5" w:themeFillTint="33"/>
            <w:vAlign w:val="center"/>
          </w:tcPr>
          <w:p w:rsidR="00334478" w:rsidRPr="00BB07AF" w:rsidRDefault="00334478" w:rsidP="00855286">
            <w:pPr>
              <w:spacing w:before="20" w:after="20"/>
              <w:jc w:val="right"/>
              <w:rPr>
                <w:i/>
                <w:noProof/>
                <w:sz w:val="18"/>
                <w:szCs w:val="18"/>
              </w:rPr>
            </w:pPr>
            <w:r w:rsidRPr="00BB07AF">
              <w:rPr>
                <w:i/>
                <w:noProof/>
                <w:sz w:val="18"/>
              </w:rPr>
              <w:t>37,619</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23,413</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22,409</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28,706</w:t>
            </w:r>
          </w:p>
        </w:tc>
        <w:tc>
          <w:tcPr>
            <w:tcW w:w="708" w:type="dxa"/>
            <w:vAlign w:val="center"/>
          </w:tcPr>
          <w:p w:rsidR="00334478" w:rsidRPr="003409C9" w:rsidRDefault="00334478" w:rsidP="00855286">
            <w:pPr>
              <w:spacing w:before="20" w:after="20"/>
              <w:jc w:val="right"/>
              <w:rPr>
                <w:noProof/>
                <w:sz w:val="18"/>
                <w:szCs w:val="18"/>
              </w:rPr>
            </w:pPr>
            <w:r w:rsidRPr="003409C9">
              <w:rPr>
                <w:noProof/>
                <w:sz w:val="18"/>
              </w:rPr>
              <w:t>31,461</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33,379</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34,208</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31,589</w:t>
            </w:r>
          </w:p>
        </w:tc>
        <w:tc>
          <w:tcPr>
            <w:tcW w:w="708" w:type="dxa"/>
            <w:shd w:val="clear" w:color="auto" w:fill="DBE5F1" w:themeFill="accent1" w:themeFillTint="33"/>
            <w:vAlign w:val="center"/>
          </w:tcPr>
          <w:p w:rsidR="00334478" w:rsidRPr="00BB07AF" w:rsidRDefault="00334478" w:rsidP="00855286">
            <w:pPr>
              <w:spacing w:before="20" w:after="20"/>
              <w:jc w:val="right"/>
              <w:rPr>
                <w:i/>
                <w:noProof/>
                <w:sz w:val="18"/>
                <w:szCs w:val="18"/>
              </w:rPr>
            </w:pPr>
            <w:r w:rsidRPr="00BB07AF">
              <w:rPr>
                <w:i/>
                <w:noProof/>
                <w:sz w:val="18"/>
              </w:rPr>
              <w:t>205,166</w:t>
            </w:r>
          </w:p>
        </w:tc>
        <w:tc>
          <w:tcPr>
            <w:tcW w:w="779" w:type="dxa"/>
            <w:tcBorders>
              <w:right w:val="single" w:sz="4" w:space="0" w:color="auto"/>
            </w:tcBorders>
            <w:vAlign w:val="center"/>
          </w:tcPr>
          <w:p w:rsidR="00334478" w:rsidRPr="00BB07AF" w:rsidRDefault="00334478" w:rsidP="00855286">
            <w:pPr>
              <w:spacing w:before="0" w:after="0"/>
              <w:jc w:val="right"/>
              <w:rPr>
                <w:b/>
                <w:noProof/>
                <w:sz w:val="18"/>
                <w:szCs w:val="18"/>
              </w:rPr>
            </w:pPr>
            <w:r w:rsidRPr="00BB07AF">
              <w:rPr>
                <w:b/>
                <w:noProof/>
                <w:sz w:val="18"/>
              </w:rPr>
              <w:t>242,785</w:t>
            </w:r>
          </w:p>
        </w:tc>
      </w:tr>
      <w:tr w:rsidR="00415F9E" w:rsidRPr="003409C9" w:rsidTr="00855286">
        <w:tblPrEx>
          <w:tblBorders>
            <w:top w:val="single" w:sz="4" w:space="0" w:color="auto"/>
            <w:left w:val="single" w:sz="4" w:space="0" w:color="auto"/>
            <w:bottom w:val="single" w:sz="4" w:space="0" w:color="auto"/>
            <w:right w:val="single" w:sz="4" w:space="0" w:color="auto"/>
          </w:tblBorders>
        </w:tblPrEx>
        <w:trPr>
          <w:trHeight w:val="533"/>
        </w:trPr>
        <w:tc>
          <w:tcPr>
            <w:tcW w:w="5058" w:type="dxa"/>
            <w:gridSpan w:val="2"/>
            <w:vAlign w:val="center"/>
          </w:tcPr>
          <w:p w:rsidR="00334478" w:rsidRPr="003409C9" w:rsidRDefault="00334478" w:rsidP="00855286">
            <w:pPr>
              <w:spacing w:beforeLines="20" w:before="48" w:afterLines="20" w:after="48"/>
              <w:rPr>
                <w:noProof/>
              </w:rPr>
            </w:pPr>
            <w:r w:rsidRPr="003409C9">
              <w:rPr>
                <w:noProof/>
                <w:sz w:val="21"/>
              </w:rPr>
              <w:t xml:space="preserve"> OGÓŁEM środki administracyjne finansowane ze środków przydzielonych na określone programy (wszystkie działy operacyjne)</w:t>
            </w:r>
          </w:p>
        </w:tc>
        <w:tc>
          <w:tcPr>
            <w:tcW w:w="567" w:type="dxa"/>
            <w:vAlign w:val="center"/>
          </w:tcPr>
          <w:p w:rsidR="00334478" w:rsidRPr="003409C9" w:rsidRDefault="00334478" w:rsidP="00855286">
            <w:pPr>
              <w:rPr>
                <w:noProof/>
              </w:rPr>
            </w:pPr>
          </w:p>
          <w:p w:rsidR="00334478" w:rsidRPr="003409C9" w:rsidRDefault="00334478" w:rsidP="00855286">
            <w:pPr>
              <w:spacing w:beforeLines="20" w:before="48" w:afterLines="20" w:after="48"/>
              <w:jc w:val="center"/>
              <w:rPr>
                <w:noProof/>
                <w:sz w:val="14"/>
              </w:rPr>
            </w:pPr>
            <w:r w:rsidRPr="003409C9">
              <w:rPr>
                <w:noProof/>
                <w:sz w:val="14"/>
              </w:rPr>
              <w:t>(6)</w:t>
            </w:r>
          </w:p>
        </w:tc>
        <w:tc>
          <w:tcPr>
            <w:tcW w:w="709" w:type="dxa"/>
            <w:vAlign w:val="center"/>
          </w:tcPr>
          <w:p w:rsidR="00334478" w:rsidRPr="003409C9" w:rsidRDefault="00334478" w:rsidP="00855286">
            <w:pPr>
              <w:spacing w:before="20" w:after="20"/>
              <w:jc w:val="right"/>
              <w:rPr>
                <w:b/>
                <w:noProof/>
                <w:sz w:val="18"/>
                <w:szCs w:val="18"/>
              </w:rPr>
            </w:pPr>
          </w:p>
        </w:tc>
        <w:tc>
          <w:tcPr>
            <w:tcW w:w="709" w:type="dxa"/>
            <w:vAlign w:val="center"/>
          </w:tcPr>
          <w:p w:rsidR="00334478" w:rsidRPr="003409C9" w:rsidRDefault="00334478" w:rsidP="00855286">
            <w:pPr>
              <w:spacing w:before="20" w:after="20"/>
              <w:jc w:val="right"/>
              <w:rPr>
                <w:b/>
                <w:noProof/>
                <w:sz w:val="18"/>
                <w:szCs w:val="18"/>
              </w:rPr>
            </w:pPr>
          </w:p>
        </w:tc>
        <w:tc>
          <w:tcPr>
            <w:tcW w:w="709" w:type="dxa"/>
            <w:vAlign w:val="center"/>
          </w:tcPr>
          <w:p w:rsidR="00334478" w:rsidRPr="003409C9" w:rsidRDefault="00334478" w:rsidP="00855286">
            <w:pPr>
              <w:spacing w:before="20" w:after="20"/>
              <w:jc w:val="right"/>
              <w:rPr>
                <w:b/>
                <w:noProof/>
                <w:sz w:val="18"/>
                <w:szCs w:val="18"/>
              </w:rPr>
            </w:pPr>
          </w:p>
        </w:tc>
        <w:tc>
          <w:tcPr>
            <w:tcW w:w="709" w:type="dxa"/>
            <w:vAlign w:val="center"/>
          </w:tcPr>
          <w:p w:rsidR="00334478" w:rsidRPr="00BB07AF" w:rsidRDefault="00334478" w:rsidP="00855286">
            <w:pPr>
              <w:spacing w:before="20" w:after="20"/>
              <w:jc w:val="right"/>
              <w:rPr>
                <w:b/>
                <w:noProof/>
                <w:sz w:val="18"/>
                <w:szCs w:val="18"/>
              </w:rPr>
            </w:pPr>
          </w:p>
        </w:tc>
        <w:tc>
          <w:tcPr>
            <w:tcW w:w="708" w:type="dxa"/>
            <w:shd w:val="clear" w:color="auto" w:fill="DAEEF3" w:themeFill="accent5" w:themeFillTint="33"/>
            <w:vAlign w:val="center"/>
          </w:tcPr>
          <w:p w:rsidR="00334478" w:rsidRPr="00BB07AF" w:rsidRDefault="00334478" w:rsidP="00855286">
            <w:pPr>
              <w:spacing w:before="20" w:after="20"/>
              <w:jc w:val="right"/>
              <w:rPr>
                <w:b/>
                <w:i/>
                <w:noProof/>
                <w:sz w:val="18"/>
                <w:szCs w:val="18"/>
              </w:rPr>
            </w:pPr>
          </w:p>
        </w:tc>
        <w:tc>
          <w:tcPr>
            <w:tcW w:w="709" w:type="dxa"/>
            <w:vAlign w:val="center"/>
          </w:tcPr>
          <w:p w:rsidR="00334478" w:rsidRPr="003409C9" w:rsidRDefault="00334478" w:rsidP="00855286">
            <w:pPr>
              <w:spacing w:before="20" w:after="20"/>
              <w:jc w:val="right"/>
              <w:rPr>
                <w:b/>
                <w:noProof/>
                <w:sz w:val="18"/>
                <w:szCs w:val="18"/>
              </w:rPr>
            </w:pPr>
          </w:p>
        </w:tc>
        <w:tc>
          <w:tcPr>
            <w:tcW w:w="709" w:type="dxa"/>
            <w:vAlign w:val="center"/>
          </w:tcPr>
          <w:p w:rsidR="00334478" w:rsidRPr="003409C9" w:rsidRDefault="00334478" w:rsidP="00855286">
            <w:pPr>
              <w:spacing w:before="20" w:after="20"/>
              <w:jc w:val="right"/>
              <w:rPr>
                <w:b/>
                <w:noProof/>
                <w:sz w:val="18"/>
                <w:szCs w:val="18"/>
              </w:rPr>
            </w:pPr>
          </w:p>
        </w:tc>
        <w:tc>
          <w:tcPr>
            <w:tcW w:w="709" w:type="dxa"/>
            <w:vAlign w:val="center"/>
          </w:tcPr>
          <w:p w:rsidR="00334478" w:rsidRPr="003409C9" w:rsidRDefault="00334478" w:rsidP="00855286">
            <w:pPr>
              <w:spacing w:before="20" w:after="20"/>
              <w:jc w:val="right"/>
              <w:rPr>
                <w:b/>
                <w:noProof/>
                <w:sz w:val="18"/>
                <w:szCs w:val="18"/>
              </w:rPr>
            </w:pPr>
          </w:p>
        </w:tc>
        <w:tc>
          <w:tcPr>
            <w:tcW w:w="708" w:type="dxa"/>
            <w:vAlign w:val="center"/>
          </w:tcPr>
          <w:p w:rsidR="00334478" w:rsidRPr="003409C9" w:rsidRDefault="00334478" w:rsidP="00855286">
            <w:pPr>
              <w:spacing w:before="20" w:after="20"/>
              <w:jc w:val="right"/>
              <w:rPr>
                <w:b/>
                <w:noProof/>
                <w:sz w:val="18"/>
                <w:szCs w:val="18"/>
              </w:rPr>
            </w:pPr>
          </w:p>
        </w:tc>
        <w:tc>
          <w:tcPr>
            <w:tcW w:w="709" w:type="dxa"/>
            <w:vAlign w:val="center"/>
          </w:tcPr>
          <w:p w:rsidR="00334478" w:rsidRPr="003409C9" w:rsidRDefault="00334478" w:rsidP="00855286">
            <w:pPr>
              <w:spacing w:before="20" w:after="20"/>
              <w:jc w:val="right"/>
              <w:rPr>
                <w:b/>
                <w:noProof/>
                <w:sz w:val="18"/>
                <w:szCs w:val="18"/>
              </w:rPr>
            </w:pPr>
          </w:p>
        </w:tc>
        <w:tc>
          <w:tcPr>
            <w:tcW w:w="709" w:type="dxa"/>
            <w:vAlign w:val="center"/>
          </w:tcPr>
          <w:p w:rsidR="00334478" w:rsidRPr="003409C9" w:rsidRDefault="00334478" w:rsidP="00855286">
            <w:pPr>
              <w:spacing w:before="20" w:after="20"/>
              <w:jc w:val="right"/>
              <w:rPr>
                <w:b/>
                <w:noProof/>
                <w:sz w:val="18"/>
                <w:szCs w:val="18"/>
              </w:rPr>
            </w:pPr>
          </w:p>
        </w:tc>
        <w:tc>
          <w:tcPr>
            <w:tcW w:w="709" w:type="dxa"/>
            <w:vAlign w:val="center"/>
          </w:tcPr>
          <w:p w:rsidR="00334478" w:rsidRPr="00BB07AF" w:rsidRDefault="00334478" w:rsidP="00855286">
            <w:pPr>
              <w:spacing w:before="20" w:after="20"/>
              <w:jc w:val="right"/>
              <w:rPr>
                <w:b/>
                <w:noProof/>
                <w:sz w:val="18"/>
                <w:szCs w:val="18"/>
              </w:rPr>
            </w:pPr>
          </w:p>
        </w:tc>
        <w:tc>
          <w:tcPr>
            <w:tcW w:w="708" w:type="dxa"/>
            <w:shd w:val="clear" w:color="auto" w:fill="DBE5F1" w:themeFill="accent1" w:themeFillTint="33"/>
            <w:vAlign w:val="center"/>
          </w:tcPr>
          <w:p w:rsidR="00334478" w:rsidRPr="00BB07AF" w:rsidRDefault="00334478" w:rsidP="00855286">
            <w:pPr>
              <w:spacing w:before="20" w:after="20"/>
              <w:jc w:val="right"/>
              <w:rPr>
                <w:i/>
                <w:noProof/>
                <w:sz w:val="18"/>
                <w:szCs w:val="18"/>
              </w:rPr>
            </w:pPr>
          </w:p>
        </w:tc>
        <w:tc>
          <w:tcPr>
            <w:tcW w:w="779" w:type="dxa"/>
            <w:vAlign w:val="center"/>
          </w:tcPr>
          <w:p w:rsidR="00334478" w:rsidRPr="00BB07AF" w:rsidRDefault="00334478" w:rsidP="00855286">
            <w:pPr>
              <w:spacing w:before="20" w:after="20"/>
              <w:jc w:val="right"/>
              <w:rPr>
                <w:b/>
                <w:noProof/>
                <w:sz w:val="18"/>
                <w:szCs w:val="18"/>
              </w:rPr>
            </w:pPr>
          </w:p>
        </w:tc>
      </w:tr>
      <w:tr w:rsidR="00415F9E" w:rsidRPr="003409C9" w:rsidTr="00855286">
        <w:tc>
          <w:tcPr>
            <w:tcW w:w="3641" w:type="dxa"/>
            <w:vMerge w:val="restart"/>
            <w:tcBorders>
              <w:top w:val="single" w:sz="4" w:space="0" w:color="FF0000"/>
              <w:left w:val="single" w:sz="4" w:space="0" w:color="auto"/>
              <w:bottom w:val="single" w:sz="4" w:space="0" w:color="FF0000"/>
            </w:tcBorders>
            <w:shd w:val="thinDiagStripe" w:color="C0C0C0" w:fill="auto"/>
            <w:vAlign w:val="center"/>
          </w:tcPr>
          <w:p w:rsidR="00334478" w:rsidRPr="00BB07AF" w:rsidRDefault="00334478" w:rsidP="00855286">
            <w:pPr>
              <w:jc w:val="center"/>
              <w:rPr>
                <w:b/>
                <w:noProof/>
              </w:rPr>
            </w:pPr>
            <w:r w:rsidRPr="00BB07AF">
              <w:rPr>
                <w:b/>
                <w:noProof/>
                <w:sz w:val="22"/>
              </w:rPr>
              <w:t>OGÓŁEM środki</w:t>
            </w:r>
            <w:r w:rsidRPr="003409C9">
              <w:rPr>
                <w:noProof/>
              </w:rPr>
              <w:t xml:space="preserve"> </w:t>
            </w:r>
            <w:r w:rsidRPr="003409C9">
              <w:rPr>
                <w:noProof/>
              </w:rPr>
              <w:br/>
            </w:r>
            <w:r w:rsidRPr="00BB07AF">
              <w:rPr>
                <w:b/>
                <w:noProof/>
                <w:sz w:val="22"/>
              </w:rPr>
              <w:t>na DZIAŁY od</w:t>
            </w:r>
            <w:r w:rsidR="003409C9" w:rsidRPr="00BB07AF">
              <w:rPr>
                <w:b/>
                <w:noProof/>
                <w:sz w:val="22"/>
              </w:rPr>
              <w:t> </w:t>
            </w:r>
            <w:r w:rsidRPr="00BB07AF">
              <w:rPr>
                <w:b/>
                <w:noProof/>
                <w:sz w:val="22"/>
              </w:rPr>
              <w:t>1 do</w:t>
            </w:r>
            <w:r w:rsidR="003409C9" w:rsidRPr="00BB07AF">
              <w:rPr>
                <w:b/>
                <w:noProof/>
                <w:sz w:val="22"/>
              </w:rPr>
              <w:t> </w:t>
            </w:r>
            <w:r w:rsidRPr="00BB07AF">
              <w:rPr>
                <w:b/>
                <w:noProof/>
                <w:sz w:val="22"/>
              </w:rPr>
              <w:t>6</w:t>
            </w:r>
            <w:r w:rsidRPr="003409C9">
              <w:rPr>
                <w:noProof/>
              </w:rPr>
              <w:t xml:space="preserve"> </w:t>
            </w:r>
            <w:r w:rsidRPr="003409C9">
              <w:rPr>
                <w:noProof/>
              </w:rPr>
              <w:br/>
            </w:r>
            <w:r w:rsidRPr="003409C9">
              <w:rPr>
                <w:noProof/>
                <w:sz w:val="22"/>
              </w:rPr>
              <w:t>wieloletnich ram finansowych</w:t>
            </w:r>
            <w:r w:rsidRPr="003409C9">
              <w:rPr>
                <w:noProof/>
              </w:rPr>
              <w:t xml:space="preserve"> </w:t>
            </w:r>
            <w:r w:rsidRPr="003409C9">
              <w:rPr>
                <w:noProof/>
              </w:rPr>
              <w:br/>
            </w:r>
            <w:r w:rsidRPr="003409C9">
              <w:rPr>
                <w:noProof/>
                <w:sz w:val="20"/>
              </w:rPr>
              <w:t>(kwota referencyjna)</w:t>
            </w:r>
          </w:p>
        </w:tc>
        <w:tc>
          <w:tcPr>
            <w:tcW w:w="1417" w:type="dxa"/>
            <w:vAlign w:val="center"/>
          </w:tcPr>
          <w:p w:rsidR="00334478" w:rsidRPr="003409C9" w:rsidRDefault="00334478" w:rsidP="00855286">
            <w:pPr>
              <w:rPr>
                <w:noProof/>
                <w:sz w:val="18"/>
              </w:rPr>
            </w:pPr>
            <w:r w:rsidRPr="003409C9">
              <w:rPr>
                <w:noProof/>
                <w:sz w:val="18"/>
              </w:rPr>
              <w:t>Środki na zobowiązania</w:t>
            </w:r>
          </w:p>
        </w:tc>
        <w:tc>
          <w:tcPr>
            <w:tcW w:w="567" w:type="dxa"/>
            <w:vAlign w:val="center"/>
          </w:tcPr>
          <w:p w:rsidR="00334478" w:rsidRPr="003409C9" w:rsidRDefault="00334478" w:rsidP="00855286">
            <w:pPr>
              <w:jc w:val="center"/>
              <w:rPr>
                <w:noProof/>
                <w:sz w:val="14"/>
              </w:rPr>
            </w:pPr>
            <w:r w:rsidRPr="003409C9">
              <w:rPr>
                <w:noProof/>
                <w:sz w:val="14"/>
              </w:rPr>
              <w:t>=4+6</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0,157</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2,597</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7,958</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34,415</w:t>
            </w:r>
          </w:p>
        </w:tc>
        <w:tc>
          <w:tcPr>
            <w:tcW w:w="708" w:type="dxa"/>
            <w:shd w:val="clear" w:color="auto" w:fill="DAEEF3" w:themeFill="accent5" w:themeFillTint="33"/>
            <w:vAlign w:val="center"/>
          </w:tcPr>
          <w:p w:rsidR="00334478" w:rsidRPr="00BB07AF" w:rsidRDefault="00334478" w:rsidP="00855286">
            <w:pPr>
              <w:spacing w:before="20" w:after="20"/>
              <w:jc w:val="right"/>
              <w:rPr>
                <w:i/>
                <w:noProof/>
                <w:sz w:val="18"/>
                <w:szCs w:val="18"/>
              </w:rPr>
            </w:pPr>
            <w:r w:rsidRPr="00BB07AF">
              <w:rPr>
                <w:i/>
                <w:noProof/>
                <w:sz w:val="18"/>
              </w:rPr>
              <w:t>45,127</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26,388</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21,873</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23,521</w:t>
            </w:r>
          </w:p>
        </w:tc>
        <w:tc>
          <w:tcPr>
            <w:tcW w:w="708" w:type="dxa"/>
            <w:vAlign w:val="center"/>
          </w:tcPr>
          <w:p w:rsidR="00334478" w:rsidRPr="003409C9" w:rsidRDefault="00334478" w:rsidP="00855286">
            <w:pPr>
              <w:spacing w:before="20" w:after="20"/>
              <w:jc w:val="right"/>
              <w:rPr>
                <w:noProof/>
                <w:sz w:val="18"/>
                <w:szCs w:val="18"/>
              </w:rPr>
            </w:pPr>
            <w:r w:rsidRPr="003409C9">
              <w:rPr>
                <w:noProof/>
                <w:sz w:val="18"/>
              </w:rPr>
              <w:t>16,591</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16,591</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16,591</w:t>
            </w:r>
          </w:p>
        </w:tc>
        <w:tc>
          <w:tcPr>
            <w:tcW w:w="709" w:type="dxa"/>
            <w:vAlign w:val="center"/>
          </w:tcPr>
          <w:p w:rsidR="00334478" w:rsidRPr="003409C9" w:rsidRDefault="00334478" w:rsidP="00855286">
            <w:pPr>
              <w:spacing w:before="20" w:after="20"/>
              <w:jc w:val="right"/>
              <w:rPr>
                <w:noProof/>
                <w:sz w:val="18"/>
                <w:szCs w:val="18"/>
              </w:rPr>
            </w:pPr>
            <w:r w:rsidRPr="003409C9">
              <w:rPr>
                <w:noProof/>
                <w:sz w:val="18"/>
              </w:rPr>
              <w:t>16,591</w:t>
            </w:r>
          </w:p>
        </w:tc>
        <w:tc>
          <w:tcPr>
            <w:tcW w:w="708" w:type="dxa"/>
            <w:shd w:val="clear" w:color="auto" w:fill="DBE5F1" w:themeFill="accent1" w:themeFillTint="33"/>
            <w:vAlign w:val="center"/>
          </w:tcPr>
          <w:p w:rsidR="00334478" w:rsidRPr="00BB07AF" w:rsidRDefault="00334478" w:rsidP="00855286">
            <w:pPr>
              <w:spacing w:before="20" w:after="20"/>
              <w:jc w:val="right"/>
              <w:rPr>
                <w:i/>
                <w:noProof/>
                <w:sz w:val="18"/>
                <w:szCs w:val="18"/>
              </w:rPr>
            </w:pPr>
            <w:r w:rsidRPr="00BB07AF">
              <w:rPr>
                <w:i/>
                <w:noProof/>
                <w:sz w:val="18"/>
              </w:rPr>
              <w:t>138,143</w:t>
            </w:r>
          </w:p>
        </w:tc>
        <w:tc>
          <w:tcPr>
            <w:tcW w:w="779" w:type="dxa"/>
            <w:tcBorders>
              <w:right w:val="single" w:sz="4" w:space="0" w:color="auto"/>
            </w:tcBorders>
            <w:vAlign w:val="center"/>
          </w:tcPr>
          <w:p w:rsidR="00334478" w:rsidRPr="00BB07AF" w:rsidRDefault="00334478" w:rsidP="00855286">
            <w:pPr>
              <w:spacing w:before="20" w:after="20"/>
              <w:jc w:val="right"/>
              <w:rPr>
                <w:b/>
                <w:noProof/>
                <w:sz w:val="18"/>
                <w:szCs w:val="18"/>
              </w:rPr>
            </w:pPr>
            <w:r w:rsidRPr="00BB07AF">
              <w:rPr>
                <w:b/>
                <w:noProof/>
                <w:sz w:val="18"/>
              </w:rPr>
              <w:t>183,270</w:t>
            </w:r>
          </w:p>
        </w:tc>
      </w:tr>
      <w:tr w:rsidR="00415F9E" w:rsidRPr="003409C9" w:rsidTr="00855286">
        <w:tc>
          <w:tcPr>
            <w:tcW w:w="3641" w:type="dxa"/>
            <w:vMerge/>
            <w:tcBorders>
              <w:top w:val="single" w:sz="4" w:space="0" w:color="FF0000"/>
              <w:left w:val="single" w:sz="4" w:space="0" w:color="auto"/>
              <w:bottom w:val="single" w:sz="4" w:space="0" w:color="auto"/>
            </w:tcBorders>
            <w:shd w:val="thinDiagStripe" w:color="C0C0C0" w:fill="auto"/>
          </w:tcPr>
          <w:p w:rsidR="00334478" w:rsidRPr="003409C9" w:rsidRDefault="00334478" w:rsidP="00855286">
            <w:pPr>
              <w:rPr>
                <w:noProof/>
                <w:sz w:val="20"/>
              </w:rPr>
            </w:pPr>
          </w:p>
        </w:tc>
        <w:tc>
          <w:tcPr>
            <w:tcW w:w="1417" w:type="dxa"/>
            <w:tcBorders>
              <w:bottom w:val="single" w:sz="4" w:space="0" w:color="auto"/>
            </w:tcBorders>
            <w:vAlign w:val="center"/>
          </w:tcPr>
          <w:p w:rsidR="00334478" w:rsidRPr="003409C9" w:rsidRDefault="00334478" w:rsidP="00855286">
            <w:pPr>
              <w:rPr>
                <w:noProof/>
                <w:sz w:val="18"/>
              </w:rPr>
            </w:pPr>
            <w:r w:rsidRPr="003409C9">
              <w:rPr>
                <w:noProof/>
                <w:sz w:val="18"/>
              </w:rPr>
              <w:t>Środki na płatności</w:t>
            </w:r>
          </w:p>
        </w:tc>
        <w:tc>
          <w:tcPr>
            <w:tcW w:w="567" w:type="dxa"/>
            <w:tcBorders>
              <w:bottom w:val="single" w:sz="4" w:space="0" w:color="auto"/>
            </w:tcBorders>
            <w:vAlign w:val="center"/>
          </w:tcPr>
          <w:p w:rsidR="00334478" w:rsidRPr="003409C9" w:rsidRDefault="00334478" w:rsidP="00855286">
            <w:pPr>
              <w:jc w:val="center"/>
              <w:rPr>
                <w:noProof/>
                <w:sz w:val="14"/>
              </w:rPr>
            </w:pPr>
            <w:r w:rsidRPr="003409C9">
              <w:rPr>
                <w:noProof/>
                <w:sz w:val="14"/>
              </w:rPr>
              <w:t>=5+ 6</w:t>
            </w:r>
          </w:p>
        </w:tc>
        <w:tc>
          <w:tcPr>
            <w:tcW w:w="709" w:type="dxa"/>
            <w:tcBorders>
              <w:bottom w:val="single" w:sz="4" w:space="0" w:color="auto"/>
            </w:tcBorders>
            <w:vAlign w:val="center"/>
          </w:tcPr>
          <w:p w:rsidR="00334478" w:rsidRPr="003409C9" w:rsidRDefault="00334478" w:rsidP="00855286">
            <w:pPr>
              <w:spacing w:before="20" w:after="20"/>
              <w:jc w:val="right"/>
              <w:rPr>
                <w:noProof/>
                <w:sz w:val="18"/>
                <w:szCs w:val="18"/>
              </w:rPr>
            </w:pPr>
            <w:r w:rsidRPr="003409C9">
              <w:rPr>
                <w:noProof/>
                <w:sz w:val="18"/>
              </w:rPr>
              <w:t>0,157</w:t>
            </w:r>
          </w:p>
        </w:tc>
        <w:tc>
          <w:tcPr>
            <w:tcW w:w="709" w:type="dxa"/>
            <w:tcBorders>
              <w:bottom w:val="single" w:sz="4" w:space="0" w:color="auto"/>
            </w:tcBorders>
            <w:vAlign w:val="center"/>
          </w:tcPr>
          <w:p w:rsidR="00334478" w:rsidRPr="003409C9" w:rsidRDefault="00334478" w:rsidP="00855286">
            <w:pPr>
              <w:spacing w:before="20" w:after="20"/>
              <w:jc w:val="right"/>
              <w:rPr>
                <w:noProof/>
                <w:sz w:val="18"/>
                <w:szCs w:val="18"/>
              </w:rPr>
            </w:pPr>
            <w:r w:rsidRPr="003409C9">
              <w:rPr>
                <w:noProof/>
                <w:sz w:val="18"/>
              </w:rPr>
              <w:t>2,597</w:t>
            </w:r>
          </w:p>
        </w:tc>
        <w:tc>
          <w:tcPr>
            <w:tcW w:w="709" w:type="dxa"/>
            <w:tcBorders>
              <w:bottom w:val="single" w:sz="4" w:space="0" w:color="auto"/>
            </w:tcBorders>
            <w:vAlign w:val="center"/>
          </w:tcPr>
          <w:p w:rsidR="00334478" w:rsidRPr="003409C9" w:rsidRDefault="00334478" w:rsidP="00855286">
            <w:pPr>
              <w:spacing w:before="20" w:after="20"/>
              <w:jc w:val="right"/>
              <w:rPr>
                <w:noProof/>
                <w:sz w:val="18"/>
                <w:szCs w:val="18"/>
              </w:rPr>
            </w:pPr>
            <w:r w:rsidRPr="003409C9">
              <w:rPr>
                <w:noProof/>
                <w:sz w:val="18"/>
              </w:rPr>
              <w:t>7,958</w:t>
            </w:r>
          </w:p>
        </w:tc>
        <w:tc>
          <w:tcPr>
            <w:tcW w:w="709" w:type="dxa"/>
            <w:tcBorders>
              <w:bottom w:val="single" w:sz="4" w:space="0" w:color="auto"/>
            </w:tcBorders>
            <w:vAlign w:val="center"/>
          </w:tcPr>
          <w:p w:rsidR="00334478" w:rsidRPr="003409C9" w:rsidRDefault="00334478" w:rsidP="00855286">
            <w:pPr>
              <w:spacing w:before="20" w:after="20"/>
              <w:jc w:val="right"/>
              <w:rPr>
                <w:noProof/>
                <w:sz w:val="18"/>
                <w:szCs w:val="18"/>
              </w:rPr>
            </w:pPr>
            <w:r w:rsidRPr="003409C9">
              <w:rPr>
                <w:noProof/>
                <w:sz w:val="18"/>
              </w:rPr>
              <w:t>26,908</w:t>
            </w:r>
          </w:p>
        </w:tc>
        <w:tc>
          <w:tcPr>
            <w:tcW w:w="708" w:type="dxa"/>
            <w:tcBorders>
              <w:bottom w:val="single" w:sz="4" w:space="0" w:color="auto"/>
            </w:tcBorders>
            <w:shd w:val="clear" w:color="auto" w:fill="DAEEF3" w:themeFill="accent5" w:themeFillTint="33"/>
            <w:vAlign w:val="center"/>
          </w:tcPr>
          <w:p w:rsidR="00334478" w:rsidRPr="00BB07AF" w:rsidRDefault="00334478" w:rsidP="00855286">
            <w:pPr>
              <w:spacing w:before="20" w:after="20"/>
              <w:jc w:val="right"/>
              <w:rPr>
                <w:i/>
                <w:noProof/>
                <w:sz w:val="18"/>
                <w:szCs w:val="18"/>
              </w:rPr>
            </w:pPr>
            <w:r w:rsidRPr="00BB07AF">
              <w:rPr>
                <w:i/>
                <w:noProof/>
                <w:sz w:val="18"/>
              </w:rPr>
              <w:t>37,619</w:t>
            </w:r>
          </w:p>
        </w:tc>
        <w:tc>
          <w:tcPr>
            <w:tcW w:w="709" w:type="dxa"/>
            <w:tcBorders>
              <w:bottom w:val="single" w:sz="4" w:space="0" w:color="auto"/>
            </w:tcBorders>
            <w:vAlign w:val="center"/>
          </w:tcPr>
          <w:p w:rsidR="00334478" w:rsidRPr="003409C9" w:rsidRDefault="00334478" w:rsidP="00855286">
            <w:pPr>
              <w:spacing w:before="20" w:after="20"/>
              <w:jc w:val="right"/>
              <w:rPr>
                <w:noProof/>
                <w:sz w:val="18"/>
                <w:szCs w:val="18"/>
              </w:rPr>
            </w:pPr>
            <w:r w:rsidRPr="003409C9">
              <w:rPr>
                <w:noProof/>
                <w:sz w:val="18"/>
              </w:rPr>
              <w:t>21,565</w:t>
            </w:r>
          </w:p>
        </w:tc>
        <w:tc>
          <w:tcPr>
            <w:tcW w:w="709" w:type="dxa"/>
            <w:tcBorders>
              <w:bottom w:val="single" w:sz="4" w:space="0" w:color="auto"/>
            </w:tcBorders>
            <w:vAlign w:val="center"/>
          </w:tcPr>
          <w:p w:rsidR="00334478" w:rsidRPr="003409C9" w:rsidRDefault="00334478" w:rsidP="00855286">
            <w:pPr>
              <w:spacing w:before="20" w:after="20"/>
              <w:jc w:val="right"/>
              <w:rPr>
                <w:noProof/>
                <w:sz w:val="18"/>
                <w:szCs w:val="18"/>
              </w:rPr>
            </w:pPr>
            <w:r w:rsidRPr="003409C9">
              <w:rPr>
                <w:noProof/>
                <w:sz w:val="18"/>
              </w:rPr>
              <w:t>18,119</w:t>
            </w:r>
          </w:p>
        </w:tc>
        <w:tc>
          <w:tcPr>
            <w:tcW w:w="709" w:type="dxa"/>
            <w:tcBorders>
              <w:bottom w:val="single" w:sz="4" w:space="0" w:color="auto"/>
            </w:tcBorders>
            <w:vAlign w:val="center"/>
          </w:tcPr>
          <w:p w:rsidR="00334478" w:rsidRPr="003409C9" w:rsidRDefault="00334478" w:rsidP="00855286">
            <w:pPr>
              <w:spacing w:before="20" w:after="20"/>
              <w:jc w:val="right"/>
              <w:rPr>
                <w:noProof/>
                <w:sz w:val="18"/>
                <w:szCs w:val="18"/>
              </w:rPr>
            </w:pPr>
            <w:r w:rsidRPr="003409C9">
              <w:rPr>
                <w:noProof/>
                <w:sz w:val="18"/>
              </w:rPr>
              <w:t>21,182</w:t>
            </w:r>
          </w:p>
        </w:tc>
        <w:tc>
          <w:tcPr>
            <w:tcW w:w="708" w:type="dxa"/>
            <w:tcBorders>
              <w:bottom w:val="single" w:sz="4" w:space="0" w:color="auto"/>
            </w:tcBorders>
            <w:vAlign w:val="center"/>
          </w:tcPr>
          <w:p w:rsidR="00334478" w:rsidRPr="003409C9" w:rsidRDefault="00334478" w:rsidP="00855286">
            <w:pPr>
              <w:spacing w:before="20" w:after="20"/>
              <w:jc w:val="right"/>
              <w:rPr>
                <w:noProof/>
                <w:sz w:val="18"/>
                <w:szCs w:val="18"/>
              </w:rPr>
            </w:pPr>
            <w:r w:rsidRPr="003409C9">
              <w:rPr>
                <w:noProof/>
                <w:sz w:val="18"/>
              </w:rPr>
              <w:t>19,911</w:t>
            </w:r>
          </w:p>
        </w:tc>
        <w:tc>
          <w:tcPr>
            <w:tcW w:w="709" w:type="dxa"/>
            <w:tcBorders>
              <w:bottom w:val="single" w:sz="4" w:space="0" w:color="auto"/>
            </w:tcBorders>
            <w:vAlign w:val="center"/>
          </w:tcPr>
          <w:p w:rsidR="00334478" w:rsidRPr="003409C9" w:rsidRDefault="00334478" w:rsidP="00855286">
            <w:pPr>
              <w:spacing w:before="20" w:after="20"/>
              <w:jc w:val="right"/>
              <w:rPr>
                <w:noProof/>
                <w:sz w:val="18"/>
                <w:szCs w:val="18"/>
              </w:rPr>
            </w:pPr>
            <w:r w:rsidRPr="003409C9">
              <w:rPr>
                <w:noProof/>
                <w:sz w:val="18"/>
              </w:rPr>
              <w:t>19,189</w:t>
            </w:r>
          </w:p>
        </w:tc>
        <w:tc>
          <w:tcPr>
            <w:tcW w:w="709" w:type="dxa"/>
            <w:tcBorders>
              <w:bottom w:val="single" w:sz="4" w:space="0" w:color="auto"/>
            </w:tcBorders>
            <w:vAlign w:val="center"/>
          </w:tcPr>
          <w:p w:rsidR="00334478" w:rsidRPr="003409C9" w:rsidRDefault="00334478" w:rsidP="00855286">
            <w:pPr>
              <w:spacing w:before="20" w:after="20"/>
              <w:jc w:val="right"/>
              <w:rPr>
                <w:noProof/>
                <w:sz w:val="18"/>
                <w:szCs w:val="18"/>
              </w:rPr>
            </w:pPr>
            <w:r w:rsidRPr="003409C9">
              <w:rPr>
                <w:noProof/>
                <w:sz w:val="18"/>
              </w:rPr>
              <w:t>18,236</w:t>
            </w:r>
          </w:p>
        </w:tc>
        <w:tc>
          <w:tcPr>
            <w:tcW w:w="709" w:type="dxa"/>
            <w:tcBorders>
              <w:bottom w:val="single" w:sz="4" w:space="0" w:color="auto"/>
            </w:tcBorders>
            <w:vAlign w:val="center"/>
          </w:tcPr>
          <w:p w:rsidR="00334478" w:rsidRPr="003409C9" w:rsidRDefault="00334478" w:rsidP="00855286">
            <w:pPr>
              <w:spacing w:before="20" w:after="20"/>
              <w:jc w:val="right"/>
              <w:rPr>
                <w:noProof/>
                <w:sz w:val="18"/>
                <w:szCs w:val="18"/>
              </w:rPr>
            </w:pPr>
            <w:r w:rsidRPr="003409C9">
              <w:rPr>
                <w:noProof/>
                <w:sz w:val="18"/>
              </w:rPr>
              <w:t>16,937</w:t>
            </w:r>
          </w:p>
        </w:tc>
        <w:tc>
          <w:tcPr>
            <w:tcW w:w="708" w:type="dxa"/>
            <w:tcBorders>
              <w:bottom w:val="single" w:sz="4" w:space="0" w:color="auto"/>
            </w:tcBorders>
            <w:shd w:val="clear" w:color="auto" w:fill="DBE5F1" w:themeFill="accent1" w:themeFillTint="33"/>
            <w:vAlign w:val="center"/>
          </w:tcPr>
          <w:p w:rsidR="00334478" w:rsidRPr="00BB07AF" w:rsidRDefault="00334478" w:rsidP="00855286">
            <w:pPr>
              <w:spacing w:before="20" w:after="20"/>
              <w:jc w:val="right"/>
              <w:rPr>
                <w:i/>
                <w:noProof/>
                <w:sz w:val="18"/>
                <w:szCs w:val="18"/>
              </w:rPr>
            </w:pPr>
            <w:r w:rsidRPr="00BB07AF">
              <w:rPr>
                <w:i/>
                <w:noProof/>
                <w:sz w:val="18"/>
              </w:rPr>
              <w:t>135,140</w:t>
            </w:r>
          </w:p>
        </w:tc>
        <w:tc>
          <w:tcPr>
            <w:tcW w:w="779" w:type="dxa"/>
            <w:tcBorders>
              <w:bottom w:val="single" w:sz="4" w:space="0" w:color="auto"/>
              <w:right w:val="single" w:sz="4" w:space="0" w:color="auto"/>
            </w:tcBorders>
            <w:vAlign w:val="center"/>
          </w:tcPr>
          <w:p w:rsidR="00334478" w:rsidRPr="00BB07AF" w:rsidRDefault="00334478" w:rsidP="00855286">
            <w:pPr>
              <w:spacing w:before="20" w:after="20"/>
              <w:jc w:val="right"/>
              <w:rPr>
                <w:b/>
                <w:noProof/>
                <w:sz w:val="18"/>
                <w:szCs w:val="18"/>
              </w:rPr>
            </w:pPr>
            <w:r w:rsidRPr="00BB07AF">
              <w:rPr>
                <w:b/>
                <w:noProof/>
                <w:sz w:val="18"/>
              </w:rPr>
              <w:t>172,759</w:t>
            </w:r>
          </w:p>
        </w:tc>
      </w:tr>
    </w:tbl>
    <w:p w:rsidR="00CD7E2F" w:rsidRPr="003409C9" w:rsidRDefault="00CD7E2F" w:rsidP="00CD7E2F">
      <w:pPr>
        <w:rPr>
          <w:noProof/>
        </w:rPr>
      </w:pPr>
    </w:p>
    <w:p w:rsidR="00CD7E2F" w:rsidRPr="003409C9" w:rsidRDefault="00CD7E2F" w:rsidP="00CD7E2F">
      <w:pPr>
        <w:spacing w:before="0" w:after="0"/>
        <w:jc w:val="left"/>
        <w:rPr>
          <w:noProof/>
        </w:rPr>
      </w:pPr>
      <w:r w:rsidRPr="003409C9">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D7E2F" w:rsidRPr="003409C9" w:rsidTr="00EA0500">
        <w:trPr>
          <w:jc w:val="center"/>
        </w:trPr>
        <w:tc>
          <w:tcPr>
            <w:tcW w:w="4744" w:type="dxa"/>
            <w:shd w:val="thinDiagStripe" w:color="C0C0C0" w:fill="auto"/>
            <w:vAlign w:val="center"/>
          </w:tcPr>
          <w:p w:rsidR="00CD7E2F" w:rsidRPr="003409C9" w:rsidRDefault="00CD7E2F" w:rsidP="00EA0500">
            <w:pPr>
              <w:spacing w:before="60" w:after="60"/>
              <w:jc w:val="center"/>
              <w:rPr>
                <w:b/>
                <w:noProof/>
              </w:rPr>
            </w:pPr>
            <w:r w:rsidRPr="003409C9">
              <w:rPr>
                <w:noProof/>
              </w:rPr>
              <w:br w:type="page"/>
            </w:r>
            <w:r w:rsidRPr="00BB07AF">
              <w:rPr>
                <w:b/>
                <w:noProof/>
                <w:sz w:val="22"/>
              </w:rPr>
              <w:t>Dział</w:t>
            </w:r>
            <w:r w:rsidRPr="003409C9">
              <w:rPr>
                <w:noProof/>
              </w:rPr>
              <w:t xml:space="preserve"> </w:t>
            </w:r>
            <w:r w:rsidRPr="00BB07AF">
              <w:rPr>
                <w:b/>
                <w:noProof/>
                <w:sz w:val="22"/>
              </w:rPr>
              <w:t xml:space="preserve">wieloletnich ram finansowych </w:t>
            </w:r>
          </w:p>
        </w:tc>
        <w:tc>
          <w:tcPr>
            <w:tcW w:w="1080" w:type="dxa"/>
            <w:shd w:val="thinDiagStripe" w:color="C0C0C0" w:fill="auto"/>
            <w:vAlign w:val="center"/>
          </w:tcPr>
          <w:p w:rsidR="00CD7E2F" w:rsidRPr="003409C9" w:rsidRDefault="00CD7E2F" w:rsidP="00EA0500">
            <w:pPr>
              <w:spacing w:before="60" w:after="60"/>
              <w:jc w:val="center"/>
              <w:rPr>
                <w:noProof/>
              </w:rPr>
            </w:pPr>
            <w:r w:rsidRPr="00BB07AF">
              <w:rPr>
                <w:b/>
                <w:noProof/>
                <w:sz w:val="22"/>
              </w:rPr>
              <w:t>7</w:t>
            </w:r>
          </w:p>
        </w:tc>
        <w:tc>
          <w:tcPr>
            <w:tcW w:w="7817" w:type="dxa"/>
            <w:vAlign w:val="center"/>
          </w:tcPr>
          <w:p w:rsidR="00CD7E2F" w:rsidRPr="003409C9" w:rsidRDefault="00CD7E2F" w:rsidP="00EA0500">
            <w:pPr>
              <w:spacing w:before="60" w:after="60"/>
              <w:rPr>
                <w:noProof/>
              </w:rPr>
            </w:pPr>
            <w:r w:rsidRPr="003409C9">
              <w:rPr>
                <w:noProof/>
                <w:sz w:val="22"/>
              </w:rPr>
              <w:t>„Wydatki administracyjne”</w:t>
            </w:r>
          </w:p>
        </w:tc>
      </w:tr>
    </w:tbl>
    <w:p w:rsidR="00CD7E2F" w:rsidRPr="003409C9" w:rsidRDefault="00CD7E2F" w:rsidP="00CD7E2F">
      <w:pPr>
        <w:jc w:val="left"/>
        <w:rPr>
          <w:noProof/>
          <w:sz w:val="20"/>
        </w:rPr>
      </w:pPr>
      <w:r w:rsidRPr="003409C9">
        <w:rPr>
          <w:noProof/>
        </w:rPr>
        <w:t>Niniejszą część uzupełnia się przy użyciu „danych budżetowych</w:t>
      </w:r>
      <w:r w:rsidR="003409C9" w:rsidRPr="003409C9">
        <w:rPr>
          <w:noProof/>
        </w:rPr>
        <w:t xml:space="preserve"> o cha</w:t>
      </w:r>
      <w:r w:rsidRPr="003409C9">
        <w:rPr>
          <w:noProof/>
        </w:rPr>
        <w:t xml:space="preserve">rakterze administracyjnym”, które należy najpierw wprowadzić do załącznika do </w:t>
      </w:r>
      <w:hyperlink r:id="rId25" w:history="1">
        <w:r w:rsidRPr="00BB07AF">
          <w:rPr>
            <w:rStyle w:val="Hyperlink"/>
            <w:noProof/>
          </w:rPr>
          <w:t>oceny skutków finansowych regulacji</w:t>
        </w:r>
      </w:hyperlink>
      <w:r w:rsidRPr="003409C9">
        <w:rPr>
          <w:noProof/>
        </w:rPr>
        <w:t xml:space="preserve"> (załącznika V do zasad wewnętrznych), przesyłanego do DECIDE</w:t>
      </w:r>
      <w:r w:rsidR="003409C9" w:rsidRPr="003409C9">
        <w:rPr>
          <w:noProof/>
        </w:rPr>
        <w:t xml:space="preserve"> w cel</w:t>
      </w:r>
      <w:r w:rsidRPr="003409C9">
        <w:rPr>
          <w:noProof/>
        </w:rPr>
        <w:t>u konsultacji między służbami.</w:t>
      </w:r>
    </w:p>
    <w:p w:rsidR="00CD7E2F" w:rsidRPr="003409C9" w:rsidRDefault="00CD7E2F" w:rsidP="00CD7E2F">
      <w:pPr>
        <w:jc w:val="right"/>
        <w:rPr>
          <w:noProof/>
          <w:sz w:val="20"/>
        </w:rPr>
      </w:pPr>
      <w:r w:rsidRPr="003409C9">
        <w:rPr>
          <w:noProof/>
          <w:sz w:val="20"/>
        </w:rPr>
        <w:t>w mln EUR (do trzech miejsc po przecinku)</w:t>
      </w:r>
    </w:p>
    <w:tbl>
      <w:tblPr>
        <w:tblW w:w="154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960"/>
        <w:gridCol w:w="868"/>
        <w:gridCol w:w="692"/>
        <w:gridCol w:w="105"/>
        <w:gridCol w:w="131"/>
        <w:gridCol w:w="578"/>
        <w:gridCol w:w="709"/>
        <w:gridCol w:w="709"/>
        <w:gridCol w:w="709"/>
        <w:gridCol w:w="708"/>
        <w:gridCol w:w="709"/>
        <w:gridCol w:w="709"/>
        <w:gridCol w:w="709"/>
        <w:gridCol w:w="708"/>
        <w:gridCol w:w="709"/>
        <w:gridCol w:w="709"/>
        <w:gridCol w:w="709"/>
        <w:gridCol w:w="708"/>
        <w:gridCol w:w="638"/>
      </w:tblGrid>
      <w:tr w:rsidR="00415F9E" w:rsidRPr="003409C9" w:rsidTr="00EA0500">
        <w:tc>
          <w:tcPr>
            <w:tcW w:w="3960" w:type="dxa"/>
            <w:tcBorders>
              <w:top w:val="nil"/>
              <w:left w:val="nil"/>
              <w:right w:val="nil"/>
            </w:tcBorders>
            <w:vAlign w:val="center"/>
          </w:tcPr>
          <w:p w:rsidR="00CD7E2F" w:rsidRPr="003409C9" w:rsidRDefault="00CD7E2F" w:rsidP="00EA0500">
            <w:pPr>
              <w:jc w:val="center"/>
              <w:rPr>
                <w:noProof/>
              </w:rPr>
            </w:pPr>
          </w:p>
        </w:tc>
        <w:tc>
          <w:tcPr>
            <w:tcW w:w="1560" w:type="dxa"/>
            <w:gridSpan w:val="2"/>
            <w:tcBorders>
              <w:top w:val="nil"/>
              <w:left w:val="nil"/>
              <w:right w:val="nil"/>
            </w:tcBorders>
          </w:tcPr>
          <w:p w:rsidR="00CD7E2F" w:rsidRPr="003409C9" w:rsidRDefault="00CD7E2F" w:rsidP="00EA0500">
            <w:pPr>
              <w:rPr>
                <w:noProof/>
                <w:sz w:val="20"/>
              </w:rPr>
            </w:pPr>
          </w:p>
        </w:tc>
        <w:tc>
          <w:tcPr>
            <w:tcW w:w="236" w:type="dxa"/>
            <w:gridSpan w:val="2"/>
            <w:tcBorders>
              <w:top w:val="nil"/>
              <w:left w:val="nil"/>
            </w:tcBorders>
          </w:tcPr>
          <w:p w:rsidR="00CD7E2F" w:rsidRPr="003409C9" w:rsidRDefault="00CD7E2F" w:rsidP="00EA0500">
            <w:pPr>
              <w:jc w:val="center"/>
              <w:rPr>
                <w:noProof/>
                <w:sz w:val="20"/>
              </w:rPr>
            </w:pPr>
          </w:p>
        </w:tc>
        <w:tc>
          <w:tcPr>
            <w:tcW w:w="578" w:type="dxa"/>
            <w:vAlign w:val="center"/>
          </w:tcPr>
          <w:p w:rsidR="00CD7E2F" w:rsidRPr="003409C9" w:rsidRDefault="00CD7E2F" w:rsidP="00EA0500">
            <w:pPr>
              <w:jc w:val="center"/>
              <w:rPr>
                <w:noProof/>
                <w:sz w:val="20"/>
                <w:szCs w:val="20"/>
              </w:rPr>
            </w:pPr>
            <w:r w:rsidRPr="003409C9">
              <w:rPr>
                <w:noProof/>
                <w:sz w:val="20"/>
              </w:rPr>
              <w:t>Rok</w:t>
            </w:r>
            <w:r w:rsidRPr="003409C9">
              <w:rPr>
                <w:noProof/>
              </w:rPr>
              <w:t xml:space="preserve"> </w:t>
            </w:r>
            <w:r w:rsidRPr="003409C9">
              <w:rPr>
                <w:noProof/>
              </w:rPr>
              <w:br/>
            </w:r>
            <w:r w:rsidRPr="00BB07AF">
              <w:rPr>
                <w:b/>
                <w:noProof/>
                <w:sz w:val="20"/>
              </w:rPr>
              <w:t>2024</w:t>
            </w:r>
          </w:p>
        </w:tc>
        <w:tc>
          <w:tcPr>
            <w:tcW w:w="709" w:type="dxa"/>
          </w:tcPr>
          <w:p w:rsidR="00CD7E2F" w:rsidRPr="003409C9" w:rsidRDefault="00CD7E2F" w:rsidP="00EA0500">
            <w:pPr>
              <w:jc w:val="center"/>
              <w:rPr>
                <w:noProof/>
                <w:sz w:val="20"/>
                <w:szCs w:val="20"/>
              </w:rPr>
            </w:pPr>
            <w:r w:rsidRPr="003409C9">
              <w:rPr>
                <w:noProof/>
                <w:sz w:val="20"/>
              </w:rPr>
              <w:t xml:space="preserve">Rok </w:t>
            </w:r>
            <w:r w:rsidRPr="00BB07AF">
              <w:rPr>
                <w:b/>
                <w:noProof/>
                <w:sz w:val="20"/>
              </w:rPr>
              <w:t>2025</w:t>
            </w:r>
          </w:p>
        </w:tc>
        <w:tc>
          <w:tcPr>
            <w:tcW w:w="709" w:type="dxa"/>
            <w:vAlign w:val="center"/>
          </w:tcPr>
          <w:p w:rsidR="00CD7E2F" w:rsidRPr="003409C9" w:rsidRDefault="00CD7E2F" w:rsidP="00EA0500">
            <w:pPr>
              <w:jc w:val="center"/>
              <w:rPr>
                <w:noProof/>
                <w:sz w:val="20"/>
                <w:szCs w:val="20"/>
              </w:rPr>
            </w:pPr>
            <w:r w:rsidRPr="003409C9">
              <w:rPr>
                <w:noProof/>
                <w:sz w:val="20"/>
              </w:rPr>
              <w:t>Rok</w:t>
            </w:r>
            <w:r w:rsidRPr="003409C9">
              <w:rPr>
                <w:noProof/>
              </w:rPr>
              <w:t xml:space="preserve"> </w:t>
            </w:r>
            <w:r w:rsidRPr="003409C9">
              <w:rPr>
                <w:noProof/>
              </w:rPr>
              <w:br/>
            </w:r>
            <w:r w:rsidRPr="00BB07AF">
              <w:rPr>
                <w:b/>
                <w:noProof/>
                <w:sz w:val="20"/>
              </w:rPr>
              <w:t>2026</w:t>
            </w:r>
          </w:p>
        </w:tc>
        <w:tc>
          <w:tcPr>
            <w:tcW w:w="709" w:type="dxa"/>
            <w:vAlign w:val="center"/>
          </w:tcPr>
          <w:p w:rsidR="00CD7E2F" w:rsidRPr="003409C9" w:rsidRDefault="00CD7E2F" w:rsidP="00EA0500">
            <w:pPr>
              <w:jc w:val="center"/>
              <w:rPr>
                <w:noProof/>
                <w:sz w:val="20"/>
                <w:szCs w:val="20"/>
              </w:rPr>
            </w:pPr>
            <w:r w:rsidRPr="003409C9">
              <w:rPr>
                <w:noProof/>
                <w:sz w:val="20"/>
              </w:rPr>
              <w:t>Rok</w:t>
            </w:r>
            <w:r w:rsidRPr="003409C9">
              <w:rPr>
                <w:noProof/>
              </w:rPr>
              <w:t xml:space="preserve"> </w:t>
            </w:r>
            <w:r w:rsidRPr="003409C9">
              <w:rPr>
                <w:noProof/>
              </w:rPr>
              <w:br/>
            </w:r>
            <w:r w:rsidRPr="00BB07AF">
              <w:rPr>
                <w:b/>
                <w:noProof/>
                <w:sz w:val="20"/>
              </w:rPr>
              <w:t>2027</w:t>
            </w:r>
          </w:p>
        </w:tc>
        <w:tc>
          <w:tcPr>
            <w:tcW w:w="708" w:type="dxa"/>
            <w:shd w:val="clear" w:color="auto" w:fill="DAEEF3" w:themeFill="accent5" w:themeFillTint="33"/>
          </w:tcPr>
          <w:p w:rsidR="00CD7E2F" w:rsidRPr="003409C9" w:rsidRDefault="00CD7E2F" w:rsidP="00EA0500">
            <w:pPr>
              <w:jc w:val="center"/>
              <w:rPr>
                <w:noProof/>
                <w:sz w:val="20"/>
                <w:szCs w:val="20"/>
              </w:rPr>
            </w:pPr>
            <w:r w:rsidRPr="00BB07AF">
              <w:rPr>
                <w:b/>
                <w:i/>
                <w:noProof/>
                <w:sz w:val="20"/>
              </w:rPr>
              <w:t>Ogółem</w:t>
            </w:r>
            <w:r w:rsidRPr="003409C9">
              <w:rPr>
                <w:noProof/>
              </w:rPr>
              <w:t xml:space="preserve"> </w:t>
            </w:r>
            <w:r w:rsidRPr="003409C9">
              <w:rPr>
                <w:noProof/>
              </w:rPr>
              <w:br/>
            </w:r>
            <w:r w:rsidRPr="00BB07AF">
              <w:rPr>
                <w:b/>
                <w:i/>
                <w:noProof/>
                <w:sz w:val="20"/>
              </w:rPr>
              <w:t>21-27</w:t>
            </w:r>
          </w:p>
        </w:tc>
        <w:tc>
          <w:tcPr>
            <w:tcW w:w="709" w:type="dxa"/>
            <w:vAlign w:val="center"/>
          </w:tcPr>
          <w:p w:rsidR="00CD7E2F" w:rsidRPr="003409C9" w:rsidRDefault="00CD7E2F" w:rsidP="00EA0500">
            <w:pPr>
              <w:jc w:val="center"/>
              <w:rPr>
                <w:noProof/>
                <w:sz w:val="20"/>
                <w:szCs w:val="20"/>
              </w:rPr>
            </w:pPr>
            <w:r w:rsidRPr="003409C9">
              <w:rPr>
                <w:noProof/>
                <w:sz w:val="20"/>
              </w:rPr>
              <w:t>Rok</w:t>
            </w:r>
            <w:r w:rsidRPr="003409C9">
              <w:rPr>
                <w:noProof/>
              </w:rPr>
              <w:t xml:space="preserve"> </w:t>
            </w:r>
            <w:r w:rsidRPr="003409C9">
              <w:rPr>
                <w:noProof/>
              </w:rPr>
              <w:br/>
            </w:r>
            <w:r w:rsidRPr="00BB07AF">
              <w:rPr>
                <w:b/>
                <w:noProof/>
                <w:sz w:val="20"/>
              </w:rPr>
              <w:t>2028</w:t>
            </w:r>
          </w:p>
        </w:tc>
        <w:tc>
          <w:tcPr>
            <w:tcW w:w="709" w:type="dxa"/>
            <w:vAlign w:val="center"/>
          </w:tcPr>
          <w:p w:rsidR="00CD7E2F" w:rsidRPr="003409C9" w:rsidRDefault="00CD7E2F" w:rsidP="00EA0500">
            <w:pPr>
              <w:jc w:val="center"/>
              <w:rPr>
                <w:noProof/>
                <w:sz w:val="20"/>
                <w:szCs w:val="20"/>
              </w:rPr>
            </w:pPr>
            <w:r w:rsidRPr="003409C9">
              <w:rPr>
                <w:noProof/>
                <w:sz w:val="20"/>
              </w:rPr>
              <w:t>Rok</w:t>
            </w:r>
            <w:r w:rsidRPr="003409C9">
              <w:rPr>
                <w:noProof/>
              </w:rPr>
              <w:t xml:space="preserve"> </w:t>
            </w:r>
            <w:r w:rsidRPr="003409C9">
              <w:rPr>
                <w:noProof/>
              </w:rPr>
              <w:br/>
            </w:r>
            <w:r w:rsidRPr="00BB07AF">
              <w:rPr>
                <w:b/>
                <w:noProof/>
                <w:sz w:val="20"/>
              </w:rPr>
              <w:t>2029</w:t>
            </w:r>
          </w:p>
        </w:tc>
        <w:tc>
          <w:tcPr>
            <w:tcW w:w="709" w:type="dxa"/>
            <w:vAlign w:val="center"/>
          </w:tcPr>
          <w:p w:rsidR="00CD7E2F" w:rsidRPr="003409C9" w:rsidRDefault="00CD7E2F" w:rsidP="00EA0500">
            <w:pPr>
              <w:jc w:val="center"/>
              <w:rPr>
                <w:noProof/>
                <w:sz w:val="20"/>
                <w:szCs w:val="20"/>
              </w:rPr>
            </w:pPr>
            <w:r w:rsidRPr="003409C9">
              <w:rPr>
                <w:noProof/>
                <w:sz w:val="20"/>
              </w:rPr>
              <w:t>Rok</w:t>
            </w:r>
            <w:r w:rsidRPr="003409C9">
              <w:rPr>
                <w:noProof/>
              </w:rPr>
              <w:t xml:space="preserve"> </w:t>
            </w:r>
            <w:r w:rsidRPr="003409C9">
              <w:rPr>
                <w:noProof/>
              </w:rPr>
              <w:br/>
            </w:r>
            <w:r w:rsidRPr="00BB07AF">
              <w:rPr>
                <w:b/>
                <w:noProof/>
                <w:sz w:val="20"/>
              </w:rPr>
              <w:t>2030</w:t>
            </w:r>
          </w:p>
        </w:tc>
        <w:tc>
          <w:tcPr>
            <w:tcW w:w="708" w:type="dxa"/>
            <w:vAlign w:val="center"/>
          </w:tcPr>
          <w:p w:rsidR="00CD7E2F" w:rsidRPr="003409C9" w:rsidRDefault="00CD7E2F" w:rsidP="00EA0500">
            <w:pPr>
              <w:jc w:val="center"/>
              <w:rPr>
                <w:noProof/>
                <w:sz w:val="20"/>
                <w:szCs w:val="20"/>
              </w:rPr>
            </w:pPr>
            <w:r w:rsidRPr="003409C9">
              <w:rPr>
                <w:noProof/>
                <w:sz w:val="20"/>
              </w:rPr>
              <w:t>Rok</w:t>
            </w:r>
            <w:r w:rsidRPr="003409C9">
              <w:rPr>
                <w:noProof/>
              </w:rPr>
              <w:t xml:space="preserve"> </w:t>
            </w:r>
            <w:r w:rsidRPr="003409C9">
              <w:rPr>
                <w:noProof/>
              </w:rPr>
              <w:br/>
            </w:r>
            <w:r w:rsidRPr="00BB07AF">
              <w:rPr>
                <w:b/>
                <w:noProof/>
                <w:sz w:val="20"/>
              </w:rPr>
              <w:t>2031</w:t>
            </w:r>
          </w:p>
        </w:tc>
        <w:tc>
          <w:tcPr>
            <w:tcW w:w="709" w:type="dxa"/>
            <w:vAlign w:val="center"/>
          </w:tcPr>
          <w:p w:rsidR="00CD7E2F" w:rsidRPr="003409C9" w:rsidRDefault="00CD7E2F" w:rsidP="00EA0500">
            <w:pPr>
              <w:jc w:val="center"/>
              <w:rPr>
                <w:noProof/>
                <w:sz w:val="20"/>
                <w:szCs w:val="20"/>
              </w:rPr>
            </w:pPr>
            <w:r w:rsidRPr="003409C9">
              <w:rPr>
                <w:noProof/>
                <w:sz w:val="20"/>
              </w:rPr>
              <w:t>Rok</w:t>
            </w:r>
            <w:r w:rsidRPr="003409C9">
              <w:rPr>
                <w:noProof/>
              </w:rPr>
              <w:t xml:space="preserve"> </w:t>
            </w:r>
            <w:r w:rsidRPr="003409C9">
              <w:rPr>
                <w:noProof/>
              </w:rPr>
              <w:br/>
            </w:r>
            <w:r w:rsidRPr="00BB07AF">
              <w:rPr>
                <w:b/>
                <w:noProof/>
                <w:sz w:val="20"/>
              </w:rPr>
              <w:t>2032</w:t>
            </w:r>
          </w:p>
        </w:tc>
        <w:tc>
          <w:tcPr>
            <w:tcW w:w="709" w:type="dxa"/>
            <w:vAlign w:val="center"/>
          </w:tcPr>
          <w:p w:rsidR="00CD7E2F" w:rsidRPr="003409C9" w:rsidRDefault="00CD7E2F" w:rsidP="00EA0500">
            <w:pPr>
              <w:jc w:val="center"/>
              <w:rPr>
                <w:noProof/>
                <w:sz w:val="20"/>
                <w:szCs w:val="20"/>
              </w:rPr>
            </w:pPr>
            <w:r w:rsidRPr="003409C9">
              <w:rPr>
                <w:noProof/>
                <w:sz w:val="20"/>
              </w:rPr>
              <w:t>Rok</w:t>
            </w:r>
            <w:r w:rsidRPr="003409C9">
              <w:rPr>
                <w:noProof/>
              </w:rPr>
              <w:t xml:space="preserve"> </w:t>
            </w:r>
            <w:r w:rsidRPr="003409C9">
              <w:rPr>
                <w:noProof/>
              </w:rPr>
              <w:br/>
            </w:r>
            <w:r w:rsidRPr="00BB07AF">
              <w:rPr>
                <w:b/>
                <w:noProof/>
                <w:sz w:val="20"/>
              </w:rPr>
              <w:t>2033</w:t>
            </w:r>
          </w:p>
        </w:tc>
        <w:tc>
          <w:tcPr>
            <w:tcW w:w="709" w:type="dxa"/>
            <w:vAlign w:val="center"/>
          </w:tcPr>
          <w:p w:rsidR="00CD7E2F" w:rsidRPr="003409C9" w:rsidRDefault="00CD7E2F" w:rsidP="00EA0500">
            <w:pPr>
              <w:jc w:val="center"/>
              <w:rPr>
                <w:noProof/>
                <w:sz w:val="20"/>
                <w:szCs w:val="20"/>
              </w:rPr>
            </w:pPr>
            <w:r w:rsidRPr="003409C9">
              <w:rPr>
                <w:noProof/>
                <w:sz w:val="20"/>
              </w:rPr>
              <w:t>Rok</w:t>
            </w:r>
            <w:r w:rsidRPr="003409C9">
              <w:rPr>
                <w:noProof/>
              </w:rPr>
              <w:t xml:space="preserve"> </w:t>
            </w:r>
            <w:r w:rsidRPr="003409C9">
              <w:rPr>
                <w:noProof/>
              </w:rPr>
              <w:br/>
            </w:r>
            <w:r w:rsidRPr="00BB07AF">
              <w:rPr>
                <w:b/>
                <w:noProof/>
                <w:sz w:val="20"/>
              </w:rPr>
              <w:t>2034</w:t>
            </w:r>
          </w:p>
        </w:tc>
        <w:tc>
          <w:tcPr>
            <w:tcW w:w="708" w:type="dxa"/>
            <w:shd w:val="clear" w:color="auto" w:fill="DBE5F1" w:themeFill="accent1" w:themeFillTint="33"/>
            <w:vAlign w:val="center"/>
          </w:tcPr>
          <w:p w:rsidR="00CD7E2F" w:rsidRPr="00BB07AF" w:rsidRDefault="00CD7E2F" w:rsidP="00EA0500">
            <w:pPr>
              <w:jc w:val="center"/>
              <w:rPr>
                <w:i/>
                <w:noProof/>
                <w:sz w:val="20"/>
                <w:szCs w:val="20"/>
              </w:rPr>
            </w:pPr>
            <w:r w:rsidRPr="00BB07AF">
              <w:rPr>
                <w:i/>
                <w:noProof/>
                <w:sz w:val="20"/>
              </w:rPr>
              <w:t>Ogółem 28-34</w:t>
            </w:r>
          </w:p>
        </w:tc>
        <w:tc>
          <w:tcPr>
            <w:tcW w:w="638" w:type="dxa"/>
            <w:vAlign w:val="center"/>
          </w:tcPr>
          <w:p w:rsidR="00CD7E2F" w:rsidRPr="00BB07AF" w:rsidRDefault="00CD7E2F" w:rsidP="00EA0500">
            <w:pPr>
              <w:jc w:val="center"/>
              <w:rPr>
                <w:b/>
                <w:noProof/>
                <w:sz w:val="20"/>
                <w:szCs w:val="20"/>
              </w:rPr>
            </w:pPr>
            <w:r w:rsidRPr="00BB07AF">
              <w:rPr>
                <w:b/>
                <w:noProof/>
                <w:sz w:val="20"/>
              </w:rPr>
              <w:t>OGÓŁEM</w:t>
            </w:r>
          </w:p>
        </w:tc>
      </w:tr>
      <w:tr w:rsidR="00CD7E2F" w:rsidRPr="003409C9" w:rsidTr="00EA0500">
        <w:trPr>
          <w:gridAfter w:val="13"/>
          <w:wAfter w:w="9143" w:type="dxa"/>
        </w:trPr>
        <w:tc>
          <w:tcPr>
            <w:tcW w:w="3960" w:type="dxa"/>
            <w:vAlign w:val="center"/>
          </w:tcPr>
          <w:p w:rsidR="00CD7E2F" w:rsidRPr="003409C9" w:rsidRDefault="00CD7E2F" w:rsidP="00EA0500">
            <w:pPr>
              <w:spacing w:before="60" w:after="60"/>
              <w:jc w:val="center"/>
              <w:rPr>
                <w:noProof/>
              </w:rPr>
            </w:pPr>
            <w:r w:rsidRPr="003409C9">
              <w:rPr>
                <w:noProof/>
                <w:sz w:val="22"/>
              </w:rPr>
              <w:t>DG HOME</w:t>
            </w:r>
          </w:p>
        </w:tc>
        <w:tc>
          <w:tcPr>
            <w:tcW w:w="868" w:type="dxa"/>
          </w:tcPr>
          <w:p w:rsidR="00CD7E2F" w:rsidRPr="003409C9" w:rsidRDefault="00CD7E2F" w:rsidP="00EA0500">
            <w:pPr>
              <w:spacing w:before="60" w:after="60"/>
              <w:jc w:val="center"/>
              <w:rPr>
                <w:noProof/>
                <w:sz w:val="22"/>
              </w:rPr>
            </w:pPr>
          </w:p>
        </w:tc>
        <w:tc>
          <w:tcPr>
            <w:tcW w:w="797" w:type="dxa"/>
            <w:gridSpan w:val="2"/>
          </w:tcPr>
          <w:p w:rsidR="00CD7E2F" w:rsidRPr="003409C9" w:rsidRDefault="00CD7E2F" w:rsidP="00EA0500">
            <w:pPr>
              <w:spacing w:before="60" w:after="60"/>
              <w:jc w:val="center"/>
              <w:rPr>
                <w:noProof/>
                <w:sz w:val="22"/>
              </w:rPr>
            </w:pPr>
          </w:p>
        </w:tc>
        <w:tc>
          <w:tcPr>
            <w:tcW w:w="709" w:type="dxa"/>
            <w:gridSpan w:val="2"/>
          </w:tcPr>
          <w:p w:rsidR="00CD7E2F" w:rsidRPr="003409C9" w:rsidRDefault="00CD7E2F" w:rsidP="00EA0500">
            <w:pPr>
              <w:spacing w:before="60" w:after="60"/>
              <w:jc w:val="center"/>
              <w:rPr>
                <w:noProof/>
                <w:sz w:val="22"/>
              </w:rPr>
            </w:pPr>
          </w:p>
        </w:tc>
      </w:tr>
      <w:tr w:rsidR="00415F9E" w:rsidRPr="003409C9" w:rsidTr="00EA0500">
        <w:trPr>
          <w:trHeight w:val="313"/>
        </w:trPr>
        <w:tc>
          <w:tcPr>
            <w:tcW w:w="5625" w:type="dxa"/>
            <w:gridSpan w:val="4"/>
            <w:vAlign w:val="center"/>
          </w:tcPr>
          <w:p w:rsidR="00CD7E2F" w:rsidRPr="003409C9" w:rsidRDefault="00CD7E2F" w:rsidP="00EA0500">
            <w:pPr>
              <w:spacing w:before="20" w:after="20"/>
              <w:rPr>
                <w:noProof/>
              </w:rPr>
            </w:pPr>
            <w:r w:rsidRPr="003409C9">
              <w:rPr>
                <w:noProof/>
                <w:sz w:val="22"/>
              </w:rPr>
              <w:sym w:font="Wingdings" w:char="F09F"/>
            </w:r>
            <w:r w:rsidRPr="003409C9">
              <w:rPr>
                <w:noProof/>
                <w:sz w:val="22"/>
              </w:rPr>
              <w:t xml:space="preserve"> Zasoby ludzkie </w:t>
            </w:r>
          </w:p>
        </w:tc>
        <w:tc>
          <w:tcPr>
            <w:tcW w:w="709" w:type="dxa"/>
            <w:gridSpan w:val="2"/>
            <w:vAlign w:val="bottom"/>
          </w:tcPr>
          <w:p w:rsidR="00CD7E2F" w:rsidRPr="003409C9" w:rsidRDefault="00CD7E2F" w:rsidP="00EA0500">
            <w:pPr>
              <w:spacing w:before="20" w:after="20"/>
              <w:jc w:val="right"/>
              <w:rPr>
                <w:noProof/>
                <w:sz w:val="18"/>
                <w:szCs w:val="18"/>
              </w:rPr>
            </w:pPr>
            <w:r w:rsidRPr="003409C9">
              <w:rPr>
                <w:noProof/>
                <w:color w:val="000000"/>
                <w:sz w:val="18"/>
              </w:rPr>
              <w:t>0,314</w:t>
            </w:r>
          </w:p>
        </w:tc>
        <w:tc>
          <w:tcPr>
            <w:tcW w:w="709" w:type="dxa"/>
            <w:vAlign w:val="bottom"/>
          </w:tcPr>
          <w:p w:rsidR="00CD7E2F" w:rsidRPr="003409C9" w:rsidRDefault="00CD7E2F" w:rsidP="00EA0500">
            <w:pPr>
              <w:spacing w:before="20" w:after="20"/>
              <w:jc w:val="right"/>
              <w:rPr>
                <w:noProof/>
                <w:sz w:val="18"/>
                <w:szCs w:val="18"/>
              </w:rPr>
            </w:pPr>
            <w:r w:rsidRPr="003409C9">
              <w:rPr>
                <w:noProof/>
                <w:color w:val="000000"/>
                <w:sz w:val="18"/>
              </w:rPr>
              <w:t>0,471</w:t>
            </w:r>
          </w:p>
        </w:tc>
        <w:tc>
          <w:tcPr>
            <w:tcW w:w="709" w:type="dxa"/>
            <w:vAlign w:val="bottom"/>
          </w:tcPr>
          <w:p w:rsidR="00CD7E2F" w:rsidRPr="003409C9" w:rsidRDefault="00CD7E2F" w:rsidP="00EA0500">
            <w:pPr>
              <w:spacing w:before="20" w:after="20"/>
              <w:jc w:val="right"/>
              <w:rPr>
                <w:noProof/>
                <w:sz w:val="18"/>
                <w:szCs w:val="18"/>
              </w:rPr>
            </w:pPr>
            <w:r w:rsidRPr="003409C9">
              <w:rPr>
                <w:noProof/>
                <w:color w:val="000000"/>
                <w:sz w:val="18"/>
              </w:rPr>
              <w:t>0,471</w:t>
            </w:r>
          </w:p>
        </w:tc>
        <w:tc>
          <w:tcPr>
            <w:tcW w:w="709" w:type="dxa"/>
            <w:vAlign w:val="bottom"/>
          </w:tcPr>
          <w:p w:rsidR="00CD7E2F" w:rsidRPr="003409C9" w:rsidRDefault="00CD7E2F" w:rsidP="00EA0500">
            <w:pPr>
              <w:spacing w:before="20" w:after="20"/>
              <w:jc w:val="right"/>
              <w:rPr>
                <w:noProof/>
                <w:sz w:val="18"/>
                <w:szCs w:val="18"/>
              </w:rPr>
            </w:pPr>
            <w:r w:rsidRPr="003409C9">
              <w:rPr>
                <w:noProof/>
                <w:color w:val="000000"/>
                <w:sz w:val="18"/>
              </w:rPr>
              <w:t>0,471</w:t>
            </w:r>
          </w:p>
        </w:tc>
        <w:tc>
          <w:tcPr>
            <w:tcW w:w="708" w:type="dxa"/>
            <w:shd w:val="clear" w:color="auto" w:fill="DAEEF3" w:themeFill="accent5" w:themeFillTint="33"/>
            <w:vAlign w:val="bottom"/>
          </w:tcPr>
          <w:p w:rsidR="00CD7E2F" w:rsidRPr="00BB07AF" w:rsidRDefault="00CD7E2F" w:rsidP="00EA0500">
            <w:pPr>
              <w:spacing w:before="20" w:after="20"/>
              <w:jc w:val="right"/>
              <w:rPr>
                <w:i/>
                <w:noProof/>
                <w:sz w:val="18"/>
                <w:szCs w:val="18"/>
              </w:rPr>
            </w:pPr>
            <w:r w:rsidRPr="00BB07AF">
              <w:rPr>
                <w:i/>
                <w:noProof/>
                <w:color w:val="000000"/>
                <w:sz w:val="18"/>
              </w:rPr>
              <w:t>1,727</w:t>
            </w:r>
          </w:p>
        </w:tc>
        <w:tc>
          <w:tcPr>
            <w:tcW w:w="709" w:type="dxa"/>
            <w:vAlign w:val="bottom"/>
          </w:tcPr>
          <w:p w:rsidR="00CD7E2F" w:rsidRPr="003409C9" w:rsidRDefault="00CD7E2F" w:rsidP="00EA0500">
            <w:pPr>
              <w:spacing w:before="20" w:after="20"/>
              <w:jc w:val="right"/>
              <w:rPr>
                <w:noProof/>
                <w:sz w:val="18"/>
                <w:szCs w:val="18"/>
              </w:rPr>
            </w:pPr>
            <w:r w:rsidRPr="003409C9">
              <w:rPr>
                <w:noProof/>
                <w:sz w:val="18"/>
              </w:rPr>
              <w:t>0,471</w:t>
            </w:r>
          </w:p>
        </w:tc>
        <w:tc>
          <w:tcPr>
            <w:tcW w:w="709" w:type="dxa"/>
            <w:vAlign w:val="bottom"/>
          </w:tcPr>
          <w:p w:rsidR="00CD7E2F" w:rsidRPr="003409C9" w:rsidRDefault="00CD7E2F" w:rsidP="00EA0500">
            <w:pPr>
              <w:spacing w:before="20" w:after="20"/>
              <w:jc w:val="right"/>
              <w:rPr>
                <w:noProof/>
                <w:sz w:val="18"/>
                <w:szCs w:val="18"/>
              </w:rPr>
            </w:pPr>
            <w:r w:rsidRPr="003409C9">
              <w:rPr>
                <w:noProof/>
                <w:sz w:val="18"/>
              </w:rPr>
              <w:t>0,471</w:t>
            </w:r>
          </w:p>
        </w:tc>
        <w:tc>
          <w:tcPr>
            <w:tcW w:w="709" w:type="dxa"/>
            <w:vAlign w:val="bottom"/>
          </w:tcPr>
          <w:p w:rsidR="00CD7E2F" w:rsidRPr="003409C9" w:rsidRDefault="00CD7E2F" w:rsidP="00EA0500">
            <w:pPr>
              <w:spacing w:before="20" w:after="20"/>
              <w:jc w:val="right"/>
              <w:rPr>
                <w:noProof/>
                <w:sz w:val="18"/>
                <w:szCs w:val="18"/>
              </w:rPr>
            </w:pPr>
            <w:r w:rsidRPr="003409C9">
              <w:rPr>
                <w:noProof/>
                <w:sz w:val="18"/>
              </w:rPr>
              <w:t>0,471</w:t>
            </w:r>
          </w:p>
        </w:tc>
        <w:tc>
          <w:tcPr>
            <w:tcW w:w="708" w:type="dxa"/>
            <w:vAlign w:val="bottom"/>
          </w:tcPr>
          <w:p w:rsidR="00CD7E2F" w:rsidRPr="003409C9" w:rsidRDefault="00CD7E2F" w:rsidP="00EA0500">
            <w:pPr>
              <w:spacing w:before="20" w:after="20"/>
              <w:jc w:val="right"/>
              <w:rPr>
                <w:noProof/>
                <w:sz w:val="18"/>
                <w:szCs w:val="18"/>
              </w:rPr>
            </w:pPr>
            <w:r w:rsidRPr="003409C9">
              <w:rPr>
                <w:noProof/>
                <w:sz w:val="18"/>
              </w:rPr>
              <w:t>0,471</w:t>
            </w:r>
          </w:p>
        </w:tc>
        <w:tc>
          <w:tcPr>
            <w:tcW w:w="709" w:type="dxa"/>
            <w:vAlign w:val="bottom"/>
          </w:tcPr>
          <w:p w:rsidR="00CD7E2F" w:rsidRPr="003409C9" w:rsidRDefault="00CD7E2F" w:rsidP="00EA0500">
            <w:pPr>
              <w:spacing w:before="20" w:after="20"/>
              <w:jc w:val="right"/>
              <w:rPr>
                <w:noProof/>
                <w:sz w:val="18"/>
                <w:szCs w:val="18"/>
              </w:rPr>
            </w:pPr>
            <w:r w:rsidRPr="003409C9">
              <w:rPr>
                <w:noProof/>
                <w:sz w:val="18"/>
              </w:rPr>
              <w:t>0,471</w:t>
            </w:r>
          </w:p>
        </w:tc>
        <w:tc>
          <w:tcPr>
            <w:tcW w:w="709" w:type="dxa"/>
            <w:vAlign w:val="bottom"/>
          </w:tcPr>
          <w:p w:rsidR="00CD7E2F" w:rsidRPr="003409C9" w:rsidRDefault="00CD7E2F" w:rsidP="00EA0500">
            <w:pPr>
              <w:spacing w:before="20" w:after="20"/>
              <w:jc w:val="right"/>
              <w:rPr>
                <w:noProof/>
                <w:sz w:val="18"/>
                <w:szCs w:val="18"/>
              </w:rPr>
            </w:pPr>
            <w:r w:rsidRPr="003409C9">
              <w:rPr>
                <w:noProof/>
                <w:sz w:val="18"/>
              </w:rPr>
              <w:t>0,471</w:t>
            </w:r>
          </w:p>
        </w:tc>
        <w:tc>
          <w:tcPr>
            <w:tcW w:w="709" w:type="dxa"/>
            <w:vAlign w:val="bottom"/>
          </w:tcPr>
          <w:p w:rsidR="00CD7E2F" w:rsidRPr="003409C9" w:rsidRDefault="00CD7E2F" w:rsidP="00EA0500">
            <w:pPr>
              <w:spacing w:before="20" w:after="20"/>
              <w:jc w:val="right"/>
              <w:rPr>
                <w:noProof/>
                <w:sz w:val="18"/>
                <w:szCs w:val="18"/>
              </w:rPr>
            </w:pPr>
            <w:r w:rsidRPr="003409C9">
              <w:rPr>
                <w:noProof/>
                <w:sz w:val="18"/>
              </w:rPr>
              <w:t>0,471</w:t>
            </w:r>
          </w:p>
        </w:tc>
        <w:tc>
          <w:tcPr>
            <w:tcW w:w="708" w:type="dxa"/>
            <w:shd w:val="clear" w:color="auto" w:fill="DBE5F1" w:themeFill="accent1" w:themeFillTint="33"/>
            <w:vAlign w:val="bottom"/>
          </w:tcPr>
          <w:p w:rsidR="00CD7E2F" w:rsidRPr="00BB07AF" w:rsidRDefault="00CD7E2F" w:rsidP="00EA0500">
            <w:pPr>
              <w:spacing w:before="20" w:after="20"/>
              <w:jc w:val="right"/>
              <w:rPr>
                <w:i/>
                <w:noProof/>
                <w:sz w:val="18"/>
                <w:szCs w:val="18"/>
              </w:rPr>
            </w:pPr>
            <w:r w:rsidRPr="00BB07AF">
              <w:rPr>
                <w:i/>
                <w:noProof/>
                <w:sz w:val="18"/>
              </w:rPr>
              <w:t>3,297</w:t>
            </w:r>
          </w:p>
        </w:tc>
        <w:tc>
          <w:tcPr>
            <w:tcW w:w="638" w:type="dxa"/>
            <w:vAlign w:val="bottom"/>
          </w:tcPr>
          <w:p w:rsidR="00CD7E2F" w:rsidRPr="00BB07AF" w:rsidRDefault="00CD7E2F" w:rsidP="00EA0500">
            <w:pPr>
              <w:spacing w:before="20" w:after="20"/>
              <w:jc w:val="right"/>
              <w:rPr>
                <w:b/>
                <w:noProof/>
                <w:sz w:val="18"/>
                <w:szCs w:val="18"/>
              </w:rPr>
            </w:pPr>
            <w:r w:rsidRPr="00BB07AF">
              <w:rPr>
                <w:b/>
                <w:noProof/>
                <w:color w:val="000000"/>
                <w:sz w:val="18"/>
              </w:rPr>
              <w:t>5,024</w:t>
            </w:r>
          </w:p>
        </w:tc>
      </w:tr>
      <w:tr w:rsidR="00415F9E" w:rsidRPr="003409C9" w:rsidTr="00EA0500">
        <w:trPr>
          <w:trHeight w:val="351"/>
        </w:trPr>
        <w:tc>
          <w:tcPr>
            <w:tcW w:w="5625" w:type="dxa"/>
            <w:gridSpan w:val="4"/>
            <w:vAlign w:val="center"/>
          </w:tcPr>
          <w:p w:rsidR="00CD7E2F" w:rsidRPr="003409C9" w:rsidRDefault="00CD7E2F" w:rsidP="00EA0500">
            <w:pPr>
              <w:spacing w:before="20" w:after="20"/>
              <w:rPr>
                <w:noProof/>
              </w:rPr>
            </w:pPr>
            <w:r w:rsidRPr="003409C9">
              <w:rPr>
                <w:noProof/>
                <w:sz w:val="22"/>
              </w:rPr>
              <w:sym w:font="Wingdings" w:char="F09F"/>
            </w:r>
            <w:r w:rsidRPr="003409C9">
              <w:rPr>
                <w:noProof/>
                <w:sz w:val="22"/>
              </w:rPr>
              <w:t xml:space="preserve"> Pozostałe wydatki administracyjne </w:t>
            </w:r>
          </w:p>
        </w:tc>
        <w:tc>
          <w:tcPr>
            <w:tcW w:w="709" w:type="dxa"/>
            <w:gridSpan w:val="2"/>
            <w:vAlign w:val="bottom"/>
          </w:tcPr>
          <w:p w:rsidR="00CD7E2F" w:rsidRPr="00BB07AF" w:rsidRDefault="00CD7E2F" w:rsidP="00EA0500">
            <w:pPr>
              <w:spacing w:before="20" w:after="20"/>
              <w:jc w:val="right"/>
              <w:rPr>
                <w:b/>
                <w:noProof/>
                <w:sz w:val="18"/>
                <w:szCs w:val="18"/>
              </w:rPr>
            </w:pPr>
            <w:r w:rsidRPr="003409C9">
              <w:rPr>
                <w:noProof/>
                <w:color w:val="000000"/>
                <w:sz w:val="18"/>
              </w:rPr>
              <w:t>0,187</w:t>
            </w:r>
          </w:p>
        </w:tc>
        <w:tc>
          <w:tcPr>
            <w:tcW w:w="709" w:type="dxa"/>
            <w:vAlign w:val="bottom"/>
          </w:tcPr>
          <w:p w:rsidR="00CD7E2F" w:rsidRPr="003409C9" w:rsidRDefault="00CD7E2F" w:rsidP="00EA0500">
            <w:pPr>
              <w:spacing w:before="20" w:after="20"/>
              <w:jc w:val="right"/>
              <w:rPr>
                <w:noProof/>
                <w:sz w:val="18"/>
                <w:szCs w:val="18"/>
              </w:rPr>
            </w:pPr>
            <w:r w:rsidRPr="003409C9">
              <w:rPr>
                <w:noProof/>
                <w:color w:val="000000"/>
                <w:sz w:val="18"/>
              </w:rPr>
              <w:t>0,273</w:t>
            </w:r>
          </w:p>
        </w:tc>
        <w:tc>
          <w:tcPr>
            <w:tcW w:w="709" w:type="dxa"/>
            <w:vAlign w:val="bottom"/>
          </w:tcPr>
          <w:p w:rsidR="00CD7E2F" w:rsidRPr="00BB07AF" w:rsidRDefault="00CD7E2F" w:rsidP="00EA0500">
            <w:pPr>
              <w:spacing w:before="20" w:after="20"/>
              <w:jc w:val="right"/>
              <w:rPr>
                <w:b/>
                <w:noProof/>
                <w:sz w:val="18"/>
                <w:szCs w:val="18"/>
              </w:rPr>
            </w:pPr>
            <w:r w:rsidRPr="003409C9">
              <w:rPr>
                <w:noProof/>
                <w:color w:val="000000"/>
                <w:sz w:val="18"/>
              </w:rPr>
              <w:t>0,273</w:t>
            </w:r>
          </w:p>
        </w:tc>
        <w:tc>
          <w:tcPr>
            <w:tcW w:w="709" w:type="dxa"/>
            <w:vAlign w:val="bottom"/>
          </w:tcPr>
          <w:p w:rsidR="00CD7E2F" w:rsidRPr="00BB07AF" w:rsidRDefault="00CD7E2F" w:rsidP="00EA0500">
            <w:pPr>
              <w:spacing w:before="20" w:after="20"/>
              <w:jc w:val="right"/>
              <w:rPr>
                <w:b/>
                <w:noProof/>
                <w:sz w:val="18"/>
                <w:szCs w:val="18"/>
              </w:rPr>
            </w:pPr>
            <w:r w:rsidRPr="003409C9">
              <w:rPr>
                <w:noProof/>
                <w:color w:val="000000"/>
                <w:sz w:val="18"/>
              </w:rPr>
              <w:t>0,273</w:t>
            </w:r>
          </w:p>
        </w:tc>
        <w:tc>
          <w:tcPr>
            <w:tcW w:w="708" w:type="dxa"/>
            <w:shd w:val="clear" w:color="auto" w:fill="DAEEF3" w:themeFill="accent5" w:themeFillTint="33"/>
            <w:vAlign w:val="bottom"/>
          </w:tcPr>
          <w:p w:rsidR="00CD7E2F" w:rsidRPr="00BB07AF" w:rsidRDefault="00CD7E2F" w:rsidP="00EA0500">
            <w:pPr>
              <w:spacing w:before="20" w:after="20"/>
              <w:jc w:val="right"/>
              <w:rPr>
                <w:i/>
                <w:noProof/>
                <w:sz w:val="18"/>
                <w:szCs w:val="18"/>
              </w:rPr>
            </w:pPr>
            <w:r w:rsidRPr="00BB07AF">
              <w:rPr>
                <w:i/>
                <w:noProof/>
                <w:color w:val="000000"/>
                <w:sz w:val="18"/>
              </w:rPr>
              <w:t>1,006</w:t>
            </w:r>
          </w:p>
        </w:tc>
        <w:tc>
          <w:tcPr>
            <w:tcW w:w="709" w:type="dxa"/>
            <w:vAlign w:val="bottom"/>
          </w:tcPr>
          <w:p w:rsidR="00CD7E2F" w:rsidRPr="00BB07AF" w:rsidRDefault="00CD7E2F" w:rsidP="00EA0500">
            <w:pPr>
              <w:spacing w:before="20" w:after="20"/>
              <w:jc w:val="right"/>
              <w:rPr>
                <w:b/>
                <w:noProof/>
                <w:sz w:val="18"/>
                <w:szCs w:val="18"/>
              </w:rPr>
            </w:pPr>
            <w:r w:rsidRPr="003409C9">
              <w:rPr>
                <w:noProof/>
                <w:sz w:val="18"/>
              </w:rPr>
              <w:t>0,273</w:t>
            </w:r>
          </w:p>
        </w:tc>
        <w:tc>
          <w:tcPr>
            <w:tcW w:w="709" w:type="dxa"/>
            <w:vAlign w:val="bottom"/>
          </w:tcPr>
          <w:p w:rsidR="00CD7E2F" w:rsidRPr="00BB07AF" w:rsidRDefault="00CD7E2F" w:rsidP="00EA0500">
            <w:pPr>
              <w:spacing w:before="20" w:after="20"/>
              <w:jc w:val="right"/>
              <w:rPr>
                <w:b/>
                <w:noProof/>
                <w:sz w:val="18"/>
                <w:szCs w:val="18"/>
              </w:rPr>
            </w:pPr>
            <w:r w:rsidRPr="003409C9">
              <w:rPr>
                <w:noProof/>
                <w:sz w:val="18"/>
              </w:rPr>
              <w:t>0,273</w:t>
            </w:r>
          </w:p>
        </w:tc>
        <w:tc>
          <w:tcPr>
            <w:tcW w:w="709" w:type="dxa"/>
            <w:vAlign w:val="bottom"/>
          </w:tcPr>
          <w:p w:rsidR="00CD7E2F" w:rsidRPr="00BB07AF" w:rsidRDefault="00CD7E2F" w:rsidP="00EA0500">
            <w:pPr>
              <w:spacing w:before="20" w:after="20"/>
              <w:jc w:val="right"/>
              <w:rPr>
                <w:b/>
                <w:noProof/>
                <w:sz w:val="18"/>
                <w:szCs w:val="18"/>
              </w:rPr>
            </w:pPr>
            <w:r w:rsidRPr="003409C9">
              <w:rPr>
                <w:noProof/>
                <w:sz w:val="18"/>
              </w:rPr>
              <w:t>0,273</w:t>
            </w:r>
          </w:p>
        </w:tc>
        <w:tc>
          <w:tcPr>
            <w:tcW w:w="708" w:type="dxa"/>
            <w:vAlign w:val="bottom"/>
          </w:tcPr>
          <w:p w:rsidR="00CD7E2F" w:rsidRPr="00BB07AF" w:rsidRDefault="00CD7E2F" w:rsidP="00EA0500">
            <w:pPr>
              <w:spacing w:before="20" w:after="20"/>
              <w:jc w:val="right"/>
              <w:rPr>
                <w:b/>
                <w:noProof/>
                <w:sz w:val="18"/>
                <w:szCs w:val="18"/>
              </w:rPr>
            </w:pPr>
            <w:r w:rsidRPr="003409C9">
              <w:rPr>
                <w:noProof/>
                <w:sz w:val="18"/>
              </w:rPr>
              <w:t>0,187</w:t>
            </w:r>
          </w:p>
        </w:tc>
        <w:tc>
          <w:tcPr>
            <w:tcW w:w="709" w:type="dxa"/>
            <w:vAlign w:val="bottom"/>
          </w:tcPr>
          <w:p w:rsidR="00CD7E2F" w:rsidRPr="00BB07AF" w:rsidRDefault="00CD7E2F" w:rsidP="00EA0500">
            <w:pPr>
              <w:spacing w:before="20" w:after="20"/>
              <w:jc w:val="right"/>
              <w:rPr>
                <w:b/>
                <w:noProof/>
                <w:sz w:val="18"/>
                <w:szCs w:val="18"/>
              </w:rPr>
            </w:pPr>
            <w:r w:rsidRPr="003409C9">
              <w:rPr>
                <w:noProof/>
                <w:sz w:val="18"/>
              </w:rPr>
              <w:t>0,187</w:t>
            </w:r>
          </w:p>
        </w:tc>
        <w:tc>
          <w:tcPr>
            <w:tcW w:w="709" w:type="dxa"/>
            <w:vAlign w:val="bottom"/>
          </w:tcPr>
          <w:p w:rsidR="00CD7E2F" w:rsidRPr="00BB07AF" w:rsidRDefault="00CD7E2F" w:rsidP="00EA0500">
            <w:pPr>
              <w:spacing w:before="20" w:after="20"/>
              <w:jc w:val="right"/>
              <w:rPr>
                <w:b/>
                <w:noProof/>
                <w:sz w:val="18"/>
                <w:szCs w:val="18"/>
              </w:rPr>
            </w:pPr>
            <w:r w:rsidRPr="003409C9">
              <w:rPr>
                <w:noProof/>
                <w:sz w:val="18"/>
              </w:rPr>
              <w:t>0,187</w:t>
            </w:r>
          </w:p>
        </w:tc>
        <w:tc>
          <w:tcPr>
            <w:tcW w:w="709" w:type="dxa"/>
            <w:vAlign w:val="bottom"/>
          </w:tcPr>
          <w:p w:rsidR="00CD7E2F" w:rsidRPr="003409C9" w:rsidRDefault="00CD7E2F" w:rsidP="00EA0500">
            <w:pPr>
              <w:spacing w:before="20" w:after="20"/>
              <w:jc w:val="right"/>
              <w:rPr>
                <w:noProof/>
                <w:sz w:val="18"/>
                <w:szCs w:val="18"/>
              </w:rPr>
            </w:pPr>
            <w:r w:rsidRPr="003409C9">
              <w:rPr>
                <w:noProof/>
                <w:sz w:val="18"/>
              </w:rPr>
              <w:t>0,187</w:t>
            </w:r>
          </w:p>
        </w:tc>
        <w:tc>
          <w:tcPr>
            <w:tcW w:w="708" w:type="dxa"/>
            <w:shd w:val="clear" w:color="auto" w:fill="DBE5F1" w:themeFill="accent1" w:themeFillTint="33"/>
            <w:vAlign w:val="bottom"/>
          </w:tcPr>
          <w:p w:rsidR="00CD7E2F" w:rsidRPr="00BB07AF" w:rsidRDefault="00CD7E2F" w:rsidP="00EA0500">
            <w:pPr>
              <w:spacing w:before="20" w:after="20"/>
              <w:jc w:val="right"/>
              <w:rPr>
                <w:i/>
                <w:noProof/>
                <w:sz w:val="18"/>
                <w:szCs w:val="18"/>
              </w:rPr>
            </w:pPr>
            <w:r w:rsidRPr="003409C9">
              <w:rPr>
                <w:noProof/>
                <w:color w:val="000000"/>
                <w:sz w:val="18"/>
              </w:rPr>
              <w:t>1,488</w:t>
            </w:r>
          </w:p>
        </w:tc>
        <w:tc>
          <w:tcPr>
            <w:tcW w:w="638" w:type="dxa"/>
            <w:vAlign w:val="bottom"/>
          </w:tcPr>
          <w:p w:rsidR="00CD7E2F" w:rsidRPr="00BB07AF" w:rsidRDefault="00CD7E2F" w:rsidP="00EA0500">
            <w:pPr>
              <w:spacing w:before="20" w:after="20"/>
              <w:jc w:val="right"/>
              <w:rPr>
                <w:b/>
                <w:noProof/>
                <w:sz w:val="18"/>
                <w:szCs w:val="18"/>
              </w:rPr>
            </w:pPr>
            <w:r w:rsidRPr="00BB07AF">
              <w:rPr>
                <w:b/>
                <w:noProof/>
                <w:color w:val="000000"/>
                <w:sz w:val="18"/>
              </w:rPr>
              <w:t>2,492</w:t>
            </w:r>
          </w:p>
        </w:tc>
      </w:tr>
      <w:tr w:rsidR="00415F9E" w:rsidRPr="003409C9" w:rsidTr="00EA0500">
        <w:tc>
          <w:tcPr>
            <w:tcW w:w="3960" w:type="dxa"/>
            <w:vAlign w:val="center"/>
          </w:tcPr>
          <w:p w:rsidR="00CD7E2F" w:rsidRPr="00BB07AF" w:rsidRDefault="00CD7E2F" w:rsidP="00EA0500">
            <w:pPr>
              <w:jc w:val="center"/>
              <w:rPr>
                <w:b/>
                <w:noProof/>
              </w:rPr>
            </w:pPr>
            <w:r w:rsidRPr="00BB07AF">
              <w:rPr>
                <w:b/>
                <w:noProof/>
                <w:sz w:val="22"/>
              </w:rPr>
              <w:t>OGÓŁEM DG</w:t>
            </w:r>
            <w:r w:rsidRPr="003409C9">
              <w:rPr>
                <w:noProof/>
                <w:sz w:val="22"/>
              </w:rPr>
              <w:t xml:space="preserve"> </w:t>
            </w:r>
            <w:r w:rsidRPr="00BB07AF">
              <w:rPr>
                <w:b/>
                <w:noProof/>
                <w:sz w:val="22"/>
              </w:rPr>
              <w:t>HOME</w:t>
            </w:r>
          </w:p>
        </w:tc>
        <w:tc>
          <w:tcPr>
            <w:tcW w:w="1665" w:type="dxa"/>
            <w:gridSpan w:val="3"/>
            <w:vAlign w:val="center"/>
          </w:tcPr>
          <w:p w:rsidR="00CD7E2F" w:rsidRPr="003409C9" w:rsidRDefault="00CD7E2F" w:rsidP="00EA0500">
            <w:pPr>
              <w:rPr>
                <w:noProof/>
                <w:sz w:val="14"/>
              </w:rPr>
            </w:pPr>
            <w:r w:rsidRPr="003409C9">
              <w:rPr>
                <w:noProof/>
                <w:sz w:val="18"/>
              </w:rPr>
              <w:t xml:space="preserve">Środki </w:t>
            </w:r>
          </w:p>
        </w:tc>
        <w:tc>
          <w:tcPr>
            <w:tcW w:w="709" w:type="dxa"/>
            <w:gridSpan w:val="2"/>
            <w:vAlign w:val="bottom"/>
          </w:tcPr>
          <w:p w:rsidR="00CD7E2F" w:rsidRPr="003409C9" w:rsidRDefault="00CD7E2F" w:rsidP="00EA0500">
            <w:pPr>
              <w:spacing w:before="60" w:after="60"/>
              <w:jc w:val="right"/>
              <w:rPr>
                <w:noProof/>
                <w:sz w:val="18"/>
                <w:szCs w:val="18"/>
              </w:rPr>
            </w:pPr>
            <w:r w:rsidRPr="003409C9">
              <w:rPr>
                <w:noProof/>
                <w:color w:val="000000"/>
                <w:sz w:val="18"/>
              </w:rPr>
              <w:t>0,501</w:t>
            </w:r>
          </w:p>
        </w:tc>
        <w:tc>
          <w:tcPr>
            <w:tcW w:w="709" w:type="dxa"/>
            <w:vAlign w:val="bottom"/>
          </w:tcPr>
          <w:p w:rsidR="00CD7E2F" w:rsidRPr="003409C9" w:rsidRDefault="00CD7E2F" w:rsidP="00EA0500">
            <w:pPr>
              <w:spacing w:before="20" w:after="20"/>
              <w:jc w:val="right"/>
              <w:rPr>
                <w:noProof/>
                <w:sz w:val="18"/>
                <w:szCs w:val="18"/>
              </w:rPr>
            </w:pPr>
            <w:r w:rsidRPr="003409C9">
              <w:rPr>
                <w:noProof/>
                <w:color w:val="000000"/>
                <w:sz w:val="18"/>
              </w:rPr>
              <w:t>0,744</w:t>
            </w:r>
          </w:p>
        </w:tc>
        <w:tc>
          <w:tcPr>
            <w:tcW w:w="709" w:type="dxa"/>
            <w:vAlign w:val="bottom"/>
          </w:tcPr>
          <w:p w:rsidR="00CD7E2F" w:rsidRPr="003409C9" w:rsidRDefault="00CD7E2F" w:rsidP="00EA0500">
            <w:pPr>
              <w:spacing w:before="20" w:after="20"/>
              <w:jc w:val="right"/>
              <w:rPr>
                <w:noProof/>
                <w:sz w:val="18"/>
                <w:szCs w:val="18"/>
              </w:rPr>
            </w:pPr>
            <w:r w:rsidRPr="003409C9">
              <w:rPr>
                <w:noProof/>
                <w:color w:val="000000"/>
                <w:sz w:val="18"/>
              </w:rPr>
              <w:t>0,744</w:t>
            </w:r>
          </w:p>
        </w:tc>
        <w:tc>
          <w:tcPr>
            <w:tcW w:w="709" w:type="dxa"/>
            <w:vAlign w:val="bottom"/>
          </w:tcPr>
          <w:p w:rsidR="00CD7E2F" w:rsidRPr="003409C9" w:rsidRDefault="00CD7E2F" w:rsidP="00EA0500">
            <w:pPr>
              <w:spacing w:before="20" w:after="20"/>
              <w:jc w:val="right"/>
              <w:rPr>
                <w:noProof/>
                <w:sz w:val="18"/>
                <w:szCs w:val="18"/>
              </w:rPr>
            </w:pPr>
            <w:r w:rsidRPr="003409C9">
              <w:rPr>
                <w:noProof/>
                <w:color w:val="000000"/>
                <w:sz w:val="18"/>
              </w:rPr>
              <w:t>0,744</w:t>
            </w:r>
          </w:p>
        </w:tc>
        <w:tc>
          <w:tcPr>
            <w:tcW w:w="708" w:type="dxa"/>
            <w:shd w:val="clear" w:color="auto" w:fill="DAEEF3" w:themeFill="accent5" w:themeFillTint="33"/>
            <w:vAlign w:val="bottom"/>
          </w:tcPr>
          <w:p w:rsidR="00CD7E2F" w:rsidRPr="00BB07AF" w:rsidRDefault="00CD7E2F" w:rsidP="00EA0500">
            <w:pPr>
              <w:spacing w:before="0" w:after="0"/>
              <w:jc w:val="right"/>
              <w:rPr>
                <w:i/>
                <w:noProof/>
                <w:sz w:val="18"/>
                <w:szCs w:val="18"/>
              </w:rPr>
            </w:pPr>
            <w:r w:rsidRPr="003409C9">
              <w:rPr>
                <w:noProof/>
                <w:sz w:val="18"/>
              </w:rPr>
              <w:t>2,732</w:t>
            </w:r>
          </w:p>
        </w:tc>
        <w:tc>
          <w:tcPr>
            <w:tcW w:w="709" w:type="dxa"/>
            <w:vAlign w:val="bottom"/>
          </w:tcPr>
          <w:p w:rsidR="00CD7E2F" w:rsidRPr="003409C9" w:rsidRDefault="00CD7E2F" w:rsidP="00EA0500">
            <w:pPr>
              <w:spacing w:before="20" w:after="20"/>
              <w:jc w:val="right"/>
              <w:rPr>
                <w:noProof/>
                <w:sz w:val="18"/>
                <w:szCs w:val="18"/>
              </w:rPr>
            </w:pPr>
            <w:r w:rsidRPr="003409C9">
              <w:rPr>
                <w:noProof/>
                <w:sz w:val="18"/>
              </w:rPr>
              <w:t>0,744</w:t>
            </w:r>
          </w:p>
        </w:tc>
        <w:tc>
          <w:tcPr>
            <w:tcW w:w="709" w:type="dxa"/>
            <w:vAlign w:val="bottom"/>
          </w:tcPr>
          <w:p w:rsidR="00CD7E2F" w:rsidRPr="003409C9" w:rsidRDefault="00CD7E2F" w:rsidP="00EA0500">
            <w:pPr>
              <w:spacing w:before="20" w:after="20"/>
              <w:jc w:val="right"/>
              <w:rPr>
                <w:noProof/>
                <w:sz w:val="18"/>
                <w:szCs w:val="18"/>
              </w:rPr>
            </w:pPr>
            <w:r w:rsidRPr="003409C9">
              <w:rPr>
                <w:noProof/>
                <w:sz w:val="18"/>
              </w:rPr>
              <w:t>0,744</w:t>
            </w:r>
          </w:p>
        </w:tc>
        <w:tc>
          <w:tcPr>
            <w:tcW w:w="709" w:type="dxa"/>
            <w:vAlign w:val="bottom"/>
          </w:tcPr>
          <w:p w:rsidR="00CD7E2F" w:rsidRPr="003409C9" w:rsidRDefault="00CD7E2F" w:rsidP="00EA0500">
            <w:pPr>
              <w:spacing w:before="20" w:after="20"/>
              <w:jc w:val="right"/>
              <w:rPr>
                <w:noProof/>
                <w:sz w:val="18"/>
                <w:szCs w:val="18"/>
              </w:rPr>
            </w:pPr>
            <w:r w:rsidRPr="003409C9">
              <w:rPr>
                <w:noProof/>
                <w:sz w:val="18"/>
              </w:rPr>
              <w:t>0,666</w:t>
            </w:r>
          </w:p>
        </w:tc>
        <w:tc>
          <w:tcPr>
            <w:tcW w:w="708" w:type="dxa"/>
            <w:vAlign w:val="bottom"/>
          </w:tcPr>
          <w:p w:rsidR="00CD7E2F" w:rsidRPr="003409C9" w:rsidRDefault="00CD7E2F" w:rsidP="00EA0500">
            <w:pPr>
              <w:spacing w:before="20" w:after="20"/>
              <w:jc w:val="right"/>
              <w:rPr>
                <w:noProof/>
                <w:sz w:val="18"/>
                <w:szCs w:val="18"/>
              </w:rPr>
            </w:pPr>
            <w:r w:rsidRPr="003409C9">
              <w:rPr>
                <w:noProof/>
                <w:sz w:val="18"/>
              </w:rPr>
              <w:t>0,658</w:t>
            </w:r>
          </w:p>
        </w:tc>
        <w:tc>
          <w:tcPr>
            <w:tcW w:w="709" w:type="dxa"/>
            <w:vAlign w:val="bottom"/>
          </w:tcPr>
          <w:p w:rsidR="00CD7E2F" w:rsidRPr="003409C9" w:rsidRDefault="00CD7E2F" w:rsidP="00EA0500">
            <w:pPr>
              <w:spacing w:before="20" w:after="20"/>
              <w:jc w:val="right"/>
              <w:rPr>
                <w:noProof/>
                <w:sz w:val="18"/>
                <w:szCs w:val="18"/>
              </w:rPr>
            </w:pPr>
            <w:r w:rsidRPr="003409C9">
              <w:rPr>
                <w:noProof/>
                <w:sz w:val="18"/>
              </w:rPr>
              <w:t>0,658</w:t>
            </w:r>
          </w:p>
        </w:tc>
        <w:tc>
          <w:tcPr>
            <w:tcW w:w="709" w:type="dxa"/>
            <w:vAlign w:val="bottom"/>
          </w:tcPr>
          <w:p w:rsidR="00CD7E2F" w:rsidRPr="003409C9" w:rsidRDefault="00CD7E2F" w:rsidP="00EA0500">
            <w:pPr>
              <w:spacing w:before="20" w:after="20"/>
              <w:jc w:val="right"/>
              <w:rPr>
                <w:noProof/>
                <w:sz w:val="18"/>
                <w:szCs w:val="18"/>
              </w:rPr>
            </w:pPr>
            <w:r w:rsidRPr="003409C9">
              <w:rPr>
                <w:noProof/>
                <w:sz w:val="18"/>
              </w:rPr>
              <w:t>0,658</w:t>
            </w:r>
          </w:p>
        </w:tc>
        <w:tc>
          <w:tcPr>
            <w:tcW w:w="709" w:type="dxa"/>
            <w:vAlign w:val="bottom"/>
          </w:tcPr>
          <w:p w:rsidR="00CD7E2F" w:rsidRPr="003409C9" w:rsidRDefault="00CD7E2F" w:rsidP="00EA0500">
            <w:pPr>
              <w:spacing w:before="20" w:after="20"/>
              <w:jc w:val="right"/>
              <w:rPr>
                <w:noProof/>
                <w:sz w:val="18"/>
                <w:szCs w:val="18"/>
              </w:rPr>
            </w:pPr>
            <w:r w:rsidRPr="003409C9">
              <w:rPr>
                <w:noProof/>
                <w:sz w:val="18"/>
              </w:rPr>
              <w:t>0,658</w:t>
            </w:r>
          </w:p>
        </w:tc>
        <w:tc>
          <w:tcPr>
            <w:tcW w:w="708" w:type="dxa"/>
            <w:shd w:val="clear" w:color="auto" w:fill="DBE5F1" w:themeFill="accent1" w:themeFillTint="33"/>
            <w:vAlign w:val="bottom"/>
          </w:tcPr>
          <w:p w:rsidR="00CD7E2F" w:rsidRPr="00BB07AF" w:rsidRDefault="00CD7E2F" w:rsidP="00EA0500">
            <w:pPr>
              <w:spacing w:before="0" w:after="0"/>
              <w:jc w:val="right"/>
              <w:rPr>
                <w:i/>
                <w:noProof/>
                <w:color w:val="000000"/>
                <w:sz w:val="18"/>
                <w:szCs w:val="18"/>
              </w:rPr>
            </w:pPr>
            <w:r w:rsidRPr="00BB07AF">
              <w:rPr>
                <w:i/>
                <w:noProof/>
                <w:color w:val="000000"/>
                <w:sz w:val="18"/>
              </w:rPr>
              <w:t>4,785</w:t>
            </w:r>
          </w:p>
        </w:tc>
        <w:tc>
          <w:tcPr>
            <w:tcW w:w="638" w:type="dxa"/>
            <w:vAlign w:val="bottom"/>
          </w:tcPr>
          <w:p w:rsidR="00CD7E2F" w:rsidRPr="00BB07AF" w:rsidRDefault="00CD7E2F" w:rsidP="00EA0500">
            <w:pPr>
              <w:spacing w:before="0" w:after="0"/>
              <w:jc w:val="right"/>
              <w:rPr>
                <w:b/>
                <w:bCs/>
                <w:noProof/>
                <w:color w:val="000000"/>
                <w:sz w:val="18"/>
                <w:szCs w:val="18"/>
              </w:rPr>
            </w:pPr>
            <w:r w:rsidRPr="00BB07AF">
              <w:rPr>
                <w:b/>
                <w:noProof/>
                <w:color w:val="000000"/>
                <w:sz w:val="18"/>
              </w:rPr>
              <w:t>7,516</w:t>
            </w:r>
          </w:p>
        </w:tc>
      </w:tr>
    </w:tbl>
    <w:p w:rsidR="00CD7E2F" w:rsidRPr="003409C9" w:rsidRDefault="00CD7E2F" w:rsidP="00CD7E2F">
      <w:pPr>
        <w:rPr>
          <w:noProof/>
        </w:rPr>
      </w:pPr>
    </w:p>
    <w:tbl>
      <w:tblPr>
        <w:tblW w:w="154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960"/>
        <w:gridCol w:w="1665"/>
        <w:gridCol w:w="709"/>
        <w:gridCol w:w="709"/>
        <w:gridCol w:w="709"/>
        <w:gridCol w:w="709"/>
        <w:gridCol w:w="708"/>
        <w:gridCol w:w="709"/>
        <w:gridCol w:w="709"/>
        <w:gridCol w:w="709"/>
        <w:gridCol w:w="708"/>
        <w:gridCol w:w="709"/>
        <w:gridCol w:w="709"/>
        <w:gridCol w:w="709"/>
        <w:gridCol w:w="708"/>
        <w:gridCol w:w="638"/>
      </w:tblGrid>
      <w:tr w:rsidR="00415F9E" w:rsidRPr="003409C9" w:rsidTr="00EA0500">
        <w:tc>
          <w:tcPr>
            <w:tcW w:w="3960" w:type="dxa"/>
            <w:shd w:val="thinDiagStripe" w:color="C0C0C0" w:fill="auto"/>
            <w:vAlign w:val="center"/>
          </w:tcPr>
          <w:p w:rsidR="00CD7E2F" w:rsidRPr="00BB07AF" w:rsidRDefault="00CD7E2F" w:rsidP="00EA0500">
            <w:pPr>
              <w:jc w:val="center"/>
              <w:rPr>
                <w:b/>
                <w:noProof/>
              </w:rPr>
            </w:pPr>
            <w:r w:rsidRPr="00BB07AF">
              <w:rPr>
                <w:b/>
                <w:noProof/>
                <w:sz w:val="22"/>
              </w:rPr>
              <w:t>OGÓŁEM środki</w:t>
            </w:r>
            <w:r w:rsidRPr="003409C9">
              <w:rPr>
                <w:noProof/>
              </w:rPr>
              <w:t xml:space="preserve"> </w:t>
            </w:r>
            <w:r w:rsidRPr="003409C9">
              <w:rPr>
                <w:noProof/>
              </w:rPr>
              <w:br/>
            </w:r>
            <w:r w:rsidRPr="00BB07AF">
              <w:rPr>
                <w:b/>
                <w:noProof/>
                <w:sz w:val="22"/>
              </w:rPr>
              <w:t>na DZIAŁ 7</w:t>
            </w:r>
            <w:r w:rsidRPr="003409C9">
              <w:rPr>
                <w:noProof/>
              </w:rPr>
              <w:t xml:space="preserve"> </w:t>
            </w:r>
            <w:r w:rsidRPr="003409C9">
              <w:rPr>
                <w:noProof/>
              </w:rPr>
              <w:br/>
            </w:r>
            <w:r w:rsidRPr="003409C9">
              <w:rPr>
                <w:noProof/>
                <w:sz w:val="22"/>
              </w:rPr>
              <w:t>wieloletnich ram finansowych</w:t>
            </w:r>
            <w:r w:rsidRPr="00BB07AF">
              <w:rPr>
                <w:b/>
                <w:noProof/>
                <w:sz w:val="22"/>
              </w:rPr>
              <w:t xml:space="preserve"> </w:t>
            </w:r>
          </w:p>
        </w:tc>
        <w:tc>
          <w:tcPr>
            <w:tcW w:w="1665" w:type="dxa"/>
            <w:vAlign w:val="center"/>
          </w:tcPr>
          <w:p w:rsidR="00CD7E2F" w:rsidRPr="003409C9" w:rsidRDefault="00CD7E2F" w:rsidP="00EA0500">
            <w:pPr>
              <w:spacing w:before="40" w:after="40"/>
              <w:rPr>
                <w:noProof/>
              </w:rPr>
            </w:pPr>
            <w:r w:rsidRPr="003409C9">
              <w:rPr>
                <w:noProof/>
                <w:sz w:val="18"/>
              </w:rPr>
              <w:t>(Środki na zobowiązania ogółem = środki na płatności ogółem)</w:t>
            </w:r>
          </w:p>
        </w:tc>
        <w:tc>
          <w:tcPr>
            <w:tcW w:w="709" w:type="dxa"/>
            <w:vAlign w:val="bottom"/>
          </w:tcPr>
          <w:p w:rsidR="00CD7E2F" w:rsidRPr="003409C9" w:rsidRDefault="00CD7E2F" w:rsidP="00EA0500">
            <w:pPr>
              <w:spacing w:before="20" w:after="20"/>
              <w:jc w:val="right"/>
              <w:rPr>
                <w:noProof/>
                <w:sz w:val="18"/>
                <w:szCs w:val="18"/>
              </w:rPr>
            </w:pPr>
            <w:r w:rsidRPr="003409C9">
              <w:rPr>
                <w:noProof/>
                <w:color w:val="000000"/>
                <w:sz w:val="18"/>
              </w:rPr>
              <w:t>0,501</w:t>
            </w:r>
          </w:p>
        </w:tc>
        <w:tc>
          <w:tcPr>
            <w:tcW w:w="709" w:type="dxa"/>
            <w:vAlign w:val="bottom"/>
          </w:tcPr>
          <w:p w:rsidR="00CD7E2F" w:rsidRPr="003409C9" w:rsidRDefault="00CD7E2F" w:rsidP="00EA0500">
            <w:pPr>
              <w:spacing w:before="20" w:after="20"/>
              <w:jc w:val="right"/>
              <w:rPr>
                <w:noProof/>
                <w:sz w:val="18"/>
                <w:szCs w:val="18"/>
              </w:rPr>
            </w:pPr>
            <w:r w:rsidRPr="003409C9">
              <w:rPr>
                <w:noProof/>
                <w:color w:val="000000"/>
                <w:sz w:val="18"/>
              </w:rPr>
              <w:t>0,744</w:t>
            </w:r>
          </w:p>
        </w:tc>
        <w:tc>
          <w:tcPr>
            <w:tcW w:w="709" w:type="dxa"/>
            <w:vAlign w:val="bottom"/>
          </w:tcPr>
          <w:p w:rsidR="00CD7E2F" w:rsidRPr="003409C9" w:rsidRDefault="00CD7E2F" w:rsidP="00EA0500">
            <w:pPr>
              <w:spacing w:before="20" w:after="20"/>
              <w:jc w:val="right"/>
              <w:rPr>
                <w:noProof/>
                <w:sz w:val="18"/>
                <w:szCs w:val="18"/>
              </w:rPr>
            </w:pPr>
            <w:r w:rsidRPr="003409C9">
              <w:rPr>
                <w:noProof/>
                <w:color w:val="000000"/>
                <w:sz w:val="18"/>
              </w:rPr>
              <w:t>0,744</w:t>
            </w:r>
          </w:p>
        </w:tc>
        <w:tc>
          <w:tcPr>
            <w:tcW w:w="709" w:type="dxa"/>
            <w:vAlign w:val="bottom"/>
          </w:tcPr>
          <w:p w:rsidR="00CD7E2F" w:rsidRPr="003409C9" w:rsidRDefault="00CD7E2F" w:rsidP="00EA0500">
            <w:pPr>
              <w:spacing w:before="20" w:after="20"/>
              <w:jc w:val="right"/>
              <w:rPr>
                <w:noProof/>
                <w:sz w:val="18"/>
                <w:szCs w:val="18"/>
              </w:rPr>
            </w:pPr>
            <w:r w:rsidRPr="003409C9">
              <w:rPr>
                <w:noProof/>
                <w:color w:val="000000"/>
                <w:sz w:val="18"/>
              </w:rPr>
              <w:t>0,744</w:t>
            </w:r>
          </w:p>
        </w:tc>
        <w:tc>
          <w:tcPr>
            <w:tcW w:w="708" w:type="dxa"/>
            <w:shd w:val="clear" w:color="auto" w:fill="DAEEF3" w:themeFill="accent5" w:themeFillTint="33"/>
            <w:vAlign w:val="bottom"/>
          </w:tcPr>
          <w:p w:rsidR="00CD7E2F" w:rsidRPr="00BB07AF" w:rsidRDefault="00CD7E2F" w:rsidP="00EA0500">
            <w:pPr>
              <w:spacing w:before="0" w:after="0"/>
              <w:jc w:val="right"/>
              <w:rPr>
                <w:i/>
                <w:noProof/>
                <w:color w:val="000000"/>
                <w:sz w:val="18"/>
                <w:szCs w:val="18"/>
              </w:rPr>
            </w:pPr>
            <w:r w:rsidRPr="003409C9">
              <w:rPr>
                <w:noProof/>
                <w:sz w:val="18"/>
              </w:rPr>
              <w:t>2,732</w:t>
            </w:r>
          </w:p>
        </w:tc>
        <w:tc>
          <w:tcPr>
            <w:tcW w:w="709" w:type="dxa"/>
            <w:vAlign w:val="bottom"/>
          </w:tcPr>
          <w:p w:rsidR="00CD7E2F" w:rsidRPr="003409C9" w:rsidRDefault="00CD7E2F" w:rsidP="00EA0500">
            <w:pPr>
              <w:spacing w:before="20" w:after="20"/>
              <w:jc w:val="right"/>
              <w:rPr>
                <w:noProof/>
                <w:sz w:val="18"/>
                <w:szCs w:val="18"/>
              </w:rPr>
            </w:pPr>
            <w:r w:rsidRPr="003409C9">
              <w:rPr>
                <w:noProof/>
                <w:sz w:val="18"/>
              </w:rPr>
              <w:t>0,744</w:t>
            </w:r>
          </w:p>
        </w:tc>
        <w:tc>
          <w:tcPr>
            <w:tcW w:w="709" w:type="dxa"/>
            <w:vAlign w:val="bottom"/>
          </w:tcPr>
          <w:p w:rsidR="00CD7E2F" w:rsidRPr="003409C9" w:rsidRDefault="00CD7E2F" w:rsidP="00EA0500">
            <w:pPr>
              <w:spacing w:before="20" w:after="20"/>
              <w:jc w:val="right"/>
              <w:rPr>
                <w:noProof/>
                <w:sz w:val="18"/>
                <w:szCs w:val="18"/>
              </w:rPr>
            </w:pPr>
            <w:r w:rsidRPr="003409C9">
              <w:rPr>
                <w:noProof/>
                <w:sz w:val="18"/>
              </w:rPr>
              <w:t>0,744</w:t>
            </w:r>
          </w:p>
        </w:tc>
        <w:tc>
          <w:tcPr>
            <w:tcW w:w="709" w:type="dxa"/>
            <w:vAlign w:val="bottom"/>
          </w:tcPr>
          <w:p w:rsidR="00CD7E2F" w:rsidRPr="003409C9" w:rsidRDefault="00CD7E2F" w:rsidP="00EA0500">
            <w:pPr>
              <w:spacing w:before="20" w:after="20"/>
              <w:jc w:val="right"/>
              <w:rPr>
                <w:noProof/>
                <w:sz w:val="18"/>
                <w:szCs w:val="18"/>
              </w:rPr>
            </w:pPr>
            <w:r w:rsidRPr="003409C9">
              <w:rPr>
                <w:noProof/>
                <w:sz w:val="18"/>
              </w:rPr>
              <w:t>0,666</w:t>
            </w:r>
          </w:p>
        </w:tc>
        <w:tc>
          <w:tcPr>
            <w:tcW w:w="708" w:type="dxa"/>
            <w:vAlign w:val="bottom"/>
          </w:tcPr>
          <w:p w:rsidR="00CD7E2F" w:rsidRPr="003409C9" w:rsidRDefault="00CD7E2F" w:rsidP="00EA0500">
            <w:pPr>
              <w:spacing w:before="20" w:after="20"/>
              <w:jc w:val="right"/>
              <w:rPr>
                <w:noProof/>
                <w:sz w:val="18"/>
                <w:szCs w:val="18"/>
              </w:rPr>
            </w:pPr>
            <w:r w:rsidRPr="003409C9">
              <w:rPr>
                <w:noProof/>
                <w:sz w:val="18"/>
              </w:rPr>
              <w:t>0,658</w:t>
            </w:r>
          </w:p>
        </w:tc>
        <w:tc>
          <w:tcPr>
            <w:tcW w:w="709" w:type="dxa"/>
            <w:vAlign w:val="bottom"/>
          </w:tcPr>
          <w:p w:rsidR="00CD7E2F" w:rsidRPr="003409C9" w:rsidRDefault="00CD7E2F" w:rsidP="00EA0500">
            <w:pPr>
              <w:spacing w:before="20" w:after="20"/>
              <w:jc w:val="right"/>
              <w:rPr>
                <w:noProof/>
                <w:sz w:val="18"/>
                <w:szCs w:val="18"/>
              </w:rPr>
            </w:pPr>
            <w:r w:rsidRPr="003409C9">
              <w:rPr>
                <w:noProof/>
                <w:sz w:val="18"/>
              </w:rPr>
              <w:t>0,658</w:t>
            </w:r>
          </w:p>
        </w:tc>
        <w:tc>
          <w:tcPr>
            <w:tcW w:w="709" w:type="dxa"/>
            <w:vAlign w:val="bottom"/>
          </w:tcPr>
          <w:p w:rsidR="00CD7E2F" w:rsidRPr="003409C9" w:rsidRDefault="00CD7E2F" w:rsidP="00EA0500">
            <w:pPr>
              <w:spacing w:before="20" w:after="20"/>
              <w:jc w:val="right"/>
              <w:rPr>
                <w:noProof/>
                <w:sz w:val="18"/>
                <w:szCs w:val="18"/>
              </w:rPr>
            </w:pPr>
            <w:r w:rsidRPr="003409C9">
              <w:rPr>
                <w:noProof/>
                <w:sz w:val="18"/>
              </w:rPr>
              <w:t>0,658</w:t>
            </w:r>
          </w:p>
        </w:tc>
        <w:tc>
          <w:tcPr>
            <w:tcW w:w="709" w:type="dxa"/>
            <w:vAlign w:val="bottom"/>
          </w:tcPr>
          <w:p w:rsidR="00CD7E2F" w:rsidRPr="003409C9" w:rsidRDefault="00CD7E2F" w:rsidP="00EA0500">
            <w:pPr>
              <w:spacing w:before="20" w:after="20"/>
              <w:jc w:val="right"/>
              <w:rPr>
                <w:noProof/>
                <w:sz w:val="18"/>
                <w:szCs w:val="18"/>
              </w:rPr>
            </w:pPr>
            <w:r w:rsidRPr="003409C9">
              <w:rPr>
                <w:noProof/>
                <w:sz w:val="18"/>
              </w:rPr>
              <w:t>0,658</w:t>
            </w:r>
          </w:p>
        </w:tc>
        <w:tc>
          <w:tcPr>
            <w:tcW w:w="708" w:type="dxa"/>
            <w:shd w:val="clear" w:color="auto" w:fill="DBE5F1" w:themeFill="accent1" w:themeFillTint="33"/>
            <w:vAlign w:val="bottom"/>
          </w:tcPr>
          <w:p w:rsidR="00CD7E2F" w:rsidRPr="00BB07AF" w:rsidRDefault="00CD7E2F" w:rsidP="00EA0500">
            <w:pPr>
              <w:spacing w:before="0" w:after="0"/>
              <w:jc w:val="right"/>
              <w:rPr>
                <w:i/>
                <w:noProof/>
                <w:color w:val="000000"/>
                <w:sz w:val="18"/>
                <w:szCs w:val="18"/>
              </w:rPr>
            </w:pPr>
            <w:r w:rsidRPr="00BB07AF">
              <w:rPr>
                <w:i/>
                <w:noProof/>
                <w:color w:val="000000"/>
                <w:sz w:val="18"/>
              </w:rPr>
              <w:t>4,785</w:t>
            </w:r>
          </w:p>
        </w:tc>
        <w:tc>
          <w:tcPr>
            <w:tcW w:w="638" w:type="dxa"/>
            <w:vAlign w:val="bottom"/>
          </w:tcPr>
          <w:p w:rsidR="00CD7E2F" w:rsidRPr="00BB07AF" w:rsidRDefault="00CD7E2F" w:rsidP="00EA0500">
            <w:pPr>
              <w:spacing w:before="20" w:after="20"/>
              <w:jc w:val="right"/>
              <w:rPr>
                <w:b/>
                <w:noProof/>
                <w:sz w:val="18"/>
                <w:szCs w:val="18"/>
              </w:rPr>
            </w:pPr>
            <w:r w:rsidRPr="00BB07AF">
              <w:rPr>
                <w:b/>
                <w:noProof/>
                <w:color w:val="000000"/>
                <w:sz w:val="18"/>
              </w:rPr>
              <w:t>7,516</w:t>
            </w:r>
          </w:p>
        </w:tc>
      </w:tr>
    </w:tbl>
    <w:p w:rsidR="00CD7E2F" w:rsidRPr="003409C9" w:rsidRDefault="00CD7E2F" w:rsidP="00CD7E2F">
      <w:pPr>
        <w:jc w:val="right"/>
        <w:rPr>
          <w:noProof/>
          <w:sz w:val="20"/>
        </w:rPr>
      </w:pPr>
      <w:r w:rsidRPr="003409C9">
        <w:rPr>
          <w:noProof/>
          <w:sz w:val="20"/>
        </w:rPr>
        <w:t>w mln EUR (do trzech miejsc po przecinku)</w:t>
      </w:r>
    </w:p>
    <w:tbl>
      <w:tblPr>
        <w:tblW w:w="154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960"/>
        <w:gridCol w:w="1560"/>
        <w:gridCol w:w="105"/>
        <w:gridCol w:w="131"/>
        <w:gridCol w:w="578"/>
        <w:gridCol w:w="709"/>
        <w:gridCol w:w="709"/>
        <w:gridCol w:w="709"/>
        <w:gridCol w:w="708"/>
        <w:gridCol w:w="709"/>
        <w:gridCol w:w="709"/>
        <w:gridCol w:w="709"/>
        <w:gridCol w:w="708"/>
        <w:gridCol w:w="709"/>
        <w:gridCol w:w="709"/>
        <w:gridCol w:w="637"/>
        <w:gridCol w:w="709"/>
        <w:gridCol w:w="709"/>
      </w:tblGrid>
      <w:tr w:rsidR="00415F9E" w:rsidRPr="003409C9" w:rsidTr="00855286">
        <w:tc>
          <w:tcPr>
            <w:tcW w:w="3960" w:type="dxa"/>
            <w:tcBorders>
              <w:top w:val="nil"/>
              <w:left w:val="nil"/>
              <w:right w:val="nil"/>
            </w:tcBorders>
            <w:vAlign w:val="center"/>
          </w:tcPr>
          <w:p w:rsidR="00B66551" w:rsidRPr="003409C9" w:rsidRDefault="00B66551" w:rsidP="00855286">
            <w:pPr>
              <w:jc w:val="center"/>
              <w:rPr>
                <w:noProof/>
              </w:rPr>
            </w:pPr>
          </w:p>
        </w:tc>
        <w:tc>
          <w:tcPr>
            <w:tcW w:w="1560" w:type="dxa"/>
            <w:tcBorders>
              <w:top w:val="nil"/>
              <w:left w:val="nil"/>
              <w:right w:val="nil"/>
            </w:tcBorders>
          </w:tcPr>
          <w:p w:rsidR="00B66551" w:rsidRPr="003409C9" w:rsidRDefault="00B66551" w:rsidP="00855286">
            <w:pPr>
              <w:rPr>
                <w:noProof/>
                <w:sz w:val="20"/>
              </w:rPr>
            </w:pPr>
          </w:p>
        </w:tc>
        <w:tc>
          <w:tcPr>
            <w:tcW w:w="236" w:type="dxa"/>
            <w:gridSpan w:val="2"/>
            <w:tcBorders>
              <w:top w:val="nil"/>
              <w:left w:val="nil"/>
            </w:tcBorders>
          </w:tcPr>
          <w:p w:rsidR="00B66551" w:rsidRPr="003409C9" w:rsidRDefault="00B66551" w:rsidP="00855286">
            <w:pPr>
              <w:jc w:val="center"/>
              <w:rPr>
                <w:noProof/>
                <w:sz w:val="20"/>
              </w:rPr>
            </w:pPr>
          </w:p>
        </w:tc>
        <w:tc>
          <w:tcPr>
            <w:tcW w:w="578" w:type="dxa"/>
            <w:vAlign w:val="center"/>
          </w:tcPr>
          <w:p w:rsidR="00B66551" w:rsidRPr="003409C9" w:rsidRDefault="00B66551" w:rsidP="00855286">
            <w:pPr>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2024</w:t>
            </w:r>
          </w:p>
        </w:tc>
        <w:tc>
          <w:tcPr>
            <w:tcW w:w="709" w:type="dxa"/>
          </w:tcPr>
          <w:p w:rsidR="00B66551" w:rsidRPr="003409C9" w:rsidRDefault="00B66551" w:rsidP="00855286">
            <w:pPr>
              <w:jc w:val="center"/>
              <w:rPr>
                <w:noProof/>
                <w:sz w:val="18"/>
                <w:szCs w:val="18"/>
              </w:rPr>
            </w:pPr>
            <w:r w:rsidRPr="003409C9">
              <w:rPr>
                <w:noProof/>
                <w:sz w:val="18"/>
              </w:rPr>
              <w:t xml:space="preserve">Rok </w:t>
            </w:r>
            <w:r w:rsidRPr="00BB07AF">
              <w:rPr>
                <w:b/>
                <w:noProof/>
                <w:sz w:val="18"/>
              </w:rPr>
              <w:t>2025</w:t>
            </w:r>
          </w:p>
        </w:tc>
        <w:tc>
          <w:tcPr>
            <w:tcW w:w="709" w:type="dxa"/>
            <w:vAlign w:val="center"/>
          </w:tcPr>
          <w:p w:rsidR="00B66551" w:rsidRPr="003409C9" w:rsidRDefault="00B66551" w:rsidP="00855286">
            <w:pPr>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2026</w:t>
            </w:r>
          </w:p>
        </w:tc>
        <w:tc>
          <w:tcPr>
            <w:tcW w:w="709" w:type="dxa"/>
            <w:vAlign w:val="center"/>
          </w:tcPr>
          <w:p w:rsidR="00B66551" w:rsidRPr="003409C9" w:rsidRDefault="00B66551" w:rsidP="00855286">
            <w:pPr>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2027</w:t>
            </w:r>
          </w:p>
        </w:tc>
        <w:tc>
          <w:tcPr>
            <w:tcW w:w="708" w:type="dxa"/>
            <w:shd w:val="clear" w:color="auto" w:fill="DAEEF3" w:themeFill="accent5" w:themeFillTint="33"/>
          </w:tcPr>
          <w:p w:rsidR="00B66551" w:rsidRPr="00BB07AF" w:rsidRDefault="00B66551" w:rsidP="00855286">
            <w:pPr>
              <w:jc w:val="center"/>
              <w:rPr>
                <w:i/>
                <w:noProof/>
                <w:sz w:val="18"/>
                <w:szCs w:val="18"/>
              </w:rPr>
            </w:pPr>
            <w:r w:rsidRPr="00BB07AF">
              <w:rPr>
                <w:i/>
                <w:noProof/>
                <w:sz w:val="18"/>
              </w:rPr>
              <w:t>Ogółem</w:t>
            </w:r>
            <w:r w:rsidRPr="003409C9">
              <w:rPr>
                <w:noProof/>
              </w:rPr>
              <w:t xml:space="preserve"> </w:t>
            </w:r>
            <w:r w:rsidRPr="003409C9">
              <w:rPr>
                <w:noProof/>
              </w:rPr>
              <w:br/>
            </w:r>
            <w:r w:rsidRPr="00BB07AF">
              <w:rPr>
                <w:b/>
                <w:i/>
                <w:noProof/>
                <w:sz w:val="18"/>
              </w:rPr>
              <w:t>21-27</w:t>
            </w:r>
          </w:p>
        </w:tc>
        <w:tc>
          <w:tcPr>
            <w:tcW w:w="709" w:type="dxa"/>
            <w:vAlign w:val="center"/>
          </w:tcPr>
          <w:p w:rsidR="00B66551" w:rsidRPr="003409C9" w:rsidRDefault="00B66551" w:rsidP="00855286">
            <w:pPr>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2028</w:t>
            </w:r>
          </w:p>
        </w:tc>
        <w:tc>
          <w:tcPr>
            <w:tcW w:w="709" w:type="dxa"/>
            <w:vAlign w:val="center"/>
          </w:tcPr>
          <w:p w:rsidR="00B66551" w:rsidRPr="003409C9" w:rsidRDefault="00B66551" w:rsidP="00855286">
            <w:pPr>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2029</w:t>
            </w:r>
          </w:p>
        </w:tc>
        <w:tc>
          <w:tcPr>
            <w:tcW w:w="709" w:type="dxa"/>
            <w:vAlign w:val="center"/>
          </w:tcPr>
          <w:p w:rsidR="00B66551" w:rsidRPr="003409C9" w:rsidRDefault="00B66551" w:rsidP="00855286">
            <w:pPr>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2030</w:t>
            </w:r>
          </w:p>
        </w:tc>
        <w:tc>
          <w:tcPr>
            <w:tcW w:w="708" w:type="dxa"/>
            <w:vAlign w:val="center"/>
          </w:tcPr>
          <w:p w:rsidR="00B66551" w:rsidRPr="003409C9" w:rsidRDefault="00B66551" w:rsidP="00855286">
            <w:pPr>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2031</w:t>
            </w:r>
          </w:p>
        </w:tc>
        <w:tc>
          <w:tcPr>
            <w:tcW w:w="709" w:type="dxa"/>
            <w:vAlign w:val="center"/>
          </w:tcPr>
          <w:p w:rsidR="00B66551" w:rsidRPr="003409C9" w:rsidRDefault="00B66551" w:rsidP="00855286">
            <w:pPr>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2032</w:t>
            </w:r>
          </w:p>
        </w:tc>
        <w:tc>
          <w:tcPr>
            <w:tcW w:w="709" w:type="dxa"/>
            <w:vAlign w:val="center"/>
          </w:tcPr>
          <w:p w:rsidR="00B66551" w:rsidRPr="003409C9" w:rsidRDefault="00B66551" w:rsidP="00855286">
            <w:pPr>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2033</w:t>
            </w:r>
          </w:p>
        </w:tc>
        <w:tc>
          <w:tcPr>
            <w:tcW w:w="637" w:type="dxa"/>
            <w:vAlign w:val="center"/>
          </w:tcPr>
          <w:p w:rsidR="00B66551" w:rsidRPr="003409C9" w:rsidRDefault="00B66551" w:rsidP="00855286">
            <w:pPr>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2034</w:t>
            </w:r>
          </w:p>
        </w:tc>
        <w:tc>
          <w:tcPr>
            <w:tcW w:w="709" w:type="dxa"/>
            <w:shd w:val="clear" w:color="auto" w:fill="DBE5F1" w:themeFill="accent1" w:themeFillTint="33"/>
            <w:vAlign w:val="center"/>
          </w:tcPr>
          <w:p w:rsidR="00B66551" w:rsidRPr="00BB07AF" w:rsidRDefault="00B66551" w:rsidP="00855286">
            <w:pPr>
              <w:jc w:val="center"/>
              <w:rPr>
                <w:i/>
                <w:noProof/>
                <w:sz w:val="18"/>
                <w:szCs w:val="18"/>
              </w:rPr>
            </w:pPr>
            <w:r w:rsidRPr="00BB07AF">
              <w:rPr>
                <w:i/>
                <w:noProof/>
                <w:sz w:val="18"/>
              </w:rPr>
              <w:t>Ogółem 28-34</w:t>
            </w:r>
          </w:p>
        </w:tc>
        <w:tc>
          <w:tcPr>
            <w:tcW w:w="709" w:type="dxa"/>
            <w:vAlign w:val="center"/>
          </w:tcPr>
          <w:p w:rsidR="00B66551" w:rsidRPr="00BB07AF" w:rsidRDefault="00B66551" w:rsidP="00855286">
            <w:pPr>
              <w:jc w:val="center"/>
              <w:rPr>
                <w:b/>
                <w:noProof/>
                <w:sz w:val="18"/>
                <w:szCs w:val="18"/>
              </w:rPr>
            </w:pPr>
            <w:r w:rsidRPr="00BB07AF">
              <w:rPr>
                <w:b/>
                <w:noProof/>
                <w:sz w:val="18"/>
              </w:rPr>
              <w:t>OGÓŁEM</w:t>
            </w:r>
          </w:p>
        </w:tc>
      </w:tr>
      <w:tr w:rsidR="00415F9E" w:rsidRPr="003409C9" w:rsidTr="00855286">
        <w:tc>
          <w:tcPr>
            <w:tcW w:w="3960" w:type="dxa"/>
            <w:vMerge w:val="restart"/>
            <w:shd w:val="clear" w:color="auto" w:fill="C0C0C0"/>
            <w:vAlign w:val="center"/>
          </w:tcPr>
          <w:p w:rsidR="00B66551" w:rsidRPr="00BB07AF" w:rsidRDefault="00B66551" w:rsidP="00855286">
            <w:pPr>
              <w:jc w:val="center"/>
              <w:rPr>
                <w:b/>
                <w:noProof/>
              </w:rPr>
            </w:pPr>
            <w:r w:rsidRPr="00BB07AF">
              <w:rPr>
                <w:b/>
                <w:noProof/>
                <w:sz w:val="22"/>
              </w:rPr>
              <w:t>OGÓŁEM środki</w:t>
            </w:r>
            <w:r w:rsidR="003B5A1D" w:rsidRPr="00BB07AF">
              <w:rPr>
                <w:b/>
                <w:noProof/>
                <w:sz w:val="22"/>
              </w:rPr>
              <w:t xml:space="preserve"> </w:t>
            </w:r>
            <w:r w:rsidRPr="003409C9">
              <w:rPr>
                <w:noProof/>
              </w:rPr>
              <w:br/>
            </w:r>
            <w:r w:rsidRPr="00BB07AF">
              <w:rPr>
                <w:b/>
                <w:noProof/>
                <w:sz w:val="22"/>
              </w:rPr>
              <w:t>na DZIAŁY od</w:t>
            </w:r>
            <w:r w:rsidR="003409C9" w:rsidRPr="00BB07AF">
              <w:rPr>
                <w:b/>
                <w:noProof/>
                <w:sz w:val="22"/>
              </w:rPr>
              <w:t> </w:t>
            </w:r>
            <w:r w:rsidRPr="00BB07AF">
              <w:rPr>
                <w:b/>
                <w:noProof/>
                <w:sz w:val="22"/>
              </w:rPr>
              <w:t>1 do</w:t>
            </w:r>
            <w:r w:rsidR="003409C9" w:rsidRPr="00BB07AF">
              <w:rPr>
                <w:b/>
                <w:noProof/>
                <w:sz w:val="22"/>
              </w:rPr>
              <w:t> </w:t>
            </w:r>
            <w:r w:rsidRPr="00BB07AF">
              <w:rPr>
                <w:b/>
                <w:noProof/>
                <w:sz w:val="22"/>
              </w:rPr>
              <w:t>7</w:t>
            </w:r>
            <w:r w:rsidRPr="003409C9">
              <w:rPr>
                <w:noProof/>
              </w:rPr>
              <w:t xml:space="preserve"> </w:t>
            </w:r>
            <w:r w:rsidRPr="003409C9">
              <w:rPr>
                <w:noProof/>
              </w:rPr>
              <w:br/>
            </w:r>
            <w:r w:rsidRPr="003409C9">
              <w:rPr>
                <w:noProof/>
                <w:sz w:val="22"/>
              </w:rPr>
              <w:t>wieloletnich ram finansowych</w:t>
            </w:r>
            <w:r w:rsidRPr="00BB07AF">
              <w:rPr>
                <w:b/>
                <w:noProof/>
                <w:sz w:val="22"/>
              </w:rPr>
              <w:t xml:space="preserve"> </w:t>
            </w:r>
          </w:p>
        </w:tc>
        <w:tc>
          <w:tcPr>
            <w:tcW w:w="1665" w:type="dxa"/>
            <w:gridSpan w:val="2"/>
            <w:vAlign w:val="center"/>
          </w:tcPr>
          <w:p w:rsidR="00B66551" w:rsidRPr="003409C9" w:rsidRDefault="00B66551" w:rsidP="00855286">
            <w:pPr>
              <w:rPr>
                <w:noProof/>
                <w:sz w:val="14"/>
              </w:rPr>
            </w:pPr>
            <w:r w:rsidRPr="003409C9">
              <w:rPr>
                <w:noProof/>
                <w:sz w:val="18"/>
              </w:rPr>
              <w:t>Środki na zobowiązania</w:t>
            </w:r>
          </w:p>
        </w:tc>
        <w:tc>
          <w:tcPr>
            <w:tcW w:w="709" w:type="dxa"/>
            <w:gridSpan w:val="2"/>
            <w:vAlign w:val="center"/>
          </w:tcPr>
          <w:p w:rsidR="00B66551" w:rsidRPr="003409C9" w:rsidRDefault="00B66551" w:rsidP="00855286">
            <w:pPr>
              <w:spacing w:before="60" w:after="60"/>
              <w:jc w:val="right"/>
              <w:rPr>
                <w:noProof/>
                <w:sz w:val="18"/>
                <w:szCs w:val="18"/>
              </w:rPr>
            </w:pPr>
            <w:r w:rsidRPr="003409C9">
              <w:rPr>
                <w:noProof/>
                <w:sz w:val="18"/>
              </w:rPr>
              <w:t>0,815</w:t>
            </w:r>
          </w:p>
        </w:tc>
        <w:tc>
          <w:tcPr>
            <w:tcW w:w="709" w:type="dxa"/>
            <w:vAlign w:val="center"/>
          </w:tcPr>
          <w:p w:rsidR="00B66551" w:rsidRPr="003409C9" w:rsidRDefault="00B66551" w:rsidP="00855286">
            <w:pPr>
              <w:spacing w:before="60" w:after="60"/>
              <w:jc w:val="right"/>
              <w:rPr>
                <w:noProof/>
                <w:sz w:val="18"/>
                <w:szCs w:val="18"/>
              </w:rPr>
            </w:pPr>
            <w:r w:rsidRPr="003409C9">
              <w:rPr>
                <w:noProof/>
                <w:sz w:val="18"/>
              </w:rPr>
              <w:t>4,737</w:t>
            </w:r>
          </w:p>
        </w:tc>
        <w:tc>
          <w:tcPr>
            <w:tcW w:w="709" w:type="dxa"/>
            <w:vAlign w:val="center"/>
          </w:tcPr>
          <w:p w:rsidR="00B66551" w:rsidRPr="003409C9" w:rsidRDefault="00B66551" w:rsidP="00855286">
            <w:pPr>
              <w:spacing w:before="60" w:after="60"/>
              <w:jc w:val="right"/>
              <w:rPr>
                <w:noProof/>
                <w:sz w:val="18"/>
                <w:szCs w:val="18"/>
              </w:rPr>
            </w:pPr>
            <w:r w:rsidRPr="003409C9">
              <w:rPr>
                <w:noProof/>
                <w:sz w:val="18"/>
              </w:rPr>
              <w:t>8,702</w:t>
            </w:r>
          </w:p>
        </w:tc>
        <w:tc>
          <w:tcPr>
            <w:tcW w:w="709" w:type="dxa"/>
            <w:vAlign w:val="center"/>
          </w:tcPr>
          <w:p w:rsidR="00B66551" w:rsidRPr="003409C9" w:rsidRDefault="00B66551" w:rsidP="00855286">
            <w:pPr>
              <w:spacing w:before="60" w:after="60"/>
              <w:jc w:val="right"/>
              <w:rPr>
                <w:noProof/>
                <w:sz w:val="18"/>
                <w:szCs w:val="18"/>
              </w:rPr>
            </w:pPr>
            <w:r w:rsidRPr="003409C9">
              <w:rPr>
                <w:noProof/>
                <w:sz w:val="18"/>
              </w:rPr>
              <w:t>35,159</w:t>
            </w:r>
          </w:p>
        </w:tc>
        <w:tc>
          <w:tcPr>
            <w:tcW w:w="708" w:type="dxa"/>
            <w:shd w:val="clear" w:color="auto" w:fill="DAEEF3" w:themeFill="accent5" w:themeFillTint="33"/>
            <w:vAlign w:val="center"/>
          </w:tcPr>
          <w:p w:rsidR="00B66551" w:rsidRPr="00BB07AF" w:rsidRDefault="00B66551" w:rsidP="00855286">
            <w:pPr>
              <w:spacing w:before="0" w:after="0"/>
              <w:jc w:val="right"/>
              <w:rPr>
                <w:i/>
                <w:noProof/>
                <w:color w:val="000000"/>
                <w:sz w:val="18"/>
                <w:szCs w:val="18"/>
              </w:rPr>
            </w:pPr>
            <w:r w:rsidRPr="003409C9">
              <w:rPr>
                <w:noProof/>
                <w:sz w:val="18"/>
              </w:rPr>
              <w:t>47,858</w:t>
            </w:r>
          </w:p>
        </w:tc>
        <w:tc>
          <w:tcPr>
            <w:tcW w:w="709" w:type="dxa"/>
            <w:vAlign w:val="center"/>
          </w:tcPr>
          <w:p w:rsidR="00B66551" w:rsidRPr="003409C9" w:rsidRDefault="00B66551" w:rsidP="00855286">
            <w:pPr>
              <w:spacing w:before="60" w:after="60"/>
              <w:jc w:val="right"/>
              <w:rPr>
                <w:noProof/>
                <w:sz w:val="18"/>
                <w:szCs w:val="18"/>
              </w:rPr>
            </w:pPr>
            <w:r w:rsidRPr="003409C9">
              <w:rPr>
                <w:noProof/>
                <w:sz w:val="18"/>
              </w:rPr>
              <w:t>27,131</w:t>
            </w:r>
          </w:p>
        </w:tc>
        <w:tc>
          <w:tcPr>
            <w:tcW w:w="709" w:type="dxa"/>
            <w:vAlign w:val="center"/>
          </w:tcPr>
          <w:p w:rsidR="00B66551" w:rsidRPr="003409C9" w:rsidRDefault="00B66551" w:rsidP="00855286">
            <w:pPr>
              <w:spacing w:before="60" w:after="60"/>
              <w:jc w:val="right"/>
              <w:rPr>
                <w:noProof/>
                <w:sz w:val="18"/>
                <w:szCs w:val="18"/>
              </w:rPr>
            </w:pPr>
            <w:r w:rsidRPr="003409C9">
              <w:rPr>
                <w:noProof/>
                <w:sz w:val="18"/>
              </w:rPr>
              <w:t>22,617</w:t>
            </w:r>
          </w:p>
        </w:tc>
        <w:tc>
          <w:tcPr>
            <w:tcW w:w="709" w:type="dxa"/>
            <w:vAlign w:val="center"/>
          </w:tcPr>
          <w:p w:rsidR="00B66551" w:rsidRPr="003409C9" w:rsidRDefault="00B66551" w:rsidP="00855286">
            <w:pPr>
              <w:spacing w:before="60" w:after="60"/>
              <w:jc w:val="right"/>
              <w:rPr>
                <w:noProof/>
                <w:sz w:val="18"/>
                <w:szCs w:val="18"/>
              </w:rPr>
            </w:pPr>
            <w:r w:rsidRPr="003409C9">
              <w:rPr>
                <w:noProof/>
                <w:sz w:val="18"/>
              </w:rPr>
              <w:t>24,186</w:t>
            </w:r>
          </w:p>
        </w:tc>
        <w:tc>
          <w:tcPr>
            <w:tcW w:w="708" w:type="dxa"/>
            <w:vAlign w:val="center"/>
          </w:tcPr>
          <w:p w:rsidR="00B66551" w:rsidRPr="003409C9" w:rsidRDefault="00B66551" w:rsidP="00855286">
            <w:pPr>
              <w:spacing w:before="60" w:after="60"/>
              <w:jc w:val="right"/>
              <w:rPr>
                <w:noProof/>
                <w:sz w:val="18"/>
                <w:szCs w:val="18"/>
              </w:rPr>
            </w:pPr>
            <w:r w:rsidRPr="003409C9">
              <w:rPr>
                <w:noProof/>
                <w:sz w:val="18"/>
              </w:rPr>
              <w:t>17,249</w:t>
            </w:r>
          </w:p>
        </w:tc>
        <w:tc>
          <w:tcPr>
            <w:tcW w:w="709" w:type="dxa"/>
            <w:vAlign w:val="center"/>
          </w:tcPr>
          <w:p w:rsidR="00B66551" w:rsidRPr="003409C9" w:rsidRDefault="00B66551" w:rsidP="00855286">
            <w:pPr>
              <w:spacing w:before="60" w:after="60"/>
              <w:jc w:val="right"/>
              <w:rPr>
                <w:noProof/>
                <w:sz w:val="18"/>
                <w:szCs w:val="18"/>
              </w:rPr>
            </w:pPr>
            <w:r w:rsidRPr="003409C9">
              <w:rPr>
                <w:noProof/>
                <w:sz w:val="18"/>
              </w:rPr>
              <w:t>17,249</w:t>
            </w:r>
          </w:p>
        </w:tc>
        <w:tc>
          <w:tcPr>
            <w:tcW w:w="709" w:type="dxa"/>
            <w:vAlign w:val="center"/>
          </w:tcPr>
          <w:p w:rsidR="00B66551" w:rsidRPr="003409C9" w:rsidRDefault="00B66551" w:rsidP="00855286">
            <w:pPr>
              <w:spacing w:before="60" w:after="60"/>
              <w:jc w:val="right"/>
              <w:rPr>
                <w:noProof/>
                <w:sz w:val="18"/>
                <w:szCs w:val="18"/>
              </w:rPr>
            </w:pPr>
            <w:r w:rsidRPr="003409C9">
              <w:rPr>
                <w:noProof/>
                <w:sz w:val="18"/>
              </w:rPr>
              <w:t>17,249</w:t>
            </w:r>
          </w:p>
        </w:tc>
        <w:tc>
          <w:tcPr>
            <w:tcW w:w="637" w:type="dxa"/>
            <w:vAlign w:val="center"/>
          </w:tcPr>
          <w:p w:rsidR="00B66551" w:rsidRPr="003409C9" w:rsidRDefault="00B66551" w:rsidP="00855286">
            <w:pPr>
              <w:spacing w:before="60" w:after="60"/>
              <w:jc w:val="right"/>
              <w:rPr>
                <w:noProof/>
                <w:sz w:val="18"/>
                <w:szCs w:val="18"/>
              </w:rPr>
            </w:pPr>
            <w:r w:rsidRPr="003409C9">
              <w:rPr>
                <w:noProof/>
                <w:sz w:val="18"/>
              </w:rPr>
              <w:t>17,249</w:t>
            </w:r>
          </w:p>
        </w:tc>
        <w:tc>
          <w:tcPr>
            <w:tcW w:w="709" w:type="dxa"/>
            <w:shd w:val="clear" w:color="auto" w:fill="DBE5F1" w:themeFill="accent1" w:themeFillTint="33"/>
            <w:vAlign w:val="center"/>
          </w:tcPr>
          <w:p w:rsidR="00B66551" w:rsidRPr="00BB07AF" w:rsidRDefault="00B66551" w:rsidP="00855286">
            <w:pPr>
              <w:spacing w:before="0" w:after="0"/>
              <w:jc w:val="right"/>
              <w:rPr>
                <w:i/>
                <w:noProof/>
                <w:color w:val="000000"/>
                <w:sz w:val="18"/>
                <w:szCs w:val="18"/>
              </w:rPr>
            </w:pPr>
            <w:r w:rsidRPr="00BB07AF">
              <w:rPr>
                <w:i/>
                <w:noProof/>
                <w:sz w:val="18"/>
              </w:rPr>
              <w:t>142,928</w:t>
            </w:r>
          </w:p>
        </w:tc>
        <w:tc>
          <w:tcPr>
            <w:tcW w:w="709" w:type="dxa"/>
            <w:vAlign w:val="center"/>
          </w:tcPr>
          <w:p w:rsidR="00B66551" w:rsidRPr="00BB07AF" w:rsidRDefault="00B66551" w:rsidP="00855286">
            <w:pPr>
              <w:spacing w:before="0" w:after="0"/>
              <w:jc w:val="right"/>
              <w:rPr>
                <w:b/>
                <w:noProof/>
                <w:sz w:val="18"/>
                <w:szCs w:val="18"/>
              </w:rPr>
            </w:pPr>
            <w:r w:rsidRPr="00BB07AF">
              <w:rPr>
                <w:b/>
                <w:noProof/>
                <w:sz w:val="18"/>
              </w:rPr>
              <w:t>190,786</w:t>
            </w:r>
          </w:p>
        </w:tc>
      </w:tr>
      <w:tr w:rsidR="00415F9E" w:rsidRPr="003409C9" w:rsidTr="00855286">
        <w:tc>
          <w:tcPr>
            <w:tcW w:w="3960" w:type="dxa"/>
            <w:vMerge/>
            <w:shd w:val="clear" w:color="auto" w:fill="C0C0C0"/>
          </w:tcPr>
          <w:p w:rsidR="00B66551" w:rsidRPr="003409C9" w:rsidRDefault="00B66551" w:rsidP="00855286">
            <w:pPr>
              <w:rPr>
                <w:noProof/>
                <w:sz w:val="20"/>
              </w:rPr>
            </w:pPr>
          </w:p>
        </w:tc>
        <w:tc>
          <w:tcPr>
            <w:tcW w:w="1665" w:type="dxa"/>
            <w:gridSpan w:val="2"/>
            <w:vAlign w:val="center"/>
          </w:tcPr>
          <w:p w:rsidR="00B66551" w:rsidRPr="003409C9" w:rsidRDefault="00B66551" w:rsidP="00855286">
            <w:pPr>
              <w:rPr>
                <w:noProof/>
                <w:sz w:val="14"/>
              </w:rPr>
            </w:pPr>
            <w:r w:rsidRPr="003409C9">
              <w:rPr>
                <w:noProof/>
                <w:sz w:val="18"/>
              </w:rPr>
              <w:t>Środki na płatności</w:t>
            </w:r>
          </w:p>
        </w:tc>
        <w:tc>
          <w:tcPr>
            <w:tcW w:w="709" w:type="dxa"/>
            <w:gridSpan w:val="2"/>
            <w:vAlign w:val="center"/>
          </w:tcPr>
          <w:p w:rsidR="00B66551" w:rsidRPr="003409C9" w:rsidRDefault="00B66551" w:rsidP="00855286">
            <w:pPr>
              <w:spacing w:before="60" w:after="60"/>
              <w:jc w:val="right"/>
              <w:rPr>
                <w:noProof/>
                <w:sz w:val="18"/>
                <w:szCs w:val="18"/>
              </w:rPr>
            </w:pPr>
            <w:r w:rsidRPr="003409C9">
              <w:rPr>
                <w:noProof/>
                <w:sz w:val="18"/>
              </w:rPr>
              <w:t>0,815</w:t>
            </w:r>
          </w:p>
        </w:tc>
        <w:tc>
          <w:tcPr>
            <w:tcW w:w="709" w:type="dxa"/>
            <w:vAlign w:val="center"/>
          </w:tcPr>
          <w:p w:rsidR="00B66551" w:rsidRPr="003409C9" w:rsidRDefault="00B66551" w:rsidP="00855286">
            <w:pPr>
              <w:spacing w:before="60" w:after="60"/>
              <w:jc w:val="right"/>
              <w:rPr>
                <w:noProof/>
                <w:sz w:val="18"/>
                <w:szCs w:val="18"/>
              </w:rPr>
            </w:pPr>
            <w:r w:rsidRPr="003409C9">
              <w:rPr>
                <w:noProof/>
                <w:sz w:val="18"/>
              </w:rPr>
              <w:t>4,737</w:t>
            </w:r>
          </w:p>
        </w:tc>
        <w:tc>
          <w:tcPr>
            <w:tcW w:w="709" w:type="dxa"/>
            <w:vAlign w:val="center"/>
          </w:tcPr>
          <w:p w:rsidR="00B66551" w:rsidRPr="003409C9" w:rsidRDefault="00B66551" w:rsidP="00855286">
            <w:pPr>
              <w:spacing w:before="60" w:after="60"/>
              <w:jc w:val="right"/>
              <w:rPr>
                <w:noProof/>
                <w:sz w:val="18"/>
                <w:szCs w:val="18"/>
              </w:rPr>
            </w:pPr>
            <w:r w:rsidRPr="003409C9">
              <w:rPr>
                <w:noProof/>
                <w:sz w:val="18"/>
              </w:rPr>
              <w:t>8,702</w:t>
            </w:r>
          </w:p>
        </w:tc>
        <w:tc>
          <w:tcPr>
            <w:tcW w:w="709" w:type="dxa"/>
            <w:vAlign w:val="center"/>
          </w:tcPr>
          <w:p w:rsidR="00B66551" w:rsidRPr="003409C9" w:rsidRDefault="00B66551" w:rsidP="00855286">
            <w:pPr>
              <w:spacing w:before="60" w:after="60"/>
              <w:jc w:val="right"/>
              <w:rPr>
                <w:noProof/>
                <w:sz w:val="18"/>
                <w:szCs w:val="18"/>
              </w:rPr>
            </w:pPr>
            <w:r w:rsidRPr="003409C9">
              <w:rPr>
                <w:noProof/>
                <w:sz w:val="18"/>
              </w:rPr>
              <w:t>27,651</w:t>
            </w:r>
          </w:p>
        </w:tc>
        <w:tc>
          <w:tcPr>
            <w:tcW w:w="708" w:type="dxa"/>
            <w:shd w:val="clear" w:color="auto" w:fill="DAEEF3" w:themeFill="accent5" w:themeFillTint="33"/>
            <w:vAlign w:val="center"/>
          </w:tcPr>
          <w:p w:rsidR="00B66551" w:rsidRPr="00BB07AF" w:rsidRDefault="00B66551" w:rsidP="00855286">
            <w:pPr>
              <w:spacing w:before="0" w:after="0"/>
              <w:jc w:val="right"/>
              <w:rPr>
                <w:i/>
                <w:noProof/>
                <w:color w:val="000000"/>
                <w:sz w:val="18"/>
                <w:szCs w:val="18"/>
              </w:rPr>
            </w:pPr>
            <w:r w:rsidRPr="003409C9">
              <w:rPr>
                <w:noProof/>
                <w:sz w:val="18"/>
              </w:rPr>
              <w:t>40,351</w:t>
            </w:r>
          </w:p>
        </w:tc>
        <w:tc>
          <w:tcPr>
            <w:tcW w:w="709" w:type="dxa"/>
            <w:vAlign w:val="center"/>
          </w:tcPr>
          <w:p w:rsidR="00B66551" w:rsidRPr="003409C9" w:rsidRDefault="00B66551" w:rsidP="00855286">
            <w:pPr>
              <w:spacing w:before="60" w:after="60"/>
              <w:jc w:val="right"/>
              <w:rPr>
                <w:noProof/>
                <w:sz w:val="18"/>
                <w:szCs w:val="18"/>
              </w:rPr>
            </w:pPr>
            <w:r w:rsidRPr="003409C9">
              <w:rPr>
                <w:noProof/>
                <w:sz w:val="18"/>
              </w:rPr>
              <w:t>22,309</w:t>
            </w:r>
          </w:p>
        </w:tc>
        <w:tc>
          <w:tcPr>
            <w:tcW w:w="709" w:type="dxa"/>
            <w:vAlign w:val="center"/>
          </w:tcPr>
          <w:p w:rsidR="00B66551" w:rsidRPr="003409C9" w:rsidRDefault="00B66551" w:rsidP="00855286">
            <w:pPr>
              <w:spacing w:before="60" w:after="60"/>
              <w:jc w:val="right"/>
              <w:rPr>
                <w:noProof/>
                <w:sz w:val="18"/>
                <w:szCs w:val="18"/>
              </w:rPr>
            </w:pPr>
            <w:r w:rsidRPr="003409C9">
              <w:rPr>
                <w:noProof/>
                <w:sz w:val="18"/>
              </w:rPr>
              <w:t>18,863</w:t>
            </w:r>
          </w:p>
        </w:tc>
        <w:tc>
          <w:tcPr>
            <w:tcW w:w="709" w:type="dxa"/>
            <w:vAlign w:val="center"/>
          </w:tcPr>
          <w:p w:rsidR="00B66551" w:rsidRPr="003409C9" w:rsidRDefault="00B66551" w:rsidP="00855286">
            <w:pPr>
              <w:spacing w:before="60" w:after="60"/>
              <w:jc w:val="right"/>
              <w:rPr>
                <w:noProof/>
                <w:sz w:val="18"/>
                <w:szCs w:val="18"/>
              </w:rPr>
            </w:pPr>
            <w:r w:rsidRPr="003409C9">
              <w:rPr>
                <w:noProof/>
                <w:sz w:val="18"/>
              </w:rPr>
              <w:t>21,847</w:t>
            </w:r>
          </w:p>
        </w:tc>
        <w:tc>
          <w:tcPr>
            <w:tcW w:w="708" w:type="dxa"/>
            <w:vAlign w:val="center"/>
          </w:tcPr>
          <w:p w:rsidR="00B66551" w:rsidRPr="003409C9" w:rsidRDefault="00B66551" w:rsidP="00855286">
            <w:pPr>
              <w:spacing w:before="60" w:after="60"/>
              <w:jc w:val="right"/>
              <w:rPr>
                <w:noProof/>
                <w:sz w:val="18"/>
                <w:szCs w:val="18"/>
              </w:rPr>
            </w:pPr>
            <w:r w:rsidRPr="003409C9">
              <w:rPr>
                <w:noProof/>
                <w:sz w:val="18"/>
              </w:rPr>
              <w:t>20,569</w:t>
            </w:r>
          </w:p>
        </w:tc>
        <w:tc>
          <w:tcPr>
            <w:tcW w:w="709" w:type="dxa"/>
            <w:vAlign w:val="center"/>
          </w:tcPr>
          <w:p w:rsidR="00B66551" w:rsidRPr="003409C9" w:rsidRDefault="00B66551" w:rsidP="00855286">
            <w:pPr>
              <w:spacing w:before="60" w:after="60"/>
              <w:jc w:val="right"/>
              <w:rPr>
                <w:noProof/>
                <w:sz w:val="18"/>
                <w:szCs w:val="18"/>
              </w:rPr>
            </w:pPr>
            <w:r w:rsidRPr="003409C9">
              <w:rPr>
                <w:noProof/>
                <w:sz w:val="18"/>
              </w:rPr>
              <w:t>19,847</w:t>
            </w:r>
          </w:p>
        </w:tc>
        <w:tc>
          <w:tcPr>
            <w:tcW w:w="709" w:type="dxa"/>
            <w:vAlign w:val="center"/>
          </w:tcPr>
          <w:p w:rsidR="00B66551" w:rsidRPr="003409C9" w:rsidRDefault="00B66551" w:rsidP="00855286">
            <w:pPr>
              <w:spacing w:before="60" w:after="60"/>
              <w:jc w:val="right"/>
              <w:rPr>
                <w:noProof/>
                <w:sz w:val="18"/>
                <w:szCs w:val="18"/>
              </w:rPr>
            </w:pPr>
            <w:r w:rsidRPr="003409C9">
              <w:rPr>
                <w:noProof/>
                <w:sz w:val="18"/>
              </w:rPr>
              <w:t>18,894</w:t>
            </w:r>
          </w:p>
        </w:tc>
        <w:tc>
          <w:tcPr>
            <w:tcW w:w="637" w:type="dxa"/>
            <w:vAlign w:val="center"/>
          </w:tcPr>
          <w:p w:rsidR="00B66551" w:rsidRPr="003409C9" w:rsidRDefault="00B66551" w:rsidP="00855286">
            <w:pPr>
              <w:spacing w:before="60" w:after="60"/>
              <w:jc w:val="right"/>
              <w:rPr>
                <w:noProof/>
                <w:sz w:val="18"/>
                <w:szCs w:val="18"/>
              </w:rPr>
            </w:pPr>
            <w:r w:rsidRPr="003409C9">
              <w:rPr>
                <w:noProof/>
                <w:sz w:val="18"/>
              </w:rPr>
              <w:t>17,595</w:t>
            </w:r>
          </w:p>
        </w:tc>
        <w:tc>
          <w:tcPr>
            <w:tcW w:w="709" w:type="dxa"/>
            <w:shd w:val="clear" w:color="auto" w:fill="DBE5F1" w:themeFill="accent1" w:themeFillTint="33"/>
            <w:vAlign w:val="center"/>
          </w:tcPr>
          <w:p w:rsidR="00B66551" w:rsidRPr="00BB07AF" w:rsidRDefault="00B66551" w:rsidP="00855286">
            <w:pPr>
              <w:spacing w:before="0" w:after="0"/>
              <w:jc w:val="right"/>
              <w:rPr>
                <w:i/>
                <w:noProof/>
                <w:color w:val="000000"/>
                <w:sz w:val="18"/>
                <w:szCs w:val="18"/>
              </w:rPr>
            </w:pPr>
            <w:r w:rsidRPr="00BB07AF">
              <w:rPr>
                <w:i/>
                <w:noProof/>
                <w:sz w:val="18"/>
              </w:rPr>
              <w:t>139,925</w:t>
            </w:r>
          </w:p>
        </w:tc>
        <w:tc>
          <w:tcPr>
            <w:tcW w:w="709" w:type="dxa"/>
            <w:vAlign w:val="center"/>
          </w:tcPr>
          <w:p w:rsidR="00B66551" w:rsidRPr="00BB07AF" w:rsidRDefault="00B66551" w:rsidP="00855286">
            <w:pPr>
              <w:spacing w:before="0" w:after="0"/>
              <w:jc w:val="right"/>
              <w:rPr>
                <w:b/>
                <w:bCs/>
                <w:noProof/>
                <w:color w:val="000000"/>
                <w:sz w:val="18"/>
                <w:szCs w:val="18"/>
              </w:rPr>
            </w:pPr>
            <w:r w:rsidRPr="00BB07AF">
              <w:rPr>
                <w:b/>
                <w:noProof/>
                <w:sz w:val="18"/>
              </w:rPr>
              <w:t>180,275</w:t>
            </w:r>
          </w:p>
        </w:tc>
      </w:tr>
    </w:tbl>
    <w:p w:rsidR="00CD7E2F" w:rsidRPr="003409C9" w:rsidRDefault="00CD7E2F" w:rsidP="00CD7E2F">
      <w:pPr>
        <w:rPr>
          <w:noProof/>
        </w:rPr>
      </w:pPr>
    </w:p>
    <w:p w:rsidR="00CD7E2F" w:rsidRPr="00BB07AF" w:rsidRDefault="009475BC" w:rsidP="009475BC">
      <w:pPr>
        <w:pStyle w:val="ManualHeading3"/>
        <w:rPr>
          <w:bCs/>
          <w:noProof/>
          <w:szCs w:val="24"/>
        </w:rPr>
      </w:pPr>
      <w:bookmarkStart w:id="134" w:name="_Toc514938054"/>
      <w:bookmarkStart w:id="135" w:name="_Toc117796993"/>
      <w:r w:rsidRPr="00BB07AF">
        <w:rPr>
          <w:noProof/>
        </w:rPr>
        <w:t>3.2.2.</w:t>
      </w:r>
      <w:r w:rsidRPr="00BB07AF">
        <w:rPr>
          <w:noProof/>
        </w:rPr>
        <w:tab/>
        <w:t>Przewidywany produkt finansowany ze środków operacyjnych</w:t>
      </w:r>
      <w:bookmarkEnd w:id="134"/>
      <w:bookmarkEnd w:id="135"/>
      <w:r w:rsidRPr="00BB07AF">
        <w:rPr>
          <w:noProof/>
        </w:rPr>
        <w:t xml:space="preserve"> </w:t>
      </w:r>
    </w:p>
    <w:p w:rsidR="00CD7E2F" w:rsidRPr="003409C9" w:rsidRDefault="00CD7E2F" w:rsidP="00B66551">
      <w:pPr>
        <w:jc w:val="right"/>
        <w:rPr>
          <w:noProof/>
          <w:sz w:val="20"/>
        </w:rPr>
      </w:pPr>
      <w:r w:rsidRPr="003409C9">
        <w:rPr>
          <w:noProof/>
          <w:sz w:val="20"/>
        </w:rPr>
        <w:t>Środki na zobowiązania</w:t>
      </w:r>
      <w:r w:rsidR="003409C9" w:rsidRPr="003409C9">
        <w:rPr>
          <w:noProof/>
          <w:sz w:val="20"/>
        </w:rPr>
        <w:t xml:space="preserve"> w mln</w:t>
      </w:r>
      <w:r w:rsidRPr="003409C9">
        <w:rPr>
          <w:noProof/>
          <w:sz w:val="20"/>
        </w:rPr>
        <w:t xml:space="preserve"> EUR (do trzech miejsc po przecinku)</w:t>
      </w:r>
      <w:bookmarkEnd w:id="131"/>
    </w:p>
    <w:tbl>
      <w:tblPr>
        <w:tblW w:w="16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59"/>
        <w:gridCol w:w="573"/>
        <w:gridCol w:w="697"/>
        <w:gridCol w:w="502"/>
        <w:gridCol w:w="502"/>
        <w:gridCol w:w="502"/>
        <w:gridCol w:w="574"/>
        <w:gridCol w:w="565"/>
        <w:gridCol w:w="565"/>
        <w:gridCol w:w="565"/>
        <w:gridCol w:w="565"/>
        <w:gridCol w:w="565"/>
        <w:gridCol w:w="565"/>
        <w:gridCol w:w="424"/>
        <w:gridCol w:w="565"/>
        <w:gridCol w:w="565"/>
        <w:gridCol w:w="565"/>
        <w:gridCol w:w="565"/>
        <w:gridCol w:w="565"/>
        <w:gridCol w:w="565"/>
        <w:gridCol w:w="565"/>
        <w:gridCol w:w="565"/>
        <w:gridCol w:w="565"/>
        <w:gridCol w:w="565"/>
        <w:gridCol w:w="565"/>
        <w:gridCol w:w="482"/>
        <w:gridCol w:w="1070"/>
        <w:gridCol w:w="33"/>
        <w:gridCol w:w="33"/>
      </w:tblGrid>
      <w:tr w:rsidR="00B66551" w:rsidRPr="003409C9" w:rsidTr="00B66551">
        <w:trPr>
          <w:gridAfter w:val="4"/>
          <w:wAfter w:w="1618" w:type="dxa"/>
          <w:jc w:val="center"/>
        </w:trPr>
        <w:tc>
          <w:tcPr>
            <w:tcW w:w="1559" w:type="dxa"/>
            <w:vMerge w:val="restart"/>
            <w:vAlign w:val="center"/>
          </w:tcPr>
          <w:p w:rsidR="00B66551" w:rsidRPr="00BB07AF" w:rsidRDefault="00B66551" w:rsidP="00855286">
            <w:pPr>
              <w:ind w:right="-29"/>
              <w:jc w:val="center"/>
              <w:rPr>
                <w:b/>
                <w:noProof/>
                <w:sz w:val="18"/>
                <w:szCs w:val="18"/>
              </w:rPr>
            </w:pPr>
            <w:r w:rsidRPr="00BB07AF">
              <w:rPr>
                <w:b/>
                <w:noProof/>
                <w:sz w:val="18"/>
              </w:rPr>
              <w:t>Określić cele</w:t>
            </w:r>
            <w:r w:rsidR="003409C9" w:rsidRPr="00BB07AF">
              <w:rPr>
                <w:b/>
                <w:noProof/>
                <w:sz w:val="18"/>
              </w:rPr>
              <w:t xml:space="preserve"> i pro</w:t>
            </w:r>
            <w:r w:rsidRPr="00BB07AF">
              <w:rPr>
                <w:b/>
                <w:noProof/>
                <w:sz w:val="18"/>
              </w:rPr>
              <w:t xml:space="preserve">dukty </w:t>
            </w:r>
          </w:p>
          <w:p w:rsidR="00B66551" w:rsidRPr="00BB07AF" w:rsidRDefault="00B66551" w:rsidP="00855286">
            <w:pPr>
              <w:ind w:right="-29"/>
              <w:jc w:val="center"/>
              <w:rPr>
                <w:b/>
                <w:noProof/>
                <w:sz w:val="18"/>
                <w:szCs w:val="18"/>
              </w:rPr>
            </w:pPr>
          </w:p>
          <w:p w:rsidR="00B66551" w:rsidRPr="003409C9" w:rsidRDefault="00B66551" w:rsidP="00855286">
            <w:pPr>
              <w:ind w:right="-29"/>
              <w:jc w:val="center"/>
              <w:rPr>
                <w:noProof/>
                <w:sz w:val="18"/>
                <w:szCs w:val="18"/>
              </w:rPr>
            </w:pPr>
            <w:r w:rsidRPr="003409C9">
              <w:rPr>
                <w:noProof/>
                <w:sz w:val="18"/>
              </w:rPr>
              <w:sym w:font="Wingdings" w:char="F0F2"/>
            </w:r>
          </w:p>
        </w:tc>
        <w:tc>
          <w:tcPr>
            <w:tcW w:w="573" w:type="dxa"/>
            <w:vAlign w:val="center"/>
          </w:tcPr>
          <w:p w:rsidR="00B66551" w:rsidRPr="003409C9" w:rsidRDefault="00B66551" w:rsidP="00855286">
            <w:pPr>
              <w:ind w:right="-29"/>
              <w:jc w:val="center"/>
              <w:rPr>
                <w:noProof/>
                <w:sz w:val="18"/>
                <w:szCs w:val="18"/>
              </w:rPr>
            </w:pPr>
          </w:p>
        </w:tc>
        <w:tc>
          <w:tcPr>
            <w:tcW w:w="697" w:type="dxa"/>
            <w:vAlign w:val="center"/>
          </w:tcPr>
          <w:p w:rsidR="00B66551" w:rsidRPr="003409C9" w:rsidRDefault="00B66551" w:rsidP="00855286">
            <w:pPr>
              <w:ind w:right="-29"/>
              <w:jc w:val="center"/>
              <w:rPr>
                <w:noProof/>
                <w:sz w:val="18"/>
                <w:szCs w:val="18"/>
              </w:rPr>
            </w:pPr>
          </w:p>
        </w:tc>
        <w:tc>
          <w:tcPr>
            <w:tcW w:w="1004" w:type="dxa"/>
            <w:gridSpan w:val="2"/>
            <w:tcBorders>
              <w:right w:val="single" w:sz="4" w:space="0" w:color="auto"/>
            </w:tcBorders>
          </w:tcPr>
          <w:p w:rsidR="00B66551" w:rsidRPr="003409C9" w:rsidRDefault="00B66551" w:rsidP="00855286">
            <w:pPr>
              <w:ind w:right="-29"/>
              <w:jc w:val="center"/>
              <w:rPr>
                <w:noProof/>
                <w:sz w:val="18"/>
              </w:rPr>
            </w:pPr>
            <w:r w:rsidRPr="003409C9">
              <w:rPr>
                <w:noProof/>
                <w:sz w:val="18"/>
              </w:rPr>
              <w:t>Rok</w:t>
            </w:r>
            <w:r w:rsidRPr="003409C9">
              <w:rPr>
                <w:noProof/>
              </w:rPr>
              <w:t xml:space="preserve"> </w:t>
            </w:r>
            <w:r w:rsidRPr="003409C9">
              <w:rPr>
                <w:noProof/>
              </w:rPr>
              <w:br/>
            </w:r>
            <w:r w:rsidRPr="00BB07AF">
              <w:rPr>
                <w:b/>
                <w:noProof/>
                <w:sz w:val="18"/>
              </w:rPr>
              <w:t>2024</w:t>
            </w:r>
          </w:p>
        </w:tc>
        <w:tc>
          <w:tcPr>
            <w:tcW w:w="1076" w:type="dxa"/>
            <w:gridSpan w:val="2"/>
            <w:tcBorders>
              <w:left w:val="single" w:sz="4" w:space="0" w:color="auto"/>
            </w:tcBorders>
            <w:vAlign w:val="center"/>
          </w:tcPr>
          <w:p w:rsidR="00B66551" w:rsidRPr="003409C9" w:rsidRDefault="00B66551" w:rsidP="00855286">
            <w:pPr>
              <w:ind w:right="-29"/>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2025</w:t>
            </w:r>
          </w:p>
        </w:tc>
        <w:tc>
          <w:tcPr>
            <w:tcW w:w="1130" w:type="dxa"/>
            <w:gridSpan w:val="2"/>
            <w:vAlign w:val="center"/>
          </w:tcPr>
          <w:p w:rsidR="00B66551" w:rsidRPr="003409C9" w:rsidRDefault="00B66551" w:rsidP="00855286">
            <w:pPr>
              <w:ind w:right="-29"/>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2026</w:t>
            </w:r>
          </w:p>
        </w:tc>
        <w:tc>
          <w:tcPr>
            <w:tcW w:w="1130" w:type="dxa"/>
            <w:gridSpan w:val="2"/>
            <w:vAlign w:val="center"/>
          </w:tcPr>
          <w:p w:rsidR="00B66551" w:rsidRPr="003409C9" w:rsidRDefault="00B66551" w:rsidP="00855286">
            <w:pPr>
              <w:ind w:right="-29"/>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2027</w:t>
            </w:r>
          </w:p>
        </w:tc>
        <w:tc>
          <w:tcPr>
            <w:tcW w:w="1130" w:type="dxa"/>
            <w:gridSpan w:val="2"/>
            <w:vAlign w:val="center"/>
          </w:tcPr>
          <w:p w:rsidR="00B66551" w:rsidRPr="003409C9" w:rsidRDefault="00B66551" w:rsidP="00855286">
            <w:pPr>
              <w:ind w:right="-29"/>
              <w:jc w:val="center"/>
              <w:rPr>
                <w:noProof/>
                <w:sz w:val="18"/>
                <w:szCs w:val="18"/>
              </w:rPr>
            </w:pPr>
            <w:r w:rsidRPr="003409C9">
              <w:rPr>
                <w:noProof/>
                <w:sz w:val="18"/>
              </w:rPr>
              <w:t>Rok</w:t>
            </w:r>
            <w:r w:rsidRPr="003409C9">
              <w:rPr>
                <w:noProof/>
              </w:rPr>
              <w:t xml:space="preserve"> </w:t>
            </w:r>
            <w:r w:rsidRPr="003409C9">
              <w:rPr>
                <w:noProof/>
              </w:rPr>
              <w:br/>
            </w:r>
            <w:r w:rsidRPr="00BB07AF">
              <w:rPr>
                <w:b/>
                <w:noProof/>
                <w:sz w:val="18"/>
              </w:rPr>
              <w:t>2028</w:t>
            </w:r>
          </w:p>
        </w:tc>
        <w:tc>
          <w:tcPr>
            <w:tcW w:w="989" w:type="dxa"/>
            <w:gridSpan w:val="2"/>
            <w:vAlign w:val="center"/>
          </w:tcPr>
          <w:p w:rsidR="00B66551" w:rsidRPr="003409C9" w:rsidRDefault="00B66551" w:rsidP="00855286">
            <w:pPr>
              <w:ind w:right="-29"/>
              <w:jc w:val="center"/>
              <w:rPr>
                <w:noProof/>
                <w:sz w:val="18"/>
              </w:rPr>
            </w:pPr>
            <w:r w:rsidRPr="003409C9">
              <w:rPr>
                <w:noProof/>
                <w:sz w:val="18"/>
              </w:rPr>
              <w:t>Rok</w:t>
            </w:r>
            <w:r w:rsidRPr="003409C9">
              <w:rPr>
                <w:noProof/>
              </w:rPr>
              <w:t xml:space="preserve"> </w:t>
            </w:r>
            <w:r w:rsidRPr="003409C9">
              <w:rPr>
                <w:noProof/>
              </w:rPr>
              <w:br/>
            </w:r>
            <w:r w:rsidRPr="00BB07AF">
              <w:rPr>
                <w:b/>
                <w:noProof/>
                <w:sz w:val="18"/>
              </w:rPr>
              <w:t>2029</w:t>
            </w:r>
          </w:p>
        </w:tc>
        <w:tc>
          <w:tcPr>
            <w:tcW w:w="1130" w:type="dxa"/>
            <w:gridSpan w:val="2"/>
            <w:vAlign w:val="center"/>
          </w:tcPr>
          <w:p w:rsidR="00B66551" w:rsidRPr="003409C9" w:rsidRDefault="00B66551" w:rsidP="00855286">
            <w:pPr>
              <w:ind w:right="-29"/>
              <w:jc w:val="center"/>
              <w:rPr>
                <w:noProof/>
                <w:sz w:val="18"/>
              </w:rPr>
            </w:pPr>
            <w:r w:rsidRPr="003409C9">
              <w:rPr>
                <w:noProof/>
                <w:sz w:val="18"/>
              </w:rPr>
              <w:t>Rok</w:t>
            </w:r>
            <w:r w:rsidRPr="003409C9">
              <w:rPr>
                <w:noProof/>
              </w:rPr>
              <w:t xml:space="preserve"> </w:t>
            </w:r>
            <w:r w:rsidRPr="003409C9">
              <w:rPr>
                <w:noProof/>
              </w:rPr>
              <w:br/>
            </w:r>
            <w:r w:rsidRPr="00BB07AF">
              <w:rPr>
                <w:b/>
                <w:noProof/>
                <w:sz w:val="18"/>
              </w:rPr>
              <w:t>2030</w:t>
            </w:r>
          </w:p>
        </w:tc>
        <w:tc>
          <w:tcPr>
            <w:tcW w:w="1130" w:type="dxa"/>
            <w:gridSpan w:val="2"/>
            <w:vAlign w:val="center"/>
          </w:tcPr>
          <w:p w:rsidR="00B66551" w:rsidRPr="003409C9" w:rsidRDefault="00B66551" w:rsidP="00855286">
            <w:pPr>
              <w:ind w:right="-29"/>
              <w:jc w:val="center"/>
              <w:rPr>
                <w:noProof/>
                <w:sz w:val="18"/>
              </w:rPr>
            </w:pPr>
            <w:r w:rsidRPr="003409C9">
              <w:rPr>
                <w:noProof/>
                <w:sz w:val="18"/>
              </w:rPr>
              <w:t>Rok</w:t>
            </w:r>
            <w:r w:rsidRPr="003409C9">
              <w:rPr>
                <w:noProof/>
              </w:rPr>
              <w:t xml:space="preserve"> </w:t>
            </w:r>
            <w:r w:rsidRPr="003409C9">
              <w:rPr>
                <w:noProof/>
              </w:rPr>
              <w:br/>
            </w:r>
            <w:r w:rsidRPr="00BB07AF">
              <w:rPr>
                <w:b/>
                <w:noProof/>
                <w:sz w:val="18"/>
              </w:rPr>
              <w:t>2031</w:t>
            </w:r>
          </w:p>
        </w:tc>
        <w:tc>
          <w:tcPr>
            <w:tcW w:w="1130" w:type="dxa"/>
            <w:gridSpan w:val="2"/>
            <w:vAlign w:val="center"/>
          </w:tcPr>
          <w:p w:rsidR="00B66551" w:rsidRPr="003409C9" w:rsidRDefault="00B66551" w:rsidP="00855286">
            <w:pPr>
              <w:ind w:right="-29"/>
              <w:jc w:val="center"/>
              <w:rPr>
                <w:noProof/>
                <w:sz w:val="18"/>
              </w:rPr>
            </w:pPr>
            <w:r w:rsidRPr="003409C9">
              <w:rPr>
                <w:noProof/>
                <w:sz w:val="18"/>
              </w:rPr>
              <w:t>Rok</w:t>
            </w:r>
            <w:r w:rsidRPr="003409C9">
              <w:rPr>
                <w:noProof/>
              </w:rPr>
              <w:t xml:space="preserve"> </w:t>
            </w:r>
            <w:r w:rsidRPr="003409C9">
              <w:rPr>
                <w:noProof/>
              </w:rPr>
              <w:br/>
            </w:r>
            <w:r w:rsidRPr="00BB07AF">
              <w:rPr>
                <w:b/>
                <w:noProof/>
                <w:sz w:val="18"/>
              </w:rPr>
              <w:t>2032</w:t>
            </w:r>
          </w:p>
        </w:tc>
        <w:tc>
          <w:tcPr>
            <w:tcW w:w="1130" w:type="dxa"/>
            <w:gridSpan w:val="2"/>
            <w:vAlign w:val="center"/>
          </w:tcPr>
          <w:p w:rsidR="00B66551" w:rsidRPr="003409C9" w:rsidRDefault="00B66551" w:rsidP="00855286">
            <w:pPr>
              <w:ind w:right="-29"/>
              <w:jc w:val="center"/>
              <w:rPr>
                <w:noProof/>
                <w:sz w:val="18"/>
              </w:rPr>
            </w:pPr>
            <w:r w:rsidRPr="003409C9">
              <w:rPr>
                <w:noProof/>
                <w:sz w:val="18"/>
              </w:rPr>
              <w:t>Rok</w:t>
            </w:r>
            <w:r w:rsidRPr="003409C9">
              <w:rPr>
                <w:noProof/>
              </w:rPr>
              <w:t xml:space="preserve"> </w:t>
            </w:r>
            <w:r w:rsidRPr="003409C9">
              <w:rPr>
                <w:noProof/>
              </w:rPr>
              <w:br/>
            </w:r>
            <w:r w:rsidRPr="00BB07AF">
              <w:rPr>
                <w:b/>
                <w:noProof/>
                <w:sz w:val="18"/>
              </w:rPr>
              <w:t>2033</w:t>
            </w:r>
          </w:p>
        </w:tc>
        <w:tc>
          <w:tcPr>
            <w:tcW w:w="1130" w:type="dxa"/>
            <w:gridSpan w:val="2"/>
            <w:vAlign w:val="center"/>
          </w:tcPr>
          <w:p w:rsidR="00B66551" w:rsidRPr="003409C9" w:rsidRDefault="00B66551" w:rsidP="00855286">
            <w:pPr>
              <w:ind w:right="-29"/>
              <w:jc w:val="center"/>
              <w:rPr>
                <w:noProof/>
                <w:sz w:val="18"/>
              </w:rPr>
            </w:pPr>
            <w:r w:rsidRPr="003409C9">
              <w:rPr>
                <w:noProof/>
                <w:sz w:val="18"/>
              </w:rPr>
              <w:t>Rok</w:t>
            </w:r>
            <w:r w:rsidRPr="003409C9">
              <w:rPr>
                <w:noProof/>
              </w:rPr>
              <w:t xml:space="preserve"> </w:t>
            </w:r>
            <w:r w:rsidRPr="003409C9">
              <w:rPr>
                <w:noProof/>
              </w:rPr>
              <w:br/>
            </w:r>
            <w:r w:rsidRPr="00BB07AF">
              <w:rPr>
                <w:b/>
                <w:noProof/>
                <w:sz w:val="18"/>
              </w:rPr>
              <w:t>2034</w:t>
            </w:r>
          </w:p>
        </w:tc>
      </w:tr>
      <w:tr w:rsidR="00B34F56" w:rsidRPr="003409C9" w:rsidTr="00B66551">
        <w:trPr>
          <w:gridAfter w:val="1"/>
          <w:wAfter w:w="33" w:type="dxa"/>
          <w:cantSplit/>
          <w:trHeight w:val="1134"/>
          <w:jc w:val="center"/>
        </w:trPr>
        <w:tc>
          <w:tcPr>
            <w:tcW w:w="1559" w:type="dxa"/>
            <w:vMerge/>
            <w:vAlign w:val="center"/>
          </w:tcPr>
          <w:p w:rsidR="00B66551" w:rsidRPr="003409C9" w:rsidRDefault="00B66551" w:rsidP="00855286">
            <w:pPr>
              <w:rPr>
                <w:noProof/>
                <w:sz w:val="18"/>
                <w:szCs w:val="18"/>
              </w:rPr>
            </w:pPr>
          </w:p>
        </w:tc>
        <w:tc>
          <w:tcPr>
            <w:tcW w:w="573" w:type="dxa"/>
            <w:vAlign w:val="center"/>
          </w:tcPr>
          <w:p w:rsidR="00B66551" w:rsidRPr="003409C9" w:rsidRDefault="00B66551" w:rsidP="00855286">
            <w:pPr>
              <w:jc w:val="center"/>
              <w:rPr>
                <w:noProof/>
                <w:sz w:val="18"/>
                <w:szCs w:val="18"/>
              </w:rPr>
            </w:pPr>
            <w:r w:rsidRPr="003409C9">
              <w:rPr>
                <w:noProof/>
                <w:sz w:val="18"/>
              </w:rPr>
              <w:t>Rodzaj</w:t>
            </w:r>
            <w:r w:rsidRPr="003409C9">
              <w:rPr>
                <w:rStyle w:val="FootnoteReference0"/>
                <w:noProof/>
                <w:sz w:val="18"/>
              </w:rPr>
              <w:footnoteReference w:id="62"/>
            </w:r>
          </w:p>
          <w:p w:rsidR="00B66551" w:rsidRPr="003409C9" w:rsidRDefault="00B66551" w:rsidP="00855286">
            <w:pPr>
              <w:spacing w:before="0" w:after="0"/>
              <w:jc w:val="center"/>
              <w:rPr>
                <w:noProof/>
                <w:sz w:val="18"/>
                <w:szCs w:val="18"/>
              </w:rPr>
            </w:pPr>
          </w:p>
        </w:tc>
        <w:tc>
          <w:tcPr>
            <w:tcW w:w="697" w:type="dxa"/>
            <w:vAlign w:val="center"/>
          </w:tcPr>
          <w:p w:rsidR="00B66551" w:rsidRPr="003409C9" w:rsidRDefault="00B66551" w:rsidP="00855286">
            <w:pPr>
              <w:jc w:val="center"/>
              <w:rPr>
                <w:noProof/>
                <w:sz w:val="18"/>
                <w:szCs w:val="18"/>
              </w:rPr>
            </w:pPr>
            <w:r w:rsidRPr="003409C9">
              <w:rPr>
                <w:noProof/>
                <w:sz w:val="18"/>
              </w:rPr>
              <w:t>Średni koszt</w:t>
            </w:r>
          </w:p>
        </w:tc>
        <w:tc>
          <w:tcPr>
            <w:tcW w:w="502" w:type="dxa"/>
            <w:tcBorders>
              <w:bottom w:val="single" w:sz="4" w:space="0" w:color="auto"/>
              <w:right w:val="dashSmallGap" w:sz="4" w:space="0" w:color="auto"/>
            </w:tcBorders>
            <w:shd w:val="pct10" w:color="auto" w:fill="auto"/>
            <w:textDirection w:val="btLr"/>
          </w:tcPr>
          <w:p w:rsidR="00B66551" w:rsidRPr="003409C9" w:rsidRDefault="00B66551" w:rsidP="00855286">
            <w:pPr>
              <w:ind w:left="113" w:right="113"/>
              <w:jc w:val="center"/>
              <w:rPr>
                <w:noProof/>
                <w:sz w:val="18"/>
              </w:rPr>
            </w:pPr>
            <w:r w:rsidRPr="003409C9">
              <w:rPr>
                <w:noProof/>
                <w:sz w:val="18"/>
              </w:rPr>
              <w:t>Liczba</w:t>
            </w:r>
          </w:p>
        </w:tc>
        <w:tc>
          <w:tcPr>
            <w:tcW w:w="502" w:type="dxa"/>
            <w:tcBorders>
              <w:left w:val="dashSmallGap" w:sz="4" w:space="0" w:color="auto"/>
              <w:bottom w:val="single" w:sz="4" w:space="0" w:color="auto"/>
              <w:right w:val="single" w:sz="4" w:space="0" w:color="auto"/>
            </w:tcBorders>
            <w:shd w:val="pct10" w:color="auto" w:fill="auto"/>
            <w:textDirection w:val="btLr"/>
            <w:vAlign w:val="center"/>
          </w:tcPr>
          <w:p w:rsidR="00B66551" w:rsidRPr="003409C9" w:rsidRDefault="00B66551" w:rsidP="00855286">
            <w:pPr>
              <w:jc w:val="center"/>
              <w:rPr>
                <w:noProof/>
                <w:sz w:val="18"/>
              </w:rPr>
            </w:pPr>
            <w:r w:rsidRPr="003409C9">
              <w:rPr>
                <w:noProof/>
                <w:sz w:val="18"/>
              </w:rPr>
              <w:t>Koszt</w:t>
            </w:r>
          </w:p>
        </w:tc>
        <w:tc>
          <w:tcPr>
            <w:tcW w:w="502" w:type="dxa"/>
            <w:tcBorders>
              <w:left w:val="single" w:sz="4" w:space="0" w:color="auto"/>
              <w:right w:val="dashSmallGap" w:sz="4" w:space="0" w:color="auto"/>
            </w:tcBorders>
            <w:shd w:val="pct10" w:color="auto" w:fill="auto"/>
            <w:textDirection w:val="btLr"/>
            <w:vAlign w:val="center"/>
          </w:tcPr>
          <w:p w:rsidR="00B66551" w:rsidRPr="003409C9" w:rsidRDefault="00B66551" w:rsidP="00855286">
            <w:pPr>
              <w:ind w:left="113" w:right="113"/>
              <w:jc w:val="center"/>
              <w:rPr>
                <w:noProof/>
                <w:sz w:val="18"/>
                <w:szCs w:val="18"/>
              </w:rPr>
            </w:pPr>
            <w:r w:rsidRPr="003409C9">
              <w:rPr>
                <w:noProof/>
                <w:sz w:val="18"/>
              </w:rPr>
              <w:t>Liczba</w:t>
            </w:r>
          </w:p>
        </w:tc>
        <w:tc>
          <w:tcPr>
            <w:tcW w:w="574" w:type="dxa"/>
            <w:tcBorders>
              <w:left w:val="dashSmallGap" w:sz="4" w:space="0" w:color="auto"/>
            </w:tcBorders>
            <w:shd w:val="pct10" w:color="auto" w:fill="auto"/>
            <w:vAlign w:val="center"/>
          </w:tcPr>
          <w:p w:rsidR="00B66551" w:rsidRPr="003409C9" w:rsidRDefault="00B66551" w:rsidP="00855286">
            <w:pPr>
              <w:jc w:val="center"/>
              <w:rPr>
                <w:noProof/>
                <w:sz w:val="18"/>
                <w:szCs w:val="18"/>
              </w:rPr>
            </w:pPr>
            <w:r w:rsidRPr="003409C9">
              <w:rPr>
                <w:noProof/>
                <w:sz w:val="18"/>
              </w:rPr>
              <w:t>Koszt</w:t>
            </w:r>
          </w:p>
        </w:tc>
        <w:tc>
          <w:tcPr>
            <w:tcW w:w="565" w:type="dxa"/>
            <w:tcBorders>
              <w:right w:val="dashSmallGap" w:sz="4" w:space="0" w:color="auto"/>
            </w:tcBorders>
            <w:shd w:val="pct10" w:color="auto" w:fill="auto"/>
            <w:textDirection w:val="btLr"/>
            <w:vAlign w:val="center"/>
          </w:tcPr>
          <w:p w:rsidR="00B66551" w:rsidRPr="003409C9" w:rsidRDefault="00B66551" w:rsidP="00855286">
            <w:pPr>
              <w:ind w:left="113" w:right="113"/>
              <w:jc w:val="center"/>
              <w:rPr>
                <w:noProof/>
                <w:sz w:val="18"/>
                <w:szCs w:val="18"/>
              </w:rPr>
            </w:pPr>
            <w:r w:rsidRPr="003409C9">
              <w:rPr>
                <w:noProof/>
                <w:sz w:val="18"/>
              </w:rPr>
              <w:t>Liczba</w:t>
            </w:r>
          </w:p>
        </w:tc>
        <w:tc>
          <w:tcPr>
            <w:tcW w:w="565" w:type="dxa"/>
            <w:tcBorders>
              <w:left w:val="dashSmallGap" w:sz="4" w:space="0" w:color="auto"/>
            </w:tcBorders>
            <w:shd w:val="pct10" w:color="auto" w:fill="auto"/>
            <w:vAlign w:val="center"/>
          </w:tcPr>
          <w:p w:rsidR="00B66551" w:rsidRPr="003409C9" w:rsidRDefault="00B66551" w:rsidP="00855286">
            <w:pPr>
              <w:jc w:val="center"/>
              <w:rPr>
                <w:noProof/>
                <w:sz w:val="18"/>
                <w:szCs w:val="18"/>
              </w:rPr>
            </w:pPr>
            <w:r w:rsidRPr="003409C9">
              <w:rPr>
                <w:noProof/>
                <w:sz w:val="18"/>
              </w:rPr>
              <w:t>Koszt</w:t>
            </w:r>
          </w:p>
        </w:tc>
        <w:tc>
          <w:tcPr>
            <w:tcW w:w="565" w:type="dxa"/>
            <w:tcBorders>
              <w:right w:val="dashSmallGap" w:sz="4" w:space="0" w:color="auto"/>
            </w:tcBorders>
            <w:shd w:val="pct10" w:color="auto" w:fill="auto"/>
            <w:textDirection w:val="btLr"/>
            <w:vAlign w:val="center"/>
          </w:tcPr>
          <w:p w:rsidR="00B66551" w:rsidRPr="003409C9" w:rsidRDefault="00B66551" w:rsidP="00855286">
            <w:pPr>
              <w:ind w:left="113" w:right="113"/>
              <w:jc w:val="center"/>
              <w:rPr>
                <w:noProof/>
                <w:sz w:val="18"/>
                <w:szCs w:val="18"/>
              </w:rPr>
            </w:pPr>
            <w:r w:rsidRPr="003409C9">
              <w:rPr>
                <w:noProof/>
                <w:sz w:val="18"/>
              </w:rPr>
              <w:t>Liczba</w:t>
            </w:r>
          </w:p>
        </w:tc>
        <w:tc>
          <w:tcPr>
            <w:tcW w:w="565" w:type="dxa"/>
            <w:tcBorders>
              <w:left w:val="dashSmallGap" w:sz="4" w:space="0" w:color="auto"/>
            </w:tcBorders>
            <w:shd w:val="pct10" w:color="auto" w:fill="auto"/>
            <w:vAlign w:val="center"/>
          </w:tcPr>
          <w:p w:rsidR="00B66551" w:rsidRPr="003409C9" w:rsidRDefault="00B66551" w:rsidP="00855286">
            <w:pPr>
              <w:jc w:val="center"/>
              <w:rPr>
                <w:noProof/>
                <w:sz w:val="18"/>
                <w:szCs w:val="18"/>
              </w:rPr>
            </w:pPr>
            <w:r w:rsidRPr="003409C9">
              <w:rPr>
                <w:noProof/>
                <w:sz w:val="18"/>
              </w:rPr>
              <w:t>Koszt</w:t>
            </w:r>
          </w:p>
        </w:tc>
        <w:tc>
          <w:tcPr>
            <w:tcW w:w="565" w:type="dxa"/>
            <w:tcBorders>
              <w:right w:val="dashSmallGap" w:sz="4" w:space="0" w:color="auto"/>
            </w:tcBorders>
            <w:shd w:val="pct10" w:color="auto" w:fill="auto"/>
            <w:textDirection w:val="btLr"/>
            <w:vAlign w:val="center"/>
          </w:tcPr>
          <w:p w:rsidR="00B66551" w:rsidRPr="003409C9" w:rsidRDefault="00B66551" w:rsidP="00855286">
            <w:pPr>
              <w:ind w:left="113" w:right="113"/>
              <w:jc w:val="center"/>
              <w:rPr>
                <w:noProof/>
                <w:sz w:val="18"/>
                <w:szCs w:val="18"/>
              </w:rPr>
            </w:pPr>
            <w:r w:rsidRPr="003409C9">
              <w:rPr>
                <w:noProof/>
                <w:sz w:val="18"/>
              </w:rPr>
              <w:t>Liczba</w:t>
            </w:r>
          </w:p>
        </w:tc>
        <w:tc>
          <w:tcPr>
            <w:tcW w:w="565" w:type="dxa"/>
            <w:tcBorders>
              <w:left w:val="dashSmallGap" w:sz="4" w:space="0" w:color="auto"/>
            </w:tcBorders>
            <w:shd w:val="pct10" w:color="auto" w:fill="auto"/>
            <w:vAlign w:val="center"/>
          </w:tcPr>
          <w:p w:rsidR="00B66551" w:rsidRPr="003409C9" w:rsidRDefault="00B66551" w:rsidP="00855286">
            <w:pPr>
              <w:jc w:val="center"/>
              <w:rPr>
                <w:noProof/>
                <w:sz w:val="18"/>
                <w:szCs w:val="18"/>
              </w:rPr>
            </w:pPr>
            <w:r w:rsidRPr="003409C9">
              <w:rPr>
                <w:noProof/>
                <w:sz w:val="18"/>
              </w:rPr>
              <w:t>Koszt</w:t>
            </w:r>
          </w:p>
        </w:tc>
        <w:tc>
          <w:tcPr>
            <w:tcW w:w="424" w:type="dxa"/>
            <w:tcBorders>
              <w:right w:val="dashed" w:sz="4" w:space="0" w:color="auto"/>
            </w:tcBorders>
            <w:shd w:val="pct10" w:color="auto" w:fill="auto"/>
            <w:textDirection w:val="btLr"/>
            <w:vAlign w:val="center"/>
          </w:tcPr>
          <w:p w:rsidR="00B66551" w:rsidRPr="003409C9" w:rsidRDefault="00B66551" w:rsidP="00855286">
            <w:pPr>
              <w:jc w:val="center"/>
              <w:rPr>
                <w:noProof/>
                <w:sz w:val="18"/>
              </w:rPr>
            </w:pPr>
            <w:r w:rsidRPr="003409C9">
              <w:rPr>
                <w:noProof/>
                <w:sz w:val="18"/>
              </w:rPr>
              <w:t>Liczba</w:t>
            </w:r>
          </w:p>
        </w:tc>
        <w:tc>
          <w:tcPr>
            <w:tcW w:w="565" w:type="dxa"/>
            <w:tcBorders>
              <w:left w:val="dashed" w:sz="4" w:space="0" w:color="auto"/>
            </w:tcBorders>
            <w:shd w:val="pct10" w:color="auto" w:fill="auto"/>
            <w:vAlign w:val="center"/>
          </w:tcPr>
          <w:p w:rsidR="00B66551" w:rsidRPr="003409C9" w:rsidRDefault="00B66551" w:rsidP="00855286">
            <w:pPr>
              <w:jc w:val="center"/>
              <w:rPr>
                <w:noProof/>
                <w:sz w:val="18"/>
              </w:rPr>
            </w:pPr>
            <w:r w:rsidRPr="003409C9">
              <w:rPr>
                <w:noProof/>
                <w:sz w:val="18"/>
              </w:rPr>
              <w:t>Koszt</w:t>
            </w:r>
          </w:p>
        </w:tc>
        <w:tc>
          <w:tcPr>
            <w:tcW w:w="565" w:type="dxa"/>
            <w:tcBorders>
              <w:right w:val="dashed" w:sz="4" w:space="0" w:color="auto"/>
            </w:tcBorders>
            <w:shd w:val="pct10" w:color="auto" w:fill="auto"/>
            <w:textDirection w:val="btLr"/>
            <w:vAlign w:val="center"/>
          </w:tcPr>
          <w:p w:rsidR="00B66551" w:rsidRPr="003409C9" w:rsidRDefault="00B66551" w:rsidP="00855286">
            <w:pPr>
              <w:jc w:val="center"/>
              <w:rPr>
                <w:noProof/>
                <w:sz w:val="18"/>
              </w:rPr>
            </w:pPr>
            <w:r w:rsidRPr="003409C9">
              <w:rPr>
                <w:noProof/>
                <w:sz w:val="18"/>
              </w:rPr>
              <w:t>Liczba</w:t>
            </w:r>
          </w:p>
        </w:tc>
        <w:tc>
          <w:tcPr>
            <w:tcW w:w="565" w:type="dxa"/>
            <w:tcBorders>
              <w:left w:val="dashed" w:sz="4" w:space="0" w:color="auto"/>
            </w:tcBorders>
            <w:shd w:val="pct10" w:color="auto" w:fill="auto"/>
            <w:vAlign w:val="center"/>
          </w:tcPr>
          <w:p w:rsidR="00B66551" w:rsidRPr="003409C9" w:rsidRDefault="00B66551" w:rsidP="00855286">
            <w:pPr>
              <w:jc w:val="center"/>
              <w:rPr>
                <w:noProof/>
                <w:sz w:val="18"/>
              </w:rPr>
            </w:pPr>
            <w:r w:rsidRPr="003409C9">
              <w:rPr>
                <w:noProof/>
                <w:sz w:val="18"/>
              </w:rPr>
              <w:t>Koszt</w:t>
            </w:r>
          </w:p>
        </w:tc>
        <w:tc>
          <w:tcPr>
            <w:tcW w:w="565" w:type="dxa"/>
            <w:tcBorders>
              <w:right w:val="dashed" w:sz="4" w:space="0" w:color="auto"/>
            </w:tcBorders>
            <w:shd w:val="pct10" w:color="auto" w:fill="auto"/>
            <w:textDirection w:val="btLr"/>
            <w:vAlign w:val="center"/>
          </w:tcPr>
          <w:p w:rsidR="00B66551" w:rsidRPr="003409C9" w:rsidRDefault="00B66551" w:rsidP="00855286">
            <w:pPr>
              <w:jc w:val="center"/>
              <w:rPr>
                <w:noProof/>
                <w:sz w:val="18"/>
              </w:rPr>
            </w:pPr>
            <w:r w:rsidRPr="003409C9">
              <w:rPr>
                <w:noProof/>
                <w:sz w:val="18"/>
              </w:rPr>
              <w:t>Liczba</w:t>
            </w:r>
          </w:p>
        </w:tc>
        <w:tc>
          <w:tcPr>
            <w:tcW w:w="565" w:type="dxa"/>
            <w:tcBorders>
              <w:left w:val="dashed" w:sz="4" w:space="0" w:color="auto"/>
            </w:tcBorders>
            <w:shd w:val="pct10" w:color="auto" w:fill="auto"/>
            <w:vAlign w:val="center"/>
          </w:tcPr>
          <w:p w:rsidR="00B66551" w:rsidRPr="003409C9" w:rsidRDefault="00B66551" w:rsidP="00855286">
            <w:pPr>
              <w:jc w:val="center"/>
              <w:rPr>
                <w:noProof/>
                <w:sz w:val="18"/>
              </w:rPr>
            </w:pPr>
            <w:r w:rsidRPr="003409C9">
              <w:rPr>
                <w:noProof/>
                <w:sz w:val="18"/>
              </w:rPr>
              <w:t>Koszt</w:t>
            </w:r>
          </w:p>
        </w:tc>
        <w:tc>
          <w:tcPr>
            <w:tcW w:w="565" w:type="dxa"/>
            <w:tcBorders>
              <w:right w:val="dashed" w:sz="4" w:space="0" w:color="auto"/>
            </w:tcBorders>
            <w:shd w:val="pct10" w:color="auto" w:fill="auto"/>
            <w:textDirection w:val="btLr"/>
            <w:vAlign w:val="center"/>
          </w:tcPr>
          <w:p w:rsidR="00B66551" w:rsidRPr="003409C9" w:rsidRDefault="00B66551" w:rsidP="00855286">
            <w:pPr>
              <w:jc w:val="center"/>
              <w:rPr>
                <w:noProof/>
                <w:sz w:val="18"/>
              </w:rPr>
            </w:pPr>
            <w:r w:rsidRPr="003409C9">
              <w:rPr>
                <w:noProof/>
                <w:sz w:val="18"/>
              </w:rPr>
              <w:t>Liczba</w:t>
            </w:r>
          </w:p>
        </w:tc>
        <w:tc>
          <w:tcPr>
            <w:tcW w:w="565" w:type="dxa"/>
            <w:tcBorders>
              <w:left w:val="dashed" w:sz="4" w:space="0" w:color="auto"/>
            </w:tcBorders>
            <w:shd w:val="pct10" w:color="auto" w:fill="auto"/>
            <w:vAlign w:val="center"/>
          </w:tcPr>
          <w:p w:rsidR="00B66551" w:rsidRPr="003409C9" w:rsidRDefault="00B66551" w:rsidP="00855286">
            <w:pPr>
              <w:jc w:val="center"/>
              <w:rPr>
                <w:noProof/>
                <w:sz w:val="18"/>
              </w:rPr>
            </w:pPr>
            <w:r w:rsidRPr="003409C9">
              <w:rPr>
                <w:noProof/>
                <w:sz w:val="18"/>
              </w:rPr>
              <w:t>Koszt</w:t>
            </w:r>
          </w:p>
        </w:tc>
        <w:tc>
          <w:tcPr>
            <w:tcW w:w="565" w:type="dxa"/>
            <w:tcBorders>
              <w:right w:val="dashed" w:sz="4" w:space="0" w:color="auto"/>
            </w:tcBorders>
            <w:shd w:val="pct10" w:color="auto" w:fill="auto"/>
            <w:textDirection w:val="btLr"/>
            <w:vAlign w:val="center"/>
          </w:tcPr>
          <w:p w:rsidR="00B66551" w:rsidRPr="003409C9" w:rsidRDefault="00B66551" w:rsidP="00855286">
            <w:pPr>
              <w:jc w:val="center"/>
              <w:rPr>
                <w:noProof/>
                <w:sz w:val="18"/>
              </w:rPr>
            </w:pPr>
            <w:r w:rsidRPr="003409C9">
              <w:rPr>
                <w:noProof/>
                <w:sz w:val="18"/>
              </w:rPr>
              <w:t>Liczba</w:t>
            </w:r>
          </w:p>
        </w:tc>
        <w:tc>
          <w:tcPr>
            <w:tcW w:w="565" w:type="dxa"/>
            <w:tcBorders>
              <w:left w:val="dashed" w:sz="4" w:space="0" w:color="auto"/>
            </w:tcBorders>
            <w:shd w:val="pct10" w:color="auto" w:fill="auto"/>
            <w:vAlign w:val="center"/>
          </w:tcPr>
          <w:p w:rsidR="00B66551" w:rsidRPr="003409C9" w:rsidRDefault="00B66551" w:rsidP="00855286">
            <w:pPr>
              <w:jc w:val="center"/>
              <w:rPr>
                <w:noProof/>
                <w:sz w:val="18"/>
              </w:rPr>
            </w:pPr>
            <w:r w:rsidRPr="003409C9">
              <w:rPr>
                <w:noProof/>
                <w:sz w:val="18"/>
              </w:rPr>
              <w:t>Koszt</w:t>
            </w:r>
          </w:p>
        </w:tc>
        <w:tc>
          <w:tcPr>
            <w:tcW w:w="565" w:type="dxa"/>
            <w:tcBorders>
              <w:right w:val="dashed" w:sz="4" w:space="0" w:color="auto"/>
            </w:tcBorders>
            <w:shd w:val="pct10" w:color="auto" w:fill="auto"/>
            <w:textDirection w:val="btLr"/>
            <w:vAlign w:val="center"/>
          </w:tcPr>
          <w:p w:rsidR="00B66551" w:rsidRPr="003409C9" w:rsidRDefault="00B66551" w:rsidP="00855286">
            <w:pPr>
              <w:jc w:val="center"/>
              <w:rPr>
                <w:noProof/>
                <w:sz w:val="18"/>
              </w:rPr>
            </w:pPr>
            <w:r w:rsidRPr="003409C9">
              <w:rPr>
                <w:noProof/>
                <w:sz w:val="18"/>
              </w:rPr>
              <w:t>Liczba</w:t>
            </w:r>
          </w:p>
        </w:tc>
        <w:tc>
          <w:tcPr>
            <w:tcW w:w="565" w:type="dxa"/>
            <w:tcBorders>
              <w:left w:val="dashed" w:sz="4" w:space="0" w:color="auto"/>
            </w:tcBorders>
            <w:shd w:val="pct10" w:color="auto" w:fill="auto"/>
            <w:vAlign w:val="center"/>
          </w:tcPr>
          <w:p w:rsidR="00B66551" w:rsidRPr="003409C9" w:rsidRDefault="00B66551" w:rsidP="00855286">
            <w:pPr>
              <w:jc w:val="center"/>
              <w:rPr>
                <w:noProof/>
                <w:sz w:val="18"/>
              </w:rPr>
            </w:pPr>
            <w:r w:rsidRPr="003409C9">
              <w:rPr>
                <w:noProof/>
                <w:sz w:val="18"/>
              </w:rPr>
              <w:t>Koszt</w:t>
            </w:r>
          </w:p>
        </w:tc>
        <w:tc>
          <w:tcPr>
            <w:tcW w:w="482" w:type="dxa"/>
            <w:tcBorders>
              <w:right w:val="dashSmallGap" w:sz="4" w:space="0" w:color="auto"/>
            </w:tcBorders>
            <w:shd w:val="pct10" w:color="auto" w:fill="auto"/>
            <w:vAlign w:val="center"/>
          </w:tcPr>
          <w:p w:rsidR="00B66551" w:rsidRPr="003409C9" w:rsidRDefault="00B66551" w:rsidP="00855286">
            <w:pPr>
              <w:jc w:val="center"/>
              <w:rPr>
                <w:noProof/>
                <w:sz w:val="18"/>
                <w:szCs w:val="18"/>
              </w:rPr>
            </w:pPr>
            <w:r w:rsidRPr="003409C9">
              <w:rPr>
                <w:noProof/>
                <w:sz w:val="18"/>
              </w:rPr>
              <w:t>Liczba ogółem</w:t>
            </w:r>
          </w:p>
        </w:tc>
        <w:tc>
          <w:tcPr>
            <w:tcW w:w="1103" w:type="dxa"/>
            <w:gridSpan w:val="2"/>
            <w:tcBorders>
              <w:left w:val="dashSmallGap" w:sz="4" w:space="0" w:color="auto"/>
            </w:tcBorders>
            <w:shd w:val="pct10" w:color="auto" w:fill="auto"/>
            <w:vAlign w:val="center"/>
          </w:tcPr>
          <w:p w:rsidR="00B66551" w:rsidRPr="00BB07AF" w:rsidRDefault="00B66551" w:rsidP="00855286">
            <w:pPr>
              <w:jc w:val="center"/>
              <w:rPr>
                <w:b/>
                <w:noProof/>
                <w:sz w:val="18"/>
                <w:szCs w:val="18"/>
              </w:rPr>
            </w:pPr>
            <w:r w:rsidRPr="00BB07AF">
              <w:rPr>
                <w:b/>
                <w:noProof/>
                <w:sz w:val="18"/>
              </w:rPr>
              <w:t>Koszt całkowity</w:t>
            </w:r>
          </w:p>
        </w:tc>
      </w:tr>
      <w:tr w:rsidR="00B66551" w:rsidRPr="003409C9" w:rsidTr="00B66551">
        <w:trPr>
          <w:gridAfter w:val="1"/>
          <w:wAfter w:w="33" w:type="dxa"/>
          <w:jc w:val="center"/>
        </w:trPr>
        <w:tc>
          <w:tcPr>
            <w:tcW w:w="2829" w:type="dxa"/>
            <w:gridSpan w:val="3"/>
            <w:vAlign w:val="center"/>
          </w:tcPr>
          <w:p w:rsidR="00B66551" w:rsidRPr="003409C9" w:rsidRDefault="00B66551" w:rsidP="00855286">
            <w:pPr>
              <w:spacing w:before="60" w:after="60"/>
              <w:ind w:right="-29"/>
              <w:jc w:val="center"/>
              <w:rPr>
                <w:noProof/>
                <w:sz w:val="18"/>
                <w:szCs w:val="18"/>
              </w:rPr>
            </w:pPr>
            <w:r w:rsidRPr="003409C9">
              <w:rPr>
                <w:noProof/>
                <w:sz w:val="18"/>
              </w:rPr>
              <w:t>WSPÓLNY CEL</w:t>
            </w:r>
          </w:p>
        </w:tc>
        <w:tc>
          <w:tcPr>
            <w:tcW w:w="502" w:type="dxa"/>
            <w:tcBorders>
              <w:right w:val="nil"/>
            </w:tcBorders>
          </w:tcPr>
          <w:p w:rsidR="00B66551" w:rsidRPr="003409C9" w:rsidRDefault="00B66551" w:rsidP="00855286">
            <w:pPr>
              <w:spacing w:before="60" w:after="60"/>
              <w:ind w:right="-29"/>
              <w:jc w:val="center"/>
              <w:rPr>
                <w:noProof/>
                <w:sz w:val="18"/>
                <w:szCs w:val="18"/>
              </w:rPr>
            </w:pPr>
          </w:p>
        </w:tc>
        <w:tc>
          <w:tcPr>
            <w:tcW w:w="502" w:type="dxa"/>
            <w:tcBorders>
              <w:left w:val="nil"/>
              <w:right w:val="nil"/>
            </w:tcBorders>
            <w:textDirection w:val="btLr"/>
          </w:tcPr>
          <w:p w:rsidR="00B66551" w:rsidRPr="003409C9" w:rsidRDefault="00B66551" w:rsidP="00855286">
            <w:pPr>
              <w:spacing w:before="60" w:after="60"/>
              <w:ind w:right="-29"/>
              <w:jc w:val="center"/>
              <w:rPr>
                <w:noProof/>
                <w:sz w:val="18"/>
                <w:szCs w:val="18"/>
              </w:rPr>
            </w:pPr>
          </w:p>
        </w:tc>
        <w:tc>
          <w:tcPr>
            <w:tcW w:w="502" w:type="dxa"/>
            <w:tcBorders>
              <w:top w:val="nil"/>
              <w:left w:val="nil"/>
              <w:bottom w:val="nil"/>
              <w:right w:val="nil"/>
            </w:tcBorders>
          </w:tcPr>
          <w:p w:rsidR="00B66551" w:rsidRPr="003409C9" w:rsidRDefault="00B66551" w:rsidP="00855286">
            <w:pPr>
              <w:spacing w:before="60" w:after="60"/>
              <w:ind w:right="-29"/>
              <w:jc w:val="center"/>
              <w:rPr>
                <w:noProof/>
                <w:sz w:val="18"/>
                <w:szCs w:val="18"/>
              </w:rPr>
            </w:pPr>
          </w:p>
        </w:tc>
        <w:tc>
          <w:tcPr>
            <w:tcW w:w="574" w:type="dxa"/>
            <w:tcBorders>
              <w:top w:val="nil"/>
              <w:left w:val="nil"/>
              <w:bottom w:val="nil"/>
              <w:right w:val="nil"/>
            </w:tcBorders>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tcPr>
          <w:p w:rsidR="00B66551" w:rsidRPr="003409C9" w:rsidRDefault="00B66551" w:rsidP="00855286">
            <w:pPr>
              <w:spacing w:before="60" w:after="60"/>
              <w:ind w:right="-29"/>
              <w:jc w:val="center"/>
              <w:rPr>
                <w:noProof/>
                <w:sz w:val="18"/>
                <w:szCs w:val="18"/>
              </w:rPr>
            </w:pPr>
          </w:p>
        </w:tc>
        <w:tc>
          <w:tcPr>
            <w:tcW w:w="424" w:type="dxa"/>
            <w:tcBorders>
              <w:top w:val="nil"/>
              <w:left w:val="nil"/>
              <w:bottom w:val="nil"/>
              <w:right w:val="nil"/>
            </w:tcBorders>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tcPr>
          <w:p w:rsidR="00B66551" w:rsidRPr="003409C9" w:rsidRDefault="00B66551" w:rsidP="00855286">
            <w:pPr>
              <w:spacing w:before="60" w:after="60"/>
              <w:ind w:right="-29"/>
              <w:jc w:val="center"/>
              <w:rPr>
                <w:noProof/>
                <w:sz w:val="18"/>
                <w:szCs w:val="18"/>
              </w:rPr>
            </w:pPr>
          </w:p>
        </w:tc>
        <w:tc>
          <w:tcPr>
            <w:tcW w:w="482" w:type="dxa"/>
            <w:tcBorders>
              <w:top w:val="nil"/>
              <w:left w:val="nil"/>
              <w:bottom w:val="nil"/>
              <w:right w:val="nil"/>
            </w:tcBorders>
          </w:tcPr>
          <w:p w:rsidR="00B66551" w:rsidRPr="003409C9" w:rsidRDefault="00B66551" w:rsidP="00855286">
            <w:pPr>
              <w:spacing w:before="60" w:after="60"/>
              <w:ind w:right="-29"/>
              <w:jc w:val="center"/>
              <w:rPr>
                <w:noProof/>
                <w:sz w:val="18"/>
                <w:szCs w:val="18"/>
              </w:rPr>
            </w:pPr>
          </w:p>
        </w:tc>
        <w:tc>
          <w:tcPr>
            <w:tcW w:w="1103" w:type="dxa"/>
            <w:gridSpan w:val="2"/>
            <w:tcBorders>
              <w:top w:val="nil"/>
              <w:left w:val="nil"/>
              <w:bottom w:val="nil"/>
              <w:right w:val="nil"/>
            </w:tcBorders>
          </w:tcPr>
          <w:p w:rsidR="00B66551" w:rsidRPr="00BB07AF" w:rsidRDefault="00B66551" w:rsidP="00855286">
            <w:pPr>
              <w:spacing w:before="60" w:after="60"/>
              <w:ind w:right="-29"/>
              <w:jc w:val="center"/>
              <w:rPr>
                <w:b/>
                <w:noProof/>
                <w:sz w:val="18"/>
                <w:szCs w:val="18"/>
              </w:rPr>
            </w:pPr>
          </w:p>
        </w:tc>
      </w:tr>
      <w:tr w:rsidR="00B66551" w:rsidRPr="003409C9" w:rsidTr="00B66551">
        <w:trPr>
          <w:gridAfter w:val="2"/>
          <w:wAfter w:w="66" w:type="dxa"/>
          <w:trHeight w:hRule="exact" w:val="369"/>
          <w:jc w:val="center"/>
        </w:trPr>
        <w:tc>
          <w:tcPr>
            <w:tcW w:w="1559" w:type="dxa"/>
          </w:tcPr>
          <w:p w:rsidR="00B66551" w:rsidRPr="003409C9" w:rsidRDefault="00B66551" w:rsidP="00855286">
            <w:pPr>
              <w:ind w:right="-29"/>
              <w:jc w:val="center"/>
              <w:rPr>
                <w:noProof/>
                <w:sz w:val="18"/>
                <w:szCs w:val="18"/>
              </w:rPr>
            </w:pPr>
            <w:r w:rsidRPr="003409C9">
              <w:rPr>
                <w:noProof/>
                <w:sz w:val="18"/>
              </w:rPr>
              <w:t>- Utworzenie routera</w:t>
            </w:r>
          </w:p>
        </w:tc>
        <w:tc>
          <w:tcPr>
            <w:tcW w:w="573" w:type="dxa"/>
          </w:tcPr>
          <w:p w:rsidR="00B66551" w:rsidRPr="003409C9" w:rsidRDefault="00B66551" w:rsidP="00855286">
            <w:pPr>
              <w:ind w:right="-29"/>
              <w:jc w:val="center"/>
              <w:rPr>
                <w:noProof/>
                <w:sz w:val="18"/>
                <w:szCs w:val="18"/>
              </w:rPr>
            </w:pPr>
          </w:p>
        </w:tc>
        <w:tc>
          <w:tcPr>
            <w:tcW w:w="697" w:type="dxa"/>
          </w:tcPr>
          <w:p w:rsidR="00B66551" w:rsidRPr="003409C9" w:rsidRDefault="00B66551" w:rsidP="00855286">
            <w:pPr>
              <w:ind w:right="-29"/>
              <w:jc w:val="center"/>
              <w:rPr>
                <w:noProof/>
                <w:sz w:val="18"/>
                <w:szCs w:val="18"/>
              </w:rPr>
            </w:pPr>
            <w:r w:rsidRPr="003409C9">
              <w:rPr>
                <w:noProof/>
                <w:sz w:val="18"/>
              </w:rPr>
              <w:t>44,482</w:t>
            </w:r>
          </w:p>
        </w:tc>
        <w:tc>
          <w:tcPr>
            <w:tcW w:w="502" w:type="dxa"/>
            <w:vAlign w:val="center"/>
          </w:tcPr>
          <w:p w:rsidR="00B66551" w:rsidRPr="003409C9" w:rsidRDefault="00B66551" w:rsidP="00855286">
            <w:pPr>
              <w:ind w:right="-29"/>
              <w:jc w:val="center"/>
              <w:rPr>
                <w:noProof/>
                <w:sz w:val="18"/>
                <w:szCs w:val="18"/>
              </w:rPr>
            </w:pPr>
            <w:r w:rsidRPr="003409C9">
              <w:rPr>
                <w:noProof/>
                <w:sz w:val="18"/>
              </w:rPr>
              <w:t>0,004</w:t>
            </w:r>
          </w:p>
        </w:tc>
        <w:tc>
          <w:tcPr>
            <w:tcW w:w="502" w:type="dxa"/>
            <w:vAlign w:val="center"/>
          </w:tcPr>
          <w:p w:rsidR="00B66551" w:rsidRPr="003409C9" w:rsidRDefault="00B66551" w:rsidP="00855286">
            <w:pPr>
              <w:ind w:right="-29"/>
              <w:jc w:val="center"/>
              <w:rPr>
                <w:noProof/>
                <w:sz w:val="18"/>
                <w:szCs w:val="18"/>
              </w:rPr>
            </w:pPr>
            <w:r w:rsidRPr="003409C9">
              <w:rPr>
                <w:noProof/>
                <w:sz w:val="18"/>
              </w:rPr>
              <w:t>0,157</w:t>
            </w:r>
          </w:p>
        </w:tc>
        <w:tc>
          <w:tcPr>
            <w:tcW w:w="502" w:type="dxa"/>
            <w:tcBorders>
              <w:right w:val="dashSmallGap" w:sz="4" w:space="0" w:color="auto"/>
            </w:tcBorders>
            <w:vAlign w:val="center"/>
          </w:tcPr>
          <w:p w:rsidR="00B66551" w:rsidRPr="003409C9" w:rsidRDefault="00B66551" w:rsidP="00855286">
            <w:pPr>
              <w:ind w:right="-29"/>
              <w:jc w:val="center"/>
              <w:rPr>
                <w:noProof/>
                <w:sz w:val="18"/>
                <w:szCs w:val="18"/>
              </w:rPr>
            </w:pPr>
            <w:r w:rsidRPr="003409C9">
              <w:rPr>
                <w:noProof/>
                <w:sz w:val="18"/>
              </w:rPr>
              <w:t>0,058</w:t>
            </w:r>
          </w:p>
        </w:tc>
        <w:tc>
          <w:tcPr>
            <w:tcW w:w="574" w:type="dxa"/>
            <w:tcBorders>
              <w:left w:val="dashSmallGap" w:sz="4" w:space="0" w:color="auto"/>
            </w:tcBorders>
            <w:vAlign w:val="center"/>
          </w:tcPr>
          <w:p w:rsidR="00B66551" w:rsidRPr="003409C9" w:rsidRDefault="00B66551" w:rsidP="00855286">
            <w:pPr>
              <w:ind w:right="-29"/>
              <w:jc w:val="center"/>
              <w:rPr>
                <w:noProof/>
                <w:sz w:val="18"/>
                <w:szCs w:val="18"/>
              </w:rPr>
            </w:pPr>
            <w:r w:rsidRPr="003409C9">
              <w:rPr>
                <w:noProof/>
                <w:sz w:val="18"/>
              </w:rPr>
              <w:t>2,597</w:t>
            </w:r>
          </w:p>
        </w:tc>
        <w:tc>
          <w:tcPr>
            <w:tcW w:w="565" w:type="dxa"/>
            <w:tcBorders>
              <w:right w:val="dashSmallGap" w:sz="4" w:space="0" w:color="auto"/>
            </w:tcBorders>
            <w:vAlign w:val="center"/>
          </w:tcPr>
          <w:p w:rsidR="00B66551" w:rsidRPr="003409C9" w:rsidRDefault="00B66551" w:rsidP="00855286">
            <w:pPr>
              <w:ind w:right="-29"/>
              <w:jc w:val="center"/>
              <w:rPr>
                <w:noProof/>
                <w:sz w:val="18"/>
                <w:szCs w:val="18"/>
              </w:rPr>
            </w:pPr>
            <w:r w:rsidRPr="003409C9">
              <w:rPr>
                <w:noProof/>
                <w:sz w:val="18"/>
              </w:rPr>
              <w:t>0,179</w:t>
            </w:r>
          </w:p>
        </w:tc>
        <w:tc>
          <w:tcPr>
            <w:tcW w:w="565" w:type="dxa"/>
            <w:tcBorders>
              <w:left w:val="dashSmallGap" w:sz="4" w:space="0" w:color="auto"/>
            </w:tcBorders>
            <w:vAlign w:val="center"/>
          </w:tcPr>
          <w:p w:rsidR="00B66551" w:rsidRPr="003409C9" w:rsidRDefault="00B66551" w:rsidP="00855286">
            <w:pPr>
              <w:ind w:right="-29"/>
              <w:jc w:val="center"/>
              <w:rPr>
                <w:noProof/>
                <w:sz w:val="18"/>
                <w:szCs w:val="18"/>
              </w:rPr>
            </w:pPr>
            <w:r w:rsidRPr="003409C9">
              <w:rPr>
                <w:noProof/>
                <w:sz w:val="18"/>
              </w:rPr>
              <w:t>7,958</w:t>
            </w:r>
          </w:p>
        </w:tc>
        <w:tc>
          <w:tcPr>
            <w:tcW w:w="565" w:type="dxa"/>
            <w:tcBorders>
              <w:right w:val="dashSmallGap" w:sz="4" w:space="0" w:color="auto"/>
            </w:tcBorders>
            <w:vAlign w:val="center"/>
          </w:tcPr>
          <w:p w:rsidR="00B66551" w:rsidRPr="003409C9" w:rsidRDefault="00B66551" w:rsidP="00855286">
            <w:pPr>
              <w:ind w:right="-29"/>
              <w:jc w:val="center"/>
              <w:rPr>
                <w:noProof/>
                <w:sz w:val="18"/>
                <w:szCs w:val="18"/>
              </w:rPr>
            </w:pPr>
            <w:r w:rsidRPr="003409C9">
              <w:rPr>
                <w:noProof/>
                <w:sz w:val="18"/>
              </w:rPr>
              <w:t>0,507</w:t>
            </w:r>
          </w:p>
        </w:tc>
        <w:tc>
          <w:tcPr>
            <w:tcW w:w="565" w:type="dxa"/>
            <w:tcBorders>
              <w:left w:val="dashSmallGap" w:sz="4" w:space="0" w:color="auto"/>
            </w:tcBorders>
            <w:vAlign w:val="center"/>
          </w:tcPr>
          <w:p w:rsidR="00B66551" w:rsidRPr="003409C9" w:rsidRDefault="00B66551" w:rsidP="00855286">
            <w:pPr>
              <w:ind w:right="-29"/>
              <w:jc w:val="center"/>
              <w:rPr>
                <w:noProof/>
                <w:sz w:val="18"/>
                <w:szCs w:val="18"/>
              </w:rPr>
            </w:pPr>
            <w:r w:rsidRPr="003409C9">
              <w:rPr>
                <w:noProof/>
                <w:sz w:val="18"/>
              </w:rPr>
              <w:t>22,565</w:t>
            </w:r>
          </w:p>
        </w:tc>
        <w:tc>
          <w:tcPr>
            <w:tcW w:w="565" w:type="dxa"/>
            <w:tcBorders>
              <w:right w:val="dashSmallGap" w:sz="4" w:space="0" w:color="auto"/>
            </w:tcBorders>
            <w:vAlign w:val="center"/>
          </w:tcPr>
          <w:p w:rsidR="00B66551" w:rsidRPr="003409C9" w:rsidRDefault="00B66551" w:rsidP="00855286">
            <w:pPr>
              <w:ind w:right="-29"/>
              <w:jc w:val="center"/>
              <w:rPr>
                <w:noProof/>
                <w:sz w:val="18"/>
                <w:szCs w:val="18"/>
              </w:rPr>
            </w:pPr>
            <w:r w:rsidRPr="003409C9">
              <w:rPr>
                <w:noProof/>
                <w:sz w:val="18"/>
              </w:rPr>
              <w:t>0,252</w:t>
            </w:r>
          </w:p>
        </w:tc>
        <w:tc>
          <w:tcPr>
            <w:tcW w:w="565" w:type="dxa"/>
            <w:tcBorders>
              <w:left w:val="dashSmallGap" w:sz="4" w:space="0" w:color="auto"/>
            </w:tcBorders>
            <w:vAlign w:val="center"/>
          </w:tcPr>
          <w:p w:rsidR="00B66551" w:rsidRPr="003409C9" w:rsidRDefault="00B66551" w:rsidP="00855286">
            <w:pPr>
              <w:ind w:right="-29"/>
              <w:jc w:val="center"/>
              <w:rPr>
                <w:noProof/>
                <w:sz w:val="18"/>
                <w:szCs w:val="18"/>
              </w:rPr>
            </w:pPr>
            <w:r w:rsidRPr="003409C9">
              <w:rPr>
                <w:noProof/>
                <w:sz w:val="18"/>
              </w:rPr>
              <w:t>11,205</w:t>
            </w:r>
          </w:p>
        </w:tc>
        <w:tc>
          <w:tcPr>
            <w:tcW w:w="424" w:type="dxa"/>
            <w:vAlign w:val="center"/>
          </w:tcPr>
          <w:p w:rsidR="00B66551" w:rsidRPr="003409C9" w:rsidRDefault="00B66551" w:rsidP="00855286">
            <w:pPr>
              <w:ind w:right="-29"/>
              <w:jc w:val="center"/>
              <w:rPr>
                <w:noProof/>
                <w:sz w:val="18"/>
                <w:szCs w:val="18"/>
              </w:rPr>
            </w:pPr>
          </w:p>
        </w:tc>
        <w:tc>
          <w:tcPr>
            <w:tcW w:w="565" w:type="dxa"/>
            <w:vAlign w:val="center"/>
          </w:tcPr>
          <w:p w:rsidR="00B66551" w:rsidRPr="003409C9" w:rsidRDefault="00B66551" w:rsidP="00855286">
            <w:pPr>
              <w:ind w:right="-29"/>
              <w:jc w:val="center"/>
              <w:rPr>
                <w:noProof/>
                <w:sz w:val="18"/>
                <w:szCs w:val="18"/>
              </w:rPr>
            </w:pPr>
          </w:p>
        </w:tc>
        <w:tc>
          <w:tcPr>
            <w:tcW w:w="565" w:type="dxa"/>
            <w:vAlign w:val="center"/>
          </w:tcPr>
          <w:p w:rsidR="00B66551" w:rsidRPr="003409C9" w:rsidRDefault="00B66551" w:rsidP="00855286">
            <w:pPr>
              <w:ind w:right="-29"/>
              <w:jc w:val="center"/>
              <w:rPr>
                <w:noProof/>
                <w:sz w:val="18"/>
                <w:szCs w:val="18"/>
              </w:rPr>
            </w:pPr>
          </w:p>
        </w:tc>
        <w:tc>
          <w:tcPr>
            <w:tcW w:w="565" w:type="dxa"/>
            <w:vAlign w:val="center"/>
          </w:tcPr>
          <w:p w:rsidR="00B66551" w:rsidRPr="003409C9" w:rsidRDefault="00B66551" w:rsidP="00855286">
            <w:pPr>
              <w:ind w:right="-29"/>
              <w:jc w:val="center"/>
              <w:rPr>
                <w:noProof/>
                <w:sz w:val="18"/>
                <w:szCs w:val="18"/>
              </w:rPr>
            </w:pPr>
          </w:p>
        </w:tc>
        <w:tc>
          <w:tcPr>
            <w:tcW w:w="565" w:type="dxa"/>
            <w:vAlign w:val="center"/>
          </w:tcPr>
          <w:p w:rsidR="00B66551" w:rsidRPr="003409C9" w:rsidRDefault="00B66551" w:rsidP="00855286">
            <w:pPr>
              <w:ind w:right="-29"/>
              <w:jc w:val="center"/>
              <w:rPr>
                <w:noProof/>
                <w:sz w:val="18"/>
                <w:szCs w:val="18"/>
              </w:rPr>
            </w:pPr>
          </w:p>
        </w:tc>
        <w:tc>
          <w:tcPr>
            <w:tcW w:w="565" w:type="dxa"/>
            <w:vAlign w:val="center"/>
          </w:tcPr>
          <w:p w:rsidR="00B66551" w:rsidRPr="003409C9" w:rsidRDefault="00B66551" w:rsidP="00855286">
            <w:pPr>
              <w:ind w:right="-29"/>
              <w:jc w:val="center"/>
              <w:rPr>
                <w:noProof/>
                <w:sz w:val="18"/>
                <w:szCs w:val="18"/>
              </w:rPr>
            </w:pPr>
          </w:p>
        </w:tc>
        <w:tc>
          <w:tcPr>
            <w:tcW w:w="565" w:type="dxa"/>
            <w:vAlign w:val="center"/>
          </w:tcPr>
          <w:p w:rsidR="00B66551" w:rsidRPr="003409C9" w:rsidRDefault="00B66551" w:rsidP="00855286">
            <w:pPr>
              <w:ind w:right="-29"/>
              <w:jc w:val="center"/>
              <w:rPr>
                <w:noProof/>
                <w:sz w:val="18"/>
                <w:szCs w:val="18"/>
              </w:rPr>
            </w:pPr>
          </w:p>
        </w:tc>
        <w:tc>
          <w:tcPr>
            <w:tcW w:w="565" w:type="dxa"/>
            <w:vAlign w:val="center"/>
          </w:tcPr>
          <w:p w:rsidR="00B66551" w:rsidRPr="003409C9" w:rsidRDefault="00B66551" w:rsidP="00855286">
            <w:pPr>
              <w:ind w:right="-29"/>
              <w:jc w:val="center"/>
              <w:rPr>
                <w:noProof/>
                <w:sz w:val="18"/>
                <w:szCs w:val="18"/>
              </w:rPr>
            </w:pPr>
          </w:p>
        </w:tc>
        <w:tc>
          <w:tcPr>
            <w:tcW w:w="565" w:type="dxa"/>
            <w:vAlign w:val="center"/>
          </w:tcPr>
          <w:p w:rsidR="00B66551" w:rsidRPr="003409C9" w:rsidRDefault="00B66551" w:rsidP="00855286">
            <w:pPr>
              <w:ind w:right="-29"/>
              <w:jc w:val="center"/>
              <w:rPr>
                <w:noProof/>
                <w:sz w:val="18"/>
                <w:szCs w:val="18"/>
              </w:rPr>
            </w:pPr>
          </w:p>
        </w:tc>
        <w:tc>
          <w:tcPr>
            <w:tcW w:w="565" w:type="dxa"/>
            <w:vAlign w:val="center"/>
          </w:tcPr>
          <w:p w:rsidR="00B66551" w:rsidRPr="003409C9" w:rsidRDefault="00B66551" w:rsidP="00855286">
            <w:pPr>
              <w:ind w:right="-29"/>
              <w:jc w:val="center"/>
              <w:rPr>
                <w:noProof/>
                <w:sz w:val="18"/>
                <w:szCs w:val="18"/>
              </w:rPr>
            </w:pPr>
          </w:p>
        </w:tc>
        <w:tc>
          <w:tcPr>
            <w:tcW w:w="565" w:type="dxa"/>
            <w:vAlign w:val="center"/>
          </w:tcPr>
          <w:p w:rsidR="00B66551" w:rsidRPr="003409C9" w:rsidRDefault="00B66551" w:rsidP="00855286">
            <w:pPr>
              <w:ind w:right="-29"/>
              <w:jc w:val="center"/>
              <w:rPr>
                <w:noProof/>
                <w:sz w:val="18"/>
                <w:szCs w:val="18"/>
              </w:rPr>
            </w:pPr>
          </w:p>
        </w:tc>
        <w:tc>
          <w:tcPr>
            <w:tcW w:w="565" w:type="dxa"/>
            <w:vAlign w:val="center"/>
          </w:tcPr>
          <w:p w:rsidR="00B66551" w:rsidRPr="003409C9" w:rsidRDefault="00B66551" w:rsidP="00855286">
            <w:pPr>
              <w:ind w:right="-29"/>
              <w:jc w:val="center"/>
              <w:rPr>
                <w:noProof/>
                <w:sz w:val="18"/>
                <w:szCs w:val="18"/>
              </w:rPr>
            </w:pPr>
          </w:p>
        </w:tc>
        <w:tc>
          <w:tcPr>
            <w:tcW w:w="482" w:type="dxa"/>
            <w:vAlign w:val="center"/>
          </w:tcPr>
          <w:p w:rsidR="00B66551" w:rsidRPr="003409C9" w:rsidRDefault="00B66551" w:rsidP="00855286">
            <w:pPr>
              <w:ind w:right="-29"/>
              <w:jc w:val="center"/>
              <w:rPr>
                <w:noProof/>
                <w:sz w:val="18"/>
                <w:szCs w:val="18"/>
              </w:rPr>
            </w:pPr>
            <w:r w:rsidRPr="003409C9">
              <w:rPr>
                <w:noProof/>
                <w:sz w:val="18"/>
              </w:rPr>
              <w:t>1</w:t>
            </w:r>
          </w:p>
        </w:tc>
        <w:tc>
          <w:tcPr>
            <w:tcW w:w="1070" w:type="dxa"/>
            <w:vAlign w:val="center"/>
          </w:tcPr>
          <w:p w:rsidR="00B66551" w:rsidRPr="00BB07AF" w:rsidRDefault="00B66551" w:rsidP="00855286">
            <w:pPr>
              <w:ind w:right="-29"/>
              <w:jc w:val="center"/>
              <w:rPr>
                <w:b/>
                <w:noProof/>
                <w:sz w:val="18"/>
                <w:szCs w:val="18"/>
              </w:rPr>
            </w:pPr>
            <w:r w:rsidRPr="00BB07AF">
              <w:rPr>
                <w:b/>
                <w:noProof/>
                <w:sz w:val="18"/>
              </w:rPr>
              <w:t>44,482</w:t>
            </w:r>
          </w:p>
        </w:tc>
      </w:tr>
      <w:tr w:rsidR="00B66551" w:rsidRPr="003409C9" w:rsidTr="00B66551">
        <w:trPr>
          <w:gridAfter w:val="2"/>
          <w:wAfter w:w="66" w:type="dxa"/>
          <w:trHeight w:hRule="exact" w:val="369"/>
          <w:jc w:val="center"/>
        </w:trPr>
        <w:tc>
          <w:tcPr>
            <w:tcW w:w="1559" w:type="dxa"/>
          </w:tcPr>
          <w:p w:rsidR="00B66551" w:rsidRPr="003409C9" w:rsidRDefault="00B66551" w:rsidP="00855286">
            <w:pPr>
              <w:ind w:right="-29"/>
              <w:jc w:val="center"/>
              <w:rPr>
                <w:noProof/>
                <w:sz w:val="18"/>
                <w:szCs w:val="18"/>
              </w:rPr>
            </w:pPr>
            <w:r w:rsidRPr="003409C9">
              <w:rPr>
                <w:noProof/>
                <w:sz w:val="18"/>
              </w:rPr>
              <w:t>Obsługa routera</w:t>
            </w:r>
          </w:p>
        </w:tc>
        <w:tc>
          <w:tcPr>
            <w:tcW w:w="573" w:type="dxa"/>
          </w:tcPr>
          <w:p w:rsidR="00B66551" w:rsidRPr="003409C9" w:rsidRDefault="00B66551" w:rsidP="00855286">
            <w:pPr>
              <w:ind w:right="-29"/>
              <w:jc w:val="center"/>
              <w:rPr>
                <w:noProof/>
                <w:sz w:val="18"/>
                <w:szCs w:val="18"/>
              </w:rPr>
            </w:pPr>
          </w:p>
        </w:tc>
        <w:tc>
          <w:tcPr>
            <w:tcW w:w="697" w:type="dxa"/>
          </w:tcPr>
          <w:p w:rsidR="00B66551" w:rsidRPr="003409C9" w:rsidRDefault="00B66551" w:rsidP="00855286">
            <w:pPr>
              <w:ind w:right="-29"/>
              <w:jc w:val="center"/>
              <w:rPr>
                <w:noProof/>
                <w:sz w:val="18"/>
                <w:szCs w:val="18"/>
              </w:rPr>
            </w:pPr>
            <w:r w:rsidRPr="003409C9">
              <w:rPr>
                <w:noProof/>
                <w:sz w:val="18"/>
              </w:rPr>
              <w:t>9,083</w:t>
            </w:r>
          </w:p>
        </w:tc>
        <w:tc>
          <w:tcPr>
            <w:tcW w:w="502" w:type="dxa"/>
            <w:vAlign w:val="center"/>
          </w:tcPr>
          <w:p w:rsidR="00B66551" w:rsidRPr="003409C9" w:rsidRDefault="00B66551" w:rsidP="00855286">
            <w:pPr>
              <w:ind w:right="-29"/>
              <w:jc w:val="center"/>
              <w:rPr>
                <w:noProof/>
                <w:sz w:val="18"/>
                <w:szCs w:val="18"/>
              </w:rPr>
            </w:pPr>
          </w:p>
        </w:tc>
        <w:tc>
          <w:tcPr>
            <w:tcW w:w="502" w:type="dxa"/>
            <w:vAlign w:val="center"/>
          </w:tcPr>
          <w:p w:rsidR="00B66551" w:rsidRPr="003409C9" w:rsidRDefault="00B66551" w:rsidP="00855286">
            <w:pPr>
              <w:ind w:right="-29"/>
              <w:jc w:val="center"/>
              <w:rPr>
                <w:noProof/>
                <w:sz w:val="18"/>
                <w:szCs w:val="18"/>
              </w:rPr>
            </w:pPr>
          </w:p>
        </w:tc>
        <w:tc>
          <w:tcPr>
            <w:tcW w:w="502" w:type="dxa"/>
            <w:tcBorders>
              <w:right w:val="dashSmallGap" w:sz="4" w:space="0" w:color="auto"/>
            </w:tcBorders>
            <w:vAlign w:val="center"/>
          </w:tcPr>
          <w:p w:rsidR="00B66551" w:rsidRPr="003409C9" w:rsidRDefault="00B66551" w:rsidP="00855286">
            <w:pPr>
              <w:ind w:right="-29"/>
              <w:jc w:val="center"/>
              <w:rPr>
                <w:noProof/>
                <w:sz w:val="18"/>
                <w:szCs w:val="18"/>
              </w:rPr>
            </w:pPr>
          </w:p>
        </w:tc>
        <w:tc>
          <w:tcPr>
            <w:tcW w:w="574" w:type="dxa"/>
            <w:tcBorders>
              <w:left w:val="dashSmallGap" w:sz="4" w:space="0" w:color="auto"/>
            </w:tcBorders>
            <w:vAlign w:val="center"/>
          </w:tcPr>
          <w:p w:rsidR="00B66551" w:rsidRPr="003409C9" w:rsidRDefault="00B66551" w:rsidP="00855286">
            <w:pPr>
              <w:ind w:right="-29"/>
              <w:jc w:val="center"/>
              <w:rPr>
                <w:noProof/>
                <w:sz w:val="18"/>
                <w:szCs w:val="18"/>
              </w:rPr>
            </w:pPr>
          </w:p>
        </w:tc>
        <w:tc>
          <w:tcPr>
            <w:tcW w:w="565" w:type="dxa"/>
            <w:tcBorders>
              <w:right w:val="dashSmallGap" w:sz="4" w:space="0" w:color="auto"/>
            </w:tcBorders>
            <w:vAlign w:val="center"/>
          </w:tcPr>
          <w:p w:rsidR="00B66551" w:rsidRPr="003409C9" w:rsidRDefault="00B66551" w:rsidP="00855286">
            <w:pPr>
              <w:ind w:right="-29"/>
              <w:jc w:val="center"/>
              <w:rPr>
                <w:noProof/>
                <w:sz w:val="18"/>
                <w:szCs w:val="18"/>
              </w:rPr>
            </w:pPr>
          </w:p>
        </w:tc>
        <w:tc>
          <w:tcPr>
            <w:tcW w:w="565" w:type="dxa"/>
            <w:tcBorders>
              <w:left w:val="dashSmallGap" w:sz="4" w:space="0" w:color="auto"/>
            </w:tcBorders>
            <w:vAlign w:val="center"/>
          </w:tcPr>
          <w:p w:rsidR="00B66551" w:rsidRPr="003409C9" w:rsidRDefault="00B66551" w:rsidP="00855286">
            <w:pPr>
              <w:ind w:right="-29"/>
              <w:jc w:val="center"/>
              <w:rPr>
                <w:noProof/>
                <w:sz w:val="18"/>
                <w:szCs w:val="18"/>
              </w:rPr>
            </w:pPr>
          </w:p>
        </w:tc>
        <w:tc>
          <w:tcPr>
            <w:tcW w:w="565" w:type="dxa"/>
            <w:tcBorders>
              <w:right w:val="dashSmallGap" w:sz="4" w:space="0" w:color="auto"/>
            </w:tcBorders>
            <w:vAlign w:val="center"/>
          </w:tcPr>
          <w:p w:rsidR="00B66551" w:rsidRPr="003409C9" w:rsidRDefault="00B66551" w:rsidP="00855286">
            <w:pPr>
              <w:ind w:right="-29"/>
              <w:jc w:val="center"/>
              <w:rPr>
                <w:noProof/>
                <w:sz w:val="18"/>
                <w:szCs w:val="18"/>
              </w:rPr>
            </w:pPr>
          </w:p>
        </w:tc>
        <w:tc>
          <w:tcPr>
            <w:tcW w:w="565" w:type="dxa"/>
            <w:tcBorders>
              <w:left w:val="dashSmallGap" w:sz="4" w:space="0" w:color="auto"/>
            </w:tcBorders>
            <w:vAlign w:val="center"/>
          </w:tcPr>
          <w:p w:rsidR="00B66551" w:rsidRPr="003409C9" w:rsidRDefault="00B66551" w:rsidP="00855286">
            <w:pPr>
              <w:ind w:right="-29"/>
              <w:jc w:val="center"/>
              <w:rPr>
                <w:noProof/>
                <w:sz w:val="18"/>
                <w:szCs w:val="18"/>
              </w:rPr>
            </w:pPr>
            <w:r w:rsidRPr="003409C9">
              <w:rPr>
                <w:noProof/>
                <w:sz w:val="18"/>
              </w:rPr>
              <w:t>0,300</w:t>
            </w:r>
          </w:p>
        </w:tc>
        <w:tc>
          <w:tcPr>
            <w:tcW w:w="565" w:type="dxa"/>
            <w:tcBorders>
              <w:right w:val="dashSmallGap" w:sz="4" w:space="0" w:color="auto"/>
            </w:tcBorders>
            <w:vAlign w:val="center"/>
          </w:tcPr>
          <w:p w:rsidR="00B66551" w:rsidRPr="003409C9" w:rsidRDefault="00B66551" w:rsidP="00855286">
            <w:pPr>
              <w:ind w:right="-29"/>
              <w:jc w:val="center"/>
              <w:rPr>
                <w:noProof/>
                <w:sz w:val="18"/>
                <w:szCs w:val="18"/>
              </w:rPr>
            </w:pPr>
          </w:p>
        </w:tc>
        <w:tc>
          <w:tcPr>
            <w:tcW w:w="565" w:type="dxa"/>
            <w:tcBorders>
              <w:left w:val="dashSmallGap" w:sz="4" w:space="0" w:color="auto"/>
            </w:tcBorders>
            <w:vAlign w:val="center"/>
          </w:tcPr>
          <w:p w:rsidR="00B66551" w:rsidRPr="003409C9" w:rsidRDefault="00B66551" w:rsidP="00855286">
            <w:pPr>
              <w:tabs>
                <w:tab w:val="center" w:pos="190"/>
              </w:tabs>
              <w:ind w:right="-29"/>
              <w:jc w:val="center"/>
              <w:rPr>
                <w:noProof/>
                <w:sz w:val="18"/>
                <w:szCs w:val="18"/>
              </w:rPr>
            </w:pPr>
            <w:r w:rsidRPr="003409C9">
              <w:rPr>
                <w:noProof/>
                <w:sz w:val="18"/>
              </w:rPr>
              <w:t>4,210</w:t>
            </w:r>
          </w:p>
        </w:tc>
        <w:tc>
          <w:tcPr>
            <w:tcW w:w="424" w:type="dxa"/>
            <w:vAlign w:val="center"/>
          </w:tcPr>
          <w:p w:rsidR="00B66551" w:rsidRPr="003409C9" w:rsidRDefault="00B66551" w:rsidP="00855286">
            <w:pPr>
              <w:ind w:right="-29"/>
              <w:jc w:val="center"/>
              <w:rPr>
                <w:noProof/>
                <w:sz w:val="18"/>
                <w:szCs w:val="18"/>
              </w:rPr>
            </w:pPr>
          </w:p>
        </w:tc>
        <w:tc>
          <w:tcPr>
            <w:tcW w:w="565" w:type="dxa"/>
            <w:vAlign w:val="center"/>
          </w:tcPr>
          <w:p w:rsidR="00B66551" w:rsidRPr="003409C9" w:rsidRDefault="00B66551" w:rsidP="00855286">
            <w:pPr>
              <w:ind w:right="-29"/>
              <w:jc w:val="center"/>
              <w:rPr>
                <w:noProof/>
                <w:sz w:val="18"/>
                <w:szCs w:val="18"/>
              </w:rPr>
            </w:pPr>
            <w:r w:rsidRPr="003409C9">
              <w:rPr>
                <w:noProof/>
                <w:sz w:val="18"/>
              </w:rPr>
              <w:t>9,168</w:t>
            </w:r>
          </w:p>
        </w:tc>
        <w:tc>
          <w:tcPr>
            <w:tcW w:w="565" w:type="dxa"/>
            <w:vAlign w:val="center"/>
          </w:tcPr>
          <w:p w:rsidR="00B66551" w:rsidRPr="003409C9" w:rsidRDefault="00B66551" w:rsidP="00855286">
            <w:pPr>
              <w:ind w:right="-29"/>
              <w:jc w:val="center"/>
              <w:rPr>
                <w:noProof/>
                <w:sz w:val="18"/>
                <w:szCs w:val="18"/>
              </w:rPr>
            </w:pPr>
          </w:p>
        </w:tc>
        <w:tc>
          <w:tcPr>
            <w:tcW w:w="565" w:type="dxa"/>
            <w:vAlign w:val="center"/>
          </w:tcPr>
          <w:p w:rsidR="00B66551" w:rsidRPr="003409C9" w:rsidRDefault="00B66551" w:rsidP="00855286">
            <w:pPr>
              <w:ind w:right="-29"/>
              <w:jc w:val="center"/>
              <w:rPr>
                <w:noProof/>
                <w:sz w:val="18"/>
                <w:szCs w:val="18"/>
              </w:rPr>
            </w:pPr>
            <w:r w:rsidRPr="003409C9">
              <w:rPr>
                <w:noProof/>
                <w:sz w:val="18"/>
              </w:rPr>
              <w:t>9,083</w:t>
            </w:r>
          </w:p>
        </w:tc>
        <w:tc>
          <w:tcPr>
            <w:tcW w:w="565" w:type="dxa"/>
            <w:vAlign w:val="center"/>
          </w:tcPr>
          <w:p w:rsidR="00B66551" w:rsidRPr="003409C9" w:rsidRDefault="00B66551" w:rsidP="00855286">
            <w:pPr>
              <w:ind w:right="-29"/>
              <w:jc w:val="center"/>
              <w:rPr>
                <w:noProof/>
                <w:sz w:val="18"/>
                <w:szCs w:val="18"/>
              </w:rPr>
            </w:pPr>
          </w:p>
        </w:tc>
        <w:tc>
          <w:tcPr>
            <w:tcW w:w="565" w:type="dxa"/>
            <w:vAlign w:val="center"/>
          </w:tcPr>
          <w:p w:rsidR="00B66551" w:rsidRPr="003409C9" w:rsidRDefault="00B66551" w:rsidP="00855286">
            <w:pPr>
              <w:ind w:right="-29"/>
              <w:jc w:val="center"/>
              <w:rPr>
                <w:noProof/>
                <w:sz w:val="18"/>
                <w:szCs w:val="18"/>
              </w:rPr>
            </w:pPr>
            <w:r w:rsidRPr="003409C9">
              <w:rPr>
                <w:noProof/>
                <w:sz w:val="18"/>
              </w:rPr>
              <w:t>9,083</w:t>
            </w:r>
          </w:p>
        </w:tc>
        <w:tc>
          <w:tcPr>
            <w:tcW w:w="565" w:type="dxa"/>
            <w:vAlign w:val="center"/>
          </w:tcPr>
          <w:p w:rsidR="00B66551" w:rsidRPr="003409C9" w:rsidRDefault="00B66551" w:rsidP="00855286">
            <w:pPr>
              <w:ind w:right="-29"/>
              <w:jc w:val="center"/>
              <w:rPr>
                <w:noProof/>
                <w:sz w:val="18"/>
                <w:szCs w:val="18"/>
              </w:rPr>
            </w:pPr>
          </w:p>
        </w:tc>
        <w:tc>
          <w:tcPr>
            <w:tcW w:w="565" w:type="dxa"/>
            <w:vAlign w:val="center"/>
          </w:tcPr>
          <w:p w:rsidR="00B66551" w:rsidRPr="003409C9" w:rsidRDefault="00B66551" w:rsidP="00855286">
            <w:pPr>
              <w:ind w:right="-29"/>
              <w:jc w:val="center"/>
              <w:rPr>
                <w:noProof/>
                <w:sz w:val="18"/>
                <w:szCs w:val="18"/>
              </w:rPr>
            </w:pPr>
            <w:r w:rsidRPr="003409C9">
              <w:rPr>
                <w:noProof/>
                <w:sz w:val="18"/>
              </w:rPr>
              <w:t>9,083</w:t>
            </w:r>
          </w:p>
        </w:tc>
        <w:tc>
          <w:tcPr>
            <w:tcW w:w="565" w:type="dxa"/>
            <w:vAlign w:val="center"/>
          </w:tcPr>
          <w:p w:rsidR="00B66551" w:rsidRPr="003409C9" w:rsidRDefault="00B66551" w:rsidP="00855286">
            <w:pPr>
              <w:ind w:right="-29"/>
              <w:jc w:val="center"/>
              <w:rPr>
                <w:noProof/>
                <w:sz w:val="18"/>
                <w:szCs w:val="18"/>
              </w:rPr>
            </w:pPr>
          </w:p>
        </w:tc>
        <w:tc>
          <w:tcPr>
            <w:tcW w:w="565" w:type="dxa"/>
            <w:vAlign w:val="center"/>
          </w:tcPr>
          <w:p w:rsidR="00B66551" w:rsidRPr="003409C9" w:rsidRDefault="00B66551" w:rsidP="00855286">
            <w:pPr>
              <w:ind w:right="-29"/>
              <w:jc w:val="center"/>
              <w:rPr>
                <w:noProof/>
                <w:sz w:val="18"/>
                <w:szCs w:val="18"/>
              </w:rPr>
            </w:pPr>
            <w:r w:rsidRPr="003409C9">
              <w:rPr>
                <w:noProof/>
                <w:sz w:val="18"/>
              </w:rPr>
              <w:t>9,083</w:t>
            </w:r>
          </w:p>
        </w:tc>
        <w:tc>
          <w:tcPr>
            <w:tcW w:w="565" w:type="dxa"/>
            <w:vAlign w:val="center"/>
          </w:tcPr>
          <w:p w:rsidR="00B66551" w:rsidRPr="003409C9" w:rsidRDefault="00B66551" w:rsidP="00855286">
            <w:pPr>
              <w:ind w:right="-29"/>
              <w:jc w:val="center"/>
              <w:rPr>
                <w:noProof/>
                <w:sz w:val="18"/>
                <w:szCs w:val="18"/>
              </w:rPr>
            </w:pPr>
          </w:p>
        </w:tc>
        <w:tc>
          <w:tcPr>
            <w:tcW w:w="565" w:type="dxa"/>
            <w:vAlign w:val="center"/>
          </w:tcPr>
          <w:p w:rsidR="00B66551" w:rsidRPr="003409C9" w:rsidRDefault="00B66551" w:rsidP="00855286">
            <w:pPr>
              <w:ind w:right="-29"/>
              <w:jc w:val="center"/>
              <w:rPr>
                <w:noProof/>
                <w:sz w:val="18"/>
                <w:szCs w:val="18"/>
              </w:rPr>
            </w:pPr>
            <w:r w:rsidRPr="003409C9">
              <w:rPr>
                <w:noProof/>
                <w:sz w:val="18"/>
              </w:rPr>
              <w:t>9,083</w:t>
            </w:r>
          </w:p>
        </w:tc>
        <w:tc>
          <w:tcPr>
            <w:tcW w:w="482" w:type="dxa"/>
            <w:vAlign w:val="center"/>
          </w:tcPr>
          <w:p w:rsidR="00B66551" w:rsidRPr="003409C9" w:rsidRDefault="00B66551" w:rsidP="00855286">
            <w:pPr>
              <w:ind w:right="-29"/>
              <w:jc w:val="center"/>
              <w:rPr>
                <w:noProof/>
                <w:sz w:val="18"/>
                <w:szCs w:val="18"/>
              </w:rPr>
            </w:pPr>
          </w:p>
        </w:tc>
        <w:tc>
          <w:tcPr>
            <w:tcW w:w="1070" w:type="dxa"/>
            <w:vAlign w:val="center"/>
          </w:tcPr>
          <w:p w:rsidR="00B66551" w:rsidRPr="00BB07AF" w:rsidRDefault="00B66551" w:rsidP="00855286">
            <w:pPr>
              <w:ind w:right="-29"/>
              <w:jc w:val="center"/>
              <w:rPr>
                <w:b/>
                <w:noProof/>
                <w:sz w:val="18"/>
                <w:szCs w:val="18"/>
              </w:rPr>
            </w:pPr>
            <w:r w:rsidRPr="00BB07AF">
              <w:rPr>
                <w:b/>
                <w:noProof/>
                <w:sz w:val="18"/>
              </w:rPr>
              <w:t>59,093</w:t>
            </w:r>
          </w:p>
        </w:tc>
      </w:tr>
      <w:tr w:rsidR="00B66551" w:rsidRPr="003409C9" w:rsidTr="00B66551">
        <w:trPr>
          <w:gridAfter w:val="1"/>
          <w:wAfter w:w="33" w:type="dxa"/>
          <w:trHeight w:val="77"/>
          <w:jc w:val="center"/>
        </w:trPr>
        <w:tc>
          <w:tcPr>
            <w:tcW w:w="2829" w:type="dxa"/>
            <w:gridSpan w:val="3"/>
            <w:tcBorders>
              <w:bottom w:val="single" w:sz="12" w:space="0" w:color="auto"/>
            </w:tcBorders>
            <w:vAlign w:val="center"/>
          </w:tcPr>
          <w:p w:rsidR="00B66551" w:rsidRPr="003409C9" w:rsidRDefault="00B66551" w:rsidP="00855286">
            <w:pPr>
              <w:ind w:right="-29"/>
              <w:jc w:val="center"/>
              <w:rPr>
                <w:noProof/>
                <w:sz w:val="18"/>
                <w:szCs w:val="18"/>
              </w:rPr>
            </w:pPr>
            <w:r w:rsidRPr="003409C9">
              <w:rPr>
                <w:noProof/>
                <w:sz w:val="18"/>
              </w:rPr>
              <w:t xml:space="preserve">Suma cząstkowa wspólnego celu </w:t>
            </w:r>
          </w:p>
        </w:tc>
        <w:tc>
          <w:tcPr>
            <w:tcW w:w="502" w:type="dxa"/>
            <w:tcBorders>
              <w:bottom w:val="single" w:sz="12" w:space="0" w:color="auto"/>
            </w:tcBorders>
            <w:vAlign w:val="center"/>
          </w:tcPr>
          <w:p w:rsidR="00B66551" w:rsidRPr="003409C9" w:rsidRDefault="00B66551" w:rsidP="00855286">
            <w:pPr>
              <w:ind w:right="-29"/>
              <w:jc w:val="center"/>
              <w:rPr>
                <w:noProof/>
                <w:sz w:val="18"/>
                <w:szCs w:val="18"/>
              </w:rPr>
            </w:pPr>
          </w:p>
        </w:tc>
        <w:tc>
          <w:tcPr>
            <w:tcW w:w="502" w:type="dxa"/>
            <w:tcBorders>
              <w:bottom w:val="single" w:sz="12" w:space="0" w:color="auto"/>
            </w:tcBorders>
            <w:vAlign w:val="center"/>
          </w:tcPr>
          <w:p w:rsidR="00B66551" w:rsidRPr="003409C9" w:rsidRDefault="00B66551" w:rsidP="00855286">
            <w:pPr>
              <w:ind w:right="-29"/>
              <w:jc w:val="center"/>
              <w:rPr>
                <w:noProof/>
                <w:sz w:val="18"/>
                <w:szCs w:val="18"/>
              </w:rPr>
            </w:pPr>
            <w:r w:rsidRPr="003409C9">
              <w:rPr>
                <w:noProof/>
                <w:sz w:val="18"/>
              </w:rPr>
              <w:t>0,157</w:t>
            </w:r>
          </w:p>
        </w:tc>
        <w:tc>
          <w:tcPr>
            <w:tcW w:w="502" w:type="dxa"/>
            <w:tcBorders>
              <w:bottom w:val="single" w:sz="12" w:space="0" w:color="auto"/>
            </w:tcBorders>
            <w:vAlign w:val="center"/>
          </w:tcPr>
          <w:p w:rsidR="00B66551" w:rsidRPr="003409C9" w:rsidRDefault="00B66551" w:rsidP="00855286">
            <w:pPr>
              <w:ind w:right="-29"/>
              <w:jc w:val="center"/>
              <w:rPr>
                <w:noProof/>
                <w:sz w:val="18"/>
                <w:szCs w:val="18"/>
              </w:rPr>
            </w:pPr>
          </w:p>
        </w:tc>
        <w:tc>
          <w:tcPr>
            <w:tcW w:w="574" w:type="dxa"/>
            <w:tcBorders>
              <w:bottom w:val="single" w:sz="12" w:space="0" w:color="auto"/>
            </w:tcBorders>
            <w:vAlign w:val="center"/>
          </w:tcPr>
          <w:p w:rsidR="00B66551" w:rsidRPr="003409C9" w:rsidRDefault="00B66551" w:rsidP="00855286">
            <w:pPr>
              <w:ind w:right="-29"/>
              <w:jc w:val="center"/>
              <w:rPr>
                <w:noProof/>
                <w:sz w:val="18"/>
                <w:szCs w:val="18"/>
              </w:rPr>
            </w:pPr>
            <w:r w:rsidRPr="003409C9">
              <w:rPr>
                <w:noProof/>
                <w:sz w:val="18"/>
              </w:rPr>
              <w:t>2,597</w:t>
            </w:r>
          </w:p>
        </w:tc>
        <w:tc>
          <w:tcPr>
            <w:tcW w:w="565" w:type="dxa"/>
            <w:tcBorders>
              <w:bottom w:val="single" w:sz="12" w:space="0" w:color="auto"/>
            </w:tcBorders>
            <w:vAlign w:val="center"/>
          </w:tcPr>
          <w:p w:rsidR="00B66551" w:rsidRPr="003409C9" w:rsidRDefault="00B66551" w:rsidP="00855286">
            <w:pPr>
              <w:ind w:right="-29"/>
              <w:jc w:val="center"/>
              <w:rPr>
                <w:noProof/>
                <w:sz w:val="18"/>
                <w:szCs w:val="18"/>
              </w:rPr>
            </w:pPr>
          </w:p>
        </w:tc>
        <w:tc>
          <w:tcPr>
            <w:tcW w:w="565" w:type="dxa"/>
            <w:tcBorders>
              <w:bottom w:val="single" w:sz="12" w:space="0" w:color="auto"/>
            </w:tcBorders>
            <w:vAlign w:val="center"/>
          </w:tcPr>
          <w:p w:rsidR="00B66551" w:rsidRPr="003409C9" w:rsidRDefault="00B66551" w:rsidP="00855286">
            <w:pPr>
              <w:ind w:right="-29"/>
              <w:jc w:val="center"/>
              <w:rPr>
                <w:noProof/>
                <w:sz w:val="18"/>
                <w:szCs w:val="18"/>
              </w:rPr>
            </w:pPr>
            <w:r w:rsidRPr="003409C9">
              <w:rPr>
                <w:noProof/>
                <w:sz w:val="18"/>
              </w:rPr>
              <w:t>7,958</w:t>
            </w:r>
          </w:p>
        </w:tc>
        <w:tc>
          <w:tcPr>
            <w:tcW w:w="565" w:type="dxa"/>
            <w:tcBorders>
              <w:bottom w:val="single" w:sz="12" w:space="0" w:color="auto"/>
            </w:tcBorders>
            <w:vAlign w:val="center"/>
          </w:tcPr>
          <w:p w:rsidR="00B66551" w:rsidRPr="003409C9" w:rsidRDefault="00B66551" w:rsidP="00855286">
            <w:pPr>
              <w:ind w:right="-29"/>
              <w:jc w:val="center"/>
              <w:rPr>
                <w:noProof/>
                <w:sz w:val="18"/>
                <w:szCs w:val="18"/>
              </w:rPr>
            </w:pPr>
          </w:p>
        </w:tc>
        <w:tc>
          <w:tcPr>
            <w:tcW w:w="565" w:type="dxa"/>
            <w:tcBorders>
              <w:bottom w:val="single" w:sz="12" w:space="0" w:color="auto"/>
            </w:tcBorders>
            <w:vAlign w:val="center"/>
          </w:tcPr>
          <w:p w:rsidR="00B66551" w:rsidRPr="003409C9" w:rsidRDefault="00B66551" w:rsidP="00855286">
            <w:pPr>
              <w:ind w:right="-29"/>
              <w:jc w:val="center"/>
              <w:rPr>
                <w:noProof/>
                <w:sz w:val="18"/>
                <w:szCs w:val="18"/>
              </w:rPr>
            </w:pPr>
            <w:r w:rsidRPr="003409C9">
              <w:rPr>
                <w:noProof/>
                <w:sz w:val="18"/>
              </w:rPr>
              <w:t>22,865</w:t>
            </w:r>
          </w:p>
        </w:tc>
        <w:tc>
          <w:tcPr>
            <w:tcW w:w="565" w:type="dxa"/>
            <w:tcBorders>
              <w:bottom w:val="single" w:sz="12" w:space="0" w:color="auto"/>
            </w:tcBorders>
            <w:vAlign w:val="center"/>
          </w:tcPr>
          <w:p w:rsidR="00B66551" w:rsidRPr="003409C9" w:rsidRDefault="00B66551" w:rsidP="00855286">
            <w:pPr>
              <w:ind w:right="-29"/>
              <w:jc w:val="center"/>
              <w:rPr>
                <w:noProof/>
                <w:sz w:val="18"/>
                <w:szCs w:val="18"/>
              </w:rPr>
            </w:pPr>
          </w:p>
        </w:tc>
        <w:tc>
          <w:tcPr>
            <w:tcW w:w="565" w:type="dxa"/>
            <w:tcBorders>
              <w:bottom w:val="single" w:sz="12" w:space="0" w:color="auto"/>
            </w:tcBorders>
            <w:vAlign w:val="center"/>
          </w:tcPr>
          <w:p w:rsidR="00B66551" w:rsidRPr="003409C9" w:rsidRDefault="00B66551" w:rsidP="00855286">
            <w:pPr>
              <w:ind w:right="-29"/>
              <w:jc w:val="center"/>
              <w:rPr>
                <w:noProof/>
                <w:sz w:val="18"/>
                <w:szCs w:val="18"/>
              </w:rPr>
            </w:pPr>
            <w:r w:rsidRPr="003409C9">
              <w:rPr>
                <w:noProof/>
                <w:sz w:val="18"/>
              </w:rPr>
              <w:t>15,415</w:t>
            </w:r>
          </w:p>
        </w:tc>
        <w:tc>
          <w:tcPr>
            <w:tcW w:w="424" w:type="dxa"/>
            <w:tcBorders>
              <w:bottom w:val="single" w:sz="12" w:space="0" w:color="auto"/>
            </w:tcBorders>
            <w:vAlign w:val="center"/>
          </w:tcPr>
          <w:p w:rsidR="00B66551" w:rsidRPr="003409C9" w:rsidRDefault="00B66551" w:rsidP="00855286">
            <w:pPr>
              <w:ind w:right="-29"/>
              <w:jc w:val="center"/>
              <w:rPr>
                <w:noProof/>
                <w:sz w:val="18"/>
                <w:szCs w:val="18"/>
              </w:rPr>
            </w:pPr>
          </w:p>
        </w:tc>
        <w:tc>
          <w:tcPr>
            <w:tcW w:w="565" w:type="dxa"/>
            <w:tcBorders>
              <w:bottom w:val="single" w:sz="12" w:space="0" w:color="auto"/>
            </w:tcBorders>
            <w:vAlign w:val="center"/>
          </w:tcPr>
          <w:p w:rsidR="00B66551" w:rsidRPr="003409C9" w:rsidRDefault="00B66551" w:rsidP="00855286">
            <w:pPr>
              <w:ind w:right="-29"/>
              <w:jc w:val="center"/>
              <w:rPr>
                <w:noProof/>
                <w:sz w:val="18"/>
                <w:szCs w:val="18"/>
              </w:rPr>
            </w:pPr>
            <w:r w:rsidRPr="003409C9">
              <w:rPr>
                <w:noProof/>
                <w:sz w:val="18"/>
              </w:rPr>
              <w:t>9,168</w:t>
            </w:r>
          </w:p>
        </w:tc>
        <w:tc>
          <w:tcPr>
            <w:tcW w:w="565" w:type="dxa"/>
            <w:tcBorders>
              <w:bottom w:val="single" w:sz="12" w:space="0" w:color="auto"/>
            </w:tcBorders>
            <w:vAlign w:val="center"/>
          </w:tcPr>
          <w:p w:rsidR="00B66551" w:rsidRPr="003409C9" w:rsidRDefault="00B66551" w:rsidP="00855286">
            <w:pPr>
              <w:ind w:right="-29"/>
              <w:jc w:val="center"/>
              <w:rPr>
                <w:noProof/>
                <w:sz w:val="18"/>
                <w:szCs w:val="18"/>
              </w:rPr>
            </w:pPr>
          </w:p>
        </w:tc>
        <w:tc>
          <w:tcPr>
            <w:tcW w:w="565" w:type="dxa"/>
            <w:tcBorders>
              <w:bottom w:val="single" w:sz="12" w:space="0" w:color="auto"/>
            </w:tcBorders>
            <w:vAlign w:val="center"/>
          </w:tcPr>
          <w:p w:rsidR="00B66551" w:rsidRPr="003409C9" w:rsidRDefault="00B66551" w:rsidP="00855286">
            <w:pPr>
              <w:ind w:right="-29"/>
              <w:jc w:val="center"/>
              <w:rPr>
                <w:noProof/>
                <w:sz w:val="18"/>
                <w:szCs w:val="18"/>
              </w:rPr>
            </w:pPr>
            <w:r w:rsidRPr="003409C9">
              <w:rPr>
                <w:noProof/>
                <w:sz w:val="18"/>
              </w:rPr>
              <w:t>9,083</w:t>
            </w:r>
          </w:p>
        </w:tc>
        <w:tc>
          <w:tcPr>
            <w:tcW w:w="565" w:type="dxa"/>
            <w:tcBorders>
              <w:bottom w:val="single" w:sz="12" w:space="0" w:color="auto"/>
            </w:tcBorders>
            <w:vAlign w:val="center"/>
          </w:tcPr>
          <w:p w:rsidR="00B66551" w:rsidRPr="003409C9" w:rsidRDefault="00B66551" w:rsidP="00855286">
            <w:pPr>
              <w:ind w:right="-29"/>
              <w:jc w:val="center"/>
              <w:rPr>
                <w:noProof/>
                <w:sz w:val="18"/>
                <w:szCs w:val="18"/>
              </w:rPr>
            </w:pPr>
          </w:p>
        </w:tc>
        <w:tc>
          <w:tcPr>
            <w:tcW w:w="565" w:type="dxa"/>
            <w:tcBorders>
              <w:bottom w:val="single" w:sz="12" w:space="0" w:color="auto"/>
            </w:tcBorders>
            <w:vAlign w:val="center"/>
          </w:tcPr>
          <w:p w:rsidR="00B66551" w:rsidRPr="003409C9" w:rsidRDefault="00B66551" w:rsidP="00855286">
            <w:pPr>
              <w:ind w:right="-29"/>
              <w:jc w:val="center"/>
              <w:rPr>
                <w:noProof/>
                <w:sz w:val="18"/>
                <w:szCs w:val="18"/>
              </w:rPr>
            </w:pPr>
            <w:r w:rsidRPr="003409C9">
              <w:rPr>
                <w:noProof/>
                <w:sz w:val="18"/>
              </w:rPr>
              <w:t>9,083</w:t>
            </w:r>
          </w:p>
        </w:tc>
        <w:tc>
          <w:tcPr>
            <w:tcW w:w="565" w:type="dxa"/>
            <w:tcBorders>
              <w:bottom w:val="single" w:sz="12" w:space="0" w:color="auto"/>
            </w:tcBorders>
            <w:vAlign w:val="center"/>
          </w:tcPr>
          <w:p w:rsidR="00B66551" w:rsidRPr="003409C9" w:rsidRDefault="00B66551" w:rsidP="00855286">
            <w:pPr>
              <w:ind w:right="-29"/>
              <w:jc w:val="center"/>
              <w:rPr>
                <w:noProof/>
                <w:sz w:val="18"/>
                <w:szCs w:val="18"/>
              </w:rPr>
            </w:pPr>
          </w:p>
        </w:tc>
        <w:tc>
          <w:tcPr>
            <w:tcW w:w="565" w:type="dxa"/>
            <w:tcBorders>
              <w:bottom w:val="single" w:sz="12" w:space="0" w:color="auto"/>
            </w:tcBorders>
            <w:vAlign w:val="center"/>
          </w:tcPr>
          <w:p w:rsidR="00B66551" w:rsidRPr="003409C9" w:rsidRDefault="00B66551" w:rsidP="00855286">
            <w:pPr>
              <w:ind w:right="-29"/>
              <w:jc w:val="center"/>
              <w:rPr>
                <w:noProof/>
                <w:sz w:val="18"/>
                <w:szCs w:val="18"/>
              </w:rPr>
            </w:pPr>
            <w:r w:rsidRPr="003409C9">
              <w:rPr>
                <w:noProof/>
                <w:sz w:val="18"/>
              </w:rPr>
              <w:t>9,083</w:t>
            </w:r>
          </w:p>
        </w:tc>
        <w:tc>
          <w:tcPr>
            <w:tcW w:w="565" w:type="dxa"/>
            <w:tcBorders>
              <w:bottom w:val="single" w:sz="12" w:space="0" w:color="auto"/>
            </w:tcBorders>
            <w:vAlign w:val="center"/>
          </w:tcPr>
          <w:p w:rsidR="00B66551" w:rsidRPr="003409C9" w:rsidRDefault="00B66551" w:rsidP="00855286">
            <w:pPr>
              <w:ind w:right="-29"/>
              <w:jc w:val="center"/>
              <w:rPr>
                <w:noProof/>
                <w:sz w:val="18"/>
                <w:szCs w:val="18"/>
              </w:rPr>
            </w:pPr>
          </w:p>
        </w:tc>
        <w:tc>
          <w:tcPr>
            <w:tcW w:w="565" w:type="dxa"/>
            <w:tcBorders>
              <w:bottom w:val="single" w:sz="12" w:space="0" w:color="auto"/>
            </w:tcBorders>
            <w:vAlign w:val="center"/>
          </w:tcPr>
          <w:p w:rsidR="00B66551" w:rsidRPr="003409C9" w:rsidRDefault="00B66551" w:rsidP="00855286">
            <w:pPr>
              <w:ind w:right="-29"/>
              <w:jc w:val="center"/>
              <w:rPr>
                <w:noProof/>
                <w:sz w:val="18"/>
                <w:szCs w:val="18"/>
              </w:rPr>
            </w:pPr>
            <w:r w:rsidRPr="003409C9">
              <w:rPr>
                <w:noProof/>
                <w:sz w:val="18"/>
              </w:rPr>
              <w:t>9,083</w:t>
            </w:r>
          </w:p>
        </w:tc>
        <w:tc>
          <w:tcPr>
            <w:tcW w:w="565" w:type="dxa"/>
            <w:tcBorders>
              <w:bottom w:val="single" w:sz="12" w:space="0" w:color="auto"/>
            </w:tcBorders>
            <w:vAlign w:val="center"/>
          </w:tcPr>
          <w:p w:rsidR="00B66551" w:rsidRPr="003409C9" w:rsidRDefault="00B66551" w:rsidP="00855286">
            <w:pPr>
              <w:ind w:right="-29"/>
              <w:jc w:val="center"/>
              <w:rPr>
                <w:noProof/>
                <w:sz w:val="18"/>
                <w:szCs w:val="18"/>
              </w:rPr>
            </w:pPr>
          </w:p>
        </w:tc>
        <w:tc>
          <w:tcPr>
            <w:tcW w:w="565" w:type="dxa"/>
            <w:tcBorders>
              <w:bottom w:val="single" w:sz="12" w:space="0" w:color="auto"/>
            </w:tcBorders>
            <w:vAlign w:val="center"/>
          </w:tcPr>
          <w:p w:rsidR="00B66551" w:rsidRPr="003409C9" w:rsidRDefault="00B66551" w:rsidP="00855286">
            <w:pPr>
              <w:ind w:right="-29"/>
              <w:jc w:val="center"/>
              <w:rPr>
                <w:noProof/>
                <w:sz w:val="18"/>
                <w:szCs w:val="18"/>
              </w:rPr>
            </w:pPr>
            <w:r w:rsidRPr="003409C9">
              <w:rPr>
                <w:noProof/>
                <w:sz w:val="18"/>
              </w:rPr>
              <w:t>9,083</w:t>
            </w:r>
          </w:p>
        </w:tc>
        <w:tc>
          <w:tcPr>
            <w:tcW w:w="482" w:type="dxa"/>
            <w:tcBorders>
              <w:bottom w:val="single" w:sz="12" w:space="0" w:color="auto"/>
            </w:tcBorders>
            <w:vAlign w:val="center"/>
          </w:tcPr>
          <w:p w:rsidR="00B66551" w:rsidRPr="003409C9" w:rsidRDefault="00B66551" w:rsidP="00855286">
            <w:pPr>
              <w:ind w:right="-29"/>
              <w:jc w:val="center"/>
              <w:rPr>
                <w:noProof/>
                <w:sz w:val="18"/>
                <w:szCs w:val="18"/>
              </w:rPr>
            </w:pPr>
          </w:p>
        </w:tc>
        <w:tc>
          <w:tcPr>
            <w:tcW w:w="1103" w:type="dxa"/>
            <w:gridSpan w:val="2"/>
            <w:tcBorders>
              <w:bottom w:val="single" w:sz="12" w:space="0" w:color="auto"/>
            </w:tcBorders>
            <w:vAlign w:val="center"/>
          </w:tcPr>
          <w:p w:rsidR="00B66551" w:rsidRPr="00BB07AF" w:rsidRDefault="00B66551" w:rsidP="00855286">
            <w:pPr>
              <w:ind w:right="-29"/>
              <w:jc w:val="center"/>
              <w:rPr>
                <w:b/>
                <w:noProof/>
                <w:sz w:val="18"/>
                <w:szCs w:val="18"/>
              </w:rPr>
            </w:pPr>
            <w:r w:rsidRPr="00BB07AF">
              <w:rPr>
                <w:b/>
                <w:noProof/>
                <w:sz w:val="18"/>
              </w:rPr>
              <w:t>103,575</w:t>
            </w:r>
          </w:p>
        </w:tc>
      </w:tr>
      <w:tr w:rsidR="00B66551" w:rsidRPr="003409C9" w:rsidTr="00B66551">
        <w:trPr>
          <w:gridAfter w:val="1"/>
          <w:wAfter w:w="33" w:type="dxa"/>
          <w:jc w:val="center"/>
        </w:trPr>
        <w:tc>
          <w:tcPr>
            <w:tcW w:w="2829" w:type="dxa"/>
            <w:gridSpan w:val="3"/>
            <w:vAlign w:val="center"/>
          </w:tcPr>
          <w:p w:rsidR="00B66551" w:rsidRPr="003409C9" w:rsidRDefault="00B66551" w:rsidP="00855286">
            <w:pPr>
              <w:spacing w:before="60" w:after="60"/>
              <w:ind w:right="-29"/>
              <w:jc w:val="center"/>
              <w:rPr>
                <w:noProof/>
                <w:sz w:val="18"/>
                <w:szCs w:val="18"/>
              </w:rPr>
            </w:pPr>
            <w:r w:rsidRPr="003409C9">
              <w:rPr>
                <w:noProof/>
                <w:sz w:val="18"/>
              </w:rPr>
              <w:t>CEL SZCZEGÓŁOWY nr</w:t>
            </w:r>
            <w:r w:rsidR="003409C9" w:rsidRPr="003409C9">
              <w:rPr>
                <w:noProof/>
                <w:sz w:val="18"/>
              </w:rPr>
              <w:t> </w:t>
            </w:r>
            <w:r w:rsidRPr="003409C9">
              <w:rPr>
                <w:noProof/>
                <w:sz w:val="18"/>
              </w:rPr>
              <w:t>1</w:t>
            </w:r>
          </w:p>
        </w:tc>
        <w:tc>
          <w:tcPr>
            <w:tcW w:w="502" w:type="dxa"/>
            <w:vAlign w:val="center"/>
          </w:tcPr>
          <w:p w:rsidR="00B66551" w:rsidRPr="003409C9" w:rsidRDefault="00B66551" w:rsidP="00855286">
            <w:pPr>
              <w:spacing w:before="60" w:after="60"/>
              <w:ind w:right="-29"/>
              <w:jc w:val="center"/>
              <w:rPr>
                <w:noProof/>
                <w:sz w:val="18"/>
                <w:szCs w:val="18"/>
              </w:rPr>
            </w:pPr>
          </w:p>
        </w:tc>
        <w:tc>
          <w:tcPr>
            <w:tcW w:w="502" w:type="dxa"/>
            <w:vAlign w:val="center"/>
          </w:tcPr>
          <w:p w:rsidR="00B66551" w:rsidRPr="003409C9" w:rsidRDefault="00B66551" w:rsidP="00855286">
            <w:pPr>
              <w:spacing w:before="60" w:after="60"/>
              <w:ind w:right="-29"/>
              <w:jc w:val="center"/>
              <w:rPr>
                <w:noProof/>
                <w:sz w:val="18"/>
                <w:szCs w:val="18"/>
              </w:rPr>
            </w:pPr>
          </w:p>
        </w:tc>
        <w:tc>
          <w:tcPr>
            <w:tcW w:w="502"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74"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424"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482"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1103" w:type="dxa"/>
            <w:gridSpan w:val="2"/>
            <w:tcBorders>
              <w:top w:val="nil"/>
              <w:left w:val="nil"/>
              <w:bottom w:val="nil"/>
              <w:right w:val="nil"/>
            </w:tcBorders>
            <w:vAlign w:val="center"/>
          </w:tcPr>
          <w:p w:rsidR="00B66551" w:rsidRPr="00BB07AF" w:rsidRDefault="00B66551" w:rsidP="00855286">
            <w:pPr>
              <w:spacing w:before="60" w:after="60"/>
              <w:ind w:right="-29"/>
              <w:jc w:val="center"/>
              <w:rPr>
                <w:b/>
                <w:noProof/>
                <w:sz w:val="18"/>
                <w:szCs w:val="18"/>
              </w:rPr>
            </w:pPr>
          </w:p>
        </w:tc>
      </w:tr>
      <w:tr w:rsidR="00B66551" w:rsidRPr="003409C9" w:rsidTr="00B66551">
        <w:trPr>
          <w:gridAfter w:val="1"/>
          <w:wAfter w:w="33" w:type="dxa"/>
          <w:trHeight w:hRule="exact" w:val="369"/>
          <w:jc w:val="center"/>
        </w:trPr>
        <w:tc>
          <w:tcPr>
            <w:tcW w:w="1559" w:type="dxa"/>
          </w:tcPr>
          <w:p w:rsidR="00B66551" w:rsidRPr="003409C9" w:rsidRDefault="00B66551" w:rsidP="00855286">
            <w:pPr>
              <w:ind w:right="-29"/>
              <w:jc w:val="center"/>
              <w:rPr>
                <w:noProof/>
                <w:sz w:val="14"/>
                <w:szCs w:val="18"/>
              </w:rPr>
            </w:pPr>
            <w:r w:rsidRPr="003409C9">
              <w:rPr>
                <w:noProof/>
                <w:sz w:val="14"/>
              </w:rPr>
              <w:t>- Utworzenie połączenia</w:t>
            </w:r>
            <w:r w:rsidR="003409C9" w:rsidRPr="003409C9">
              <w:rPr>
                <w:noProof/>
                <w:sz w:val="14"/>
              </w:rPr>
              <w:t xml:space="preserve"> z pań</w:t>
            </w:r>
            <w:r w:rsidRPr="003409C9">
              <w:rPr>
                <w:noProof/>
                <w:sz w:val="14"/>
              </w:rPr>
              <w:t>stwami członkowskimi</w:t>
            </w:r>
          </w:p>
        </w:tc>
        <w:tc>
          <w:tcPr>
            <w:tcW w:w="573" w:type="dxa"/>
          </w:tcPr>
          <w:p w:rsidR="00B66551" w:rsidRPr="003409C9" w:rsidRDefault="00B66551" w:rsidP="00855286">
            <w:pPr>
              <w:ind w:right="-29"/>
              <w:jc w:val="center"/>
              <w:rPr>
                <w:noProof/>
                <w:sz w:val="18"/>
                <w:szCs w:val="18"/>
              </w:rPr>
            </w:pPr>
            <w:r w:rsidRPr="003409C9">
              <w:rPr>
                <w:noProof/>
                <w:sz w:val="18"/>
              </w:rPr>
              <w:t>26</w:t>
            </w:r>
          </w:p>
        </w:tc>
        <w:tc>
          <w:tcPr>
            <w:tcW w:w="697" w:type="dxa"/>
          </w:tcPr>
          <w:p w:rsidR="00B66551" w:rsidRPr="003409C9" w:rsidRDefault="00B66551" w:rsidP="00855286">
            <w:pPr>
              <w:ind w:right="-29"/>
              <w:jc w:val="center"/>
              <w:rPr>
                <w:noProof/>
                <w:sz w:val="18"/>
                <w:szCs w:val="18"/>
              </w:rPr>
            </w:pPr>
            <w:r w:rsidRPr="003409C9">
              <w:rPr>
                <w:noProof/>
                <w:sz w:val="18"/>
              </w:rPr>
              <w:t>1,031</w:t>
            </w:r>
          </w:p>
        </w:tc>
        <w:tc>
          <w:tcPr>
            <w:tcW w:w="502" w:type="dxa"/>
            <w:vAlign w:val="center"/>
          </w:tcPr>
          <w:p w:rsidR="00B66551" w:rsidRPr="003409C9" w:rsidRDefault="00B66551" w:rsidP="00855286">
            <w:pPr>
              <w:ind w:right="-29"/>
              <w:jc w:val="center"/>
              <w:rPr>
                <w:b/>
                <w:noProof/>
                <w:sz w:val="18"/>
                <w:szCs w:val="18"/>
              </w:rPr>
            </w:pPr>
          </w:p>
        </w:tc>
        <w:tc>
          <w:tcPr>
            <w:tcW w:w="502" w:type="dxa"/>
            <w:vAlign w:val="center"/>
          </w:tcPr>
          <w:p w:rsidR="00B66551" w:rsidRPr="003409C9" w:rsidRDefault="00B66551" w:rsidP="00855286">
            <w:pPr>
              <w:ind w:right="-29"/>
              <w:jc w:val="right"/>
              <w:rPr>
                <w:b/>
                <w:noProof/>
                <w:sz w:val="18"/>
                <w:szCs w:val="18"/>
              </w:rPr>
            </w:pPr>
          </w:p>
        </w:tc>
        <w:tc>
          <w:tcPr>
            <w:tcW w:w="502" w:type="dxa"/>
            <w:vAlign w:val="center"/>
          </w:tcPr>
          <w:p w:rsidR="00B66551" w:rsidRPr="003409C9" w:rsidRDefault="00B66551" w:rsidP="00855286">
            <w:pPr>
              <w:ind w:right="-29"/>
              <w:jc w:val="right"/>
              <w:rPr>
                <w:b/>
                <w:noProof/>
                <w:sz w:val="18"/>
                <w:szCs w:val="18"/>
              </w:rPr>
            </w:pPr>
          </w:p>
        </w:tc>
        <w:tc>
          <w:tcPr>
            <w:tcW w:w="574" w:type="dxa"/>
            <w:vAlign w:val="center"/>
          </w:tcPr>
          <w:p w:rsidR="00B66551" w:rsidRPr="003409C9" w:rsidRDefault="00B66551" w:rsidP="00855286">
            <w:pPr>
              <w:ind w:right="-29"/>
              <w:jc w:val="right"/>
              <w:rPr>
                <w:b/>
                <w:noProof/>
                <w:sz w:val="18"/>
                <w:szCs w:val="18"/>
              </w:rPr>
            </w:pPr>
          </w:p>
        </w:tc>
        <w:tc>
          <w:tcPr>
            <w:tcW w:w="565" w:type="dxa"/>
            <w:vAlign w:val="center"/>
          </w:tcPr>
          <w:p w:rsidR="00B66551" w:rsidRPr="003409C9" w:rsidRDefault="00B66551" w:rsidP="00855286">
            <w:pPr>
              <w:ind w:right="-29"/>
              <w:jc w:val="right"/>
              <w:rPr>
                <w:b/>
                <w:noProof/>
                <w:sz w:val="18"/>
                <w:szCs w:val="18"/>
              </w:rPr>
            </w:pPr>
          </w:p>
        </w:tc>
        <w:tc>
          <w:tcPr>
            <w:tcW w:w="565" w:type="dxa"/>
            <w:vAlign w:val="center"/>
          </w:tcPr>
          <w:p w:rsidR="00B66551" w:rsidRPr="00BB07AF" w:rsidRDefault="00B66551" w:rsidP="00855286">
            <w:pPr>
              <w:ind w:right="-29"/>
              <w:jc w:val="right"/>
              <w:rPr>
                <w:b/>
                <w:noProof/>
                <w:sz w:val="18"/>
                <w:szCs w:val="18"/>
              </w:rPr>
            </w:pPr>
          </w:p>
        </w:tc>
        <w:tc>
          <w:tcPr>
            <w:tcW w:w="565" w:type="dxa"/>
            <w:vAlign w:val="center"/>
          </w:tcPr>
          <w:p w:rsidR="00B66551" w:rsidRPr="00BB07AF" w:rsidRDefault="00B66551" w:rsidP="00F26332">
            <w:pPr>
              <w:ind w:right="-29"/>
              <w:jc w:val="center"/>
              <w:rPr>
                <w:b/>
                <w:noProof/>
                <w:sz w:val="18"/>
                <w:szCs w:val="18"/>
              </w:rPr>
            </w:pPr>
            <w:r w:rsidRPr="003409C9">
              <w:rPr>
                <w:noProof/>
                <w:color w:val="000000"/>
                <w:sz w:val="18"/>
              </w:rPr>
              <w:t>8</w:t>
            </w:r>
          </w:p>
        </w:tc>
        <w:tc>
          <w:tcPr>
            <w:tcW w:w="565" w:type="dxa"/>
            <w:vAlign w:val="center"/>
          </w:tcPr>
          <w:p w:rsidR="00B66551" w:rsidRPr="00BB07AF" w:rsidRDefault="00B66551" w:rsidP="00855286">
            <w:pPr>
              <w:ind w:right="-29"/>
              <w:jc w:val="right"/>
              <w:rPr>
                <w:b/>
                <w:noProof/>
                <w:sz w:val="18"/>
                <w:szCs w:val="18"/>
              </w:rPr>
            </w:pPr>
            <w:r w:rsidRPr="003409C9">
              <w:rPr>
                <w:noProof/>
                <w:color w:val="000000"/>
                <w:sz w:val="18"/>
              </w:rPr>
              <w:t>8,250</w:t>
            </w:r>
          </w:p>
        </w:tc>
        <w:tc>
          <w:tcPr>
            <w:tcW w:w="565" w:type="dxa"/>
            <w:vAlign w:val="center"/>
          </w:tcPr>
          <w:p w:rsidR="00B66551" w:rsidRPr="00BB07AF" w:rsidRDefault="00B66551" w:rsidP="00F26332">
            <w:pPr>
              <w:ind w:right="-29"/>
              <w:jc w:val="center"/>
              <w:rPr>
                <w:b/>
                <w:noProof/>
                <w:sz w:val="18"/>
                <w:szCs w:val="18"/>
              </w:rPr>
            </w:pPr>
            <w:r w:rsidRPr="003409C9">
              <w:rPr>
                <w:noProof/>
                <w:color w:val="000000"/>
                <w:sz w:val="18"/>
              </w:rPr>
              <w:t>6</w:t>
            </w:r>
          </w:p>
        </w:tc>
        <w:tc>
          <w:tcPr>
            <w:tcW w:w="565" w:type="dxa"/>
            <w:vAlign w:val="center"/>
          </w:tcPr>
          <w:p w:rsidR="00B66551" w:rsidRPr="00BB07AF" w:rsidRDefault="00B66551" w:rsidP="00855286">
            <w:pPr>
              <w:ind w:right="-29"/>
              <w:jc w:val="right"/>
              <w:rPr>
                <w:b/>
                <w:noProof/>
                <w:sz w:val="18"/>
                <w:szCs w:val="18"/>
              </w:rPr>
            </w:pPr>
            <w:r w:rsidRPr="003409C9">
              <w:rPr>
                <w:noProof/>
                <w:color w:val="000000"/>
                <w:sz w:val="18"/>
              </w:rPr>
              <w:t>6,188</w:t>
            </w:r>
          </w:p>
        </w:tc>
        <w:tc>
          <w:tcPr>
            <w:tcW w:w="424" w:type="dxa"/>
            <w:vAlign w:val="center"/>
          </w:tcPr>
          <w:p w:rsidR="00B66551" w:rsidRPr="00BB07AF" w:rsidRDefault="00B66551" w:rsidP="00F26332">
            <w:pPr>
              <w:ind w:right="-29"/>
              <w:jc w:val="center"/>
              <w:rPr>
                <w:b/>
                <w:noProof/>
                <w:sz w:val="18"/>
                <w:szCs w:val="18"/>
              </w:rPr>
            </w:pPr>
            <w:r w:rsidRPr="003409C9">
              <w:rPr>
                <w:noProof/>
                <w:color w:val="000000"/>
                <w:sz w:val="18"/>
              </w:rPr>
              <w:t>6</w:t>
            </w:r>
          </w:p>
        </w:tc>
        <w:tc>
          <w:tcPr>
            <w:tcW w:w="565" w:type="dxa"/>
            <w:vAlign w:val="center"/>
          </w:tcPr>
          <w:p w:rsidR="00B66551" w:rsidRPr="00BB07AF" w:rsidRDefault="00B66551" w:rsidP="00855286">
            <w:pPr>
              <w:ind w:right="-29"/>
              <w:jc w:val="right"/>
              <w:rPr>
                <w:b/>
                <w:noProof/>
                <w:sz w:val="18"/>
                <w:szCs w:val="18"/>
              </w:rPr>
            </w:pPr>
            <w:r w:rsidRPr="003409C9">
              <w:rPr>
                <w:noProof/>
                <w:color w:val="000000"/>
                <w:sz w:val="18"/>
              </w:rPr>
              <w:t>6,188</w:t>
            </w:r>
          </w:p>
        </w:tc>
        <w:tc>
          <w:tcPr>
            <w:tcW w:w="565" w:type="dxa"/>
            <w:vAlign w:val="center"/>
          </w:tcPr>
          <w:p w:rsidR="00B66551" w:rsidRPr="00BB07AF" w:rsidRDefault="00B66551" w:rsidP="00F26332">
            <w:pPr>
              <w:ind w:right="-29"/>
              <w:jc w:val="center"/>
              <w:rPr>
                <w:b/>
                <w:noProof/>
                <w:sz w:val="18"/>
                <w:szCs w:val="18"/>
              </w:rPr>
            </w:pPr>
            <w:r w:rsidRPr="003409C9">
              <w:rPr>
                <w:noProof/>
                <w:color w:val="000000"/>
                <w:sz w:val="18"/>
              </w:rPr>
              <w:t>6</w:t>
            </w:r>
          </w:p>
        </w:tc>
        <w:tc>
          <w:tcPr>
            <w:tcW w:w="565" w:type="dxa"/>
            <w:vAlign w:val="center"/>
          </w:tcPr>
          <w:p w:rsidR="00B66551" w:rsidRPr="003409C9" w:rsidRDefault="00B66551" w:rsidP="00855286">
            <w:pPr>
              <w:ind w:right="-29"/>
              <w:jc w:val="right"/>
              <w:rPr>
                <w:b/>
                <w:noProof/>
                <w:sz w:val="18"/>
                <w:szCs w:val="18"/>
              </w:rPr>
            </w:pPr>
            <w:r w:rsidRPr="003409C9">
              <w:rPr>
                <w:noProof/>
                <w:color w:val="000000"/>
                <w:sz w:val="18"/>
              </w:rPr>
              <w:t>6,188</w:t>
            </w:r>
          </w:p>
        </w:tc>
        <w:tc>
          <w:tcPr>
            <w:tcW w:w="565" w:type="dxa"/>
            <w:vAlign w:val="center"/>
          </w:tcPr>
          <w:p w:rsidR="00B66551" w:rsidRPr="003409C9" w:rsidRDefault="00B66551" w:rsidP="00855286">
            <w:pPr>
              <w:ind w:right="-29"/>
              <w:jc w:val="right"/>
              <w:rPr>
                <w:b/>
                <w:noProof/>
                <w:sz w:val="18"/>
                <w:szCs w:val="18"/>
              </w:rPr>
            </w:pPr>
          </w:p>
        </w:tc>
        <w:tc>
          <w:tcPr>
            <w:tcW w:w="565" w:type="dxa"/>
            <w:vAlign w:val="center"/>
          </w:tcPr>
          <w:p w:rsidR="00B66551" w:rsidRPr="003409C9" w:rsidRDefault="00B66551" w:rsidP="00855286">
            <w:pPr>
              <w:ind w:right="-29"/>
              <w:jc w:val="right"/>
              <w:rPr>
                <w:b/>
                <w:noProof/>
                <w:sz w:val="18"/>
                <w:szCs w:val="18"/>
              </w:rPr>
            </w:pPr>
          </w:p>
        </w:tc>
        <w:tc>
          <w:tcPr>
            <w:tcW w:w="565" w:type="dxa"/>
            <w:vAlign w:val="center"/>
          </w:tcPr>
          <w:p w:rsidR="00B66551" w:rsidRPr="003409C9" w:rsidRDefault="00B66551" w:rsidP="00855286">
            <w:pPr>
              <w:ind w:right="-29"/>
              <w:jc w:val="right"/>
              <w:rPr>
                <w:b/>
                <w:noProof/>
                <w:sz w:val="18"/>
                <w:szCs w:val="18"/>
              </w:rPr>
            </w:pPr>
          </w:p>
        </w:tc>
        <w:tc>
          <w:tcPr>
            <w:tcW w:w="565" w:type="dxa"/>
            <w:vAlign w:val="center"/>
          </w:tcPr>
          <w:p w:rsidR="00B66551" w:rsidRPr="003409C9" w:rsidRDefault="00B66551" w:rsidP="00855286">
            <w:pPr>
              <w:ind w:right="-29"/>
              <w:jc w:val="right"/>
              <w:rPr>
                <w:b/>
                <w:noProof/>
                <w:sz w:val="18"/>
                <w:szCs w:val="18"/>
              </w:rPr>
            </w:pPr>
          </w:p>
        </w:tc>
        <w:tc>
          <w:tcPr>
            <w:tcW w:w="565" w:type="dxa"/>
            <w:vAlign w:val="center"/>
          </w:tcPr>
          <w:p w:rsidR="00B66551" w:rsidRPr="003409C9" w:rsidRDefault="00B66551" w:rsidP="00855286">
            <w:pPr>
              <w:ind w:right="-29"/>
              <w:jc w:val="right"/>
              <w:rPr>
                <w:b/>
                <w:noProof/>
                <w:sz w:val="18"/>
                <w:szCs w:val="18"/>
              </w:rPr>
            </w:pPr>
          </w:p>
        </w:tc>
        <w:tc>
          <w:tcPr>
            <w:tcW w:w="565" w:type="dxa"/>
            <w:vAlign w:val="center"/>
          </w:tcPr>
          <w:p w:rsidR="00B66551" w:rsidRPr="003409C9" w:rsidRDefault="00B66551" w:rsidP="00855286">
            <w:pPr>
              <w:ind w:right="-29"/>
              <w:jc w:val="right"/>
              <w:rPr>
                <w:b/>
                <w:noProof/>
                <w:sz w:val="18"/>
                <w:szCs w:val="18"/>
              </w:rPr>
            </w:pPr>
          </w:p>
        </w:tc>
        <w:tc>
          <w:tcPr>
            <w:tcW w:w="565" w:type="dxa"/>
            <w:vAlign w:val="center"/>
          </w:tcPr>
          <w:p w:rsidR="00B66551" w:rsidRPr="003409C9" w:rsidRDefault="00B66551" w:rsidP="00855286">
            <w:pPr>
              <w:ind w:right="-29"/>
              <w:jc w:val="right"/>
              <w:rPr>
                <w:b/>
                <w:noProof/>
                <w:sz w:val="18"/>
                <w:szCs w:val="18"/>
              </w:rPr>
            </w:pPr>
          </w:p>
        </w:tc>
        <w:tc>
          <w:tcPr>
            <w:tcW w:w="565" w:type="dxa"/>
            <w:vAlign w:val="center"/>
          </w:tcPr>
          <w:p w:rsidR="00B66551" w:rsidRPr="00BB07AF" w:rsidRDefault="00B66551" w:rsidP="00855286">
            <w:pPr>
              <w:ind w:right="-29"/>
              <w:jc w:val="right"/>
              <w:rPr>
                <w:b/>
                <w:noProof/>
                <w:sz w:val="18"/>
                <w:szCs w:val="18"/>
              </w:rPr>
            </w:pPr>
          </w:p>
        </w:tc>
        <w:tc>
          <w:tcPr>
            <w:tcW w:w="482" w:type="dxa"/>
            <w:vAlign w:val="center"/>
          </w:tcPr>
          <w:p w:rsidR="00B66551" w:rsidRPr="003409C9" w:rsidRDefault="00B66551" w:rsidP="00F26332">
            <w:pPr>
              <w:ind w:right="-29"/>
              <w:jc w:val="center"/>
              <w:rPr>
                <w:b/>
                <w:noProof/>
                <w:sz w:val="18"/>
                <w:szCs w:val="18"/>
              </w:rPr>
            </w:pPr>
            <w:r w:rsidRPr="003409C9">
              <w:rPr>
                <w:noProof/>
                <w:sz w:val="18"/>
              </w:rPr>
              <w:t>26</w:t>
            </w:r>
          </w:p>
        </w:tc>
        <w:tc>
          <w:tcPr>
            <w:tcW w:w="1103" w:type="dxa"/>
            <w:gridSpan w:val="2"/>
            <w:vAlign w:val="center"/>
          </w:tcPr>
          <w:p w:rsidR="00B66551" w:rsidRPr="00BB07AF" w:rsidRDefault="00B66551" w:rsidP="00855286">
            <w:pPr>
              <w:ind w:right="-29"/>
              <w:jc w:val="right"/>
              <w:rPr>
                <w:b/>
                <w:noProof/>
                <w:sz w:val="18"/>
                <w:szCs w:val="18"/>
              </w:rPr>
            </w:pPr>
            <w:r w:rsidRPr="00BB07AF">
              <w:rPr>
                <w:b/>
                <w:noProof/>
                <w:sz w:val="18"/>
              </w:rPr>
              <w:t>26,813</w:t>
            </w:r>
          </w:p>
        </w:tc>
      </w:tr>
      <w:tr w:rsidR="00B66551" w:rsidRPr="003409C9" w:rsidTr="00B66551">
        <w:trPr>
          <w:trHeight w:hRule="exact" w:val="369"/>
          <w:jc w:val="center"/>
        </w:trPr>
        <w:tc>
          <w:tcPr>
            <w:tcW w:w="1559" w:type="dxa"/>
          </w:tcPr>
          <w:p w:rsidR="00B66551" w:rsidRPr="003409C9" w:rsidRDefault="00B66551" w:rsidP="00855286">
            <w:pPr>
              <w:ind w:right="-29"/>
              <w:jc w:val="center"/>
              <w:rPr>
                <w:noProof/>
                <w:sz w:val="14"/>
                <w:szCs w:val="18"/>
              </w:rPr>
            </w:pPr>
            <w:r w:rsidRPr="003409C9">
              <w:rPr>
                <w:noProof/>
                <w:sz w:val="14"/>
              </w:rPr>
              <w:t>- Utrzymanie podłączenia państw członkowskich</w:t>
            </w:r>
          </w:p>
        </w:tc>
        <w:tc>
          <w:tcPr>
            <w:tcW w:w="573" w:type="dxa"/>
          </w:tcPr>
          <w:p w:rsidR="00B66551" w:rsidRPr="003409C9" w:rsidRDefault="00B66551" w:rsidP="00855286">
            <w:pPr>
              <w:ind w:right="-29"/>
              <w:jc w:val="center"/>
              <w:rPr>
                <w:noProof/>
                <w:sz w:val="18"/>
                <w:szCs w:val="18"/>
              </w:rPr>
            </w:pPr>
            <w:r w:rsidRPr="003409C9">
              <w:rPr>
                <w:noProof/>
                <w:sz w:val="18"/>
              </w:rPr>
              <w:t>26</w:t>
            </w:r>
          </w:p>
        </w:tc>
        <w:tc>
          <w:tcPr>
            <w:tcW w:w="697" w:type="dxa"/>
          </w:tcPr>
          <w:p w:rsidR="00B66551" w:rsidRPr="003409C9" w:rsidRDefault="00B66551" w:rsidP="00855286">
            <w:pPr>
              <w:ind w:right="-29"/>
              <w:jc w:val="center"/>
              <w:rPr>
                <w:noProof/>
                <w:sz w:val="18"/>
                <w:szCs w:val="18"/>
              </w:rPr>
            </w:pPr>
            <w:r w:rsidRPr="003409C9">
              <w:rPr>
                <w:noProof/>
                <w:sz w:val="18"/>
              </w:rPr>
              <w:t>0.206</w:t>
            </w:r>
          </w:p>
        </w:tc>
        <w:tc>
          <w:tcPr>
            <w:tcW w:w="502" w:type="dxa"/>
            <w:vAlign w:val="center"/>
          </w:tcPr>
          <w:p w:rsidR="00B66551" w:rsidRPr="003409C9" w:rsidRDefault="00B66551" w:rsidP="00855286">
            <w:pPr>
              <w:ind w:right="-29"/>
              <w:jc w:val="center"/>
              <w:rPr>
                <w:b/>
                <w:noProof/>
                <w:sz w:val="18"/>
                <w:szCs w:val="18"/>
              </w:rPr>
            </w:pPr>
          </w:p>
        </w:tc>
        <w:tc>
          <w:tcPr>
            <w:tcW w:w="502" w:type="dxa"/>
            <w:vAlign w:val="center"/>
          </w:tcPr>
          <w:p w:rsidR="00B66551" w:rsidRPr="003409C9" w:rsidRDefault="00B66551" w:rsidP="00855286">
            <w:pPr>
              <w:ind w:right="-29"/>
              <w:jc w:val="right"/>
              <w:rPr>
                <w:b/>
                <w:noProof/>
                <w:sz w:val="18"/>
                <w:szCs w:val="18"/>
              </w:rPr>
            </w:pPr>
          </w:p>
        </w:tc>
        <w:tc>
          <w:tcPr>
            <w:tcW w:w="502" w:type="dxa"/>
            <w:vAlign w:val="center"/>
          </w:tcPr>
          <w:p w:rsidR="00B66551" w:rsidRPr="003409C9" w:rsidRDefault="00B66551" w:rsidP="00855286">
            <w:pPr>
              <w:ind w:right="-29"/>
              <w:jc w:val="right"/>
              <w:rPr>
                <w:b/>
                <w:noProof/>
                <w:sz w:val="18"/>
                <w:szCs w:val="18"/>
              </w:rPr>
            </w:pPr>
          </w:p>
        </w:tc>
        <w:tc>
          <w:tcPr>
            <w:tcW w:w="574" w:type="dxa"/>
            <w:vAlign w:val="center"/>
          </w:tcPr>
          <w:p w:rsidR="00B66551" w:rsidRPr="003409C9" w:rsidRDefault="00B66551" w:rsidP="00855286">
            <w:pPr>
              <w:ind w:right="-29"/>
              <w:jc w:val="right"/>
              <w:rPr>
                <w:b/>
                <w:noProof/>
                <w:sz w:val="18"/>
                <w:szCs w:val="18"/>
              </w:rPr>
            </w:pPr>
          </w:p>
        </w:tc>
        <w:tc>
          <w:tcPr>
            <w:tcW w:w="565" w:type="dxa"/>
            <w:vAlign w:val="center"/>
          </w:tcPr>
          <w:p w:rsidR="00B66551" w:rsidRPr="003409C9" w:rsidRDefault="00B66551" w:rsidP="00855286">
            <w:pPr>
              <w:ind w:right="-29"/>
              <w:jc w:val="right"/>
              <w:rPr>
                <w:b/>
                <w:noProof/>
                <w:sz w:val="18"/>
                <w:szCs w:val="18"/>
              </w:rPr>
            </w:pPr>
          </w:p>
        </w:tc>
        <w:tc>
          <w:tcPr>
            <w:tcW w:w="565" w:type="dxa"/>
            <w:vAlign w:val="center"/>
          </w:tcPr>
          <w:p w:rsidR="00B66551" w:rsidRPr="00BB07AF" w:rsidRDefault="00B66551" w:rsidP="00855286">
            <w:pPr>
              <w:ind w:right="-29"/>
              <w:jc w:val="right"/>
              <w:rPr>
                <w:b/>
                <w:noProof/>
                <w:sz w:val="18"/>
                <w:szCs w:val="18"/>
              </w:rPr>
            </w:pPr>
          </w:p>
        </w:tc>
        <w:tc>
          <w:tcPr>
            <w:tcW w:w="565" w:type="dxa"/>
            <w:vAlign w:val="center"/>
          </w:tcPr>
          <w:p w:rsidR="00B66551" w:rsidRPr="003409C9" w:rsidRDefault="00B66551" w:rsidP="00855286">
            <w:pPr>
              <w:ind w:right="-29"/>
              <w:jc w:val="right"/>
              <w:rPr>
                <w:noProof/>
                <w:sz w:val="18"/>
                <w:szCs w:val="18"/>
              </w:rPr>
            </w:pPr>
          </w:p>
        </w:tc>
        <w:tc>
          <w:tcPr>
            <w:tcW w:w="565" w:type="dxa"/>
            <w:vAlign w:val="center"/>
          </w:tcPr>
          <w:p w:rsidR="00B66551" w:rsidRPr="003409C9" w:rsidRDefault="00B66551" w:rsidP="00855286">
            <w:pPr>
              <w:ind w:right="-29"/>
              <w:jc w:val="right"/>
              <w:rPr>
                <w:noProof/>
                <w:sz w:val="18"/>
                <w:szCs w:val="18"/>
              </w:rPr>
            </w:pPr>
          </w:p>
        </w:tc>
        <w:tc>
          <w:tcPr>
            <w:tcW w:w="565" w:type="dxa"/>
            <w:vAlign w:val="center"/>
          </w:tcPr>
          <w:p w:rsidR="00B66551" w:rsidRPr="003409C9" w:rsidRDefault="00B66551" w:rsidP="00F26332">
            <w:pPr>
              <w:ind w:right="-29"/>
              <w:jc w:val="center"/>
              <w:rPr>
                <w:noProof/>
                <w:sz w:val="18"/>
                <w:szCs w:val="18"/>
              </w:rPr>
            </w:pPr>
            <w:r w:rsidRPr="003409C9">
              <w:rPr>
                <w:noProof/>
                <w:color w:val="000000"/>
                <w:sz w:val="18"/>
              </w:rPr>
              <w:t>8</w:t>
            </w:r>
          </w:p>
        </w:tc>
        <w:tc>
          <w:tcPr>
            <w:tcW w:w="565" w:type="dxa"/>
            <w:vAlign w:val="center"/>
          </w:tcPr>
          <w:p w:rsidR="00B66551" w:rsidRPr="003409C9" w:rsidRDefault="00B66551" w:rsidP="00855286">
            <w:pPr>
              <w:ind w:right="-29"/>
              <w:jc w:val="right"/>
              <w:rPr>
                <w:noProof/>
                <w:sz w:val="18"/>
                <w:szCs w:val="18"/>
              </w:rPr>
            </w:pPr>
            <w:r w:rsidRPr="003409C9">
              <w:rPr>
                <w:noProof/>
                <w:color w:val="000000"/>
                <w:sz w:val="18"/>
              </w:rPr>
              <w:t>1,650</w:t>
            </w:r>
          </w:p>
        </w:tc>
        <w:tc>
          <w:tcPr>
            <w:tcW w:w="424" w:type="dxa"/>
            <w:vAlign w:val="center"/>
          </w:tcPr>
          <w:p w:rsidR="00B66551" w:rsidRPr="003409C9" w:rsidRDefault="00B66551" w:rsidP="00F26332">
            <w:pPr>
              <w:ind w:right="-29"/>
              <w:jc w:val="center"/>
              <w:rPr>
                <w:noProof/>
                <w:sz w:val="18"/>
                <w:szCs w:val="18"/>
              </w:rPr>
            </w:pPr>
            <w:r w:rsidRPr="003409C9">
              <w:rPr>
                <w:noProof/>
                <w:color w:val="000000"/>
                <w:sz w:val="18"/>
              </w:rPr>
              <w:t>14</w:t>
            </w:r>
          </w:p>
        </w:tc>
        <w:tc>
          <w:tcPr>
            <w:tcW w:w="565" w:type="dxa"/>
            <w:vAlign w:val="center"/>
          </w:tcPr>
          <w:p w:rsidR="00B66551" w:rsidRPr="003409C9" w:rsidRDefault="00B66551" w:rsidP="00855286">
            <w:pPr>
              <w:ind w:right="-29"/>
              <w:jc w:val="right"/>
              <w:rPr>
                <w:noProof/>
                <w:sz w:val="18"/>
                <w:szCs w:val="18"/>
              </w:rPr>
            </w:pPr>
            <w:r w:rsidRPr="003409C9">
              <w:rPr>
                <w:noProof/>
                <w:color w:val="000000"/>
                <w:sz w:val="18"/>
              </w:rPr>
              <w:t>2,888</w:t>
            </w:r>
          </w:p>
        </w:tc>
        <w:tc>
          <w:tcPr>
            <w:tcW w:w="565" w:type="dxa"/>
            <w:vAlign w:val="center"/>
          </w:tcPr>
          <w:p w:rsidR="00B66551" w:rsidRPr="003409C9" w:rsidRDefault="00B66551" w:rsidP="00F26332">
            <w:pPr>
              <w:ind w:right="-29"/>
              <w:jc w:val="center"/>
              <w:rPr>
                <w:noProof/>
                <w:sz w:val="18"/>
                <w:szCs w:val="18"/>
              </w:rPr>
            </w:pPr>
            <w:r w:rsidRPr="003409C9">
              <w:rPr>
                <w:noProof/>
                <w:color w:val="000000"/>
                <w:sz w:val="18"/>
              </w:rPr>
              <w:t>20</w:t>
            </w:r>
          </w:p>
        </w:tc>
        <w:tc>
          <w:tcPr>
            <w:tcW w:w="565" w:type="dxa"/>
            <w:vAlign w:val="center"/>
          </w:tcPr>
          <w:p w:rsidR="00B66551" w:rsidRPr="003409C9" w:rsidRDefault="00B66551" w:rsidP="00855286">
            <w:pPr>
              <w:ind w:right="-29"/>
              <w:jc w:val="right"/>
              <w:rPr>
                <w:noProof/>
                <w:sz w:val="18"/>
                <w:szCs w:val="18"/>
              </w:rPr>
            </w:pPr>
            <w:r w:rsidRPr="003409C9">
              <w:rPr>
                <w:noProof/>
                <w:color w:val="000000"/>
                <w:sz w:val="18"/>
              </w:rPr>
              <w:t>4,125</w:t>
            </w:r>
          </w:p>
        </w:tc>
        <w:tc>
          <w:tcPr>
            <w:tcW w:w="565" w:type="dxa"/>
            <w:vAlign w:val="center"/>
          </w:tcPr>
          <w:p w:rsidR="00B66551" w:rsidRPr="00BB07AF" w:rsidRDefault="00B66551" w:rsidP="00F26332">
            <w:pPr>
              <w:ind w:right="-29"/>
              <w:jc w:val="center"/>
              <w:rPr>
                <w:b/>
                <w:noProof/>
                <w:sz w:val="18"/>
                <w:szCs w:val="18"/>
              </w:rPr>
            </w:pPr>
            <w:r w:rsidRPr="003409C9">
              <w:rPr>
                <w:noProof/>
                <w:color w:val="000000"/>
                <w:sz w:val="18"/>
              </w:rPr>
              <w:t>26</w:t>
            </w:r>
          </w:p>
        </w:tc>
        <w:tc>
          <w:tcPr>
            <w:tcW w:w="565" w:type="dxa"/>
            <w:vAlign w:val="center"/>
          </w:tcPr>
          <w:p w:rsidR="00B66551" w:rsidRPr="00BB07AF" w:rsidRDefault="00B66551" w:rsidP="00855286">
            <w:pPr>
              <w:ind w:right="-29"/>
              <w:jc w:val="right"/>
              <w:rPr>
                <w:b/>
                <w:noProof/>
                <w:sz w:val="18"/>
                <w:szCs w:val="18"/>
              </w:rPr>
            </w:pPr>
            <w:r w:rsidRPr="003409C9">
              <w:rPr>
                <w:noProof/>
                <w:color w:val="000000"/>
                <w:sz w:val="18"/>
              </w:rPr>
              <w:t>5,363</w:t>
            </w:r>
          </w:p>
        </w:tc>
        <w:tc>
          <w:tcPr>
            <w:tcW w:w="565" w:type="dxa"/>
            <w:vAlign w:val="center"/>
          </w:tcPr>
          <w:p w:rsidR="00B66551" w:rsidRPr="00BB07AF" w:rsidRDefault="00B66551" w:rsidP="00F26332">
            <w:pPr>
              <w:ind w:right="-29"/>
              <w:jc w:val="center"/>
              <w:rPr>
                <w:b/>
                <w:noProof/>
                <w:sz w:val="18"/>
                <w:szCs w:val="18"/>
              </w:rPr>
            </w:pPr>
            <w:r w:rsidRPr="003409C9">
              <w:rPr>
                <w:noProof/>
                <w:color w:val="000000"/>
                <w:sz w:val="18"/>
              </w:rPr>
              <w:t>26</w:t>
            </w:r>
          </w:p>
        </w:tc>
        <w:tc>
          <w:tcPr>
            <w:tcW w:w="565" w:type="dxa"/>
            <w:vAlign w:val="center"/>
          </w:tcPr>
          <w:p w:rsidR="00B66551" w:rsidRPr="00BB07AF" w:rsidRDefault="00B66551" w:rsidP="00855286">
            <w:pPr>
              <w:ind w:right="-29"/>
              <w:jc w:val="right"/>
              <w:rPr>
                <w:b/>
                <w:noProof/>
                <w:sz w:val="18"/>
                <w:szCs w:val="18"/>
              </w:rPr>
            </w:pPr>
            <w:r w:rsidRPr="003409C9">
              <w:rPr>
                <w:noProof/>
                <w:color w:val="000000"/>
                <w:sz w:val="18"/>
              </w:rPr>
              <w:t>5,363</w:t>
            </w:r>
          </w:p>
        </w:tc>
        <w:tc>
          <w:tcPr>
            <w:tcW w:w="565" w:type="dxa"/>
            <w:vAlign w:val="center"/>
          </w:tcPr>
          <w:p w:rsidR="00B66551" w:rsidRPr="00BB07AF" w:rsidRDefault="00B66551" w:rsidP="00855286">
            <w:pPr>
              <w:ind w:right="-29"/>
              <w:jc w:val="right"/>
              <w:rPr>
                <w:b/>
                <w:noProof/>
                <w:sz w:val="18"/>
                <w:szCs w:val="18"/>
              </w:rPr>
            </w:pPr>
            <w:r w:rsidRPr="003409C9">
              <w:rPr>
                <w:noProof/>
                <w:color w:val="000000"/>
                <w:sz w:val="18"/>
              </w:rPr>
              <w:t>26</w:t>
            </w:r>
          </w:p>
        </w:tc>
        <w:tc>
          <w:tcPr>
            <w:tcW w:w="565" w:type="dxa"/>
            <w:vAlign w:val="center"/>
          </w:tcPr>
          <w:p w:rsidR="00B66551" w:rsidRPr="00BB07AF" w:rsidRDefault="00B66551" w:rsidP="00855286">
            <w:pPr>
              <w:ind w:right="-29"/>
              <w:jc w:val="right"/>
              <w:rPr>
                <w:b/>
                <w:noProof/>
                <w:sz w:val="18"/>
                <w:szCs w:val="18"/>
              </w:rPr>
            </w:pPr>
            <w:r w:rsidRPr="003409C9">
              <w:rPr>
                <w:noProof/>
                <w:color w:val="000000"/>
                <w:sz w:val="18"/>
              </w:rPr>
              <w:t>5,363</w:t>
            </w:r>
          </w:p>
        </w:tc>
        <w:tc>
          <w:tcPr>
            <w:tcW w:w="565" w:type="dxa"/>
            <w:vAlign w:val="center"/>
          </w:tcPr>
          <w:p w:rsidR="00B66551" w:rsidRPr="00BB07AF" w:rsidRDefault="00B66551" w:rsidP="00855286">
            <w:pPr>
              <w:ind w:right="-29"/>
              <w:jc w:val="right"/>
              <w:rPr>
                <w:b/>
                <w:noProof/>
                <w:sz w:val="18"/>
                <w:szCs w:val="18"/>
              </w:rPr>
            </w:pPr>
            <w:r w:rsidRPr="003409C9">
              <w:rPr>
                <w:noProof/>
                <w:color w:val="000000"/>
                <w:sz w:val="18"/>
              </w:rPr>
              <w:t>26</w:t>
            </w:r>
          </w:p>
        </w:tc>
        <w:tc>
          <w:tcPr>
            <w:tcW w:w="565" w:type="dxa"/>
            <w:vAlign w:val="center"/>
          </w:tcPr>
          <w:p w:rsidR="00B66551" w:rsidRPr="00BB07AF" w:rsidRDefault="00B66551" w:rsidP="00855286">
            <w:pPr>
              <w:ind w:right="-29"/>
              <w:jc w:val="right"/>
              <w:rPr>
                <w:b/>
                <w:noProof/>
                <w:sz w:val="18"/>
                <w:szCs w:val="18"/>
              </w:rPr>
            </w:pPr>
            <w:r w:rsidRPr="003409C9">
              <w:rPr>
                <w:noProof/>
                <w:color w:val="000000"/>
                <w:sz w:val="18"/>
              </w:rPr>
              <w:t>5,363</w:t>
            </w:r>
          </w:p>
        </w:tc>
        <w:tc>
          <w:tcPr>
            <w:tcW w:w="482" w:type="dxa"/>
            <w:vAlign w:val="center"/>
          </w:tcPr>
          <w:p w:rsidR="00B66551" w:rsidRPr="003409C9" w:rsidRDefault="00B66551" w:rsidP="00F26332">
            <w:pPr>
              <w:ind w:right="-29"/>
              <w:jc w:val="center"/>
              <w:rPr>
                <w:noProof/>
                <w:sz w:val="18"/>
                <w:szCs w:val="18"/>
              </w:rPr>
            </w:pPr>
            <w:r w:rsidRPr="003409C9">
              <w:rPr>
                <w:noProof/>
                <w:sz w:val="18"/>
              </w:rPr>
              <w:t>26</w:t>
            </w:r>
          </w:p>
        </w:tc>
        <w:tc>
          <w:tcPr>
            <w:tcW w:w="1136" w:type="dxa"/>
            <w:gridSpan w:val="3"/>
            <w:vAlign w:val="center"/>
          </w:tcPr>
          <w:p w:rsidR="00B66551" w:rsidRPr="00BB07AF" w:rsidRDefault="00B66551" w:rsidP="00855286">
            <w:pPr>
              <w:ind w:right="-29"/>
              <w:jc w:val="right"/>
              <w:rPr>
                <w:b/>
                <w:noProof/>
                <w:sz w:val="18"/>
                <w:szCs w:val="18"/>
              </w:rPr>
            </w:pPr>
            <w:r w:rsidRPr="00BB07AF">
              <w:rPr>
                <w:b/>
                <w:noProof/>
                <w:sz w:val="18"/>
              </w:rPr>
              <w:t>30,113</w:t>
            </w:r>
          </w:p>
        </w:tc>
      </w:tr>
      <w:tr w:rsidR="00B66551" w:rsidRPr="003409C9" w:rsidTr="00B66551">
        <w:trPr>
          <w:gridAfter w:val="1"/>
          <w:wAfter w:w="33" w:type="dxa"/>
          <w:trHeight w:val="77"/>
          <w:jc w:val="center"/>
        </w:trPr>
        <w:tc>
          <w:tcPr>
            <w:tcW w:w="2829" w:type="dxa"/>
            <w:gridSpan w:val="3"/>
            <w:tcBorders>
              <w:bottom w:val="single" w:sz="12" w:space="0" w:color="auto"/>
            </w:tcBorders>
            <w:vAlign w:val="center"/>
          </w:tcPr>
          <w:p w:rsidR="00B66551" w:rsidRPr="003409C9" w:rsidRDefault="00B66551" w:rsidP="00855286">
            <w:pPr>
              <w:ind w:right="-29"/>
              <w:jc w:val="center"/>
              <w:rPr>
                <w:noProof/>
                <w:sz w:val="18"/>
                <w:szCs w:val="18"/>
              </w:rPr>
            </w:pPr>
            <w:r w:rsidRPr="003409C9">
              <w:rPr>
                <w:noProof/>
                <w:sz w:val="18"/>
              </w:rPr>
              <w:t>Cel szczegółowy nr</w:t>
            </w:r>
            <w:r w:rsidR="003409C9" w:rsidRPr="003409C9">
              <w:rPr>
                <w:noProof/>
                <w:sz w:val="18"/>
              </w:rPr>
              <w:t> </w:t>
            </w:r>
            <w:r w:rsidRPr="003409C9">
              <w:rPr>
                <w:noProof/>
                <w:sz w:val="18"/>
              </w:rPr>
              <w:t>1 – suma cząstkowa</w:t>
            </w:r>
          </w:p>
        </w:tc>
        <w:tc>
          <w:tcPr>
            <w:tcW w:w="502" w:type="dxa"/>
            <w:tcBorders>
              <w:bottom w:val="single" w:sz="12" w:space="0" w:color="auto"/>
            </w:tcBorders>
            <w:vAlign w:val="center"/>
          </w:tcPr>
          <w:p w:rsidR="00B66551" w:rsidRPr="003409C9" w:rsidRDefault="00B66551" w:rsidP="00855286">
            <w:pPr>
              <w:ind w:right="-29"/>
              <w:jc w:val="center"/>
              <w:rPr>
                <w:b/>
                <w:noProof/>
                <w:sz w:val="18"/>
                <w:szCs w:val="18"/>
              </w:rPr>
            </w:pPr>
          </w:p>
        </w:tc>
        <w:tc>
          <w:tcPr>
            <w:tcW w:w="502" w:type="dxa"/>
            <w:tcBorders>
              <w:bottom w:val="single" w:sz="12" w:space="0" w:color="auto"/>
            </w:tcBorders>
            <w:vAlign w:val="center"/>
          </w:tcPr>
          <w:p w:rsidR="00B66551" w:rsidRPr="003409C9" w:rsidRDefault="00B66551" w:rsidP="00855286">
            <w:pPr>
              <w:ind w:right="-29"/>
              <w:jc w:val="right"/>
              <w:rPr>
                <w:b/>
                <w:noProof/>
                <w:sz w:val="18"/>
                <w:szCs w:val="18"/>
              </w:rPr>
            </w:pPr>
          </w:p>
        </w:tc>
        <w:tc>
          <w:tcPr>
            <w:tcW w:w="502" w:type="dxa"/>
            <w:tcBorders>
              <w:bottom w:val="single" w:sz="12" w:space="0" w:color="auto"/>
            </w:tcBorders>
            <w:vAlign w:val="center"/>
          </w:tcPr>
          <w:p w:rsidR="00B66551" w:rsidRPr="003409C9" w:rsidRDefault="00B66551" w:rsidP="00855286">
            <w:pPr>
              <w:ind w:right="-29"/>
              <w:jc w:val="right"/>
              <w:rPr>
                <w:b/>
                <w:noProof/>
                <w:sz w:val="18"/>
                <w:szCs w:val="18"/>
              </w:rPr>
            </w:pPr>
          </w:p>
        </w:tc>
        <w:tc>
          <w:tcPr>
            <w:tcW w:w="574" w:type="dxa"/>
            <w:tcBorders>
              <w:bottom w:val="single" w:sz="12" w:space="0" w:color="auto"/>
            </w:tcBorders>
            <w:vAlign w:val="center"/>
          </w:tcPr>
          <w:p w:rsidR="00B66551" w:rsidRPr="003409C9" w:rsidRDefault="00B66551" w:rsidP="00855286">
            <w:pPr>
              <w:ind w:right="-29"/>
              <w:jc w:val="right"/>
              <w:rPr>
                <w:b/>
                <w:noProof/>
                <w:sz w:val="18"/>
                <w:szCs w:val="18"/>
              </w:rPr>
            </w:pPr>
          </w:p>
        </w:tc>
        <w:tc>
          <w:tcPr>
            <w:tcW w:w="565" w:type="dxa"/>
            <w:tcBorders>
              <w:bottom w:val="single" w:sz="12" w:space="0" w:color="auto"/>
            </w:tcBorders>
            <w:vAlign w:val="center"/>
          </w:tcPr>
          <w:p w:rsidR="00B66551" w:rsidRPr="003409C9" w:rsidRDefault="00B66551" w:rsidP="00855286">
            <w:pPr>
              <w:ind w:right="-29"/>
              <w:jc w:val="right"/>
              <w:rPr>
                <w:b/>
                <w:noProof/>
                <w:sz w:val="18"/>
                <w:szCs w:val="18"/>
              </w:rPr>
            </w:pP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 xml:space="preserve"> </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8,250</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 xml:space="preserve"> </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7,838</w:t>
            </w:r>
          </w:p>
        </w:tc>
        <w:tc>
          <w:tcPr>
            <w:tcW w:w="424"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 xml:space="preserve"> </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9,075</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 xml:space="preserve"> </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10,313</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 xml:space="preserve"> </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5,363</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 xml:space="preserve"> </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5,363</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 xml:space="preserve"> </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5,363</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 xml:space="preserve"> </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5,363</w:t>
            </w:r>
          </w:p>
        </w:tc>
        <w:tc>
          <w:tcPr>
            <w:tcW w:w="482" w:type="dxa"/>
            <w:tcBorders>
              <w:bottom w:val="single" w:sz="12" w:space="0" w:color="auto"/>
            </w:tcBorders>
            <w:vAlign w:val="center"/>
          </w:tcPr>
          <w:p w:rsidR="00B66551" w:rsidRPr="003409C9" w:rsidRDefault="00B66551" w:rsidP="00855286">
            <w:pPr>
              <w:ind w:right="-29"/>
              <w:jc w:val="right"/>
              <w:rPr>
                <w:b/>
                <w:noProof/>
                <w:sz w:val="18"/>
                <w:szCs w:val="18"/>
              </w:rPr>
            </w:pPr>
            <w:r w:rsidRPr="003409C9">
              <w:rPr>
                <w:noProof/>
                <w:color w:val="000000"/>
                <w:sz w:val="18"/>
              </w:rPr>
              <w:t xml:space="preserve"> </w:t>
            </w:r>
          </w:p>
        </w:tc>
        <w:tc>
          <w:tcPr>
            <w:tcW w:w="1103" w:type="dxa"/>
            <w:gridSpan w:val="2"/>
            <w:tcBorders>
              <w:bottom w:val="single" w:sz="12" w:space="0" w:color="auto"/>
            </w:tcBorders>
            <w:vAlign w:val="center"/>
          </w:tcPr>
          <w:p w:rsidR="00B66551" w:rsidRPr="00BB07AF" w:rsidRDefault="00B66551" w:rsidP="00855286">
            <w:pPr>
              <w:spacing w:before="0" w:after="0"/>
              <w:jc w:val="right"/>
              <w:rPr>
                <w:b/>
                <w:noProof/>
                <w:sz w:val="18"/>
                <w:szCs w:val="18"/>
              </w:rPr>
            </w:pPr>
            <w:r w:rsidRPr="00BB07AF">
              <w:rPr>
                <w:b/>
                <w:noProof/>
                <w:color w:val="000000"/>
                <w:sz w:val="18"/>
              </w:rPr>
              <w:t>56,925</w:t>
            </w:r>
          </w:p>
        </w:tc>
      </w:tr>
      <w:tr w:rsidR="00B66551" w:rsidRPr="003409C9" w:rsidTr="00B66551">
        <w:trPr>
          <w:gridAfter w:val="1"/>
          <w:wAfter w:w="33" w:type="dxa"/>
          <w:jc w:val="center"/>
        </w:trPr>
        <w:tc>
          <w:tcPr>
            <w:tcW w:w="2829" w:type="dxa"/>
            <w:gridSpan w:val="3"/>
            <w:vAlign w:val="center"/>
          </w:tcPr>
          <w:p w:rsidR="00B66551" w:rsidRPr="003409C9" w:rsidRDefault="00B66551" w:rsidP="00855286">
            <w:pPr>
              <w:spacing w:before="60" w:after="60"/>
              <w:ind w:right="-29"/>
              <w:jc w:val="center"/>
              <w:rPr>
                <w:noProof/>
                <w:sz w:val="18"/>
                <w:szCs w:val="18"/>
              </w:rPr>
            </w:pPr>
            <w:r w:rsidRPr="003409C9">
              <w:rPr>
                <w:noProof/>
                <w:sz w:val="18"/>
              </w:rPr>
              <w:t>CEL SZCZEGÓŁOWY nr</w:t>
            </w:r>
            <w:r w:rsidR="003409C9" w:rsidRPr="003409C9">
              <w:rPr>
                <w:noProof/>
                <w:sz w:val="18"/>
              </w:rPr>
              <w:t> </w:t>
            </w:r>
            <w:r w:rsidRPr="003409C9">
              <w:rPr>
                <w:noProof/>
                <w:sz w:val="18"/>
              </w:rPr>
              <w:t>2</w:t>
            </w:r>
          </w:p>
        </w:tc>
        <w:tc>
          <w:tcPr>
            <w:tcW w:w="502" w:type="dxa"/>
            <w:vAlign w:val="center"/>
          </w:tcPr>
          <w:p w:rsidR="00B66551" w:rsidRPr="003409C9" w:rsidRDefault="00B66551" w:rsidP="00855286">
            <w:pPr>
              <w:spacing w:before="60" w:after="60"/>
              <w:ind w:right="-29"/>
              <w:jc w:val="center"/>
              <w:rPr>
                <w:noProof/>
                <w:sz w:val="18"/>
                <w:szCs w:val="18"/>
              </w:rPr>
            </w:pPr>
          </w:p>
        </w:tc>
        <w:tc>
          <w:tcPr>
            <w:tcW w:w="502" w:type="dxa"/>
            <w:vAlign w:val="center"/>
          </w:tcPr>
          <w:p w:rsidR="00B66551" w:rsidRPr="003409C9" w:rsidRDefault="00B66551" w:rsidP="00855286">
            <w:pPr>
              <w:spacing w:before="60" w:after="60"/>
              <w:ind w:right="-29"/>
              <w:jc w:val="center"/>
              <w:rPr>
                <w:noProof/>
                <w:sz w:val="18"/>
                <w:szCs w:val="18"/>
              </w:rPr>
            </w:pPr>
          </w:p>
        </w:tc>
        <w:tc>
          <w:tcPr>
            <w:tcW w:w="502"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74"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424"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565"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482" w:type="dxa"/>
            <w:tcBorders>
              <w:top w:val="nil"/>
              <w:left w:val="nil"/>
              <w:bottom w:val="nil"/>
              <w:right w:val="nil"/>
            </w:tcBorders>
            <w:vAlign w:val="center"/>
          </w:tcPr>
          <w:p w:rsidR="00B66551" w:rsidRPr="003409C9" w:rsidRDefault="00B66551" w:rsidP="00855286">
            <w:pPr>
              <w:spacing w:before="60" w:after="60"/>
              <w:ind w:right="-29"/>
              <w:jc w:val="center"/>
              <w:rPr>
                <w:noProof/>
                <w:sz w:val="18"/>
                <w:szCs w:val="18"/>
              </w:rPr>
            </w:pPr>
          </w:p>
        </w:tc>
        <w:tc>
          <w:tcPr>
            <w:tcW w:w="1103" w:type="dxa"/>
            <w:gridSpan w:val="2"/>
            <w:tcBorders>
              <w:top w:val="nil"/>
              <w:left w:val="nil"/>
              <w:bottom w:val="nil"/>
              <w:right w:val="nil"/>
            </w:tcBorders>
            <w:vAlign w:val="center"/>
          </w:tcPr>
          <w:p w:rsidR="00B66551" w:rsidRPr="00BB07AF" w:rsidRDefault="00B66551" w:rsidP="00855286">
            <w:pPr>
              <w:spacing w:before="60" w:after="60"/>
              <w:ind w:right="-29"/>
              <w:jc w:val="center"/>
              <w:rPr>
                <w:b/>
                <w:noProof/>
                <w:sz w:val="18"/>
                <w:szCs w:val="18"/>
              </w:rPr>
            </w:pPr>
          </w:p>
        </w:tc>
      </w:tr>
      <w:tr w:rsidR="00B66551" w:rsidRPr="003409C9" w:rsidTr="00B66551">
        <w:trPr>
          <w:gridAfter w:val="1"/>
          <w:wAfter w:w="33" w:type="dxa"/>
          <w:trHeight w:hRule="exact" w:val="369"/>
          <w:jc w:val="center"/>
        </w:trPr>
        <w:tc>
          <w:tcPr>
            <w:tcW w:w="1559" w:type="dxa"/>
          </w:tcPr>
          <w:p w:rsidR="00B66551" w:rsidRPr="003409C9" w:rsidRDefault="00B66551" w:rsidP="00855286">
            <w:pPr>
              <w:ind w:right="-29"/>
              <w:jc w:val="center"/>
              <w:rPr>
                <w:noProof/>
                <w:sz w:val="14"/>
                <w:szCs w:val="18"/>
              </w:rPr>
            </w:pPr>
            <w:r w:rsidRPr="003409C9">
              <w:rPr>
                <w:noProof/>
                <w:sz w:val="14"/>
              </w:rPr>
              <w:t>- Podłączenie państw członkowskich</w:t>
            </w:r>
          </w:p>
        </w:tc>
        <w:tc>
          <w:tcPr>
            <w:tcW w:w="573" w:type="dxa"/>
          </w:tcPr>
          <w:p w:rsidR="00B66551" w:rsidRPr="003409C9" w:rsidRDefault="00B66551" w:rsidP="00855286">
            <w:pPr>
              <w:ind w:right="-29"/>
              <w:jc w:val="center"/>
              <w:rPr>
                <w:noProof/>
                <w:sz w:val="18"/>
                <w:szCs w:val="18"/>
              </w:rPr>
            </w:pPr>
            <w:r w:rsidRPr="003409C9">
              <w:rPr>
                <w:noProof/>
                <w:sz w:val="18"/>
              </w:rPr>
              <w:t>26</w:t>
            </w:r>
          </w:p>
        </w:tc>
        <w:tc>
          <w:tcPr>
            <w:tcW w:w="697" w:type="dxa"/>
          </w:tcPr>
          <w:p w:rsidR="00B66551" w:rsidRPr="003409C9" w:rsidRDefault="00B66551" w:rsidP="00855286">
            <w:pPr>
              <w:ind w:right="-29"/>
              <w:jc w:val="center"/>
              <w:rPr>
                <w:noProof/>
                <w:sz w:val="18"/>
                <w:szCs w:val="18"/>
              </w:rPr>
            </w:pPr>
            <w:r w:rsidRPr="003409C9">
              <w:rPr>
                <w:noProof/>
                <w:sz w:val="18"/>
              </w:rPr>
              <w:t>0,413</w:t>
            </w:r>
          </w:p>
        </w:tc>
        <w:tc>
          <w:tcPr>
            <w:tcW w:w="502" w:type="dxa"/>
            <w:vAlign w:val="center"/>
          </w:tcPr>
          <w:p w:rsidR="00B66551" w:rsidRPr="003409C9" w:rsidRDefault="00B66551" w:rsidP="00855286">
            <w:pPr>
              <w:ind w:right="-29"/>
              <w:jc w:val="right"/>
              <w:rPr>
                <w:noProof/>
                <w:sz w:val="18"/>
                <w:szCs w:val="18"/>
              </w:rPr>
            </w:pPr>
          </w:p>
        </w:tc>
        <w:tc>
          <w:tcPr>
            <w:tcW w:w="502" w:type="dxa"/>
            <w:vAlign w:val="center"/>
          </w:tcPr>
          <w:p w:rsidR="00B66551" w:rsidRPr="003409C9" w:rsidRDefault="00B66551" w:rsidP="00855286">
            <w:pPr>
              <w:ind w:right="-29"/>
              <w:jc w:val="right"/>
              <w:rPr>
                <w:noProof/>
                <w:sz w:val="18"/>
                <w:szCs w:val="18"/>
              </w:rPr>
            </w:pPr>
          </w:p>
        </w:tc>
        <w:tc>
          <w:tcPr>
            <w:tcW w:w="502" w:type="dxa"/>
            <w:vAlign w:val="center"/>
          </w:tcPr>
          <w:p w:rsidR="00B66551" w:rsidRPr="003409C9" w:rsidRDefault="00B66551" w:rsidP="00855286">
            <w:pPr>
              <w:ind w:right="-29"/>
              <w:jc w:val="right"/>
              <w:rPr>
                <w:noProof/>
                <w:sz w:val="18"/>
                <w:szCs w:val="18"/>
              </w:rPr>
            </w:pPr>
          </w:p>
        </w:tc>
        <w:tc>
          <w:tcPr>
            <w:tcW w:w="574" w:type="dxa"/>
            <w:vAlign w:val="center"/>
          </w:tcPr>
          <w:p w:rsidR="00B66551" w:rsidRPr="003409C9" w:rsidRDefault="00B66551" w:rsidP="00855286">
            <w:pPr>
              <w:ind w:right="-29"/>
              <w:jc w:val="right"/>
              <w:rPr>
                <w:noProof/>
                <w:sz w:val="18"/>
                <w:szCs w:val="18"/>
              </w:rPr>
            </w:pPr>
          </w:p>
        </w:tc>
        <w:tc>
          <w:tcPr>
            <w:tcW w:w="565" w:type="dxa"/>
            <w:vAlign w:val="center"/>
          </w:tcPr>
          <w:p w:rsidR="00B66551" w:rsidRPr="003409C9" w:rsidRDefault="00B66551" w:rsidP="00855286">
            <w:pPr>
              <w:ind w:right="-29"/>
              <w:jc w:val="right"/>
              <w:rPr>
                <w:noProof/>
                <w:sz w:val="18"/>
                <w:szCs w:val="18"/>
              </w:rPr>
            </w:pPr>
          </w:p>
        </w:tc>
        <w:tc>
          <w:tcPr>
            <w:tcW w:w="565" w:type="dxa"/>
            <w:vAlign w:val="center"/>
          </w:tcPr>
          <w:p w:rsidR="00B66551" w:rsidRPr="003409C9" w:rsidRDefault="00B66551" w:rsidP="00855286">
            <w:pPr>
              <w:ind w:right="-29"/>
              <w:jc w:val="right"/>
              <w:rPr>
                <w:noProof/>
                <w:sz w:val="18"/>
                <w:szCs w:val="18"/>
              </w:rPr>
            </w:pPr>
          </w:p>
        </w:tc>
        <w:tc>
          <w:tcPr>
            <w:tcW w:w="565" w:type="dxa"/>
            <w:vAlign w:val="center"/>
          </w:tcPr>
          <w:p w:rsidR="00B66551" w:rsidRPr="003409C9" w:rsidRDefault="00B66551" w:rsidP="00F26332">
            <w:pPr>
              <w:ind w:right="-29"/>
              <w:jc w:val="center"/>
              <w:rPr>
                <w:noProof/>
                <w:sz w:val="18"/>
                <w:szCs w:val="18"/>
              </w:rPr>
            </w:pPr>
            <w:r w:rsidRPr="003409C9">
              <w:rPr>
                <w:noProof/>
                <w:sz w:val="18"/>
              </w:rPr>
              <w:t>8</w:t>
            </w:r>
          </w:p>
        </w:tc>
        <w:tc>
          <w:tcPr>
            <w:tcW w:w="565" w:type="dxa"/>
            <w:vAlign w:val="center"/>
          </w:tcPr>
          <w:p w:rsidR="00B66551" w:rsidRPr="003409C9" w:rsidRDefault="00B66551" w:rsidP="00855286">
            <w:pPr>
              <w:ind w:right="-29"/>
              <w:jc w:val="right"/>
              <w:rPr>
                <w:noProof/>
                <w:sz w:val="18"/>
                <w:szCs w:val="18"/>
              </w:rPr>
            </w:pPr>
            <w:r w:rsidRPr="003409C9">
              <w:rPr>
                <w:noProof/>
                <w:sz w:val="18"/>
              </w:rPr>
              <w:t>3,300</w:t>
            </w:r>
          </w:p>
        </w:tc>
        <w:tc>
          <w:tcPr>
            <w:tcW w:w="565" w:type="dxa"/>
            <w:vAlign w:val="center"/>
          </w:tcPr>
          <w:p w:rsidR="00B66551" w:rsidRPr="003409C9" w:rsidRDefault="00B66551" w:rsidP="00F26332">
            <w:pPr>
              <w:ind w:right="-29"/>
              <w:jc w:val="center"/>
              <w:rPr>
                <w:noProof/>
                <w:sz w:val="18"/>
                <w:szCs w:val="18"/>
              </w:rPr>
            </w:pPr>
            <w:r w:rsidRPr="003409C9">
              <w:rPr>
                <w:noProof/>
                <w:sz w:val="18"/>
              </w:rPr>
              <w:t>6</w:t>
            </w:r>
          </w:p>
        </w:tc>
        <w:tc>
          <w:tcPr>
            <w:tcW w:w="565" w:type="dxa"/>
            <w:vAlign w:val="center"/>
          </w:tcPr>
          <w:p w:rsidR="00B66551" w:rsidRPr="003409C9" w:rsidRDefault="00B66551" w:rsidP="00855286">
            <w:pPr>
              <w:ind w:right="-29"/>
              <w:jc w:val="right"/>
              <w:rPr>
                <w:noProof/>
                <w:sz w:val="18"/>
                <w:szCs w:val="18"/>
              </w:rPr>
            </w:pPr>
            <w:r w:rsidRPr="003409C9">
              <w:rPr>
                <w:noProof/>
                <w:sz w:val="18"/>
              </w:rPr>
              <w:t>2,475</w:t>
            </w:r>
          </w:p>
        </w:tc>
        <w:tc>
          <w:tcPr>
            <w:tcW w:w="424" w:type="dxa"/>
            <w:vAlign w:val="center"/>
          </w:tcPr>
          <w:p w:rsidR="00B66551" w:rsidRPr="003409C9" w:rsidRDefault="00B66551" w:rsidP="00F26332">
            <w:pPr>
              <w:ind w:right="-29"/>
              <w:jc w:val="center"/>
              <w:rPr>
                <w:noProof/>
                <w:sz w:val="18"/>
                <w:szCs w:val="18"/>
              </w:rPr>
            </w:pPr>
            <w:r w:rsidRPr="003409C9">
              <w:rPr>
                <w:noProof/>
                <w:sz w:val="18"/>
              </w:rPr>
              <w:t>6</w:t>
            </w:r>
          </w:p>
        </w:tc>
        <w:tc>
          <w:tcPr>
            <w:tcW w:w="565" w:type="dxa"/>
            <w:vAlign w:val="center"/>
          </w:tcPr>
          <w:p w:rsidR="00B66551" w:rsidRPr="003409C9" w:rsidRDefault="00B66551" w:rsidP="00855286">
            <w:pPr>
              <w:ind w:right="-29"/>
              <w:jc w:val="right"/>
              <w:rPr>
                <w:noProof/>
                <w:sz w:val="18"/>
                <w:szCs w:val="18"/>
              </w:rPr>
            </w:pPr>
            <w:r w:rsidRPr="003409C9">
              <w:rPr>
                <w:noProof/>
                <w:sz w:val="18"/>
              </w:rPr>
              <w:t>2,475</w:t>
            </w:r>
          </w:p>
        </w:tc>
        <w:tc>
          <w:tcPr>
            <w:tcW w:w="565" w:type="dxa"/>
            <w:vAlign w:val="center"/>
          </w:tcPr>
          <w:p w:rsidR="00B66551" w:rsidRPr="003409C9" w:rsidRDefault="00B66551" w:rsidP="00F26332">
            <w:pPr>
              <w:ind w:right="-29"/>
              <w:jc w:val="center"/>
              <w:rPr>
                <w:noProof/>
                <w:sz w:val="18"/>
                <w:szCs w:val="18"/>
              </w:rPr>
            </w:pPr>
            <w:r w:rsidRPr="003409C9">
              <w:rPr>
                <w:noProof/>
                <w:sz w:val="18"/>
              </w:rPr>
              <w:t>6</w:t>
            </w:r>
          </w:p>
        </w:tc>
        <w:tc>
          <w:tcPr>
            <w:tcW w:w="565" w:type="dxa"/>
            <w:vAlign w:val="center"/>
          </w:tcPr>
          <w:p w:rsidR="00B66551" w:rsidRPr="003409C9" w:rsidRDefault="00B66551" w:rsidP="00855286">
            <w:pPr>
              <w:ind w:right="-29"/>
              <w:jc w:val="right"/>
              <w:rPr>
                <w:noProof/>
                <w:sz w:val="18"/>
                <w:szCs w:val="18"/>
              </w:rPr>
            </w:pPr>
            <w:r w:rsidRPr="003409C9">
              <w:rPr>
                <w:noProof/>
                <w:sz w:val="18"/>
              </w:rPr>
              <w:t>2,475</w:t>
            </w:r>
          </w:p>
        </w:tc>
        <w:tc>
          <w:tcPr>
            <w:tcW w:w="565" w:type="dxa"/>
            <w:vAlign w:val="center"/>
          </w:tcPr>
          <w:p w:rsidR="00B66551" w:rsidRPr="003409C9" w:rsidRDefault="00B66551" w:rsidP="00855286">
            <w:pPr>
              <w:ind w:right="-29"/>
              <w:jc w:val="right"/>
              <w:rPr>
                <w:noProof/>
                <w:sz w:val="18"/>
                <w:szCs w:val="18"/>
              </w:rPr>
            </w:pPr>
          </w:p>
        </w:tc>
        <w:tc>
          <w:tcPr>
            <w:tcW w:w="565" w:type="dxa"/>
            <w:vAlign w:val="center"/>
          </w:tcPr>
          <w:p w:rsidR="00B66551" w:rsidRPr="003409C9" w:rsidRDefault="00B66551" w:rsidP="00855286">
            <w:pPr>
              <w:ind w:right="-29"/>
              <w:jc w:val="right"/>
              <w:rPr>
                <w:noProof/>
                <w:sz w:val="18"/>
                <w:szCs w:val="18"/>
              </w:rPr>
            </w:pPr>
          </w:p>
        </w:tc>
        <w:tc>
          <w:tcPr>
            <w:tcW w:w="565" w:type="dxa"/>
            <w:vAlign w:val="center"/>
          </w:tcPr>
          <w:p w:rsidR="00B66551" w:rsidRPr="003409C9" w:rsidRDefault="00B66551" w:rsidP="00855286">
            <w:pPr>
              <w:ind w:right="-29"/>
              <w:jc w:val="right"/>
              <w:rPr>
                <w:noProof/>
                <w:sz w:val="18"/>
                <w:szCs w:val="18"/>
              </w:rPr>
            </w:pPr>
          </w:p>
        </w:tc>
        <w:tc>
          <w:tcPr>
            <w:tcW w:w="565" w:type="dxa"/>
            <w:vAlign w:val="center"/>
          </w:tcPr>
          <w:p w:rsidR="00B66551" w:rsidRPr="003409C9" w:rsidRDefault="00B66551" w:rsidP="00855286">
            <w:pPr>
              <w:ind w:right="-29"/>
              <w:jc w:val="right"/>
              <w:rPr>
                <w:noProof/>
                <w:sz w:val="18"/>
                <w:szCs w:val="18"/>
              </w:rPr>
            </w:pPr>
          </w:p>
        </w:tc>
        <w:tc>
          <w:tcPr>
            <w:tcW w:w="565" w:type="dxa"/>
            <w:vAlign w:val="center"/>
          </w:tcPr>
          <w:p w:rsidR="00B66551" w:rsidRPr="003409C9" w:rsidRDefault="00B66551" w:rsidP="00855286">
            <w:pPr>
              <w:ind w:right="-29"/>
              <w:jc w:val="right"/>
              <w:rPr>
                <w:noProof/>
                <w:sz w:val="18"/>
                <w:szCs w:val="18"/>
              </w:rPr>
            </w:pPr>
          </w:p>
        </w:tc>
        <w:tc>
          <w:tcPr>
            <w:tcW w:w="565" w:type="dxa"/>
            <w:vAlign w:val="center"/>
          </w:tcPr>
          <w:p w:rsidR="00B66551" w:rsidRPr="003409C9" w:rsidRDefault="00B66551" w:rsidP="00855286">
            <w:pPr>
              <w:ind w:right="-29"/>
              <w:jc w:val="right"/>
              <w:rPr>
                <w:noProof/>
                <w:sz w:val="18"/>
                <w:szCs w:val="18"/>
              </w:rPr>
            </w:pPr>
          </w:p>
        </w:tc>
        <w:tc>
          <w:tcPr>
            <w:tcW w:w="565" w:type="dxa"/>
            <w:vAlign w:val="center"/>
          </w:tcPr>
          <w:p w:rsidR="00B66551" w:rsidRPr="003409C9" w:rsidRDefault="00B66551" w:rsidP="00855286">
            <w:pPr>
              <w:ind w:right="-29"/>
              <w:jc w:val="right"/>
              <w:rPr>
                <w:noProof/>
                <w:sz w:val="18"/>
                <w:szCs w:val="18"/>
              </w:rPr>
            </w:pPr>
          </w:p>
        </w:tc>
        <w:tc>
          <w:tcPr>
            <w:tcW w:w="565" w:type="dxa"/>
            <w:vAlign w:val="center"/>
          </w:tcPr>
          <w:p w:rsidR="00B66551" w:rsidRPr="003409C9" w:rsidRDefault="00B66551" w:rsidP="00855286">
            <w:pPr>
              <w:ind w:right="-29"/>
              <w:jc w:val="right"/>
              <w:rPr>
                <w:noProof/>
                <w:sz w:val="18"/>
                <w:szCs w:val="18"/>
              </w:rPr>
            </w:pPr>
          </w:p>
        </w:tc>
        <w:tc>
          <w:tcPr>
            <w:tcW w:w="482" w:type="dxa"/>
            <w:vAlign w:val="center"/>
          </w:tcPr>
          <w:p w:rsidR="00B66551" w:rsidRPr="003409C9" w:rsidRDefault="00B66551" w:rsidP="00F26332">
            <w:pPr>
              <w:ind w:right="-29"/>
              <w:jc w:val="center"/>
              <w:rPr>
                <w:noProof/>
                <w:sz w:val="18"/>
                <w:szCs w:val="18"/>
              </w:rPr>
            </w:pPr>
            <w:r w:rsidRPr="003409C9">
              <w:rPr>
                <w:noProof/>
                <w:sz w:val="18"/>
              </w:rPr>
              <w:t>26</w:t>
            </w:r>
          </w:p>
        </w:tc>
        <w:tc>
          <w:tcPr>
            <w:tcW w:w="1103" w:type="dxa"/>
            <w:gridSpan w:val="2"/>
            <w:vAlign w:val="center"/>
          </w:tcPr>
          <w:p w:rsidR="00B66551" w:rsidRPr="00BB07AF" w:rsidRDefault="00B66551" w:rsidP="00855286">
            <w:pPr>
              <w:ind w:right="-29"/>
              <w:jc w:val="right"/>
              <w:rPr>
                <w:b/>
                <w:noProof/>
                <w:sz w:val="18"/>
                <w:szCs w:val="18"/>
              </w:rPr>
            </w:pPr>
            <w:r w:rsidRPr="00BB07AF">
              <w:rPr>
                <w:b/>
                <w:noProof/>
                <w:sz w:val="18"/>
              </w:rPr>
              <w:t>10,725</w:t>
            </w:r>
          </w:p>
        </w:tc>
      </w:tr>
      <w:tr w:rsidR="00B66551" w:rsidRPr="003409C9" w:rsidTr="00B66551">
        <w:trPr>
          <w:trHeight w:hRule="exact" w:val="369"/>
          <w:jc w:val="center"/>
        </w:trPr>
        <w:tc>
          <w:tcPr>
            <w:tcW w:w="1559" w:type="dxa"/>
            <w:vAlign w:val="center"/>
          </w:tcPr>
          <w:p w:rsidR="00B66551" w:rsidRPr="003409C9" w:rsidRDefault="00B66551" w:rsidP="00855286">
            <w:pPr>
              <w:ind w:right="-29"/>
              <w:jc w:val="left"/>
              <w:rPr>
                <w:noProof/>
                <w:sz w:val="18"/>
                <w:szCs w:val="18"/>
              </w:rPr>
            </w:pPr>
            <w:r w:rsidRPr="003409C9">
              <w:rPr>
                <w:noProof/>
                <w:sz w:val="14"/>
              </w:rPr>
              <w:t>- Utrzymanie podłączenia państw członkowskich</w:t>
            </w:r>
          </w:p>
        </w:tc>
        <w:tc>
          <w:tcPr>
            <w:tcW w:w="573" w:type="dxa"/>
          </w:tcPr>
          <w:p w:rsidR="00B66551" w:rsidRPr="003409C9" w:rsidRDefault="00B66551" w:rsidP="00855286">
            <w:pPr>
              <w:ind w:right="-29"/>
              <w:jc w:val="center"/>
              <w:rPr>
                <w:noProof/>
                <w:sz w:val="18"/>
                <w:szCs w:val="18"/>
              </w:rPr>
            </w:pPr>
            <w:r w:rsidRPr="003409C9">
              <w:rPr>
                <w:noProof/>
                <w:sz w:val="18"/>
              </w:rPr>
              <w:t>26</w:t>
            </w:r>
          </w:p>
        </w:tc>
        <w:tc>
          <w:tcPr>
            <w:tcW w:w="697" w:type="dxa"/>
          </w:tcPr>
          <w:p w:rsidR="00B66551" w:rsidRPr="003409C9" w:rsidRDefault="00B66551" w:rsidP="00855286">
            <w:pPr>
              <w:ind w:right="-29"/>
              <w:jc w:val="center"/>
              <w:rPr>
                <w:noProof/>
                <w:sz w:val="18"/>
                <w:szCs w:val="18"/>
              </w:rPr>
            </w:pPr>
            <w:r w:rsidRPr="003409C9">
              <w:rPr>
                <w:noProof/>
                <w:sz w:val="18"/>
              </w:rPr>
              <w:t>0,083</w:t>
            </w:r>
          </w:p>
        </w:tc>
        <w:tc>
          <w:tcPr>
            <w:tcW w:w="502" w:type="dxa"/>
            <w:vAlign w:val="center"/>
          </w:tcPr>
          <w:p w:rsidR="00B66551" w:rsidRPr="003409C9" w:rsidRDefault="00B66551" w:rsidP="00855286">
            <w:pPr>
              <w:ind w:right="-29"/>
              <w:jc w:val="right"/>
              <w:rPr>
                <w:noProof/>
                <w:sz w:val="18"/>
                <w:szCs w:val="18"/>
              </w:rPr>
            </w:pPr>
          </w:p>
        </w:tc>
        <w:tc>
          <w:tcPr>
            <w:tcW w:w="502" w:type="dxa"/>
            <w:vAlign w:val="center"/>
          </w:tcPr>
          <w:p w:rsidR="00B66551" w:rsidRPr="003409C9" w:rsidRDefault="00B66551" w:rsidP="00855286">
            <w:pPr>
              <w:ind w:right="-29"/>
              <w:jc w:val="right"/>
              <w:rPr>
                <w:noProof/>
                <w:sz w:val="18"/>
                <w:szCs w:val="18"/>
              </w:rPr>
            </w:pPr>
          </w:p>
        </w:tc>
        <w:tc>
          <w:tcPr>
            <w:tcW w:w="502" w:type="dxa"/>
            <w:vAlign w:val="center"/>
          </w:tcPr>
          <w:p w:rsidR="00B66551" w:rsidRPr="003409C9" w:rsidRDefault="00B66551" w:rsidP="00855286">
            <w:pPr>
              <w:ind w:right="-29"/>
              <w:jc w:val="right"/>
              <w:rPr>
                <w:noProof/>
                <w:sz w:val="18"/>
                <w:szCs w:val="18"/>
              </w:rPr>
            </w:pPr>
          </w:p>
        </w:tc>
        <w:tc>
          <w:tcPr>
            <w:tcW w:w="574" w:type="dxa"/>
            <w:vAlign w:val="center"/>
          </w:tcPr>
          <w:p w:rsidR="00B66551" w:rsidRPr="003409C9" w:rsidRDefault="00B66551" w:rsidP="00855286">
            <w:pPr>
              <w:ind w:right="-29"/>
              <w:jc w:val="right"/>
              <w:rPr>
                <w:noProof/>
                <w:sz w:val="18"/>
                <w:szCs w:val="18"/>
              </w:rPr>
            </w:pPr>
          </w:p>
        </w:tc>
        <w:tc>
          <w:tcPr>
            <w:tcW w:w="565" w:type="dxa"/>
            <w:vAlign w:val="center"/>
          </w:tcPr>
          <w:p w:rsidR="00B66551" w:rsidRPr="003409C9" w:rsidRDefault="00B66551" w:rsidP="00855286">
            <w:pPr>
              <w:ind w:right="-29"/>
              <w:jc w:val="right"/>
              <w:rPr>
                <w:noProof/>
                <w:sz w:val="18"/>
                <w:szCs w:val="18"/>
              </w:rPr>
            </w:pPr>
          </w:p>
        </w:tc>
        <w:tc>
          <w:tcPr>
            <w:tcW w:w="565" w:type="dxa"/>
            <w:vAlign w:val="center"/>
          </w:tcPr>
          <w:p w:rsidR="00B66551" w:rsidRPr="003409C9" w:rsidRDefault="00B66551" w:rsidP="00855286">
            <w:pPr>
              <w:ind w:right="-29"/>
              <w:jc w:val="right"/>
              <w:rPr>
                <w:noProof/>
                <w:sz w:val="18"/>
                <w:szCs w:val="18"/>
              </w:rPr>
            </w:pPr>
          </w:p>
        </w:tc>
        <w:tc>
          <w:tcPr>
            <w:tcW w:w="565" w:type="dxa"/>
            <w:vAlign w:val="center"/>
          </w:tcPr>
          <w:p w:rsidR="00B66551" w:rsidRPr="003409C9" w:rsidRDefault="00B66551" w:rsidP="00855286">
            <w:pPr>
              <w:ind w:right="-29"/>
              <w:jc w:val="right"/>
              <w:rPr>
                <w:noProof/>
                <w:sz w:val="18"/>
                <w:szCs w:val="18"/>
              </w:rPr>
            </w:pPr>
          </w:p>
        </w:tc>
        <w:tc>
          <w:tcPr>
            <w:tcW w:w="565" w:type="dxa"/>
            <w:vAlign w:val="center"/>
          </w:tcPr>
          <w:p w:rsidR="00B66551" w:rsidRPr="003409C9" w:rsidRDefault="00B66551" w:rsidP="00855286">
            <w:pPr>
              <w:ind w:right="-29"/>
              <w:jc w:val="right"/>
              <w:rPr>
                <w:noProof/>
                <w:sz w:val="18"/>
                <w:szCs w:val="18"/>
              </w:rPr>
            </w:pPr>
          </w:p>
        </w:tc>
        <w:tc>
          <w:tcPr>
            <w:tcW w:w="565" w:type="dxa"/>
            <w:vAlign w:val="center"/>
          </w:tcPr>
          <w:p w:rsidR="00B66551" w:rsidRPr="003409C9" w:rsidRDefault="00B66551" w:rsidP="00F26332">
            <w:pPr>
              <w:ind w:right="-29"/>
              <w:jc w:val="center"/>
              <w:rPr>
                <w:noProof/>
                <w:sz w:val="18"/>
                <w:szCs w:val="18"/>
              </w:rPr>
            </w:pPr>
            <w:r w:rsidRPr="003409C9">
              <w:rPr>
                <w:noProof/>
                <w:sz w:val="18"/>
              </w:rPr>
              <w:t>8</w:t>
            </w:r>
          </w:p>
        </w:tc>
        <w:tc>
          <w:tcPr>
            <w:tcW w:w="565" w:type="dxa"/>
            <w:vAlign w:val="center"/>
          </w:tcPr>
          <w:p w:rsidR="00B66551" w:rsidRPr="003409C9" w:rsidRDefault="00B66551" w:rsidP="00855286">
            <w:pPr>
              <w:ind w:right="-29"/>
              <w:jc w:val="right"/>
              <w:rPr>
                <w:noProof/>
                <w:sz w:val="18"/>
                <w:szCs w:val="18"/>
              </w:rPr>
            </w:pPr>
            <w:r w:rsidRPr="003409C9">
              <w:rPr>
                <w:noProof/>
                <w:sz w:val="18"/>
              </w:rPr>
              <w:t>0,660</w:t>
            </w:r>
          </w:p>
        </w:tc>
        <w:tc>
          <w:tcPr>
            <w:tcW w:w="424" w:type="dxa"/>
            <w:vAlign w:val="center"/>
          </w:tcPr>
          <w:p w:rsidR="00B66551" w:rsidRPr="003409C9" w:rsidRDefault="00B66551" w:rsidP="00F26332">
            <w:pPr>
              <w:ind w:right="-29"/>
              <w:jc w:val="center"/>
              <w:rPr>
                <w:noProof/>
                <w:sz w:val="18"/>
                <w:szCs w:val="18"/>
              </w:rPr>
            </w:pPr>
            <w:r w:rsidRPr="003409C9">
              <w:rPr>
                <w:noProof/>
                <w:sz w:val="18"/>
              </w:rPr>
              <w:t>14</w:t>
            </w:r>
          </w:p>
        </w:tc>
        <w:tc>
          <w:tcPr>
            <w:tcW w:w="565" w:type="dxa"/>
            <w:vAlign w:val="center"/>
          </w:tcPr>
          <w:p w:rsidR="00B66551" w:rsidRPr="003409C9" w:rsidRDefault="00B66551" w:rsidP="00855286">
            <w:pPr>
              <w:ind w:right="-29"/>
              <w:jc w:val="right"/>
              <w:rPr>
                <w:noProof/>
                <w:sz w:val="18"/>
                <w:szCs w:val="18"/>
              </w:rPr>
            </w:pPr>
            <w:r w:rsidRPr="003409C9">
              <w:rPr>
                <w:noProof/>
                <w:sz w:val="18"/>
              </w:rPr>
              <w:t>1,155</w:t>
            </w:r>
          </w:p>
        </w:tc>
        <w:tc>
          <w:tcPr>
            <w:tcW w:w="565" w:type="dxa"/>
            <w:vAlign w:val="center"/>
          </w:tcPr>
          <w:p w:rsidR="00B66551" w:rsidRPr="003409C9" w:rsidRDefault="00B66551" w:rsidP="00F26332">
            <w:pPr>
              <w:ind w:right="-29"/>
              <w:jc w:val="center"/>
              <w:rPr>
                <w:noProof/>
                <w:sz w:val="18"/>
                <w:szCs w:val="18"/>
              </w:rPr>
            </w:pPr>
            <w:r w:rsidRPr="003409C9">
              <w:rPr>
                <w:noProof/>
                <w:sz w:val="18"/>
              </w:rPr>
              <w:t>20</w:t>
            </w:r>
          </w:p>
        </w:tc>
        <w:tc>
          <w:tcPr>
            <w:tcW w:w="565" w:type="dxa"/>
            <w:vAlign w:val="center"/>
          </w:tcPr>
          <w:p w:rsidR="00B66551" w:rsidRPr="003409C9" w:rsidRDefault="00B66551" w:rsidP="00855286">
            <w:pPr>
              <w:ind w:right="-29"/>
              <w:jc w:val="right"/>
              <w:rPr>
                <w:noProof/>
                <w:sz w:val="18"/>
                <w:szCs w:val="18"/>
              </w:rPr>
            </w:pPr>
            <w:r w:rsidRPr="003409C9">
              <w:rPr>
                <w:noProof/>
                <w:sz w:val="18"/>
              </w:rPr>
              <w:t>1,650</w:t>
            </w:r>
          </w:p>
        </w:tc>
        <w:tc>
          <w:tcPr>
            <w:tcW w:w="565" w:type="dxa"/>
            <w:vAlign w:val="center"/>
          </w:tcPr>
          <w:p w:rsidR="00B66551" w:rsidRPr="003409C9" w:rsidRDefault="00B66551" w:rsidP="00F26332">
            <w:pPr>
              <w:ind w:right="-29"/>
              <w:jc w:val="center"/>
              <w:rPr>
                <w:noProof/>
                <w:sz w:val="18"/>
                <w:szCs w:val="18"/>
              </w:rPr>
            </w:pPr>
            <w:r w:rsidRPr="003409C9">
              <w:rPr>
                <w:noProof/>
                <w:sz w:val="18"/>
              </w:rPr>
              <w:t>26</w:t>
            </w:r>
          </w:p>
        </w:tc>
        <w:tc>
          <w:tcPr>
            <w:tcW w:w="565" w:type="dxa"/>
            <w:vAlign w:val="center"/>
          </w:tcPr>
          <w:p w:rsidR="00B66551" w:rsidRPr="003409C9" w:rsidRDefault="00B66551" w:rsidP="00855286">
            <w:pPr>
              <w:ind w:right="-29"/>
              <w:jc w:val="right"/>
              <w:rPr>
                <w:noProof/>
                <w:sz w:val="18"/>
                <w:szCs w:val="18"/>
              </w:rPr>
            </w:pPr>
            <w:r w:rsidRPr="003409C9">
              <w:rPr>
                <w:noProof/>
                <w:sz w:val="18"/>
              </w:rPr>
              <w:t>2,145</w:t>
            </w:r>
          </w:p>
        </w:tc>
        <w:tc>
          <w:tcPr>
            <w:tcW w:w="565" w:type="dxa"/>
            <w:vAlign w:val="center"/>
          </w:tcPr>
          <w:p w:rsidR="00B66551" w:rsidRPr="003409C9" w:rsidRDefault="00B66551" w:rsidP="00F26332">
            <w:pPr>
              <w:ind w:right="-29"/>
              <w:jc w:val="center"/>
              <w:rPr>
                <w:noProof/>
                <w:sz w:val="18"/>
                <w:szCs w:val="18"/>
              </w:rPr>
            </w:pPr>
            <w:r w:rsidRPr="003409C9">
              <w:rPr>
                <w:noProof/>
                <w:sz w:val="18"/>
              </w:rPr>
              <w:t>26</w:t>
            </w:r>
          </w:p>
        </w:tc>
        <w:tc>
          <w:tcPr>
            <w:tcW w:w="565" w:type="dxa"/>
            <w:vAlign w:val="center"/>
          </w:tcPr>
          <w:p w:rsidR="00B66551" w:rsidRPr="003409C9" w:rsidRDefault="00B66551" w:rsidP="00855286">
            <w:pPr>
              <w:ind w:right="-29"/>
              <w:jc w:val="right"/>
              <w:rPr>
                <w:noProof/>
                <w:sz w:val="18"/>
                <w:szCs w:val="18"/>
              </w:rPr>
            </w:pPr>
            <w:r w:rsidRPr="003409C9">
              <w:rPr>
                <w:noProof/>
                <w:sz w:val="18"/>
              </w:rPr>
              <w:t>2,145</w:t>
            </w:r>
          </w:p>
        </w:tc>
        <w:tc>
          <w:tcPr>
            <w:tcW w:w="565" w:type="dxa"/>
            <w:vAlign w:val="center"/>
          </w:tcPr>
          <w:p w:rsidR="00B66551" w:rsidRPr="003409C9" w:rsidRDefault="00B66551" w:rsidP="00F26332">
            <w:pPr>
              <w:ind w:right="-29"/>
              <w:jc w:val="center"/>
              <w:rPr>
                <w:noProof/>
                <w:sz w:val="18"/>
                <w:szCs w:val="18"/>
              </w:rPr>
            </w:pPr>
            <w:r w:rsidRPr="003409C9">
              <w:rPr>
                <w:noProof/>
                <w:sz w:val="18"/>
              </w:rPr>
              <w:t>26</w:t>
            </w:r>
          </w:p>
        </w:tc>
        <w:tc>
          <w:tcPr>
            <w:tcW w:w="565" w:type="dxa"/>
            <w:vAlign w:val="center"/>
          </w:tcPr>
          <w:p w:rsidR="00B66551" w:rsidRPr="003409C9" w:rsidRDefault="00B66551" w:rsidP="00855286">
            <w:pPr>
              <w:ind w:right="-29"/>
              <w:jc w:val="right"/>
              <w:rPr>
                <w:noProof/>
                <w:sz w:val="18"/>
                <w:szCs w:val="18"/>
              </w:rPr>
            </w:pPr>
            <w:r w:rsidRPr="003409C9">
              <w:rPr>
                <w:noProof/>
                <w:sz w:val="18"/>
              </w:rPr>
              <w:t>2,145</w:t>
            </w:r>
          </w:p>
        </w:tc>
        <w:tc>
          <w:tcPr>
            <w:tcW w:w="565" w:type="dxa"/>
            <w:vAlign w:val="center"/>
          </w:tcPr>
          <w:p w:rsidR="00B66551" w:rsidRPr="003409C9" w:rsidRDefault="00B66551" w:rsidP="00F26332">
            <w:pPr>
              <w:ind w:right="-29"/>
              <w:jc w:val="center"/>
              <w:rPr>
                <w:noProof/>
                <w:sz w:val="18"/>
                <w:szCs w:val="18"/>
              </w:rPr>
            </w:pPr>
            <w:r w:rsidRPr="003409C9">
              <w:rPr>
                <w:noProof/>
                <w:sz w:val="18"/>
              </w:rPr>
              <w:t>26</w:t>
            </w:r>
          </w:p>
        </w:tc>
        <w:tc>
          <w:tcPr>
            <w:tcW w:w="565" w:type="dxa"/>
            <w:vAlign w:val="center"/>
          </w:tcPr>
          <w:p w:rsidR="00B66551" w:rsidRPr="003409C9" w:rsidRDefault="00B66551" w:rsidP="00855286">
            <w:pPr>
              <w:ind w:right="-29"/>
              <w:jc w:val="right"/>
              <w:rPr>
                <w:noProof/>
                <w:sz w:val="18"/>
                <w:szCs w:val="18"/>
              </w:rPr>
            </w:pPr>
            <w:r w:rsidRPr="003409C9">
              <w:rPr>
                <w:noProof/>
                <w:sz w:val="18"/>
              </w:rPr>
              <w:t>2,145</w:t>
            </w:r>
          </w:p>
        </w:tc>
        <w:tc>
          <w:tcPr>
            <w:tcW w:w="482" w:type="dxa"/>
            <w:vAlign w:val="center"/>
          </w:tcPr>
          <w:p w:rsidR="00B66551" w:rsidRPr="003409C9" w:rsidRDefault="00B66551" w:rsidP="00F26332">
            <w:pPr>
              <w:ind w:right="-29"/>
              <w:jc w:val="center"/>
              <w:rPr>
                <w:noProof/>
                <w:sz w:val="18"/>
                <w:szCs w:val="18"/>
              </w:rPr>
            </w:pPr>
            <w:r w:rsidRPr="003409C9">
              <w:rPr>
                <w:noProof/>
                <w:sz w:val="18"/>
              </w:rPr>
              <w:t>26</w:t>
            </w:r>
          </w:p>
        </w:tc>
        <w:tc>
          <w:tcPr>
            <w:tcW w:w="1136" w:type="dxa"/>
            <w:gridSpan w:val="3"/>
            <w:vAlign w:val="center"/>
          </w:tcPr>
          <w:p w:rsidR="00B66551" w:rsidRPr="00BB07AF" w:rsidRDefault="00B66551" w:rsidP="00855286">
            <w:pPr>
              <w:ind w:right="-29"/>
              <w:jc w:val="right"/>
              <w:rPr>
                <w:b/>
                <w:noProof/>
                <w:sz w:val="18"/>
                <w:szCs w:val="18"/>
              </w:rPr>
            </w:pPr>
            <w:r w:rsidRPr="00BB07AF">
              <w:rPr>
                <w:b/>
                <w:noProof/>
                <w:sz w:val="18"/>
              </w:rPr>
              <w:t>12,045</w:t>
            </w:r>
          </w:p>
        </w:tc>
      </w:tr>
      <w:tr w:rsidR="00B66551" w:rsidRPr="003409C9" w:rsidTr="00B66551">
        <w:trPr>
          <w:gridAfter w:val="1"/>
          <w:wAfter w:w="33" w:type="dxa"/>
          <w:trHeight w:val="77"/>
          <w:jc w:val="center"/>
        </w:trPr>
        <w:tc>
          <w:tcPr>
            <w:tcW w:w="2829" w:type="dxa"/>
            <w:gridSpan w:val="3"/>
            <w:tcBorders>
              <w:bottom w:val="single" w:sz="12" w:space="0" w:color="auto"/>
            </w:tcBorders>
            <w:vAlign w:val="center"/>
          </w:tcPr>
          <w:p w:rsidR="00B66551" w:rsidRPr="003409C9" w:rsidRDefault="00B66551" w:rsidP="00855286">
            <w:pPr>
              <w:ind w:right="-29"/>
              <w:jc w:val="center"/>
              <w:rPr>
                <w:noProof/>
                <w:sz w:val="18"/>
                <w:szCs w:val="18"/>
              </w:rPr>
            </w:pPr>
            <w:r w:rsidRPr="003409C9">
              <w:rPr>
                <w:noProof/>
                <w:sz w:val="18"/>
              </w:rPr>
              <w:t>Cel szczegółowy nr</w:t>
            </w:r>
            <w:r w:rsidR="003409C9" w:rsidRPr="003409C9">
              <w:rPr>
                <w:noProof/>
                <w:sz w:val="18"/>
              </w:rPr>
              <w:t> </w:t>
            </w:r>
            <w:r w:rsidRPr="003409C9">
              <w:rPr>
                <w:noProof/>
                <w:sz w:val="18"/>
              </w:rPr>
              <w:t>2 – suma cząstkowa</w:t>
            </w:r>
          </w:p>
        </w:tc>
        <w:tc>
          <w:tcPr>
            <w:tcW w:w="502"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 xml:space="preserve"> </w:t>
            </w:r>
          </w:p>
        </w:tc>
        <w:tc>
          <w:tcPr>
            <w:tcW w:w="502"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0,000</w:t>
            </w:r>
          </w:p>
        </w:tc>
        <w:tc>
          <w:tcPr>
            <w:tcW w:w="502"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 xml:space="preserve"> </w:t>
            </w:r>
          </w:p>
        </w:tc>
        <w:tc>
          <w:tcPr>
            <w:tcW w:w="574"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0,000</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 xml:space="preserve"> </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0,000</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 xml:space="preserve"> </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3,300</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 xml:space="preserve"> </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3,135</w:t>
            </w:r>
          </w:p>
        </w:tc>
        <w:tc>
          <w:tcPr>
            <w:tcW w:w="424"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 xml:space="preserve"> </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3,630</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 xml:space="preserve"> </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4,125</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 xml:space="preserve"> </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2,145</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 xml:space="preserve"> </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2,145</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 xml:space="preserve"> </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2,145</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 xml:space="preserve"> </w:t>
            </w:r>
          </w:p>
        </w:tc>
        <w:tc>
          <w:tcPr>
            <w:tcW w:w="565" w:type="dxa"/>
            <w:tcBorders>
              <w:bottom w:val="single" w:sz="12" w:space="0" w:color="auto"/>
            </w:tcBorders>
            <w:vAlign w:val="center"/>
          </w:tcPr>
          <w:p w:rsidR="00B66551" w:rsidRPr="00BB07AF" w:rsidRDefault="00B66551" w:rsidP="00855286">
            <w:pPr>
              <w:ind w:right="-29"/>
              <w:jc w:val="right"/>
              <w:rPr>
                <w:b/>
                <w:noProof/>
                <w:sz w:val="18"/>
                <w:szCs w:val="18"/>
              </w:rPr>
            </w:pPr>
            <w:r w:rsidRPr="003409C9">
              <w:rPr>
                <w:noProof/>
                <w:color w:val="000000"/>
                <w:sz w:val="18"/>
              </w:rPr>
              <w:t>2,145</w:t>
            </w:r>
          </w:p>
        </w:tc>
        <w:tc>
          <w:tcPr>
            <w:tcW w:w="482" w:type="dxa"/>
            <w:tcBorders>
              <w:bottom w:val="single" w:sz="12" w:space="0" w:color="auto"/>
            </w:tcBorders>
            <w:vAlign w:val="center"/>
          </w:tcPr>
          <w:p w:rsidR="00B66551" w:rsidRPr="003409C9" w:rsidRDefault="00B66551" w:rsidP="00855286">
            <w:pPr>
              <w:ind w:right="-29"/>
              <w:jc w:val="right"/>
              <w:rPr>
                <w:b/>
                <w:noProof/>
                <w:sz w:val="18"/>
                <w:szCs w:val="18"/>
              </w:rPr>
            </w:pPr>
            <w:r w:rsidRPr="003409C9">
              <w:rPr>
                <w:noProof/>
                <w:color w:val="000000"/>
                <w:sz w:val="18"/>
              </w:rPr>
              <w:t xml:space="preserve"> </w:t>
            </w:r>
          </w:p>
        </w:tc>
        <w:tc>
          <w:tcPr>
            <w:tcW w:w="1103" w:type="dxa"/>
            <w:gridSpan w:val="2"/>
            <w:tcBorders>
              <w:bottom w:val="single" w:sz="12" w:space="0" w:color="auto"/>
            </w:tcBorders>
            <w:vAlign w:val="center"/>
          </w:tcPr>
          <w:p w:rsidR="00B66551" w:rsidRPr="00BB07AF" w:rsidRDefault="00B66551" w:rsidP="00855286">
            <w:pPr>
              <w:ind w:right="-29"/>
              <w:jc w:val="right"/>
              <w:rPr>
                <w:b/>
                <w:noProof/>
                <w:sz w:val="18"/>
                <w:szCs w:val="18"/>
              </w:rPr>
            </w:pPr>
            <w:r w:rsidRPr="00BB07AF">
              <w:rPr>
                <w:b/>
                <w:noProof/>
                <w:color w:val="000000"/>
                <w:sz w:val="18"/>
              </w:rPr>
              <w:t>22,770</w:t>
            </w:r>
          </w:p>
        </w:tc>
      </w:tr>
      <w:tr w:rsidR="00B66551" w:rsidRPr="003409C9" w:rsidTr="00B66551">
        <w:trPr>
          <w:gridAfter w:val="1"/>
          <w:wAfter w:w="33" w:type="dxa"/>
          <w:jc w:val="center"/>
        </w:trPr>
        <w:tc>
          <w:tcPr>
            <w:tcW w:w="2829" w:type="dxa"/>
            <w:gridSpan w:val="3"/>
            <w:tcBorders>
              <w:top w:val="single" w:sz="12" w:space="0" w:color="auto"/>
              <w:left w:val="single" w:sz="12" w:space="0" w:color="auto"/>
              <w:bottom w:val="single" w:sz="12" w:space="0" w:color="auto"/>
            </w:tcBorders>
            <w:vAlign w:val="center"/>
          </w:tcPr>
          <w:p w:rsidR="00B66551" w:rsidRPr="003409C9" w:rsidRDefault="00B66551" w:rsidP="00855286">
            <w:pPr>
              <w:ind w:right="-29"/>
              <w:jc w:val="right"/>
              <w:rPr>
                <w:noProof/>
                <w:sz w:val="18"/>
                <w:szCs w:val="18"/>
              </w:rPr>
            </w:pPr>
            <w:r w:rsidRPr="00BB07AF">
              <w:rPr>
                <w:b/>
                <w:noProof/>
                <w:sz w:val="18"/>
              </w:rPr>
              <w:t>OGÓŁEM</w:t>
            </w:r>
          </w:p>
        </w:tc>
        <w:tc>
          <w:tcPr>
            <w:tcW w:w="502" w:type="dxa"/>
            <w:tcBorders>
              <w:top w:val="single" w:sz="12" w:space="0" w:color="auto"/>
              <w:bottom w:val="single" w:sz="12" w:space="0" w:color="auto"/>
            </w:tcBorders>
            <w:vAlign w:val="center"/>
          </w:tcPr>
          <w:p w:rsidR="00B66551" w:rsidRPr="003409C9" w:rsidRDefault="00B66551" w:rsidP="00855286">
            <w:pPr>
              <w:spacing w:before="180" w:after="180"/>
              <w:ind w:right="-29"/>
              <w:jc w:val="right"/>
              <w:rPr>
                <w:b/>
                <w:noProof/>
                <w:sz w:val="18"/>
                <w:szCs w:val="18"/>
              </w:rPr>
            </w:pPr>
          </w:p>
        </w:tc>
        <w:tc>
          <w:tcPr>
            <w:tcW w:w="502" w:type="dxa"/>
            <w:tcBorders>
              <w:top w:val="single" w:sz="12" w:space="0" w:color="auto"/>
              <w:bottom w:val="single" w:sz="12" w:space="0" w:color="auto"/>
            </w:tcBorders>
            <w:vAlign w:val="center"/>
          </w:tcPr>
          <w:p w:rsidR="00B66551" w:rsidRPr="003409C9" w:rsidRDefault="00B66551" w:rsidP="00855286">
            <w:pPr>
              <w:spacing w:before="180" w:after="180"/>
              <w:ind w:right="-29"/>
              <w:jc w:val="right"/>
              <w:rPr>
                <w:b/>
                <w:noProof/>
                <w:sz w:val="18"/>
                <w:szCs w:val="18"/>
              </w:rPr>
            </w:pPr>
            <w:r w:rsidRPr="00BB07AF">
              <w:rPr>
                <w:b/>
                <w:noProof/>
                <w:sz w:val="18"/>
              </w:rPr>
              <w:t>0,157</w:t>
            </w:r>
          </w:p>
        </w:tc>
        <w:tc>
          <w:tcPr>
            <w:tcW w:w="502" w:type="dxa"/>
            <w:tcBorders>
              <w:top w:val="single" w:sz="12" w:space="0" w:color="auto"/>
              <w:bottom w:val="single" w:sz="12" w:space="0" w:color="auto"/>
            </w:tcBorders>
            <w:vAlign w:val="center"/>
          </w:tcPr>
          <w:p w:rsidR="00B66551" w:rsidRPr="003409C9" w:rsidRDefault="00B66551" w:rsidP="00855286">
            <w:pPr>
              <w:spacing w:before="180" w:after="180"/>
              <w:ind w:right="-29"/>
              <w:jc w:val="right"/>
              <w:rPr>
                <w:b/>
                <w:noProof/>
                <w:sz w:val="18"/>
                <w:szCs w:val="18"/>
              </w:rPr>
            </w:pPr>
          </w:p>
        </w:tc>
        <w:tc>
          <w:tcPr>
            <w:tcW w:w="574" w:type="dxa"/>
            <w:tcBorders>
              <w:top w:val="single" w:sz="12" w:space="0" w:color="auto"/>
              <w:bottom w:val="single" w:sz="12" w:space="0" w:color="auto"/>
            </w:tcBorders>
            <w:vAlign w:val="center"/>
          </w:tcPr>
          <w:p w:rsidR="00B66551" w:rsidRPr="003409C9" w:rsidRDefault="00B66551" w:rsidP="00855286">
            <w:pPr>
              <w:spacing w:before="180" w:after="180"/>
              <w:ind w:right="-29"/>
              <w:jc w:val="right"/>
              <w:rPr>
                <w:b/>
                <w:noProof/>
                <w:sz w:val="18"/>
                <w:szCs w:val="18"/>
              </w:rPr>
            </w:pPr>
            <w:r w:rsidRPr="00BB07AF">
              <w:rPr>
                <w:b/>
                <w:noProof/>
                <w:sz w:val="18"/>
              </w:rPr>
              <w:t>2,597</w:t>
            </w:r>
          </w:p>
        </w:tc>
        <w:tc>
          <w:tcPr>
            <w:tcW w:w="565" w:type="dxa"/>
            <w:tcBorders>
              <w:top w:val="single" w:sz="12" w:space="0" w:color="auto"/>
              <w:bottom w:val="single" w:sz="12" w:space="0" w:color="auto"/>
            </w:tcBorders>
            <w:vAlign w:val="center"/>
          </w:tcPr>
          <w:p w:rsidR="00B66551" w:rsidRPr="003409C9" w:rsidRDefault="00B66551" w:rsidP="00855286">
            <w:pPr>
              <w:spacing w:before="180" w:after="180"/>
              <w:ind w:right="-29"/>
              <w:jc w:val="right"/>
              <w:rPr>
                <w:b/>
                <w:noProof/>
                <w:sz w:val="18"/>
                <w:szCs w:val="18"/>
              </w:rPr>
            </w:pPr>
          </w:p>
        </w:tc>
        <w:tc>
          <w:tcPr>
            <w:tcW w:w="565" w:type="dxa"/>
            <w:tcBorders>
              <w:top w:val="single" w:sz="12" w:space="0" w:color="auto"/>
              <w:bottom w:val="single" w:sz="12" w:space="0" w:color="auto"/>
            </w:tcBorders>
            <w:vAlign w:val="center"/>
          </w:tcPr>
          <w:p w:rsidR="00B66551" w:rsidRPr="003409C9" w:rsidRDefault="00B66551" w:rsidP="00855286">
            <w:pPr>
              <w:spacing w:before="180" w:after="180"/>
              <w:ind w:right="-29"/>
              <w:jc w:val="right"/>
              <w:rPr>
                <w:b/>
                <w:noProof/>
                <w:sz w:val="18"/>
                <w:szCs w:val="18"/>
              </w:rPr>
            </w:pPr>
            <w:r w:rsidRPr="00BB07AF">
              <w:rPr>
                <w:b/>
                <w:noProof/>
                <w:sz w:val="18"/>
              </w:rPr>
              <w:t>7,958</w:t>
            </w:r>
          </w:p>
        </w:tc>
        <w:tc>
          <w:tcPr>
            <w:tcW w:w="565" w:type="dxa"/>
            <w:tcBorders>
              <w:top w:val="single" w:sz="12" w:space="0" w:color="auto"/>
              <w:bottom w:val="single" w:sz="12" w:space="0" w:color="auto"/>
            </w:tcBorders>
            <w:vAlign w:val="center"/>
          </w:tcPr>
          <w:p w:rsidR="00B66551" w:rsidRPr="003409C9" w:rsidRDefault="00B66551" w:rsidP="00855286">
            <w:pPr>
              <w:spacing w:before="180" w:after="180"/>
              <w:ind w:right="-29"/>
              <w:jc w:val="right"/>
              <w:rPr>
                <w:b/>
                <w:noProof/>
                <w:sz w:val="18"/>
                <w:szCs w:val="18"/>
              </w:rPr>
            </w:pPr>
          </w:p>
        </w:tc>
        <w:tc>
          <w:tcPr>
            <w:tcW w:w="565" w:type="dxa"/>
            <w:tcBorders>
              <w:top w:val="single" w:sz="12" w:space="0" w:color="auto"/>
              <w:bottom w:val="single" w:sz="12" w:space="0" w:color="auto"/>
            </w:tcBorders>
            <w:vAlign w:val="center"/>
          </w:tcPr>
          <w:p w:rsidR="00B66551" w:rsidRPr="003409C9" w:rsidRDefault="00B66551" w:rsidP="00855286">
            <w:pPr>
              <w:spacing w:before="180" w:after="180"/>
              <w:ind w:right="-29"/>
              <w:jc w:val="right"/>
              <w:rPr>
                <w:b/>
                <w:noProof/>
                <w:sz w:val="18"/>
                <w:szCs w:val="18"/>
              </w:rPr>
            </w:pPr>
            <w:r w:rsidRPr="00BB07AF">
              <w:rPr>
                <w:b/>
                <w:noProof/>
                <w:sz w:val="18"/>
              </w:rPr>
              <w:t>34,415</w:t>
            </w:r>
          </w:p>
        </w:tc>
        <w:tc>
          <w:tcPr>
            <w:tcW w:w="565" w:type="dxa"/>
            <w:tcBorders>
              <w:top w:val="single" w:sz="12" w:space="0" w:color="auto"/>
              <w:bottom w:val="single" w:sz="12" w:space="0" w:color="auto"/>
            </w:tcBorders>
            <w:vAlign w:val="center"/>
          </w:tcPr>
          <w:p w:rsidR="00B66551" w:rsidRPr="003409C9" w:rsidRDefault="00B66551" w:rsidP="00855286">
            <w:pPr>
              <w:spacing w:before="180" w:after="180"/>
              <w:ind w:right="-29"/>
              <w:jc w:val="right"/>
              <w:rPr>
                <w:b/>
                <w:noProof/>
                <w:sz w:val="18"/>
                <w:szCs w:val="18"/>
              </w:rPr>
            </w:pPr>
          </w:p>
        </w:tc>
        <w:tc>
          <w:tcPr>
            <w:tcW w:w="565" w:type="dxa"/>
            <w:tcBorders>
              <w:top w:val="single" w:sz="12" w:space="0" w:color="auto"/>
              <w:bottom w:val="single" w:sz="12" w:space="0" w:color="auto"/>
            </w:tcBorders>
            <w:vAlign w:val="center"/>
          </w:tcPr>
          <w:p w:rsidR="00B66551" w:rsidRPr="003409C9" w:rsidRDefault="00B66551" w:rsidP="00855286">
            <w:pPr>
              <w:spacing w:before="180" w:after="180"/>
              <w:ind w:right="-29"/>
              <w:jc w:val="right"/>
              <w:rPr>
                <w:b/>
                <w:noProof/>
                <w:sz w:val="18"/>
                <w:szCs w:val="18"/>
              </w:rPr>
            </w:pPr>
            <w:r w:rsidRPr="00BB07AF">
              <w:rPr>
                <w:b/>
                <w:noProof/>
                <w:sz w:val="18"/>
              </w:rPr>
              <w:t>26,388</w:t>
            </w:r>
          </w:p>
        </w:tc>
        <w:tc>
          <w:tcPr>
            <w:tcW w:w="424" w:type="dxa"/>
            <w:tcBorders>
              <w:top w:val="single" w:sz="12" w:space="0" w:color="auto"/>
              <w:bottom w:val="single" w:sz="12" w:space="0" w:color="auto"/>
            </w:tcBorders>
            <w:vAlign w:val="center"/>
          </w:tcPr>
          <w:p w:rsidR="00B66551" w:rsidRPr="003409C9" w:rsidRDefault="00B66551" w:rsidP="00855286">
            <w:pPr>
              <w:spacing w:before="180" w:after="180"/>
              <w:ind w:right="-29"/>
              <w:jc w:val="right"/>
              <w:rPr>
                <w:b/>
                <w:noProof/>
                <w:sz w:val="18"/>
                <w:szCs w:val="18"/>
              </w:rPr>
            </w:pPr>
          </w:p>
        </w:tc>
        <w:tc>
          <w:tcPr>
            <w:tcW w:w="565" w:type="dxa"/>
            <w:tcBorders>
              <w:top w:val="single" w:sz="12" w:space="0" w:color="auto"/>
              <w:bottom w:val="single" w:sz="12" w:space="0" w:color="auto"/>
            </w:tcBorders>
            <w:vAlign w:val="center"/>
          </w:tcPr>
          <w:p w:rsidR="00B66551" w:rsidRPr="003409C9" w:rsidRDefault="00B66551" w:rsidP="00855286">
            <w:pPr>
              <w:spacing w:before="180" w:after="180"/>
              <w:ind w:right="-29"/>
              <w:jc w:val="right"/>
              <w:rPr>
                <w:b/>
                <w:noProof/>
                <w:sz w:val="18"/>
                <w:szCs w:val="18"/>
              </w:rPr>
            </w:pPr>
            <w:r w:rsidRPr="00BB07AF">
              <w:rPr>
                <w:b/>
                <w:noProof/>
                <w:sz w:val="18"/>
              </w:rPr>
              <w:t>21,873</w:t>
            </w:r>
          </w:p>
        </w:tc>
        <w:tc>
          <w:tcPr>
            <w:tcW w:w="565" w:type="dxa"/>
            <w:tcBorders>
              <w:top w:val="single" w:sz="12" w:space="0" w:color="auto"/>
              <w:bottom w:val="single" w:sz="12" w:space="0" w:color="auto"/>
            </w:tcBorders>
            <w:vAlign w:val="center"/>
          </w:tcPr>
          <w:p w:rsidR="00B66551" w:rsidRPr="003409C9" w:rsidRDefault="00B66551" w:rsidP="00855286">
            <w:pPr>
              <w:spacing w:before="180" w:after="180"/>
              <w:ind w:right="-29"/>
              <w:jc w:val="right"/>
              <w:rPr>
                <w:b/>
                <w:noProof/>
                <w:sz w:val="18"/>
                <w:szCs w:val="18"/>
              </w:rPr>
            </w:pPr>
          </w:p>
        </w:tc>
        <w:tc>
          <w:tcPr>
            <w:tcW w:w="565" w:type="dxa"/>
            <w:tcBorders>
              <w:top w:val="single" w:sz="12" w:space="0" w:color="auto"/>
              <w:bottom w:val="single" w:sz="12" w:space="0" w:color="auto"/>
            </w:tcBorders>
            <w:vAlign w:val="center"/>
          </w:tcPr>
          <w:p w:rsidR="00B66551" w:rsidRPr="003409C9" w:rsidRDefault="00B66551" w:rsidP="00855286">
            <w:pPr>
              <w:spacing w:before="180" w:after="180"/>
              <w:ind w:right="-29"/>
              <w:jc w:val="right"/>
              <w:rPr>
                <w:b/>
                <w:noProof/>
                <w:sz w:val="18"/>
                <w:szCs w:val="18"/>
              </w:rPr>
            </w:pPr>
            <w:r w:rsidRPr="00BB07AF">
              <w:rPr>
                <w:b/>
                <w:noProof/>
                <w:sz w:val="18"/>
              </w:rPr>
              <w:t>23,521</w:t>
            </w:r>
          </w:p>
        </w:tc>
        <w:tc>
          <w:tcPr>
            <w:tcW w:w="565" w:type="dxa"/>
            <w:tcBorders>
              <w:top w:val="single" w:sz="12" w:space="0" w:color="auto"/>
              <w:bottom w:val="single" w:sz="12" w:space="0" w:color="auto"/>
            </w:tcBorders>
            <w:vAlign w:val="center"/>
          </w:tcPr>
          <w:p w:rsidR="00B66551" w:rsidRPr="003409C9" w:rsidRDefault="00B66551" w:rsidP="00855286">
            <w:pPr>
              <w:spacing w:before="180" w:after="180"/>
              <w:ind w:right="-29"/>
              <w:jc w:val="right"/>
              <w:rPr>
                <w:b/>
                <w:noProof/>
                <w:sz w:val="18"/>
                <w:szCs w:val="18"/>
              </w:rPr>
            </w:pPr>
          </w:p>
        </w:tc>
        <w:tc>
          <w:tcPr>
            <w:tcW w:w="565" w:type="dxa"/>
            <w:tcBorders>
              <w:top w:val="single" w:sz="12" w:space="0" w:color="auto"/>
              <w:bottom w:val="single" w:sz="12" w:space="0" w:color="auto"/>
            </w:tcBorders>
            <w:vAlign w:val="center"/>
          </w:tcPr>
          <w:p w:rsidR="00B66551" w:rsidRPr="003409C9" w:rsidRDefault="00B66551" w:rsidP="00855286">
            <w:pPr>
              <w:spacing w:before="180" w:after="180"/>
              <w:ind w:right="-29"/>
              <w:jc w:val="right"/>
              <w:rPr>
                <w:b/>
                <w:noProof/>
                <w:sz w:val="18"/>
                <w:szCs w:val="18"/>
              </w:rPr>
            </w:pPr>
            <w:r w:rsidRPr="00BB07AF">
              <w:rPr>
                <w:b/>
                <w:noProof/>
                <w:sz w:val="18"/>
              </w:rPr>
              <w:t>16,591</w:t>
            </w:r>
          </w:p>
        </w:tc>
        <w:tc>
          <w:tcPr>
            <w:tcW w:w="565" w:type="dxa"/>
            <w:tcBorders>
              <w:top w:val="single" w:sz="12" w:space="0" w:color="auto"/>
              <w:bottom w:val="single" w:sz="12" w:space="0" w:color="auto"/>
            </w:tcBorders>
            <w:vAlign w:val="center"/>
          </w:tcPr>
          <w:p w:rsidR="00B66551" w:rsidRPr="003409C9" w:rsidRDefault="00B66551" w:rsidP="00855286">
            <w:pPr>
              <w:spacing w:before="180" w:after="180"/>
              <w:ind w:right="-29"/>
              <w:jc w:val="right"/>
              <w:rPr>
                <w:b/>
                <w:noProof/>
                <w:sz w:val="18"/>
                <w:szCs w:val="18"/>
              </w:rPr>
            </w:pPr>
          </w:p>
        </w:tc>
        <w:tc>
          <w:tcPr>
            <w:tcW w:w="565" w:type="dxa"/>
            <w:tcBorders>
              <w:top w:val="single" w:sz="12" w:space="0" w:color="auto"/>
              <w:bottom w:val="single" w:sz="12" w:space="0" w:color="auto"/>
            </w:tcBorders>
            <w:vAlign w:val="center"/>
          </w:tcPr>
          <w:p w:rsidR="00B66551" w:rsidRPr="003409C9" w:rsidRDefault="00B66551" w:rsidP="00855286">
            <w:pPr>
              <w:spacing w:before="180" w:after="180"/>
              <w:ind w:right="-29"/>
              <w:jc w:val="right"/>
              <w:rPr>
                <w:b/>
                <w:noProof/>
                <w:sz w:val="18"/>
                <w:szCs w:val="18"/>
              </w:rPr>
            </w:pPr>
            <w:r w:rsidRPr="00BB07AF">
              <w:rPr>
                <w:b/>
                <w:noProof/>
                <w:sz w:val="18"/>
              </w:rPr>
              <w:t>16,591</w:t>
            </w:r>
          </w:p>
        </w:tc>
        <w:tc>
          <w:tcPr>
            <w:tcW w:w="565" w:type="dxa"/>
            <w:tcBorders>
              <w:top w:val="single" w:sz="12" w:space="0" w:color="auto"/>
              <w:bottom w:val="single" w:sz="12" w:space="0" w:color="auto"/>
            </w:tcBorders>
            <w:vAlign w:val="center"/>
          </w:tcPr>
          <w:p w:rsidR="00B66551" w:rsidRPr="003409C9" w:rsidRDefault="00B66551" w:rsidP="00855286">
            <w:pPr>
              <w:spacing w:before="180" w:after="180"/>
              <w:ind w:right="-29"/>
              <w:jc w:val="right"/>
              <w:rPr>
                <w:b/>
                <w:noProof/>
                <w:sz w:val="18"/>
                <w:szCs w:val="18"/>
              </w:rPr>
            </w:pPr>
          </w:p>
        </w:tc>
        <w:tc>
          <w:tcPr>
            <w:tcW w:w="565" w:type="dxa"/>
            <w:tcBorders>
              <w:top w:val="single" w:sz="12" w:space="0" w:color="auto"/>
              <w:bottom w:val="single" w:sz="12" w:space="0" w:color="auto"/>
            </w:tcBorders>
            <w:vAlign w:val="center"/>
          </w:tcPr>
          <w:p w:rsidR="00B66551" w:rsidRPr="003409C9" w:rsidRDefault="00B66551" w:rsidP="00855286">
            <w:pPr>
              <w:spacing w:before="180" w:after="180"/>
              <w:ind w:right="-29"/>
              <w:jc w:val="right"/>
              <w:rPr>
                <w:b/>
                <w:noProof/>
                <w:sz w:val="18"/>
                <w:szCs w:val="18"/>
              </w:rPr>
            </w:pPr>
            <w:r w:rsidRPr="00BB07AF">
              <w:rPr>
                <w:b/>
                <w:noProof/>
                <w:sz w:val="18"/>
              </w:rPr>
              <w:t>16,591</w:t>
            </w:r>
          </w:p>
        </w:tc>
        <w:tc>
          <w:tcPr>
            <w:tcW w:w="565" w:type="dxa"/>
            <w:tcBorders>
              <w:top w:val="single" w:sz="12" w:space="0" w:color="auto"/>
              <w:bottom w:val="single" w:sz="12" w:space="0" w:color="auto"/>
            </w:tcBorders>
            <w:vAlign w:val="center"/>
          </w:tcPr>
          <w:p w:rsidR="00B66551" w:rsidRPr="003409C9" w:rsidRDefault="00B66551" w:rsidP="00855286">
            <w:pPr>
              <w:spacing w:before="180" w:after="180"/>
              <w:ind w:right="-29"/>
              <w:jc w:val="right"/>
              <w:rPr>
                <w:b/>
                <w:noProof/>
                <w:sz w:val="18"/>
                <w:szCs w:val="18"/>
              </w:rPr>
            </w:pPr>
          </w:p>
        </w:tc>
        <w:tc>
          <w:tcPr>
            <w:tcW w:w="565" w:type="dxa"/>
            <w:tcBorders>
              <w:top w:val="single" w:sz="12" w:space="0" w:color="auto"/>
              <w:bottom w:val="single" w:sz="12" w:space="0" w:color="auto"/>
            </w:tcBorders>
            <w:vAlign w:val="center"/>
          </w:tcPr>
          <w:p w:rsidR="00B66551" w:rsidRPr="003409C9" w:rsidRDefault="00B66551" w:rsidP="00855286">
            <w:pPr>
              <w:spacing w:before="180" w:after="180"/>
              <w:ind w:right="-29"/>
              <w:jc w:val="right"/>
              <w:rPr>
                <w:b/>
                <w:noProof/>
                <w:sz w:val="18"/>
                <w:szCs w:val="18"/>
              </w:rPr>
            </w:pPr>
            <w:r w:rsidRPr="00BB07AF">
              <w:rPr>
                <w:b/>
                <w:noProof/>
                <w:sz w:val="18"/>
              </w:rPr>
              <w:t>16,591</w:t>
            </w:r>
          </w:p>
        </w:tc>
        <w:tc>
          <w:tcPr>
            <w:tcW w:w="482" w:type="dxa"/>
            <w:tcBorders>
              <w:top w:val="single" w:sz="12" w:space="0" w:color="auto"/>
              <w:bottom w:val="single" w:sz="12" w:space="0" w:color="auto"/>
            </w:tcBorders>
            <w:vAlign w:val="center"/>
          </w:tcPr>
          <w:p w:rsidR="00B66551" w:rsidRPr="003409C9" w:rsidRDefault="00B66551" w:rsidP="00855286">
            <w:pPr>
              <w:spacing w:before="180" w:after="180"/>
              <w:ind w:right="-29"/>
              <w:jc w:val="right"/>
              <w:rPr>
                <w:b/>
                <w:noProof/>
                <w:sz w:val="18"/>
                <w:szCs w:val="18"/>
              </w:rPr>
            </w:pPr>
          </w:p>
        </w:tc>
        <w:tc>
          <w:tcPr>
            <w:tcW w:w="1103" w:type="dxa"/>
            <w:gridSpan w:val="2"/>
            <w:tcBorders>
              <w:top w:val="single" w:sz="12" w:space="0" w:color="auto"/>
              <w:bottom w:val="single" w:sz="12" w:space="0" w:color="auto"/>
              <w:right w:val="single" w:sz="12" w:space="0" w:color="auto"/>
            </w:tcBorders>
            <w:vAlign w:val="center"/>
          </w:tcPr>
          <w:p w:rsidR="00B66551" w:rsidRPr="00BB07AF" w:rsidRDefault="00B66551" w:rsidP="00855286">
            <w:pPr>
              <w:spacing w:before="180" w:after="180"/>
              <w:ind w:right="-29"/>
              <w:jc w:val="right"/>
              <w:rPr>
                <w:b/>
                <w:noProof/>
                <w:sz w:val="18"/>
                <w:szCs w:val="18"/>
              </w:rPr>
            </w:pPr>
            <w:r w:rsidRPr="00BB07AF">
              <w:rPr>
                <w:b/>
                <w:noProof/>
                <w:sz w:val="18"/>
              </w:rPr>
              <w:t>183,270</w:t>
            </w:r>
          </w:p>
        </w:tc>
      </w:tr>
    </w:tbl>
    <w:p w:rsidR="00B66551" w:rsidRPr="003409C9" w:rsidRDefault="00B66551" w:rsidP="00CD7E2F">
      <w:pPr>
        <w:rPr>
          <w:noProof/>
        </w:rPr>
        <w:sectPr w:rsidR="00B66551" w:rsidRPr="003409C9" w:rsidSect="00883BC7">
          <w:headerReference w:type="default" r:id="rId26"/>
          <w:footerReference w:type="default" r:id="rId27"/>
          <w:headerReference w:type="first" r:id="rId28"/>
          <w:footerReference w:type="first" r:id="rId29"/>
          <w:pgSz w:w="16840" w:h="11907" w:orient="landscape" w:code="9"/>
          <w:pgMar w:top="1418" w:right="1134" w:bottom="1418" w:left="1134" w:header="709" w:footer="709" w:gutter="0"/>
          <w:cols w:space="708"/>
          <w:docGrid w:linePitch="360"/>
        </w:sectPr>
      </w:pPr>
    </w:p>
    <w:p w:rsidR="00CD7E2F" w:rsidRPr="00BB07AF" w:rsidRDefault="009475BC" w:rsidP="009475BC">
      <w:pPr>
        <w:pStyle w:val="ManualHeading3"/>
        <w:rPr>
          <w:bCs/>
          <w:noProof/>
          <w:szCs w:val="24"/>
        </w:rPr>
      </w:pPr>
      <w:bookmarkStart w:id="136" w:name="_Toc514938688"/>
      <w:bookmarkStart w:id="137" w:name="_Toc520485447"/>
      <w:bookmarkStart w:id="138" w:name="_Toc117796994"/>
      <w:bookmarkStart w:id="139" w:name="_Toc514938055"/>
      <w:r w:rsidRPr="00BB07AF">
        <w:rPr>
          <w:noProof/>
        </w:rPr>
        <w:t>3.2.3.</w:t>
      </w:r>
      <w:r w:rsidRPr="00BB07AF">
        <w:rPr>
          <w:noProof/>
        </w:rPr>
        <w:tab/>
        <w:t>Szacunkowy wpływ na zasoby ludzkie eu-LISA</w:t>
      </w:r>
      <w:bookmarkEnd w:id="136"/>
      <w:bookmarkEnd w:id="137"/>
      <w:bookmarkEnd w:id="138"/>
      <w:r w:rsidRPr="00BB07AF">
        <w:rPr>
          <w:noProof/>
        </w:rPr>
        <w:t xml:space="preserve"> </w:t>
      </w:r>
    </w:p>
    <w:p w:rsidR="00CD7E2F" w:rsidRPr="003409C9" w:rsidRDefault="009475BC" w:rsidP="009475BC">
      <w:pPr>
        <w:pStyle w:val="ManualHeading4"/>
        <w:rPr>
          <w:bCs/>
          <w:noProof/>
          <w:szCs w:val="24"/>
        </w:rPr>
      </w:pPr>
      <w:bookmarkStart w:id="140" w:name="_Hlk118441725"/>
      <w:bookmarkStart w:id="141" w:name="_Hlk118441708"/>
      <w:r w:rsidRPr="003409C9">
        <w:rPr>
          <w:noProof/>
        </w:rPr>
        <w:t>3.2.3.1.</w:t>
      </w:r>
      <w:r w:rsidRPr="003409C9">
        <w:rPr>
          <w:noProof/>
        </w:rPr>
        <w:tab/>
        <w:t>Podsumowanie</w:t>
      </w:r>
      <w:bookmarkEnd w:id="140"/>
      <w:r w:rsidRPr="003409C9">
        <w:rPr>
          <w:noProof/>
        </w:rPr>
        <w:t xml:space="preserve"> </w:t>
      </w:r>
    </w:p>
    <w:p w:rsidR="00CD7E2F" w:rsidRPr="003409C9" w:rsidRDefault="00CD7E2F" w:rsidP="003409C9">
      <w:pPr>
        <w:pStyle w:val="ListDash1"/>
        <w:rPr>
          <w:noProof/>
        </w:rPr>
      </w:pPr>
      <w:r w:rsidRPr="003409C9">
        <w:rPr>
          <w:noProof/>
        </w:rPr>
        <w:sym w:font="Wingdings" w:char="F0A8"/>
      </w:r>
      <w:r w:rsidRPr="003409C9">
        <w:rPr>
          <w:noProof/>
        </w:rPr>
        <w:tab/>
        <w:t>Wniosek/inicjatywa nie wiąże się</w:t>
      </w:r>
      <w:r w:rsidR="003409C9" w:rsidRPr="003409C9">
        <w:rPr>
          <w:noProof/>
        </w:rPr>
        <w:t xml:space="preserve"> z kon</w:t>
      </w:r>
      <w:r w:rsidRPr="003409C9">
        <w:rPr>
          <w:noProof/>
        </w:rPr>
        <w:t xml:space="preserve">iecznością wykorzystania środków administracyjnych </w:t>
      </w:r>
    </w:p>
    <w:p w:rsidR="00CD7E2F" w:rsidRPr="003409C9" w:rsidRDefault="00CD7E2F" w:rsidP="003409C9">
      <w:pPr>
        <w:pStyle w:val="ListDash1"/>
        <w:rPr>
          <w:noProof/>
        </w:rPr>
      </w:pPr>
      <w:r w:rsidRPr="003409C9">
        <w:rPr>
          <w:noProof/>
        </w:rPr>
        <w:sym w:font="Wingdings" w:char="F078"/>
      </w:r>
      <w:r w:rsidRPr="003409C9">
        <w:rPr>
          <w:noProof/>
        </w:rPr>
        <w:tab/>
        <w:t>Wniosek/inicjatywa wiąże się</w:t>
      </w:r>
      <w:r w:rsidR="003409C9" w:rsidRPr="003409C9">
        <w:rPr>
          <w:noProof/>
        </w:rPr>
        <w:t xml:space="preserve"> z kon</w:t>
      </w:r>
      <w:r w:rsidRPr="003409C9">
        <w:rPr>
          <w:noProof/>
        </w:rPr>
        <w:t>iecznością wykorzystania środków administracyjnych, jak określono poniżej</w:t>
      </w:r>
      <w:bookmarkEnd w:id="141"/>
      <w:r w:rsidRPr="003409C9">
        <w:rPr>
          <w:noProof/>
        </w:rPr>
        <w:t>:</w:t>
      </w:r>
    </w:p>
    <w:p w:rsidR="00CD7E2F" w:rsidRPr="003409C9" w:rsidRDefault="00CD7E2F" w:rsidP="00CD7E2F">
      <w:pPr>
        <w:rPr>
          <w:noProof/>
          <w:sz w:val="20"/>
        </w:rPr>
      </w:pPr>
    </w:p>
    <w:p w:rsidR="00CD7E2F" w:rsidRPr="003409C9" w:rsidRDefault="00CD7E2F" w:rsidP="007A07B3">
      <w:pPr>
        <w:jc w:val="right"/>
        <w:rPr>
          <w:noProof/>
          <w:sz w:val="20"/>
        </w:rPr>
      </w:pPr>
      <w:bookmarkStart w:id="142" w:name="_Hlk118441641"/>
      <w:r w:rsidRPr="003409C9">
        <w:rPr>
          <w:noProof/>
          <w:sz w:val="20"/>
        </w:rPr>
        <w:t>w mln EUR (do trzech miejsc po przecinku)</w:t>
      </w:r>
    </w:p>
    <w:tbl>
      <w:tblPr>
        <w:tblW w:w="9793"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725"/>
        <w:gridCol w:w="709"/>
        <w:gridCol w:w="709"/>
        <w:gridCol w:w="708"/>
        <w:gridCol w:w="709"/>
        <w:gridCol w:w="709"/>
        <w:gridCol w:w="709"/>
        <w:gridCol w:w="708"/>
        <w:gridCol w:w="709"/>
        <w:gridCol w:w="709"/>
        <w:gridCol w:w="709"/>
      </w:tblGrid>
      <w:tr w:rsidR="00CD7E2F" w:rsidRPr="003409C9" w:rsidTr="00EA0500">
        <w:trPr>
          <w:trHeight w:val="585"/>
        </w:trPr>
        <w:tc>
          <w:tcPr>
            <w:tcW w:w="1980" w:type="dxa"/>
          </w:tcPr>
          <w:p w:rsidR="00CD7E2F" w:rsidRPr="003409C9" w:rsidRDefault="00CD7E2F" w:rsidP="00EA0500">
            <w:pPr>
              <w:spacing w:before="60" w:after="60"/>
              <w:rPr>
                <w:noProof/>
                <w:sz w:val="20"/>
              </w:rPr>
            </w:pPr>
          </w:p>
        </w:tc>
        <w:tc>
          <w:tcPr>
            <w:tcW w:w="725" w:type="dxa"/>
            <w:vAlign w:val="center"/>
          </w:tcPr>
          <w:p w:rsidR="00CD7E2F" w:rsidRPr="003409C9" w:rsidRDefault="00CD7E2F" w:rsidP="00EA0500">
            <w:pPr>
              <w:spacing w:before="60" w:after="60"/>
              <w:jc w:val="center"/>
              <w:rPr>
                <w:noProof/>
                <w:sz w:val="20"/>
              </w:rPr>
            </w:pPr>
            <w:r w:rsidRPr="003409C9">
              <w:rPr>
                <w:noProof/>
                <w:sz w:val="20"/>
              </w:rPr>
              <w:t>Rok</w:t>
            </w:r>
            <w:r w:rsidRPr="003409C9">
              <w:rPr>
                <w:noProof/>
              </w:rPr>
              <w:t xml:space="preserve"> </w:t>
            </w:r>
            <w:r w:rsidRPr="003409C9">
              <w:rPr>
                <w:noProof/>
              </w:rPr>
              <w:br/>
            </w:r>
            <w:r w:rsidRPr="00BB07AF">
              <w:rPr>
                <w:b/>
                <w:noProof/>
                <w:sz w:val="20"/>
              </w:rPr>
              <w:t>2024</w:t>
            </w:r>
          </w:p>
        </w:tc>
        <w:tc>
          <w:tcPr>
            <w:tcW w:w="709" w:type="dxa"/>
            <w:vAlign w:val="center"/>
          </w:tcPr>
          <w:p w:rsidR="00CD7E2F" w:rsidRPr="003409C9" w:rsidRDefault="00CD7E2F" w:rsidP="00EA0500">
            <w:pPr>
              <w:spacing w:before="60" w:after="60"/>
              <w:jc w:val="center"/>
              <w:rPr>
                <w:noProof/>
                <w:sz w:val="20"/>
              </w:rPr>
            </w:pPr>
            <w:r w:rsidRPr="003409C9">
              <w:rPr>
                <w:noProof/>
                <w:sz w:val="20"/>
              </w:rPr>
              <w:t xml:space="preserve">Rok </w:t>
            </w:r>
            <w:r w:rsidRPr="00BB07AF">
              <w:rPr>
                <w:b/>
                <w:noProof/>
                <w:sz w:val="20"/>
              </w:rPr>
              <w:t>2025</w:t>
            </w:r>
          </w:p>
        </w:tc>
        <w:tc>
          <w:tcPr>
            <w:tcW w:w="709" w:type="dxa"/>
            <w:vAlign w:val="center"/>
          </w:tcPr>
          <w:p w:rsidR="00CD7E2F" w:rsidRPr="003409C9" w:rsidRDefault="00CD7E2F" w:rsidP="00EA0500">
            <w:pPr>
              <w:spacing w:before="60" w:after="60"/>
              <w:jc w:val="center"/>
              <w:rPr>
                <w:noProof/>
                <w:sz w:val="20"/>
              </w:rPr>
            </w:pPr>
            <w:r w:rsidRPr="003409C9">
              <w:rPr>
                <w:noProof/>
                <w:sz w:val="20"/>
              </w:rPr>
              <w:t>Rok</w:t>
            </w:r>
            <w:r w:rsidRPr="003409C9">
              <w:rPr>
                <w:noProof/>
              </w:rPr>
              <w:t xml:space="preserve"> </w:t>
            </w:r>
            <w:r w:rsidRPr="003409C9">
              <w:rPr>
                <w:noProof/>
              </w:rPr>
              <w:br/>
            </w:r>
            <w:r w:rsidRPr="00BB07AF">
              <w:rPr>
                <w:b/>
                <w:noProof/>
                <w:sz w:val="20"/>
              </w:rPr>
              <w:t>2026</w:t>
            </w:r>
          </w:p>
        </w:tc>
        <w:tc>
          <w:tcPr>
            <w:tcW w:w="708" w:type="dxa"/>
            <w:vAlign w:val="center"/>
          </w:tcPr>
          <w:p w:rsidR="00CD7E2F" w:rsidRPr="003409C9" w:rsidRDefault="00CD7E2F" w:rsidP="00EA0500">
            <w:pPr>
              <w:spacing w:before="60" w:after="60"/>
              <w:jc w:val="center"/>
              <w:rPr>
                <w:noProof/>
                <w:sz w:val="20"/>
              </w:rPr>
            </w:pPr>
            <w:r w:rsidRPr="003409C9">
              <w:rPr>
                <w:noProof/>
                <w:sz w:val="20"/>
              </w:rPr>
              <w:t>Rok</w:t>
            </w:r>
            <w:r w:rsidRPr="003409C9">
              <w:rPr>
                <w:noProof/>
              </w:rPr>
              <w:t xml:space="preserve"> </w:t>
            </w:r>
            <w:r w:rsidRPr="003409C9">
              <w:rPr>
                <w:noProof/>
              </w:rPr>
              <w:br/>
            </w:r>
            <w:r w:rsidRPr="00BB07AF">
              <w:rPr>
                <w:b/>
                <w:noProof/>
                <w:sz w:val="20"/>
              </w:rPr>
              <w:t>2027</w:t>
            </w:r>
          </w:p>
        </w:tc>
        <w:tc>
          <w:tcPr>
            <w:tcW w:w="709" w:type="dxa"/>
            <w:vAlign w:val="center"/>
          </w:tcPr>
          <w:p w:rsidR="00CD7E2F" w:rsidRPr="003409C9" w:rsidRDefault="00CD7E2F" w:rsidP="00EA0500">
            <w:pPr>
              <w:spacing w:before="60" w:after="60"/>
              <w:jc w:val="center"/>
              <w:rPr>
                <w:noProof/>
                <w:sz w:val="20"/>
              </w:rPr>
            </w:pPr>
            <w:r w:rsidRPr="003409C9">
              <w:rPr>
                <w:noProof/>
                <w:sz w:val="20"/>
              </w:rPr>
              <w:t>Rok</w:t>
            </w:r>
            <w:r w:rsidRPr="003409C9">
              <w:rPr>
                <w:noProof/>
              </w:rPr>
              <w:t xml:space="preserve"> </w:t>
            </w:r>
            <w:r w:rsidRPr="003409C9">
              <w:rPr>
                <w:noProof/>
              </w:rPr>
              <w:br/>
            </w:r>
            <w:r w:rsidRPr="00BB07AF">
              <w:rPr>
                <w:b/>
                <w:noProof/>
                <w:sz w:val="20"/>
              </w:rPr>
              <w:t>2028</w:t>
            </w:r>
          </w:p>
        </w:tc>
        <w:tc>
          <w:tcPr>
            <w:tcW w:w="709" w:type="dxa"/>
            <w:vAlign w:val="center"/>
          </w:tcPr>
          <w:p w:rsidR="00CD7E2F" w:rsidRPr="00BB07AF" w:rsidRDefault="00CD7E2F" w:rsidP="00EA0500">
            <w:pPr>
              <w:jc w:val="center"/>
              <w:rPr>
                <w:b/>
                <w:noProof/>
                <w:sz w:val="20"/>
              </w:rPr>
            </w:pPr>
            <w:r w:rsidRPr="003409C9">
              <w:rPr>
                <w:noProof/>
                <w:sz w:val="20"/>
              </w:rPr>
              <w:t>Rok</w:t>
            </w:r>
            <w:r w:rsidRPr="003409C9">
              <w:rPr>
                <w:noProof/>
              </w:rPr>
              <w:t xml:space="preserve"> </w:t>
            </w:r>
            <w:r w:rsidRPr="003409C9">
              <w:rPr>
                <w:noProof/>
              </w:rPr>
              <w:br/>
            </w:r>
            <w:r w:rsidRPr="00BB07AF">
              <w:rPr>
                <w:b/>
                <w:noProof/>
                <w:sz w:val="20"/>
              </w:rPr>
              <w:t>2029</w:t>
            </w:r>
          </w:p>
        </w:tc>
        <w:tc>
          <w:tcPr>
            <w:tcW w:w="709" w:type="dxa"/>
            <w:vAlign w:val="center"/>
          </w:tcPr>
          <w:p w:rsidR="00CD7E2F" w:rsidRPr="003409C9" w:rsidRDefault="00CD7E2F" w:rsidP="00EA0500">
            <w:pPr>
              <w:jc w:val="center"/>
              <w:rPr>
                <w:noProof/>
                <w:sz w:val="20"/>
              </w:rPr>
            </w:pPr>
            <w:r w:rsidRPr="003409C9">
              <w:rPr>
                <w:noProof/>
                <w:sz w:val="20"/>
              </w:rPr>
              <w:t>Rok</w:t>
            </w:r>
            <w:r w:rsidRPr="003409C9">
              <w:rPr>
                <w:noProof/>
              </w:rPr>
              <w:t xml:space="preserve"> </w:t>
            </w:r>
            <w:r w:rsidRPr="003409C9">
              <w:rPr>
                <w:noProof/>
              </w:rPr>
              <w:br/>
            </w:r>
            <w:r w:rsidRPr="00BB07AF">
              <w:rPr>
                <w:b/>
                <w:noProof/>
                <w:sz w:val="20"/>
              </w:rPr>
              <w:t>2030</w:t>
            </w:r>
          </w:p>
        </w:tc>
        <w:tc>
          <w:tcPr>
            <w:tcW w:w="708" w:type="dxa"/>
            <w:vAlign w:val="center"/>
          </w:tcPr>
          <w:p w:rsidR="00CD7E2F" w:rsidRPr="00BB07AF" w:rsidRDefault="00CD7E2F" w:rsidP="00EA0500">
            <w:pPr>
              <w:jc w:val="center"/>
              <w:rPr>
                <w:b/>
                <w:noProof/>
                <w:sz w:val="20"/>
              </w:rPr>
            </w:pPr>
            <w:r w:rsidRPr="003409C9">
              <w:rPr>
                <w:noProof/>
                <w:sz w:val="20"/>
              </w:rPr>
              <w:t>Rok</w:t>
            </w:r>
            <w:r w:rsidRPr="003409C9">
              <w:rPr>
                <w:noProof/>
              </w:rPr>
              <w:t xml:space="preserve"> </w:t>
            </w:r>
            <w:r w:rsidRPr="003409C9">
              <w:rPr>
                <w:noProof/>
              </w:rPr>
              <w:br/>
            </w:r>
            <w:r w:rsidRPr="00BB07AF">
              <w:rPr>
                <w:b/>
                <w:noProof/>
                <w:sz w:val="20"/>
              </w:rPr>
              <w:t>2031</w:t>
            </w:r>
          </w:p>
        </w:tc>
        <w:tc>
          <w:tcPr>
            <w:tcW w:w="709" w:type="dxa"/>
            <w:vAlign w:val="center"/>
          </w:tcPr>
          <w:p w:rsidR="00CD7E2F" w:rsidRPr="003409C9" w:rsidRDefault="00CD7E2F" w:rsidP="00EA0500">
            <w:pPr>
              <w:jc w:val="center"/>
              <w:rPr>
                <w:noProof/>
                <w:sz w:val="20"/>
              </w:rPr>
            </w:pPr>
            <w:r w:rsidRPr="003409C9">
              <w:rPr>
                <w:noProof/>
                <w:sz w:val="20"/>
              </w:rPr>
              <w:t>Rok</w:t>
            </w:r>
            <w:r w:rsidRPr="003409C9">
              <w:rPr>
                <w:noProof/>
              </w:rPr>
              <w:t xml:space="preserve"> </w:t>
            </w:r>
            <w:r w:rsidRPr="003409C9">
              <w:rPr>
                <w:noProof/>
              </w:rPr>
              <w:br/>
            </w:r>
            <w:r w:rsidRPr="00BB07AF">
              <w:rPr>
                <w:b/>
                <w:noProof/>
                <w:sz w:val="20"/>
              </w:rPr>
              <w:t>2032</w:t>
            </w:r>
          </w:p>
        </w:tc>
        <w:tc>
          <w:tcPr>
            <w:tcW w:w="709" w:type="dxa"/>
            <w:vAlign w:val="center"/>
          </w:tcPr>
          <w:p w:rsidR="00CD7E2F" w:rsidRPr="00BB07AF" w:rsidRDefault="00CD7E2F" w:rsidP="00EA0500">
            <w:pPr>
              <w:jc w:val="center"/>
              <w:rPr>
                <w:b/>
                <w:noProof/>
                <w:sz w:val="20"/>
              </w:rPr>
            </w:pPr>
            <w:r w:rsidRPr="003409C9">
              <w:rPr>
                <w:noProof/>
                <w:sz w:val="20"/>
              </w:rPr>
              <w:t xml:space="preserve">Rok </w:t>
            </w:r>
            <w:r w:rsidRPr="00BB07AF">
              <w:rPr>
                <w:b/>
                <w:noProof/>
                <w:sz w:val="20"/>
              </w:rPr>
              <w:t>2033</w:t>
            </w:r>
          </w:p>
        </w:tc>
        <w:tc>
          <w:tcPr>
            <w:tcW w:w="709" w:type="dxa"/>
            <w:vAlign w:val="center"/>
          </w:tcPr>
          <w:p w:rsidR="00CD7E2F" w:rsidRPr="003409C9" w:rsidRDefault="00CD7E2F" w:rsidP="00EA0500">
            <w:pPr>
              <w:jc w:val="center"/>
              <w:rPr>
                <w:noProof/>
                <w:sz w:val="20"/>
              </w:rPr>
            </w:pPr>
            <w:r w:rsidRPr="003409C9">
              <w:rPr>
                <w:noProof/>
                <w:sz w:val="20"/>
              </w:rPr>
              <w:t xml:space="preserve">Rok </w:t>
            </w:r>
            <w:r w:rsidRPr="00BB07AF">
              <w:rPr>
                <w:b/>
                <w:noProof/>
                <w:sz w:val="20"/>
              </w:rPr>
              <w:t>2034</w:t>
            </w:r>
          </w:p>
        </w:tc>
      </w:tr>
    </w:tbl>
    <w:p w:rsidR="00CD7E2F" w:rsidRPr="003409C9" w:rsidRDefault="00CD7E2F" w:rsidP="00CD7E2F">
      <w:pPr>
        <w:rPr>
          <w:noProof/>
          <w:sz w:val="20"/>
        </w:rPr>
      </w:pPr>
    </w:p>
    <w:tbl>
      <w:tblPr>
        <w:tblW w:w="9793"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725"/>
        <w:gridCol w:w="709"/>
        <w:gridCol w:w="709"/>
        <w:gridCol w:w="708"/>
        <w:gridCol w:w="709"/>
        <w:gridCol w:w="709"/>
        <w:gridCol w:w="709"/>
        <w:gridCol w:w="708"/>
        <w:gridCol w:w="709"/>
        <w:gridCol w:w="709"/>
        <w:gridCol w:w="709"/>
      </w:tblGrid>
      <w:tr w:rsidR="00CD7E2F" w:rsidRPr="003409C9" w:rsidTr="00EA0500">
        <w:trPr>
          <w:trHeight w:val="585"/>
        </w:trPr>
        <w:tc>
          <w:tcPr>
            <w:tcW w:w="1980" w:type="dxa"/>
            <w:shd w:val="clear" w:color="auto" w:fill="D9D9D9" w:themeFill="background1" w:themeFillShade="D9"/>
            <w:vAlign w:val="center"/>
          </w:tcPr>
          <w:p w:rsidR="00CD7E2F" w:rsidRPr="003409C9" w:rsidRDefault="00CD7E2F" w:rsidP="00EA0500">
            <w:pPr>
              <w:spacing w:before="60" w:after="60"/>
              <w:jc w:val="center"/>
              <w:rPr>
                <w:noProof/>
                <w:sz w:val="18"/>
                <w:szCs w:val="18"/>
              </w:rPr>
            </w:pPr>
            <w:r w:rsidRPr="003409C9">
              <w:rPr>
                <w:noProof/>
                <w:sz w:val="18"/>
              </w:rPr>
              <w:t>Pracownicy zatrudnieni na czas określony (grupy zaszeregowania AD)</w:t>
            </w:r>
          </w:p>
        </w:tc>
        <w:tc>
          <w:tcPr>
            <w:tcW w:w="725" w:type="dxa"/>
          </w:tcPr>
          <w:p w:rsidR="00CD7E2F" w:rsidRPr="003409C9" w:rsidRDefault="00CD7E2F" w:rsidP="00EA0500">
            <w:pPr>
              <w:spacing w:before="60" w:after="60"/>
              <w:jc w:val="right"/>
              <w:rPr>
                <w:noProof/>
                <w:sz w:val="18"/>
                <w:szCs w:val="18"/>
              </w:rPr>
            </w:pPr>
            <w:r w:rsidRPr="003409C9">
              <w:rPr>
                <w:noProof/>
                <w:sz w:val="18"/>
              </w:rPr>
              <w:t>0,157</w:t>
            </w:r>
          </w:p>
        </w:tc>
        <w:tc>
          <w:tcPr>
            <w:tcW w:w="709" w:type="dxa"/>
          </w:tcPr>
          <w:p w:rsidR="00CD7E2F" w:rsidRPr="003409C9" w:rsidRDefault="00CD7E2F" w:rsidP="00EA0500">
            <w:pPr>
              <w:spacing w:before="60" w:after="60"/>
              <w:jc w:val="right"/>
              <w:rPr>
                <w:noProof/>
                <w:color w:val="000000"/>
                <w:sz w:val="18"/>
                <w:szCs w:val="18"/>
              </w:rPr>
            </w:pPr>
            <w:r w:rsidRPr="003409C9">
              <w:rPr>
                <w:noProof/>
                <w:sz w:val="18"/>
              </w:rPr>
              <w:t>1,099</w:t>
            </w:r>
          </w:p>
        </w:tc>
        <w:tc>
          <w:tcPr>
            <w:tcW w:w="709" w:type="dxa"/>
          </w:tcPr>
          <w:p w:rsidR="00CD7E2F" w:rsidRPr="003409C9" w:rsidRDefault="00CD7E2F" w:rsidP="00EA0500">
            <w:pPr>
              <w:spacing w:before="60" w:after="60"/>
              <w:jc w:val="right"/>
              <w:rPr>
                <w:noProof/>
                <w:sz w:val="18"/>
                <w:szCs w:val="18"/>
              </w:rPr>
            </w:pPr>
            <w:r w:rsidRPr="003409C9">
              <w:rPr>
                <w:noProof/>
                <w:sz w:val="18"/>
              </w:rPr>
              <w:t>2,198</w:t>
            </w:r>
          </w:p>
        </w:tc>
        <w:tc>
          <w:tcPr>
            <w:tcW w:w="708" w:type="dxa"/>
          </w:tcPr>
          <w:p w:rsidR="00CD7E2F" w:rsidRPr="003409C9" w:rsidRDefault="00CD7E2F" w:rsidP="00EA0500">
            <w:pPr>
              <w:spacing w:before="60" w:after="60"/>
              <w:jc w:val="right"/>
              <w:rPr>
                <w:noProof/>
                <w:sz w:val="18"/>
                <w:szCs w:val="18"/>
              </w:rPr>
            </w:pPr>
            <w:r w:rsidRPr="003409C9">
              <w:rPr>
                <w:noProof/>
                <w:sz w:val="18"/>
              </w:rPr>
              <w:t>2,355</w:t>
            </w:r>
          </w:p>
        </w:tc>
        <w:tc>
          <w:tcPr>
            <w:tcW w:w="709" w:type="dxa"/>
          </w:tcPr>
          <w:p w:rsidR="00CD7E2F" w:rsidRPr="003409C9" w:rsidRDefault="00CD7E2F" w:rsidP="00EA0500">
            <w:pPr>
              <w:spacing w:before="60" w:after="60"/>
              <w:jc w:val="right"/>
              <w:rPr>
                <w:noProof/>
                <w:sz w:val="18"/>
                <w:szCs w:val="18"/>
              </w:rPr>
            </w:pPr>
            <w:r w:rsidRPr="003409C9">
              <w:rPr>
                <w:noProof/>
                <w:sz w:val="18"/>
              </w:rPr>
              <w:t>4,710</w:t>
            </w:r>
          </w:p>
        </w:tc>
        <w:tc>
          <w:tcPr>
            <w:tcW w:w="709" w:type="dxa"/>
          </w:tcPr>
          <w:p w:rsidR="00CD7E2F" w:rsidRPr="003409C9" w:rsidRDefault="00CD7E2F" w:rsidP="00EA0500">
            <w:pPr>
              <w:spacing w:before="60" w:after="60"/>
              <w:jc w:val="right"/>
              <w:rPr>
                <w:noProof/>
                <w:sz w:val="18"/>
                <w:szCs w:val="18"/>
              </w:rPr>
            </w:pPr>
            <w:r w:rsidRPr="003409C9">
              <w:rPr>
                <w:noProof/>
                <w:sz w:val="18"/>
              </w:rPr>
              <w:t>2,355</w:t>
            </w:r>
          </w:p>
        </w:tc>
        <w:tc>
          <w:tcPr>
            <w:tcW w:w="709" w:type="dxa"/>
          </w:tcPr>
          <w:p w:rsidR="00CD7E2F" w:rsidRPr="003409C9" w:rsidRDefault="00CD7E2F" w:rsidP="00EA0500">
            <w:pPr>
              <w:spacing w:before="60" w:after="60"/>
              <w:jc w:val="right"/>
              <w:rPr>
                <w:noProof/>
                <w:sz w:val="18"/>
                <w:szCs w:val="18"/>
              </w:rPr>
            </w:pPr>
            <w:r w:rsidRPr="003409C9">
              <w:rPr>
                <w:noProof/>
                <w:sz w:val="18"/>
              </w:rPr>
              <w:t>2,355</w:t>
            </w:r>
          </w:p>
        </w:tc>
        <w:tc>
          <w:tcPr>
            <w:tcW w:w="708" w:type="dxa"/>
          </w:tcPr>
          <w:p w:rsidR="00CD7E2F" w:rsidRPr="00BB07AF" w:rsidRDefault="00CD7E2F" w:rsidP="00EA0500">
            <w:pPr>
              <w:spacing w:before="60" w:after="60"/>
              <w:jc w:val="right"/>
              <w:rPr>
                <w:b/>
                <w:noProof/>
                <w:sz w:val="18"/>
                <w:szCs w:val="18"/>
              </w:rPr>
            </w:pPr>
            <w:r w:rsidRPr="003409C9">
              <w:rPr>
                <w:noProof/>
                <w:sz w:val="18"/>
              </w:rPr>
              <w:t>2,355</w:t>
            </w:r>
          </w:p>
        </w:tc>
        <w:tc>
          <w:tcPr>
            <w:tcW w:w="709" w:type="dxa"/>
          </w:tcPr>
          <w:p w:rsidR="00CD7E2F" w:rsidRPr="00BB07AF" w:rsidRDefault="00CD7E2F" w:rsidP="00EA0500">
            <w:pPr>
              <w:spacing w:before="60" w:after="60"/>
              <w:jc w:val="right"/>
              <w:rPr>
                <w:b/>
                <w:noProof/>
                <w:sz w:val="18"/>
                <w:szCs w:val="18"/>
              </w:rPr>
            </w:pPr>
            <w:r w:rsidRPr="003409C9">
              <w:rPr>
                <w:noProof/>
                <w:sz w:val="18"/>
              </w:rPr>
              <w:t>2,355</w:t>
            </w:r>
          </w:p>
        </w:tc>
        <w:tc>
          <w:tcPr>
            <w:tcW w:w="709" w:type="dxa"/>
          </w:tcPr>
          <w:p w:rsidR="00CD7E2F" w:rsidRPr="00BB07AF" w:rsidRDefault="00CD7E2F" w:rsidP="00EA0500">
            <w:pPr>
              <w:spacing w:before="60" w:after="60"/>
              <w:jc w:val="right"/>
              <w:rPr>
                <w:b/>
                <w:noProof/>
                <w:sz w:val="18"/>
                <w:szCs w:val="18"/>
              </w:rPr>
            </w:pPr>
            <w:r w:rsidRPr="003409C9">
              <w:rPr>
                <w:noProof/>
                <w:sz w:val="18"/>
              </w:rPr>
              <w:t>2,355</w:t>
            </w:r>
          </w:p>
        </w:tc>
        <w:tc>
          <w:tcPr>
            <w:tcW w:w="709" w:type="dxa"/>
          </w:tcPr>
          <w:p w:rsidR="00CD7E2F" w:rsidRPr="00BB07AF" w:rsidRDefault="00CD7E2F" w:rsidP="00EA0500">
            <w:pPr>
              <w:spacing w:before="60" w:after="60"/>
              <w:jc w:val="right"/>
              <w:rPr>
                <w:b/>
                <w:noProof/>
                <w:sz w:val="18"/>
                <w:szCs w:val="18"/>
              </w:rPr>
            </w:pPr>
            <w:r w:rsidRPr="003409C9">
              <w:rPr>
                <w:noProof/>
                <w:sz w:val="18"/>
              </w:rPr>
              <w:t>2,355</w:t>
            </w:r>
          </w:p>
        </w:tc>
      </w:tr>
      <w:tr w:rsidR="00CD7E2F" w:rsidRPr="003409C9" w:rsidTr="00EA0500">
        <w:trPr>
          <w:trHeight w:val="585"/>
        </w:trPr>
        <w:tc>
          <w:tcPr>
            <w:tcW w:w="1980" w:type="dxa"/>
            <w:shd w:val="clear" w:color="auto" w:fill="BFBFBF" w:themeFill="background1" w:themeFillShade="BF"/>
            <w:vAlign w:val="center"/>
          </w:tcPr>
          <w:p w:rsidR="00CD7E2F" w:rsidRPr="003409C9" w:rsidRDefault="00CD7E2F" w:rsidP="00EA0500">
            <w:pPr>
              <w:spacing w:before="60" w:after="60"/>
              <w:ind w:left="72"/>
              <w:rPr>
                <w:noProof/>
                <w:sz w:val="18"/>
                <w:szCs w:val="18"/>
              </w:rPr>
            </w:pPr>
            <w:r w:rsidRPr="003409C9">
              <w:rPr>
                <w:noProof/>
                <w:sz w:val="18"/>
              </w:rPr>
              <w:t>Pracownicy zatrudnieni na czas określony (grupy zaszeregowania AST)</w:t>
            </w:r>
          </w:p>
        </w:tc>
        <w:tc>
          <w:tcPr>
            <w:tcW w:w="725" w:type="dxa"/>
            <w:vAlign w:val="bottom"/>
          </w:tcPr>
          <w:p w:rsidR="00CD7E2F" w:rsidRPr="003409C9" w:rsidRDefault="00CD7E2F" w:rsidP="00EA0500">
            <w:pPr>
              <w:spacing w:before="60" w:after="60"/>
              <w:jc w:val="right"/>
              <w:rPr>
                <w:noProof/>
                <w:sz w:val="18"/>
                <w:szCs w:val="18"/>
              </w:rPr>
            </w:pPr>
          </w:p>
        </w:tc>
        <w:tc>
          <w:tcPr>
            <w:tcW w:w="709" w:type="dxa"/>
          </w:tcPr>
          <w:p w:rsidR="00CD7E2F" w:rsidRPr="003409C9" w:rsidRDefault="00CD7E2F" w:rsidP="00EA0500">
            <w:pPr>
              <w:spacing w:before="60" w:after="60"/>
              <w:jc w:val="right"/>
              <w:rPr>
                <w:noProof/>
                <w:sz w:val="18"/>
                <w:szCs w:val="18"/>
              </w:rPr>
            </w:pPr>
          </w:p>
        </w:tc>
        <w:tc>
          <w:tcPr>
            <w:tcW w:w="709" w:type="dxa"/>
            <w:vAlign w:val="bottom"/>
          </w:tcPr>
          <w:p w:rsidR="00CD7E2F" w:rsidRPr="003409C9" w:rsidRDefault="00CD7E2F" w:rsidP="00EA0500">
            <w:pPr>
              <w:spacing w:before="60" w:after="60"/>
              <w:jc w:val="right"/>
              <w:rPr>
                <w:noProof/>
                <w:sz w:val="18"/>
                <w:szCs w:val="18"/>
              </w:rPr>
            </w:pPr>
          </w:p>
        </w:tc>
        <w:tc>
          <w:tcPr>
            <w:tcW w:w="708" w:type="dxa"/>
            <w:vAlign w:val="bottom"/>
          </w:tcPr>
          <w:p w:rsidR="00CD7E2F" w:rsidRPr="003409C9" w:rsidRDefault="00CD7E2F" w:rsidP="00EA0500">
            <w:pPr>
              <w:spacing w:before="60" w:after="60"/>
              <w:jc w:val="right"/>
              <w:rPr>
                <w:noProof/>
                <w:sz w:val="18"/>
                <w:szCs w:val="18"/>
              </w:rPr>
            </w:pPr>
          </w:p>
        </w:tc>
        <w:tc>
          <w:tcPr>
            <w:tcW w:w="709" w:type="dxa"/>
            <w:vAlign w:val="bottom"/>
          </w:tcPr>
          <w:p w:rsidR="00CD7E2F" w:rsidRPr="003409C9" w:rsidRDefault="00CD7E2F" w:rsidP="00EA0500">
            <w:pPr>
              <w:spacing w:before="60" w:after="60"/>
              <w:jc w:val="right"/>
              <w:rPr>
                <w:noProof/>
                <w:sz w:val="18"/>
                <w:szCs w:val="18"/>
              </w:rPr>
            </w:pPr>
          </w:p>
        </w:tc>
        <w:tc>
          <w:tcPr>
            <w:tcW w:w="709" w:type="dxa"/>
            <w:vAlign w:val="bottom"/>
          </w:tcPr>
          <w:p w:rsidR="00CD7E2F" w:rsidRPr="003409C9" w:rsidRDefault="00CD7E2F" w:rsidP="00EA0500">
            <w:pPr>
              <w:spacing w:before="60" w:after="60"/>
              <w:jc w:val="right"/>
              <w:rPr>
                <w:noProof/>
                <w:sz w:val="18"/>
                <w:szCs w:val="18"/>
              </w:rPr>
            </w:pPr>
          </w:p>
        </w:tc>
        <w:tc>
          <w:tcPr>
            <w:tcW w:w="709" w:type="dxa"/>
            <w:vAlign w:val="bottom"/>
          </w:tcPr>
          <w:p w:rsidR="00CD7E2F" w:rsidRPr="003409C9" w:rsidRDefault="00CD7E2F" w:rsidP="00EA0500">
            <w:pPr>
              <w:spacing w:before="60" w:after="60"/>
              <w:jc w:val="right"/>
              <w:rPr>
                <w:noProof/>
                <w:sz w:val="18"/>
                <w:szCs w:val="18"/>
              </w:rPr>
            </w:pPr>
          </w:p>
        </w:tc>
        <w:tc>
          <w:tcPr>
            <w:tcW w:w="708" w:type="dxa"/>
            <w:vAlign w:val="bottom"/>
          </w:tcPr>
          <w:p w:rsidR="00CD7E2F" w:rsidRPr="003409C9" w:rsidRDefault="00CD7E2F" w:rsidP="00EA0500">
            <w:pPr>
              <w:spacing w:before="60" w:after="60"/>
              <w:jc w:val="right"/>
              <w:rPr>
                <w:b/>
                <w:noProof/>
                <w:sz w:val="18"/>
                <w:szCs w:val="18"/>
              </w:rPr>
            </w:pPr>
          </w:p>
        </w:tc>
        <w:tc>
          <w:tcPr>
            <w:tcW w:w="709" w:type="dxa"/>
            <w:vAlign w:val="bottom"/>
          </w:tcPr>
          <w:p w:rsidR="00CD7E2F" w:rsidRPr="003409C9" w:rsidRDefault="00CD7E2F" w:rsidP="00EA0500">
            <w:pPr>
              <w:spacing w:before="60" w:after="60"/>
              <w:jc w:val="right"/>
              <w:rPr>
                <w:b/>
                <w:noProof/>
                <w:sz w:val="18"/>
                <w:szCs w:val="18"/>
              </w:rPr>
            </w:pPr>
          </w:p>
        </w:tc>
        <w:tc>
          <w:tcPr>
            <w:tcW w:w="709" w:type="dxa"/>
            <w:vAlign w:val="bottom"/>
          </w:tcPr>
          <w:p w:rsidR="00CD7E2F" w:rsidRPr="003409C9" w:rsidRDefault="00CD7E2F" w:rsidP="00EA0500">
            <w:pPr>
              <w:spacing w:before="60" w:after="60"/>
              <w:jc w:val="right"/>
              <w:rPr>
                <w:b/>
                <w:noProof/>
                <w:sz w:val="18"/>
                <w:szCs w:val="18"/>
              </w:rPr>
            </w:pPr>
          </w:p>
        </w:tc>
        <w:tc>
          <w:tcPr>
            <w:tcW w:w="709" w:type="dxa"/>
            <w:vAlign w:val="bottom"/>
          </w:tcPr>
          <w:p w:rsidR="00CD7E2F" w:rsidRPr="00BB07AF" w:rsidRDefault="00CD7E2F" w:rsidP="00EA0500">
            <w:pPr>
              <w:spacing w:before="60" w:after="60"/>
              <w:jc w:val="right"/>
              <w:rPr>
                <w:b/>
                <w:noProof/>
                <w:sz w:val="18"/>
                <w:szCs w:val="18"/>
              </w:rPr>
            </w:pPr>
          </w:p>
        </w:tc>
      </w:tr>
      <w:tr w:rsidR="001E4FBE" w:rsidRPr="003409C9" w:rsidTr="00EA0500">
        <w:trPr>
          <w:trHeight w:val="585"/>
        </w:trPr>
        <w:tc>
          <w:tcPr>
            <w:tcW w:w="1980" w:type="dxa"/>
            <w:shd w:val="clear" w:color="auto" w:fill="BFBFBF" w:themeFill="background1" w:themeFillShade="BF"/>
            <w:vAlign w:val="center"/>
          </w:tcPr>
          <w:p w:rsidR="00CD7E2F" w:rsidRPr="003409C9" w:rsidRDefault="00CD7E2F" w:rsidP="00EA0500">
            <w:pPr>
              <w:spacing w:before="60" w:after="60"/>
              <w:ind w:left="72"/>
              <w:rPr>
                <w:noProof/>
                <w:sz w:val="18"/>
                <w:szCs w:val="18"/>
              </w:rPr>
            </w:pPr>
            <w:r w:rsidRPr="003409C9">
              <w:rPr>
                <w:noProof/>
                <w:sz w:val="18"/>
              </w:rPr>
              <w:t>Personel kontraktowy</w:t>
            </w:r>
          </w:p>
        </w:tc>
        <w:tc>
          <w:tcPr>
            <w:tcW w:w="725" w:type="dxa"/>
            <w:shd w:val="clear" w:color="auto" w:fill="BFBFBF" w:themeFill="background1" w:themeFillShade="BF"/>
          </w:tcPr>
          <w:p w:rsidR="00CD7E2F" w:rsidRPr="003409C9" w:rsidRDefault="00CD7E2F" w:rsidP="00EA0500">
            <w:pPr>
              <w:spacing w:before="60" w:after="60"/>
              <w:jc w:val="right"/>
              <w:rPr>
                <w:noProof/>
                <w:sz w:val="18"/>
                <w:szCs w:val="18"/>
              </w:rPr>
            </w:pPr>
            <w:r w:rsidRPr="003409C9">
              <w:rPr>
                <w:noProof/>
                <w:sz w:val="18"/>
              </w:rPr>
              <w:t>0,000</w:t>
            </w:r>
          </w:p>
        </w:tc>
        <w:tc>
          <w:tcPr>
            <w:tcW w:w="709" w:type="dxa"/>
            <w:shd w:val="clear" w:color="auto" w:fill="BFBFBF" w:themeFill="background1" w:themeFillShade="BF"/>
          </w:tcPr>
          <w:p w:rsidR="00CD7E2F" w:rsidRPr="003409C9" w:rsidRDefault="00CD7E2F" w:rsidP="00EA0500">
            <w:pPr>
              <w:spacing w:before="60" w:after="60"/>
              <w:jc w:val="right"/>
              <w:rPr>
                <w:noProof/>
                <w:color w:val="000000"/>
                <w:sz w:val="18"/>
                <w:szCs w:val="18"/>
              </w:rPr>
            </w:pPr>
            <w:r w:rsidRPr="003409C9">
              <w:rPr>
                <w:noProof/>
                <w:sz w:val="18"/>
              </w:rPr>
              <w:t>0,298</w:t>
            </w:r>
          </w:p>
        </w:tc>
        <w:tc>
          <w:tcPr>
            <w:tcW w:w="709" w:type="dxa"/>
            <w:shd w:val="clear" w:color="auto" w:fill="BFBFBF" w:themeFill="background1" w:themeFillShade="BF"/>
          </w:tcPr>
          <w:p w:rsidR="00CD7E2F" w:rsidRPr="003409C9" w:rsidRDefault="00CD7E2F" w:rsidP="00EA0500">
            <w:pPr>
              <w:spacing w:before="60" w:after="60"/>
              <w:jc w:val="right"/>
              <w:rPr>
                <w:noProof/>
                <w:sz w:val="18"/>
                <w:szCs w:val="18"/>
              </w:rPr>
            </w:pPr>
            <w:r w:rsidRPr="003409C9">
              <w:rPr>
                <w:noProof/>
                <w:sz w:val="18"/>
              </w:rPr>
              <w:t>0,680</w:t>
            </w:r>
          </w:p>
        </w:tc>
        <w:tc>
          <w:tcPr>
            <w:tcW w:w="708" w:type="dxa"/>
            <w:shd w:val="clear" w:color="auto" w:fill="BFBFBF" w:themeFill="background1" w:themeFillShade="BF"/>
          </w:tcPr>
          <w:p w:rsidR="00CD7E2F" w:rsidRPr="003409C9" w:rsidRDefault="00CD7E2F" w:rsidP="00EA0500">
            <w:pPr>
              <w:spacing w:before="60" w:after="60"/>
              <w:jc w:val="right"/>
              <w:rPr>
                <w:noProof/>
                <w:sz w:val="18"/>
                <w:szCs w:val="18"/>
              </w:rPr>
            </w:pPr>
            <w:r w:rsidRPr="003409C9">
              <w:rPr>
                <w:noProof/>
                <w:sz w:val="18"/>
              </w:rPr>
              <w:t>0,850</w:t>
            </w:r>
          </w:p>
        </w:tc>
        <w:tc>
          <w:tcPr>
            <w:tcW w:w="709" w:type="dxa"/>
            <w:shd w:val="clear" w:color="auto" w:fill="BFBFBF" w:themeFill="background1" w:themeFillShade="BF"/>
          </w:tcPr>
          <w:p w:rsidR="00CD7E2F" w:rsidRPr="003409C9" w:rsidRDefault="00CD7E2F" w:rsidP="00EA0500">
            <w:pPr>
              <w:spacing w:before="60" w:after="60"/>
              <w:jc w:val="right"/>
              <w:rPr>
                <w:noProof/>
                <w:sz w:val="18"/>
                <w:szCs w:val="18"/>
              </w:rPr>
            </w:pPr>
            <w:r w:rsidRPr="003409C9">
              <w:rPr>
                <w:noProof/>
                <w:sz w:val="18"/>
              </w:rPr>
              <w:t>1,955</w:t>
            </w:r>
          </w:p>
        </w:tc>
        <w:tc>
          <w:tcPr>
            <w:tcW w:w="709" w:type="dxa"/>
            <w:shd w:val="clear" w:color="auto" w:fill="BFBFBF" w:themeFill="background1" w:themeFillShade="BF"/>
          </w:tcPr>
          <w:p w:rsidR="00CD7E2F" w:rsidRPr="003409C9" w:rsidRDefault="00CD7E2F" w:rsidP="00EA0500">
            <w:pPr>
              <w:spacing w:before="60" w:after="60"/>
              <w:jc w:val="right"/>
              <w:rPr>
                <w:noProof/>
                <w:sz w:val="18"/>
                <w:szCs w:val="18"/>
              </w:rPr>
            </w:pPr>
            <w:r w:rsidRPr="003409C9">
              <w:rPr>
                <w:noProof/>
                <w:sz w:val="18"/>
              </w:rPr>
              <w:t>1,105</w:t>
            </w:r>
          </w:p>
        </w:tc>
        <w:tc>
          <w:tcPr>
            <w:tcW w:w="709" w:type="dxa"/>
            <w:shd w:val="clear" w:color="auto" w:fill="BFBFBF" w:themeFill="background1" w:themeFillShade="BF"/>
          </w:tcPr>
          <w:p w:rsidR="00CD7E2F" w:rsidRPr="003409C9" w:rsidRDefault="00CD7E2F" w:rsidP="00EA0500">
            <w:pPr>
              <w:spacing w:before="60" w:after="60"/>
              <w:jc w:val="right"/>
              <w:rPr>
                <w:noProof/>
                <w:sz w:val="18"/>
                <w:szCs w:val="18"/>
              </w:rPr>
            </w:pPr>
            <w:r w:rsidRPr="003409C9">
              <w:rPr>
                <w:noProof/>
                <w:sz w:val="18"/>
              </w:rPr>
              <w:t>1,020</w:t>
            </w:r>
          </w:p>
        </w:tc>
        <w:tc>
          <w:tcPr>
            <w:tcW w:w="708" w:type="dxa"/>
            <w:shd w:val="clear" w:color="auto" w:fill="BFBFBF" w:themeFill="background1" w:themeFillShade="BF"/>
          </w:tcPr>
          <w:p w:rsidR="00CD7E2F" w:rsidRPr="00BB07AF" w:rsidRDefault="00CD7E2F" w:rsidP="00EA0500">
            <w:pPr>
              <w:spacing w:before="60" w:after="60"/>
              <w:jc w:val="right"/>
              <w:rPr>
                <w:b/>
                <w:noProof/>
                <w:sz w:val="18"/>
                <w:szCs w:val="18"/>
              </w:rPr>
            </w:pPr>
            <w:r w:rsidRPr="003409C9">
              <w:rPr>
                <w:noProof/>
                <w:sz w:val="18"/>
              </w:rPr>
              <w:t>1,020</w:t>
            </w:r>
          </w:p>
        </w:tc>
        <w:tc>
          <w:tcPr>
            <w:tcW w:w="709" w:type="dxa"/>
            <w:shd w:val="clear" w:color="auto" w:fill="BFBFBF" w:themeFill="background1" w:themeFillShade="BF"/>
          </w:tcPr>
          <w:p w:rsidR="00CD7E2F" w:rsidRPr="00BB07AF" w:rsidRDefault="00CD7E2F" w:rsidP="00EA0500">
            <w:pPr>
              <w:spacing w:before="60" w:after="60"/>
              <w:jc w:val="right"/>
              <w:rPr>
                <w:b/>
                <w:noProof/>
                <w:sz w:val="18"/>
                <w:szCs w:val="18"/>
              </w:rPr>
            </w:pPr>
            <w:r w:rsidRPr="003409C9">
              <w:rPr>
                <w:noProof/>
                <w:sz w:val="18"/>
              </w:rPr>
              <w:t>1,020</w:t>
            </w:r>
          </w:p>
        </w:tc>
        <w:tc>
          <w:tcPr>
            <w:tcW w:w="709" w:type="dxa"/>
            <w:shd w:val="clear" w:color="auto" w:fill="BFBFBF" w:themeFill="background1" w:themeFillShade="BF"/>
          </w:tcPr>
          <w:p w:rsidR="00CD7E2F" w:rsidRPr="00BB07AF" w:rsidRDefault="00CD7E2F" w:rsidP="00EA0500">
            <w:pPr>
              <w:spacing w:before="60" w:after="60"/>
              <w:jc w:val="right"/>
              <w:rPr>
                <w:b/>
                <w:noProof/>
                <w:sz w:val="18"/>
                <w:szCs w:val="18"/>
              </w:rPr>
            </w:pPr>
            <w:r w:rsidRPr="003409C9">
              <w:rPr>
                <w:noProof/>
                <w:sz w:val="18"/>
              </w:rPr>
              <w:t>1,020</w:t>
            </w:r>
          </w:p>
        </w:tc>
        <w:tc>
          <w:tcPr>
            <w:tcW w:w="709" w:type="dxa"/>
            <w:shd w:val="clear" w:color="auto" w:fill="BFBFBF" w:themeFill="background1" w:themeFillShade="BF"/>
          </w:tcPr>
          <w:p w:rsidR="00CD7E2F" w:rsidRPr="00BB07AF" w:rsidRDefault="00CD7E2F" w:rsidP="00EA0500">
            <w:pPr>
              <w:spacing w:before="60" w:after="60"/>
              <w:jc w:val="right"/>
              <w:rPr>
                <w:b/>
                <w:noProof/>
                <w:sz w:val="18"/>
                <w:szCs w:val="18"/>
              </w:rPr>
            </w:pPr>
            <w:r w:rsidRPr="003409C9">
              <w:rPr>
                <w:noProof/>
                <w:sz w:val="18"/>
              </w:rPr>
              <w:t>1,020</w:t>
            </w:r>
          </w:p>
        </w:tc>
      </w:tr>
      <w:tr w:rsidR="00CD7E2F" w:rsidRPr="003409C9" w:rsidTr="00EA0500">
        <w:trPr>
          <w:trHeight w:val="585"/>
        </w:trPr>
        <w:tc>
          <w:tcPr>
            <w:tcW w:w="1980" w:type="dxa"/>
            <w:shd w:val="clear" w:color="auto" w:fill="CCCCCC"/>
            <w:vAlign w:val="center"/>
          </w:tcPr>
          <w:p w:rsidR="00CD7E2F" w:rsidRPr="003409C9" w:rsidRDefault="00CD7E2F" w:rsidP="00EA0500">
            <w:pPr>
              <w:spacing w:before="60" w:after="60"/>
              <w:jc w:val="center"/>
              <w:rPr>
                <w:noProof/>
                <w:sz w:val="18"/>
                <w:szCs w:val="18"/>
              </w:rPr>
            </w:pPr>
            <w:r w:rsidRPr="003409C9">
              <w:rPr>
                <w:noProof/>
                <w:sz w:val="18"/>
              </w:rPr>
              <w:t>Oddelegowani eksperci krajowi</w:t>
            </w:r>
          </w:p>
        </w:tc>
        <w:tc>
          <w:tcPr>
            <w:tcW w:w="725" w:type="dxa"/>
          </w:tcPr>
          <w:p w:rsidR="00CD7E2F" w:rsidRPr="003409C9" w:rsidRDefault="00CD7E2F" w:rsidP="00EA0500">
            <w:pPr>
              <w:spacing w:before="60" w:after="60"/>
              <w:jc w:val="right"/>
              <w:rPr>
                <w:noProof/>
                <w:sz w:val="18"/>
                <w:szCs w:val="18"/>
              </w:rPr>
            </w:pPr>
          </w:p>
        </w:tc>
        <w:tc>
          <w:tcPr>
            <w:tcW w:w="709" w:type="dxa"/>
          </w:tcPr>
          <w:p w:rsidR="00CD7E2F" w:rsidRPr="003409C9" w:rsidRDefault="00CD7E2F" w:rsidP="00EA0500">
            <w:pPr>
              <w:spacing w:before="60" w:after="60"/>
              <w:jc w:val="right"/>
              <w:rPr>
                <w:noProof/>
                <w:sz w:val="18"/>
                <w:szCs w:val="18"/>
              </w:rPr>
            </w:pPr>
          </w:p>
        </w:tc>
        <w:tc>
          <w:tcPr>
            <w:tcW w:w="709" w:type="dxa"/>
          </w:tcPr>
          <w:p w:rsidR="00CD7E2F" w:rsidRPr="003409C9" w:rsidRDefault="00CD7E2F" w:rsidP="00EA0500">
            <w:pPr>
              <w:spacing w:before="60" w:after="60"/>
              <w:jc w:val="right"/>
              <w:rPr>
                <w:noProof/>
                <w:sz w:val="18"/>
                <w:szCs w:val="18"/>
              </w:rPr>
            </w:pPr>
          </w:p>
        </w:tc>
        <w:tc>
          <w:tcPr>
            <w:tcW w:w="708" w:type="dxa"/>
          </w:tcPr>
          <w:p w:rsidR="00CD7E2F" w:rsidRPr="003409C9" w:rsidRDefault="00CD7E2F" w:rsidP="00EA0500">
            <w:pPr>
              <w:spacing w:before="60" w:after="60"/>
              <w:jc w:val="right"/>
              <w:rPr>
                <w:noProof/>
                <w:sz w:val="18"/>
                <w:szCs w:val="18"/>
              </w:rPr>
            </w:pPr>
          </w:p>
        </w:tc>
        <w:tc>
          <w:tcPr>
            <w:tcW w:w="709" w:type="dxa"/>
          </w:tcPr>
          <w:p w:rsidR="00CD7E2F" w:rsidRPr="003409C9" w:rsidRDefault="00CD7E2F" w:rsidP="00EA0500">
            <w:pPr>
              <w:spacing w:before="60" w:after="60"/>
              <w:jc w:val="right"/>
              <w:rPr>
                <w:noProof/>
                <w:sz w:val="18"/>
                <w:szCs w:val="18"/>
              </w:rPr>
            </w:pPr>
          </w:p>
        </w:tc>
        <w:tc>
          <w:tcPr>
            <w:tcW w:w="709" w:type="dxa"/>
          </w:tcPr>
          <w:p w:rsidR="00CD7E2F" w:rsidRPr="003409C9" w:rsidRDefault="00CD7E2F" w:rsidP="00EA0500">
            <w:pPr>
              <w:spacing w:before="60" w:after="60"/>
              <w:jc w:val="right"/>
              <w:rPr>
                <w:noProof/>
                <w:sz w:val="18"/>
                <w:szCs w:val="18"/>
              </w:rPr>
            </w:pPr>
          </w:p>
        </w:tc>
        <w:tc>
          <w:tcPr>
            <w:tcW w:w="709" w:type="dxa"/>
          </w:tcPr>
          <w:p w:rsidR="00CD7E2F" w:rsidRPr="003409C9" w:rsidRDefault="00CD7E2F" w:rsidP="00EA0500">
            <w:pPr>
              <w:spacing w:before="60" w:after="60"/>
              <w:jc w:val="right"/>
              <w:rPr>
                <w:noProof/>
                <w:sz w:val="18"/>
                <w:szCs w:val="18"/>
              </w:rPr>
            </w:pPr>
          </w:p>
        </w:tc>
        <w:tc>
          <w:tcPr>
            <w:tcW w:w="708" w:type="dxa"/>
          </w:tcPr>
          <w:p w:rsidR="00CD7E2F" w:rsidRPr="003409C9" w:rsidRDefault="00CD7E2F" w:rsidP="00EA0500">
            <w:pPr>
              <w:spacing w:before="60" w:after="60"/>
              <w:jc w:val="right"/>
              <w:rPr>
                <w:b/>
                <w:noProof/>
                <w:sz w:val="18"/>
                <w:szCs w:val="18"/>
              </w:rPr>
            </w:pPr>
          </w:p>
        </w:tc>
        <w:tc>
          <w:tcPr>
            <w:tcW w:w="709" w:type="dxa"/>
          </w:tcPr>
          <w:p w:rsidR="00CD7E2F" w:rsidRPr="003409C9" w:rsidRDefault="00CD7E2F" w:rsidP="00EA0500">
            <w:pPr>
              <w:spacing w:before="60" w:after="60"/>
              <w:jc w:val="right"/>
              <w:rPr>
                <w:b/>
                <w:noProof/>
                <w:sz w:val="18"/>
                <w:szCs w:val="18"/>
              </w:rPr>
            </w:pPr>
          </w:p>
        </w:tc>
        <w:tc>
          <w:tcPr>
            <w:tcW w:w="709" w:type="dxa"/>
          </w:tcPr>
          <w:p w:rsidR="00CD7E2F" w:rsidRPr="003409C9" w:rsidRDefault="00CD7E2F" w:rsidP="00EA0500">
            <w:pPr>
              <w:spacing w:before="60" w:after="60"/>
              <w:jc w:val="right"/>
              <w:rPr>
                <w:b/>
                <w:noProof/>
                <w:sz w:val="18"/>
                <w:szCs w:val="18"/>
              </w:rPr>
            </w:pPr>
          </w:p>
        </w:tc>
        <w:tc>
          <w:tcPr>
            <w:tcW w:w="709" w:type="dxa"/>
          </w:tcPr>
          <w:p w:rsidR="00CD7E2F" w:rsidRPr="00BB07AF" w:rsidRDefault="00CD7E2F" w:rsidP="00EA0500">
            <w:pPr>
              <w:spacing w:before="60" w:after="60"/>
              <w:jc w:val="right"/>
              <w:rPr>
                <w:b/>
                <w:noProof/>
                <w:sz w:val="18"/>
                <w:szCs w:val="18"/>
              </w:rPr>
            </w:pPr>
          </w:p>
        </w:tc>
      </w:tr>
    </w:tbl>
    <w:p w:rsidR="00CD7E2F" w:rsidRPr="003409C9" w:rsidRDefault="00CD7E2F" w:rsidP="00CD7E2F">
      <w:pPr>
        <w:rPr>
          <w:noProof/>
          <w:sz w:val="18"/>
          <w:szCs w:val="18"/>
        </w:rPr>
      </w:pPr>
    </w:p>
    <w:tbl>
      <w:tblPr>
        <w:tblW w:w="9793" w:type="dxa"/>
        <w:tblInd w:w="-612" w:type="dxa"/>
        <w:tblLayout w:type="fixed"/>
        <w:tblLook w:val="01E0" w:firstRow="1" w:lastRow="1" w:firstColumn="1" w:lastColumn="1" w:noHBand="0" w:noVBand="0"/>
      </w:tblPr>
      <w:tblGrid>
        <w:gridCol w:w="1980"/>
        <w:gridCol w:w="725"/>
        <w:gridCol w:w="709"/>
        <w:gridCol w:w="709"/>
        <w:gridCol w:w="708"/>
        <w:gridCol w:w="709"/>
        <w:gridCol w:w="709"/>
        <w:gridCol w:w="709"/>
        <w:gridCol w:w="708"/>
        <w:gridCol w:w="709"/>
        <w:gridCol w:w="709"/>
        <w:gridCol w:w="709"/>
      </w:tblGrid>
      <w:tr w:rsidR="00CD7E2F" w:rsidRPr="003409C9" w:rsidTr="00EA0500">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CD7E2F" w:rsidRPr="003409C9" w:rsidRDefault="00CD7E2F" w:rsidP="00EA0500">
            <w:pPr>
              <w:spacing w:before="60" w:after="60"/>
              <w:jc w:val="center"/>
              <w:rPr>
                <w:b/>
                <w:noProof/>
                <w:sz w:val="18"/>
                <w:szCs w:val="18"/>
              </w:rPr>
            </w:pPr>
            <w:r w:rsidRPr="00BB07AF">
              <w:rPr>
                <w:b/>
                <w:noProof/>
                <w:sz w:val="18"/>
              </w:rPr>
              <w:t>OGÓŁEM</w:t>
            </w:r>
          </w:p>
        </w:tc>
        <w:tc>
          <w:tcPr>
            <w:tcW w:w="725" w:type="dxa"/>
            <w:tcBorders>
              <w:top w:val="single" w:sz="12" w:space="0" w:color="auto"/>
              <w:left w:val="single" w:sz="2" w:space="0" w:color="auto"/>
              <w:bottom w:val="single" w:sz="12" w:space="0" w:color="auto"/>
              <w:right w:val="single" w:sz="2" w:space="0" w:color="auto"/>
            </w:tcBorders>
          </w:tcPr>
          <w:p w:rsidR="00CD7E2F" w:rsidRPr="003409C9" w:rsidRDefault="00CD7E2F" w:rsidP="00EA0500">
            <w:pPr>
              <w:spacing w:before="60" w:after="60"/>
              <w:jc w:val="right"/>
              <w:rPr>
                <w:b/>
                <w:noProof/>
                <w:sz w:val="18"/>
                <w:szCs w:val="18"/>
              </w:rPr>
            </w:pPr>
            <w:r w:rsidRPr="00BB07AF">
              <w:rPr>
                <w:b/>
                <w:noProof/>
                <w:sz w:val="18"/>
              </w:rPr>
              <w:t>0,157</w:t>
            </w:r>
          </w:p>
        </w:tc>
        <w:tc>
          <w:tcPr>
            <w:tcW w:w="709" w:type="dxa"/>
            <w:tcBorders>
              <w:top w:val="single" w:sz="12" w:space="0" w:color="auto"/>
              <w:left w:val="single" w:sz="2" w:space="0" w:color="auto"/>
              <w:bottom w:val="single" w:sz="12" w:space="0" w:color="auto"/>
              <w:right w:val="single" w:sz="2" w:space="0" w:color="auto"/>
            </w:tcBorders>
          </w:tcPr>
          <w:p w:rsidR="00CD7E2F" w:rsidRPr="003409C9" w:rsidRDefault="00CD7E2F" w:rsidP="00EA0500">
            <w:pPr>
              <w:spacing w:before="60" w:after="60"/>
              <w:jc w:val="right"/>
              <w:rPr>
                <w:b/>
                <w:noProof/>
                <w:sz w:val="18"/>
                <w:szCs w:val="18"/>
              </w:rPr>
            </w:pPr>
            <w:r w:rsidRPr="00BB07AF">
              <w:rPr>
                <w:b/>
                <w:noProof/>
                <w:sz w:val="18"/>
              </w:rPr>
              <w:t xml:space="preserve">1,397 </w:t>
            </w:r>
          </w:p>
        </w:tc>
        <w:tc>
          <w:tcPr>
            <w:tcW w:w="709" w:type="dxa"/>
            <w:tcBorders>
              <w:top w:val="single" w:sz="12" w:space="0" w:color="auto"/>
              <w:left w:val="single" w:sz="2" w:space="0" w:color="auto"/>
              <w:bottom w:val="single" w:sz="12" w:space="0" w:color="auto"/>
              <w:right w:val="single" w:sz="2" w:space="0" w:color="auto"/>
            </w:tcBorders>
          </w:tcPr>
          <w:p w:rsidR="00CD7E2F" w:rsidRPr="003409C9" w:rsidRDefault="00CD7E2F" w:rsidP="00EA0500">
            <w:pPr>
              <w:spacing w:before="60" w:after="60"/>
              <w:jc w:val="right"/>
              <w:rPr>
                <w:b/>
                <w:noProof/>
                <w:sz w:val="18"/>
                <w:szCs w:val="18"/>
              </w:rPr>
            </w:pPr>
            <w:r w:rsidRPr="00BB07AF">
              <w:rPr>
                <w:b/>
                <w:noProof/>
                <w:sz w:val="18"/>
              </w:rPr>
              <w:t>2,878</w:t>
            </w:r>
          </w:p>
        </w:tc>
        <w:tc>
          <w:tcPr>
            <w:tcW w:w="708" w:type="dxa"/>
            <w:tcBorders>
              <w:top w:val="single" w:sz="12" w:space="0" w:color="auto"/>
              <w:left w:val="single" w:sz="2" w:space="0" w:color="auto"/>
              <w:bottom w:val="single" w:sz="12" w:space="0" w:color="auto"/>
              <w:right w:val="single" w:sz="2" w:space="0" w:color="auto"/>
            </w:tcBorders>
          </w:tcPr>
          <w:p w:rsidR="00CD7E2F" w:rsidRPr="003409C9" w:rsidRDefault="00CD7E2F" w:rsidP="00EA0500">
            <w:pPr>
              <w:spacing w:before="60" w:after="60"/>
              <w:jc w:val="right"/>
              <w:rPr>
                <w:b/>
                <w:noProof/>
                <w:sz w:val="18"/>
                <w:szCs w:val="18"/>
              </w:rPr>
            </w:pPr>
            <w:r w:rsidRPr="00BB07AF">
              <w:rPr>
                <w:b/>
                <w:noProof/>
                <w:sz w:val="18"/>
              </w:rPr>
              <w:t>3,205</w:t>
            </w:r>
          </w:p>
        </w:tc>
        <w:tc>
          <w:tcPr>
            <w:tcW w:w="709" w:type="dxa"/>
            <w:tcBorders>
              <w:top w:val="single" w:sz="12" w:space="0" w:color="auto"/>
              <w:left w:val="single" w:sz="2" w:space="0" w:color="auto"/>
              <w:bottom w:val="single" w:sz="12" w:space="0" w:color="auto"/>
              <w:right w:val="single" w:sz="2" w:space="0" w:color="auto"/>
            </w:tcBorders>
          </w:tcPr>
          <w:p w:rsidR="00CD7E2F" w:rsidRPr="003409C9" w:rsidRDefault="00CD7E2F" w:rsidP="00EA0500">
            <w:pPr>
              <w:spacing w:before="60" w:after="60"/>
              <w:jc w:val="right"/>
              <w:rPr>
                <w:b/>
                <w:noProof/>
                <w:sz w:val="18"/>
                <w:szCs w:val="18"/>
              </w:rPr>
            </w:pPr>
            <w:r w:rsidRPr="00BB07AF">
              <w:rPr>
                <w:b/>
                <w:noProof/>
                <w:sz w:val="18"/>
              </w:rPr>
              <w:t>6,665</w:t>
            </w:r>
          </w:p>
        </w:tc>
        <w:tc>
          <w:tcPr>
            <w:tcW w:w="709" w:type="dxa"/>
            <w:tcBorders>
              <w:top w:val="single" w:sz="12" w:space="0" w:color="auto"/>
              <w:left w:val="single" w:sz="2" w:space="0" w:color="auto"/>
              <w:bottom w:val="single" w:sz="12" w:space="0" w:color="auto"/>
              <w:right w:val="single" w:sz="2" w:space="0" w:color="auto"/>
            </w:tcBorders>
          </w:tcPr>
          <w:p w:rsidR="00CD7E2F" w:rsidRPr="003409C9" w:rsidRDefault="00CD7E2F" w:rsidP="00EA0500">
            <w:pPr>
              <w:spacing w:before="60" w:after="60"/>
              <w:jc w:val="right"/>
              <w:rPr>
                <w:b/>
                <w:noProof/>
                <w:sz w:val="18"/>
                <w:szCs w:val="18"/>
              </w:rPr>
            </w:pPr>
            <w:r w:rsidRPr="00BB07AF">
              <w:rPr>
                <w:b/>
                <w:noProof/>
                <w:sz w:val="18"/>
              </w:rPr>
              <w:t>3,460</w:t>
            </w:r>
          </w:p>
        </w:tc>
        <w:tc>
          <w:tcPr>
            <w:tcW w:w="709" w:type="dxa"/>
            <w:tcBorders>
              <w:top w:val="single" w:sz="12" w:space="0" w:color="auto"/>
              <w:left w:val="single" w:sz="2" w:space="0" w:color="auto"/>
              <w:bottom w:val="single" w:sz="12" w:space="0" w:color="auto"/>
              <w:right w:val="single" w:sz="2" w:space="0" w:color="auto"/>
            </w:tcBorders>
          </w:tcPr>
          <w:p w:rsidR="00CD7E2F" w:rsidRPr="003409C9" w:rsidRDefault="00CD7E2F" w:rsidP="00EA0500">
            <w:pPr>
              <w:spacing w:before="60" w:after="60"/>
              <w:jc w:val="right"/>
              <w:rPr>
                <w:b/>
                <w:noProof/>
                <w:sz w:val="18"/>
                <w:szCs w:val="18"/>
              </w:rPr>
            </w:pPr>
            <w:r w:rsidRPr="00BB07AF">
              <w:rPr>
                <w:b/>
                <w:noProof/>
                <w:sz w:val="18"/>
              </w:rPr>
              <w:t>3,375</w:t>
            </w:r>
          </w:p>
        </w:tc>
        <w:tc>
          <w:tcPr>
            <w:tcW w:w="708" w:type="dxa"/>
            <w:tcBorders>
              <w:top w:val="single" w:sz="12" w:space="0" w:color="auto"/>
              <w:left w:val="single" w:sz="2" w:space="0" w:color="auto"/>
              <w:bottom w:val="single" w:sz="12" w:space="0" w:color="auto"/>
              <w:right w:val="single" w:sz="2" w:space="0" w:color="auto"/>
            </w:tcBorders>
          </w:tcPr>
          <w:p w:rsidR="00CD7E2F" w:rsidRPr="003409C9" w:rsidRDefault="00CD7E2F" w:rsidP="00EA0500">
            <w:pPr>
              <w:spacing w:before="60" w:after="60"/>
              <w:jc w:val="right"/>
              <w:rPr>
                <w:b/>
                <w:noProof/>
                <w:sz w:val="18"/>
                <w:szCs w:val="18"/>
              </w:rPr>
            </w:pPr>
            <w:r w:rsidRPr="00BB07AF">
              <w:rPr>
                <w:b/>
                <w:noProof/>
                <w:sz w:val="18"/>
              </w:rPr>
              <w:t>3,375</w:t>
            </w:r>
          </w:p>
        </w:tc>
        <w:tc>
          <w:tcPr>
            <w:tcW w:w="709" w:type="dxa"/>
            <w:tcBorders>
              <w:top w:val="single" w:sz="12" w:space="0" w:color="auto"/>
              <w:left w:val="single" w:sz="2" w:space="0" w:color="auto"/>
              <w:bottom w:val="single" w:sz="12" w:space="0" w:color="auto"/>
              <w:right w:val="single" w:sz="12" w:space="0" w:color="auto"/>
            </w:tcBorders>
          </w:tcPr>
          <w:p w:rsidR="00CD7E2F" w:rsidRPr="003409C9" w:rsidRDefault="00CD7E2F" w:rsidP="00EA0500">
            <w:pPr>
              <w:spacing w:before="60" w:after="60"/>
              <w:jc w:val="right"/>
              <w:rPr>
                <w:b/>
                <w:noProof/>
                <w:sz w:val="18"/>
                <w:szCs w:val="18"/>
              </w:rPr>
            </w:pPr>
            <w:r w:rsidRPr="00BB07AF">
              <w:rPr>
                <w:b/>
                <w:noProof/>
                <w:sz w:val="18"/>
              </w:rPr>
              <w:t>3,375</w:t>
            </w:r>
          </w:p>
        </w:tc>
        <w:tc>
          <w:tcPr>
            <w:tcW w:w="709" w:type="dxa"/>
            <w:tcBorders>
              <w:top w:val="single" w:sz="12" w:space="0" w:color="auto"/>
              <w:left w:val="single" w:sz="2" w:space="0" w:color="auto"/>
              <w:bottom w:val="single" w:sz="12" w:space="0" w:color="auto"/>
              <w:right w:val="single" w:sz="2" w:space="0" w:color="auto"/>
            </w:tcBorders>
          </w:tcPr>
          <w:p w:rsidR="00CD7E2F" w:rsidRPr="003409C9" w:rsidRDefault="00CD7E2F" w:rsidP="00EA0500">
            <w:pPr>
              <w:spacing w:before="60" w:after="60"/>
              <w:jc w:val="right"/>
              <w:rPr>
                <w:b/>
                <w:noProof/>
                <w:sz w:val="18"/>
                <w:szCs w:val="18"/>
              </w:rPr>
            </w:pPr>
            <w:r w:rsidRPr="00BB07AF">
              <w:rPr>
                <w:b/>
                <w:noProof/>
                <w:sz w:val="18"/>
              </w:rPr>
              <w:t>3,375</w:t>
            </w:r>
          </w:p>
        </w:tc>
        <w:tc>
          <w:tcPr>
            <w:tcW w:w="709" w:type="dxa"/>
            <w:tcBorders>
              <w:top w:val="single" w:sz="12" w:space="0" w:color="auto"/>
              <w:left w:val="single" w:sz="2" w:space="0" w:color="auto"/>
              <w:bottom w:val="single" w:sz="12" w:space="0" w:color="auto"/>
              <w:right w:val="single" w:sz="12" w:space="0" w:color="auto"/>
            </w:tcBorders>
          </w:tcPr>
          <w:p w:rsidR="00CD7E2F" w:rsidRPr="00BB07AF" w:rsidRDefault="00CD7E2F" w:rsidP="00EA0500">
            <w:pPr>
              <w:spacing w:before="60" w:after="60"/>
              <w:jc w:val="right"/>
              <w:rPr>
                <w:b/>
                <w:noProof/>
                <w:sz w:val="18"/>
                <w:szCs w:val="18"/>
              </w:rPr>
            </w:pPr>
            <w:r w:rsidRPr="00BB07AF">
              <w:rPr>
                <w:b/>
                <w:noProof/>
                <w:sz w:val="18"/>
              </w:rPr>
              <w:t>3,375</w:t>
            </w:r>
          </w:p>
        </w:tc>
      </w:tr>
    </w:tbl>
    <w:p w:rsidR="00CD7E2F" w:rsidRPr="00BB07AF" w:rsidRDefault="00CD7E2F" w:rsidP="00CD7E2F">
      <w:pPr>
        <w:rPr>
          <w:noProof/>
          <w:u w:val="single"/>
        </w:rPr>
      </w:pPr>
    </w:p>
    <w:p w:rsidR="00CD7E2F" w:rsidRPr="003409C9" w:rsidRDefault="00CD7E2F" w:rsidP="00CD7E2F">
      <w:pPr>
        <w:rPr>
          <w:noProof/>
          <w:sz w:val="20"/>
        </w:rPr>
      </w:pPr>
      <w:r w:rsidRPr="003409C9">
        <w:rPr>
          <w:noProof/>
          <w:sz w:val="20"/>
        </w:rPr>
        <w:t>Wymagania dotyczące pracowników (EPC):</w:t>
      </w:r>
    </w:p>
    <w:p w:rsidR="00CD7E2F" w:rsidRPr="003409C9" w:rsidRDefault="00CD7E2F" w:rsidP="00CD7E2F">
      <w:pPr>
        <w:rPr>
          <w:noProof/>
          <w:sz w:val="20"/>
        </w:rPr>
      </w:pPr>
    </w:p>
    <w:tbl>
      <w:tblPr>
        <w:tblW w:w="9793"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725"/>
        <w:gridCol w:w="709"/>
        <w:gridCol w:w="709"/>
        <w:gridCol w:w="708"/>
        <w:gridCol w:w="709"/>
        <w:gridCol w:w="709"/>
        <w:gridCol w:w="709"/>
        <w:gridCol w:w="708"/>
        <w:gridCol w:w="709"/>
        <w:gridCol w:w="709"/>
        <w:gridCol w:w="709"/>
      </w:tblGrid>
      <w:tr w:rsidR="00CD7E2F" w:rsidRPr="003409C9" w:rsidTr="00EA0500">
        <w:trPr>
          <w:trHeight w:val="585"/>
        </w:trPr>
        <w:tc>
          <w:tcPr>
            <w:tcW w:w="1980" w:type="dxa"/>
          </w:tcPr>
          <w:p w:rsidR="00CD7E2F" w:rsidRPr="003409C9" w:rsidRDefault="00CD7E2F" w:rsidP="00EA0500">
            <w:pPr>
              <w:spacing w:before="60" w:after="60"/>
              <w:rPr>
                <w:noProof/>
                <w:sz w:val="20"/>
              </w:rPr>
            </w:pPr>
          </w:p>
        </w:tc>
        <w:tc>
          <w:tcPr>
            <w:tcW w:w="725" w:type="dxa"/>
            <w:vAlign w:val="center"/>
          </w:tcPr>
          <w:p w:rsidR="00CD7E2F" w:rsidRPr="003409C9" w:rsidRDefault="00CD7E2F" w:rsidP="00EA0500">
            <w:pPr>
              <w:spacing w:before="60" w:after="60"/>
              <w:jc w:val="center"/>
              <w:rPr>
                <w:noProof/>
                <w:sz w:val="20"/>
              </w:rPr>
            </w:pPr>
            <w:r w:rsidRPr="003409C9">
              <w:rPr>
                <w:noProof/>
                <w:sz w:val="20"/>
              </w:rPr>
              <w:t>Rok</w:t>
            </w:r>
            <w:r w:rsidRPr="003409C9">
              <w:rPr>
                <w:noProof/>
              </w:rPr>
              <w:t xml:space="preserve"> </w:t>
            </w:r>
            <w:r w:rsidRPr="003409C9">
              <w:rPr>
                <w:noProof/>
              </w:rPr>
              <w:br/>
            </w:r>
            <w:r w:rsidRPr="00BB07AF">
              <w:rPr>
                <w:b/>
                <w:noProof/>
                <w:sz w:val="20"/>
              </w:rPr>
              <w:t>2024</w:t>
            </w:r>
          </w:p>
        </w:tc>
        <w:tc>
          <w:tcPr>
            <w:tcW w:w="709" w:type="dxa"/>
            <w:vAlign w:val="center"/>
          </w:tcPr>
          <w:p w:rsidR="00CD7E2F" w:rsidRPr="003409C9" w:rsidRDefault="00CD7E2F" w:rsidP="00EA0500">
            <w:pPr>
              <w:spacing w:before="60" w:after="60"/>
              <w:jc w:val="center"/>
              <w:rPr>
                <w:noProof/>
                <w:sz w:val="20"/>
              </w:rPr>
            </w:pPr>
            <w:r w:rsidRPr="003409C9">
              <w:rPr>
                <w:noProof/>
                <w:sz w:val="20"/>
              </w:rPr>
              <w:t xml:space="preserve">Rok </w:t>
            </w:r>
            <w:r w:rsidRPr="00BB07AF">
              <w:rPr>
                <w:b/>
                <w:noProof/>
                <w:sz w:val="20"/>
              </w:rPr>
              <w:t>2025</w:t>
            </w:r>
          </w:p>
        </w:tc>
        <w:tc>
          <w:tcPr>
            <w:tcW w:w="709" w:type="dxa"/>
            <w:vAlign w:val="center"/>
          </w:tcPr>
          <w:p w:rsidR="00CD7E2F" w:rsidRPr="003409C9" w:rsidRDefault="00CD7E2F" w:rsidP="00EA0500">
            <w:pPr>
              <w:spacing w:before="60" w:after="60"/>
              <w:jc w:val="center"/>
              <w:rPr>
                <w:noProof/>
                <w:sz w:val="20"/>
              </w:rPr>
            </w:pPr>
            <w:r w:rsidRPr="003409C9">
              <w:rPr>
                <w:noProof/>
                <w:sz w:val="20"/>
              </w:rPr>
              <w:t>Rok</w:t>
            </w:r>
            <w:r w:rsidRPr="003409C9">
              <w:rPr>
                <w:noProof/>
              </w:rPr>
              <w:t xml:space="preserve"> </w:t>
            </w:r>
            <w:r w:rsidRPr="003409C9">
              <w:rPr>
                <w:noProof/>
              </w:rPr>
              <w:br/>
            </w:r>
            <w:r w:rsidRPr="00BB07AF">
              <w:rPr>
                <w:b/>
                <w:noProof/>
                <w:sz w:val="20"/>
              </w:rPr>
              <w:t>2026</w:t>
            </w:r>
          </w:p>
        </w:tc>
        <w:tc>
          <w:tcPr>
            <w:tcW w:w="708" w:type="dxa"/>
            <w:vAlign w:val="center"/>
          </w:tcPr>
          <w:p w:rsidR="00CD7E2F" w:rsidRPr="003409C9" w:rsidRDefault="00CD7E2F" w:rsidP="00EA0500">
            <w:pPr>
              <w:spacing w:before="60" w:after="60"/>
              <w:jc w:val="center"/>
              <w:rPr>
                <w:noProof/>
                <w:sz w:val="20"/>
              </w:rPr>
            </w:pPr>
            <w:r w:rsidRPr="003409C9">
              <w:rPr>
                <w:noProof/>
                <w:sz w:val="20"/>
              </w:rPr>
              <w:t>Rok</w:t>
            </w:r>
            <w:r w:rsidRPr="003409C9">
              <w:rPr>
                <w:noProof/>
              </w:rPr>
              <w:t xml:space="preserve"> </w:t>
            </w:r>
            <w:r w:rsidRPr="003409C9">
              <w:rPr>
                <w:noProof/>
              </w:rPr>
              <w:br/>
            </w:r>
            <w:r w:rsidRPr="00BB07AF">
              <w:rPr>
                <w:b/>
                <w:noProof/>
                <w:sz w:val="20"/>
              </w:rPr>
              <w:t>2027</w:t>
            </w:r>
          </w:p>
        </w:tc>
        <w:tc>
          <w:tcPr>
            <w:tcW w:w="709" w:type="dxa"/>
            <w:vAlign w:val="center"/>
          </w:tcPr>
          <w:p w:rsidR="00CD7E2F" w:rsidRPr="003409C9" w:rsidRDefault="00CD7E2F" w:rsidP="00EA0500">
            <w:pPr>
              <w:spacing w:before="60" w:after="60"/>
              <w:jc w:val="center"/>
              <w:rPr>
                <w:noProof/>
                <w:sz w:val="20"/>
              </w:rPr>
            </w:pPr>
            <w:r w:rsidRPr="003409C9">
              <w:rPr>
                <w:noProof/>
                <w:sz w:val="20"/>
              </w:rPr>
              <w:t>Rok</w:t>
            </w:r>
            <w:r w:rsidRPr="003409C9">
              <w:rPr>
                <w:noProof/>
              </w:rPr>
              <w:t xml:space="preserve"> </w:t>
            </w:r>
            <w:r w:rsidRPr="003409C9">
              <w:rPr>
                <w:noProof/>
              </w:rPr>
              <w:br/>
            </w:r>
            <w:r w:rsidRPr="00BB07AF">
              <w:rPr>
                <w:b/>
                <w:noProof/>
                <w:sz w:val="20"/>
              </w:rPr>
              <w:t>2028</w:t>
            </w:r>
          </w:p>
        </w:tc>
        <w:tc>
          <w:tcPr>
            <w:tcW w:w="709" w:type="dxa"/>
            <w:vAlign w:val="center"/>
          </w:tcPr>
          <w:p w:rsidR="00CD7E2F" w:rsidRPr="00BB07AF" w:rsidRDefault="00CD7E2F" w:rsidP="00EA0500">
            <w:pPr>
              <w:jc w:val="center"/>
              <w:rPr>
                <w:b/>
                <w:noProof/>
                <w:sz w:val="20"/>
              </w:rPr>
            </w:pPr>
            <w:r w:rsidRPr="003409C9">
              <w:rPr>
                <w:noProof/>
                <w:sz w:val="20"/>
              </w:rPr>
              <w:t>Rok</w:t>
            </w:r>
            <w:r w:rsidRPr="003409C9">
              <w:rPr>
                <w:noProof/>
              </w:rPr>
              <w:t xml:space="preserve"> </w:t>
            </w:r>
            <w:r w:rsidRPr="003409C9">
              <w:rPr>
                <w:noProof/>
              </w:rPr>
              <w:br/>
            </w:r>
            <w:r w:rsidRPr="00BB07AF">
              <w:rPr>
                <w:b/>
                <w:noProof/>
                <w:sz w:val="20"/>
              </w:rPr>
              <w:t>2029</w:t>
            </w:r>
          </w:p>
        </w:tc>
        <w:tc>
          <w:tcPr>
            <w:tcW w:w="709" w:type="dxa"/>
            <w:vAlign w:val="center"/>
          </w:tcPr>
          <w:p w:rsidR="00CD7E2F" w:rsidRPr="003409C9" w:rsidRDefault="00CD7E2F" w:rsidP="00EA0500">
            <w:pPr>
              <w:jc w:val="center"/>
              <w:rPr>
                <w:noProof/>
                <w:sz w:val="20"/>
              </w:rPr>
            </w:pPr>
            <w:r w:rsidRPr="003409C9">
              <w:rPr>
                <w:noProof/>
                <w:sz w:val="20"/>
              </w:rPr>
              <w:t>Rok</w:t>
            </w:r>
            <w:r w:rsidRPr="003409C9">
              <w:rPr>
                <w:noProof/>
              </w:rPr>
              <w:t xml:space="preserve"> </w:t>
            </w:r>
            <w:r w:rsidRPr="003409C9">
              <w:rPr>
                <w:noProof/>
              </w:rPr>
              <w:br/>
            </w:r>
            <w:r w:rsidRPr="00BB07AF">
              <w:rPr>
                <w:b/>
                <w:noProof/>
                <w:sz w:val="20"/>
              </w:rPr>
              <w:t>2030</w:t>
            </w:r>
          </w:p>
        </w:tc>
        <w:tc>
          <w:tcPr>
            <w:tcW w:w="708" w:type="dxa"/>
            <w:vAlign w:val="center"/>
          </w:tcPr>
          <w:p w:rsidR="00CD7E2F" w:rsidRPr="00BB07AF" w:rsidRDefault="00CD7E2F" w:rsidP="00EA0500">
            <w:pPr>
              <w:jc w:val="center"/>
              <w:rPr>
                <w:b/>
                <w:noProof/>
                <w:sz w:val="20"/>
              </w:rPr>
            </w:pPr>
            <w:r w:rsidRPr="003409C9">
              <w:rPr>
                <w:noProof/>
                <w:sz w:val="20"/>
              </w:rPr>
              <w:t>Rok</w:t>
            </w:r>
            <w:r w:rsidRPr="003409C9">
              <w:rPr>
                <w:noProof/>
              </w:rPr>
              <w:t xml:space="preserve"> </w:t>
            </w:r>
            <w:r w:rsidRPr="003409C9">
              <w:rPr>
                <w:noProof/>
              </w:rPr>
              <w:br/>
            </w:r>
            <w:r w:rsidRPr="00BB07AF">
              <w:rPr>
                <w:b/>
                <w:noProof/>
                <w:sz w:val="20"/>
              </w:rPr>
              <w:t>2031</w:t>
            </w:r>
          </w:p>
        </w:tc>
        <w:tc>
          <w:tcPr>
            <w:tcW w:w="709" w:type="dxa"/>
            <w:vAlign w:val="center"/>
          </w:tcPr>
          <w:p w:rsidR="00CD7E2F" w:rsidRPr="003409C9" w:rsidRDefault="00CD7E2F" w:rsidP="00EA0500">
            <w:pPr>
              <w:rPr>
                <w:noProof/>
                <w:sz w:val="20"/>
              </w:rPr>
            </w:pPr>
            <w:r w:rsidRPr="003409C9">
              <w:rPr>
                <w:noProof/>
                <w:sz w:val="20"/>
              </w:rPr>
              <w:t>Rok</w:t>
            </w:r>
            <w:r w:rsidRPr="003409C9">
              <w:rPr>
                <w:noProof/>
              </w:rPr>
              <w:t xml:space="preserve"> </w:t>
            </w:r>
            <w:r w:rsidRPr="003409C9">
              <w:rPr>
                <w:noProof/>
              </w:rPr>
              <w:br/>
            </w:r>
            <w:r w:rsidRPr="00BB07AF">
              <w:rPr>
                <w:b/>
                <w:noProof/>
                <w:sz w:val="20"/>
              </w:rPr>
              <w:t>2032</w:t>
            </w:r>
          </w:p>
        </w:tc>
        <w:tc>
          <w:tcPr>
            <w:tcW w:w="709" w:type="dxa"/>
            <w:vAlign w:val="center"/>
          </w:tcPr>
          <w:p w:rsidR="00CD7E2F" w:rsidRPr="00BB07AF" w:rsidRDefault="00CD7E2F" w:rsidP="00EA0500">
            <w:pPr>
              <w:rPr>
                <w:b/>
                <w:noProof/>
                <w:sz w:val="20"/>
              </w:rPr>
            </w:pPr>
            <w:r w:rsidRPr="003409C9">
              <w:rPr>
                <w:noProof/>
                <w:sz w:val="20"/>
              </w:rPr>
              <w:t xml:space="preserve">Rok </w:t>
            </w:r>
            <w:r w:rsidRPr="00BB07AF">
              <w:rPr>
                <w:b/>
                <w:noProof/>
                <w:sz w:val="20"/>
              </w:rPr>
              <w:t>2033</w:t>
            </w:r>
          </w:p>
        </w:tc>
        <w:tc>
          <w:tcPr>
            <w:tcW w:w="709" w:type="dxa"/>
            <w:vAlign w:val="center"/>
          </w:tcPr>
          <w:p w:rsidR="00CD7E2F" w:rsidRPr="003409C9" w:rsidRDefault="00CD7E2F" w:rsidP="00EA0500">
            <w:pPr>
              <w:rPr>
                <w:noProof/>
                <w:sz w:val="20"/>
              </w:rPr>
            </w:pPr>
            <w:r w:rsidRPr="003409C9">
              <w:rPr>
                <w:noProof/>
                <w:sz w:val="20"/>
              </w:rPr>
              <w:t xml:space="preserve">Rok </w:t>
            </w:r>
            <w:r w:rsidRPr="00BB07AF">
              <w:rPr>
                <w:b/>
                <w:noProof/>
                <w:sz w:val="20"/>
              </w:rPr>
              <w:t>2034</w:t>
            </w:r>
          </w:p>
        </w:tc>
      </w:tr>
    </w:tbl>
    <w:p w:rsidR="00CD7E2F" w:rsidRPr="003409C9" w:rsidRDefault="00CD7E2F" w:rsidP="00CD7E2F">
      <w:pPr>
        <w:rPr>
          <w:noProof/>
          <w:sz w:val="20"/>
        </w:rPr>
      </w:pPr>
    </w:p>
    <w:tbl>
      <w:tblPr>
        <w:tblW w:w="9793"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725"/>
        <w:gridCol w:w="709"/>
        <w:gridCol w:w="709"/>
        <w:gridCol w:w="708"/>
        <w:gridCol w:w="709"/>
        <w:gridCol w:w="709"/>
        <w:gridCol w:w="709"/>
        <w:gridCol w:w="708"/>
        <w:gridCol w:w="709"/>
        <w:gridCol w:w="709"/>
        <w:gridCol w:w="709"/>
      </w:tblGrid>
      <w:tr w:rsidR="00CD7E2F" w:rsidRPr="003409C9" w:rsidTr="00EA0500">
        <w:trPr>
          <w:trHeight w:val="585"/>
        </w:trPr>
        <w:tc>
          <w:tcPr>
            <w:tcW w:w="1980" w:type="dxa"/>
            <w:shd w:val="clear" w:color="auto" w:fill="D9D9D9" w:themeFill="background1" w:themeFillShade="D9"/>
            <w:vAlign w:val="center"/>
          </w:tcPr>
          <w:p w:rsidR="00CD7E2F" w:rsidRPr="003409C9" w:rsidRDefault="00CD7E2F" w:rsidP="00EA0500">
            <w:pPr>
              <w:spacing w:before="60" w:after="60"/>
              <w:jc w:val="center"/>
              <w:rPr>
                <w:noProof/>
              </w:rPr>
            </w:pPr>
            <w:r w:rsidRPr="003409C9">
              <w:rPr>
                <w:noProof/>
                <w:sz w:val="18"/>
              </w:rPr>
              <w:t>Pracownicy zatrudnieni na czas określony (grupy zaszeregowania AD)</w:t>
            </w:r>
          </w:p>
        </w:tc>
        <w:tc>
          <w:tcPr>
            <w:tcW w:w="725" w:type="dxa"/>
          </w:tcPr>
          <w:p w:rsidR="00CD7E2F" w:rsidRPr="003409C9" w:rsidRDefault="00CD7E2F" w:rsidP="00EA0500">
            <w:pPr>
              <w:spacing w:before="60" w:after="60"/>
              <w:jc w:val="right"/>
              <w:rPr>
                <w:noProof/>
                <w:sz w:val="18"/>
                <w:szCs w:val="18"/>
              </w:rPr>
            </w:pPr>
            <w:r w:rsidRPr="003409C9">
              <w:rPr>
                <w:noProof/>
                <w:sz w:val="18"/>
              </w:rPr>
              <w:t>2,0</w:t>
            </w:r>
          </w:p>
        </w:tc>
        <w:tc>
          <w:tcPr>
            <w:tcW w:w="709" w:type="dxa"/>
          </w:tcPr>
          <w:p w:rsidR="00CD7E2F" w:rsidRPr="003409C9" w:rsidRDefault="00CD7E2F" w:rsidP="00EA0500">
            <w:pPr>
              <w:spacing w:before="60" w:after="60"/>
              <w:jc w:val="right"/>
              <w:rPr>
                <w:noProof/>
                <w:color w:val="000000"/>
                <w:sz w:val="18"/>
                <w:szCs w:val="18"/>
              </w:rPr>
            </w:pPr>
            <w:r w:rsidRPr="003409C9">
              <w:rPr>
                <w:noProof/>
                <w:sz w:val="18"/>
              </w:rPr>
              <w:t>14,0</w:t>
            </w:r>
          </w:p>
        </w:tc>
        <w:tc>
          <w:tcPr>
            <w:tcW w:w="709" w:type="dxa"/>
          </w:tcPr>
          <w:p w:rsidR="00CD7E2F" w:rsidRPr="003409C9" w:rsidRDefault="00CD7E2F" w:rsidP="00EA0500">
            <w:pPr>
              <w:spacing w:before="60" w:after="60"/>
              <w:jc w:val="right"/>
              <w:rPr>
                <w:noProof/>
                <w:sz w:val="18"/>
                <w:szCs w:val="18"/>
              </w:rPr>
            </w:pPr>
            <w:r w:rsidRPr="003409C9">
              <w:rPr>
                <w:noProof/>
                <w:sz w:val="18"/>
              </w:rPr>
              <w:t>14,0</w:t>
            </w:r>
          </w:p>
        </w:tc>
        <w:tc>
          <w:tcPr>
            <w:tcW w:w="708" w:type="dxa"/>
          </w:tcPr>
          <w:p w:rsidR="00CD7E2F" w:rsidRPr="003409C9" w:rsidRDefault="00CD7E2F" w:rsidP="00EA0500">
            <w:pPr>
              <w:spacing w:before="60" w:after="60"/>
              <w:jc w:val="right"/>
              <w:rPr>
                <w:noProof/>
                <w:sz w:val="18"/>
                <w:szCs w:val="18"/>
              </w:rPr>
            </w:pPr>
            <w:r w:rsidRPr="003409C9">
              <w:rPr>
                <w:noProof/>
                <w:sz w:val="18"/>
              </w:rPr>
              <w:t>15,0</w:t>
            </w:r>
          </w:p>
        </w:tc>
        <w:tc>
          <w:tcPr>
            <w:tcW w:w="709" w:type="dxa"/>
          </w:tcPr>
          <w:p w:rsidR="00CD7E2F" w:rsidRPr="003409C9" w:rsidRDefault="00CD7E2F" w:rsidP="00EA0500">
            <w:pPr>
              <w:spacing w:before="60" w:after="60"/>
              <w:jc w:val="right"/>
              <w:rPr>
                <w:noProof/>
                <w:sz w:val="18"/>
                <w:szCs w:val="18"/>
              </w:rPr>
            </w:pPr>
            <w:r w:rsidRPr="003409C9">
              <w:rPr>
                <w:noProof/>
                <w:sz w:val="18"/>
              </w:rPr>
              <w:t>30,0</w:t>
            </w:r>
          </w:p>
        </w:tc>
        <w:tc>
          <w:tcPr>
            <w:tcW w:w="709" w:type="dxa"/>
          </w:tcPr>
          <w:p w:rsidR="00CD7E2F" w:rsidRPr="003409C9" w:rsidRDefault="00CD7E2F" w:rsidP="00EA0500">
            <w:pPr>
              <w:spacing w:before="60" w:after="60"/>
              <w:jc w:val="right"/>
              <w:rPr>
                <w:noProof/>
                <w:sz w:val="18"/>
                <w:szCs w:val="18"/>
              </w:rPr>
            </w:pPr>
            <w:r w:rsidRPr="003409C9">
              <w:rPr>
                <w:noProof/>
                <w:sz w:val="18"/>
              </w:rPr>
              <w:t>15,0</w:t>
            </w:r>
          </w:p>
        </w:tc>
        <w:tc>
          <w:tcPr>
            <w:tcW w:w="709" w:type="dxa"/>
          </w:tcPr>
          <w:p w:rsidR="00CD7E2F" w:rsidRPr="003409C9" w:rsidRDefault="00CD7E2F" w:rsidP="00EA0500">
            <w:pPr>
              <w:spacing w:before="60" w:after="60"/>
              <w:jc w:val="right"/>
              <w:rPr>
                <w:noProof/>
                <w:sz w:val="18"/>
                <w:szCs w:val="18"/>
              </w:rPr>
            </w:pPr>
            <w:r w:rsidRPr="003409C9">
              <w:rPr>
                <w:noProof/>
                <w:sz w:val="18"/>
              </w:rPr>
              <w:t>15,0</w:t>
            </w:r>
          </w:p>
        </w:tc>
        <w:tc>
          <w:tcPr>
            <w:tcW w:w="708" w:type="dxa"/>
          </w:tcPr>
          <w:p w:rsidR="00CD7E2F" w:rsidRPr="00BB07AF" w:rsidRDefault="00CD7E2F" w:rsidP="00EA0500">
            <w:pPr>
              <w:spacing w:before="60" w:after="60"/>
              <w:jc w:val="right"/>
              <w:rPr>
                <w:b/>
                <w:noProof/>
                <w:sz w:val="18"/>
                <w:szCs w:val="18"/>
              </w:rPr>
            </w:pPr>
            <w:r w:rsidRPr="003409C9">
              <w:rPr>
                <w:noProof/>
                <w:sz w:val="18"/>
              </w:rPr>
              <w:t>15,0</w:t>
            </w:r>
          </w:p>
        </w:tc>
        <w:tc>
          <w:tcPr>
            <w:tcW w:w="709" w:type="dxa"/>
          </w:tcPr>
          <w:p w:rsidR="00CD7E2F" w:rsidRPr="00BB07AF" w:rsidRDefault="00CD7E2F" w:rsidP="00EA0500">
            <w:pPr>
              <w:spacing w:before="60" w:after="60"/>
              <w:jc w:val="right"/>
              <w:rPr>
                <w:b/>
                <w:noProof/>
                <w:sz w:val="18"/>
                <w:szCs w:val="18"/>
              </w:rPr>
            </w:pPr>
            <w:r w:rsidRPr="003409C9">
              <w:rPr>
                <w:noProof/>
                <w:sz w:val="18"/>
              </w:rPr>
              <w:t>15,0</w:t>
            </w:r>
          </w:p>
        </w:tc>
        <w:tc>
          <w:tcPr>
            <w:tcW w:w="709" w:type="dxa"/>
          </w:tcPr>
          <w:p w:rsidR="00CD7E2F" w:rsidRPr="00BB07AF" w:rsidRDefault="00CD7E2F" w:rsidP="00EA0500">
            <w:pPr>
              <w:spacing w:before="60" w:after="60"/>
              <w:jc w:val="right"/>
              <w:rPr>
                <w:b/>
                <w:noProof/>
                <w:sz w:val="18"/>
                <w:szCs w:val="18"/>
              </w:rPr>
            </w:pPr>
            <w:r w:rsidRPr="003409C9">
              <w:rPr>
                <w:noProof/>
                <w:sz w:val="18"/>
              </w:rPr>
              <w:t>15,0</w:t>
            </w:r>
          </w:p>
        </w:tc>
        <w:tc>
          <w:tcPr>
            <w:tcW w:w="709" w:type="dxa"/>
          </w:tcPr>
          <w:p w:rsidR="00CD7E2F" w:rsidRPr="00BB07AF" w:rsidRDefault="00CD7E2F" w:rsidP="00EA0500">
            <w:pPr>
              <w:spacing w:before="60" w:after="60"/>
              <w:jc w:val="right"/>
              <w:rPr>
                <w:b/>
                <w:noProof/>
                <w:sz w:val="18"/>
                <w:szCs w:val="18"/>
              </w:rPr>
            </w:pPr>
            <w:r w:rsidRPr="003409C9">
              <w:rPr>
                <w:noProof/>
                <w:sz w:val="18"/>
              </w:rPr>
              <w:t>15,0</w:t>
            </w:r>
          </w:p>
        </w:tc>
      </w:tr>
      <w:tr w:rsidR="00CD7E2F" w:rsidRPr="003409C9" w:rsidTr="00EA0500">
        <w:trPr>
          <w:trHeight w:val="585"/>
        </w:trPr>
        <w:tc>
          <w:tcPr>
            <w:tcW w:w="1980" w:type="dxa"/>
            <w:shd w:val="clear" w:color="auto" w:fill="BFBFBF" w:themeFill="background1" w:themeFillShade="BF"/>
            <w:vAlign w:val="center"/>
          </w:tcPr>
          <w:p w:rsidR="00CD7E2F" w:rsidRPr="003409C9" w:rsidRDefault="00CD7E2F" w:rsidP="00EA0500">
            <w:pPr>
              <w:spacing w:before="60" w:after="60"/>
              <w:ind w:left="72"/>
              <w:rPr>
                <w:noProof/>
              </w:rPr>
            </w:pPr>
            <w:r w:rsidRPr="003409C9">
              <w:rPr>
                <w:noProof/>
                <w:sz w:val="20"/>
              </w:rPr>
              <w:t>Pracownicy zatrudnieni na czas określony (grupy zaszeregowania AST)</w:t>
            </w:r>
          </w:p>
        </w:tc>
        <w:tc>
          <w:tcPr>
            <w:tcW w:w="725" w:type="dxa"/>
            <w:vAlign w:val="bottom"/>
          </w:tcPr>
          <w:p w:rsidR="00CD7E2F" w:rsidRPr="003409C9" w:rsidRDefault="00CD7E2F" w:rsidP="00EA0500">
            <w:pPr>
              <w:spacing w:before="60" w:after="60"/>
              <w:jc w:val="right"/>
              <w:rPr>
                <w:noProof/>
                <w:sz w:val="18"/>
                <w:szCs w:val="18"/>
              </w:rPr>
            </w:pPr>
          </w:p>
        </w:tc>
        <w:tc>
          <w:tcPr>
            <w:tcW w:w="709" w:type="dxa"/>
          </w:tcPr>
          <w:p w:rsidR="00CD7E2F" w:rsidRPr="003409C9" w:rsidRDefault="00CD7E2F" w:rsidP="00EA0500">
            <w:pPr>
              <w:spacing w:before="60" w:after="60"/>
              <w:jc w:val="right"/>
              <w:rPr>
                <w:noProof/>
                <w:sz w:val="18"/>
                <w:szCs w:val="18"/>
              </w:rPr>
            </w:pPr>
          </w:p>
        </w:tc>
        <w:tc>
          <w:tcPr>
            <w:tcW w:w="709" w:type="dxa"/>
            <w:vAlign w:val="bottom"/>
          </w:tcPr>
          <w:p w:rsidR="00CD7E2F" w:rsidRPr="003409C9" w:rsidRDefault="00CD7E2F" w:rsidP="00EA0500">
            <w:pPr>
              <w:spacing w:before="60" w:after="60"/>
              <w:jc w:val="right"/>
              <w:rPr>
                <w:noProof/>
                <w:sz w:val="18"/>
                <w:szCs w:val="18"/>
              </w:rPr>
            </w:pPr>
          </w:p>
        </w:tc>
        <w:tc>
          <w:tcPr>
            <w:tcW w:w="708" w:type="dxa"/>
            <w:vAlign w:val="bottom"/>
          </w:tcPr>
          <w:p w:rsidR="00CD7E2F" w:rsidRPr="003409C9" w:rsidRDefault="00CD7E2F" w:rsidP="00EA0500">
            <w:pPr>
              <w:spacing w:before="60" w:after="60"/>
              <w:jc w:val="right"/>
              <w:rPr>
                <w:noProof/>
                <w:sz w:val="18"/>
                <w:szCs w:val="18"/>
              </w:rPr>
            </w:pPr>
          </w:p>
        </w:tc>
        <w:tc>
          <w:tcPr>
            <w:tcW w:w="709" w:type="dxa"/>
            <w:vAlign w:val="bottom"/>
          </w:tcPr>
          <w:p w:rsidR="00CD7E2F" w:rsidRPr="003409C9" w:rsidRDefault="00CD7E2F" w:rsidP="00EA0500">
            <w:pPr>
              <w:spacing w:before="60" w:after="60"/>
              <w:jc w:val="right"/>
              <w:rPr>
                <w:noProof/>
                <w:sz w:val="18"/>
                <w:szCs w:val="18"/>
              </w:rPr>
            </w:pPr>
          </w:p>
        </w:tc>
        <w:tc>
          <w:tcPr>
            <w:tcW w:w="709" w:type="dxa"/>
            <w:vAlign w:val="bottom"/>
          </w:tcPr>
          <w:p w:rsidR="00CD7E2F" w:rsidRPr="003409C9" w:rsidRDefault="00CD7E2F" w:rsidP="00EA0500">
            <w:pPr>
              <w:spacing w:before="60" w:after="60"/>
              <w:jc w:val="right"/>
              <w:rPr>
                <w:noProof/>
                <w:sz w:val="18"/>
                <w:szCs w:val="18"/>
              </w:rPr>
            </w:pPr>
          </w:p>
        </w:tc>
        <w:tc>
          <w:tcPr>
            <w:tcW w:w="709" w:type="dxa"/>
            <w:vAlign w:val="bottom"/>
          </w:tcPr>
          <w:p w:rsidR="00CD7E2F" w:rsidRPr="003409C9" w:rsidRDefault="00CD7E2F" w:rsidP="00EA0500">
            <w:pPr>
              <w:spacing w:before="60" w:after="60"/>
              <w:jc w:val="right"/>
              <w:rPr>
                <w:noProof/>
                <w:sz w:val="18"/>
                <w:szCs w:val="18"/>
              </w:rPr>
            </w:pPr>
          </w:p>
        </w:tc>
        <w:tc>
          <w:tcPr>
            <w:tcW w:w="708" w:type="dxa"/>
            <w:vAlign w:val="bottom"/>
          </w:tcPr>
          <w:p w:rsidR="00CD7E2F" w:rsidRPr="003409C9" w:rsidRDefault="00CD7E2F" w:rsidP="00EA0500">
            <w:pPr>
              <w:spacing w:before="60" w:after="60"/>
              <w:jc w:val="right"/>
              <w:rPr>
                <w:b/>
                <w:noProof/>
                <w:sz w:val="18"/>
                <w:szCs w:val="18"/>
              </w:rPr>
            </w:pPr>
          </w:p>
        </w:tc>
        <w:tc>
          <w:tcPr>
            <w:tcW w:w="709" w:type="dxa"/>
            <w:vAlign w:val="bottom"/>
          </w:tcPr>
          <w:p w:rsidR="00CD7E2F" w:rsidRPr="003409C9" w:rsidRDefault="00CD7E2F" w:rsidP="00EA0500">
            <w:pPr>
              <w:spacing w:before="60" w:after="60"/>
              <w:jc w:val="right"/>
              <w:rPr>
                <w:b/>
                <w:noProof/>
                <w:sz w:val="18"/>
                <w:szCs w:val="18"/>
              </w:rPr>
            </w:pPr>
          </w:p>
        </w:tc>
        <w:tc>
          <w:tcPr>
            <w:tcW w:w="709" w:type="dxa"/>
            <w:vAlign w:val="bottom"/>
          </w:tcPr>
          <w:p w:rsidR="00CD7E2F" w:rsidRPr="003409C9" w:rsidRDefault="00CD7E2F" w:rsidP="00EA0500">
            <w:pPr>
              <w:spacing w:before="60" w:after="60"/>
              <w:jc w:val="right"/>
              <w:rPr>
                <w:b/>
                <w:noProof/>
                <w:sz w:val="18"/>
                <w:szCs w:val="18"/>
              </w:rPr>
            </w:pPr>
          </w:p>
        </w:tc>
        <w:tc>
          <w:tcPr>
            <w:tcW w:w="709" w:type="dxa"/>
            <w:vAlign w:val="bottom"/>
          </w:tcPr>
          <w:p w:rsidR="00CD7E2F" w:rsidRPr="00BB07AF" w:rsidRDefault="00CD7E2F" w:rsidP="00EA0500">
            <w:pPr>
              <w:spacing w:before="60" w:after="60"/>
              <w:jc w:val="right"/>
              <w:rPr>
                <w:b/>
                <w:noProof/>
                <w:sz w:val="18"/>
                <w:szCs w:val="18"/>
              </w:rPr>
            </w:pPr>
          </w:p>
        </w:tc>
      </w:tr>
      <w:tr w:rsidR="001E4FBE" w:rsidRPr="003409C9" w:rsidTr="00EA0500">
        <w:trPr>
          <w:trHeight w:val="585"/>
        </w:trPr>
        <w:tc>
          <w:tcPr>
            <w:tcW w:w="1980" w:type="dxa"/>
            <w:shd w:val="clear" w:color="auto" w:fill="BFBFBF" w:themeFill="background1" w:themeFillShade="BF"/>
            <w:vAlign w:val="center"/>
          </w:tcPr>
          <w:p w:rsidR="00CD7E2F" w:rsidRPr="003409C9" w:rsidRDefault="00CD7E2F" w:rsidP="00EA0500">
            <w:pPr>
              <w:spacing w:before="60" w:after="60"/>
              <w:ind w:left="72"/>
              <w:rPr>
                <w:noProof/>
              </w:rPr>
            </w:pPr>
            <w:r w:rsidRPr="003409C9">
              <w:rPr>
                <w:noProof/>
                <w:sz w:val="20"/>
              </w:rPr>
              <w:t>Personel kontraktowy</w:t>
            </w:r>
          </w:p>
        </w:tc>
        <w:tc>
          <w:tcPr>
            <w:tcW w:w="725" w:type="dxa"/>
            <w:shd w:val="clear" w:color="auto" w:fill="BFBFBF" w:themeFill="background1" w:themeFillShade="BF"/>
          </w:tcPr>
          <w:p w:rsidR="00CD7E2F" w:rsidRPr="003409C9" w:rsidRDefault="00CD7E2F" w:rsidP="00EA0500">
            <w:pPr>
              <w:spacing w:before="60" w:after="60"/>
              <w:jc w:val="right"/>
              <w:rPr>
                <w:noProof/>
                <w:sz w:val="18"/>
                <w:szCs w:val="18"/>
              </w:rPr>
            </w:pPr>
            <w:r w:rsidRPr="003409C9">
              <w:rPr>
                <w:noProof/>
                <w:sz w:val="18"/>
              </w:rPr>
              <w:t>0,0</w:t>
            </w:r>
          </w:p>
        </w:tc>
        <w:tc>
          <w:tcPr>
            <w:tcW w:w="709" w:type="dxa"/>
            <w:shd w:val="clear" w:color="auto" w:fill="BFBFBF" w:themeFill="background1" w:themeFillShade="BF"/>
          </w:tcPr>
          <w:p w:rsidR="00CD7E2F" w:rsidRPr="003409C9" w:rsidRDefault="00CD7E2F" w:rsidP="00EA0500">
            <w:pPr>
              <w:spacing w:before="60" w:after="60"/>
              <w:jc w:val="right"/>
              <w:rPr>
                <w:noProof/>
                <w:color w:val="000000"/>
                <w:sz w:val="18"/>
                <w:szCs w:val="18"/>
              </w:rPr>
            </w:pPr>
            <w:r w:rsidRPr="003409C9">
              <w:rPr>
                <w:noProof/>
                <w:sz w:val="18"/>
              </w:rPr>
              <w:t>7,0</w:t>
            </w:r>
          </w:p>
        </w:tc>
        <w:tc>
          <w:tcPr>
            <w:tcW w:w="709" w:type="dxa"/>
            <w:shd w:val="clear" w:color="auto" w:fill="BFBFBF" w:themeFill="background1" w:themeFillShade="BF"/>
          </w:tcPr>
          <w:p w:rsidR="00CD7E2F" w:rsidRPr="003409C9" w:rsidRDefault="00CD7E2F" w:rsidP="00EA0500">
            <w:pPr>
              <w:spacing w:before="60" w:after="60"/>
              <w:jc w:val="right"/>
              <w:rPr>
                <w:noProof/>
                <w:sz w:val="18"/>
                <w:szCs w:val="18"/>
              </w:rPr>
            </w:pPr>
            <w:r w:rsidRPr="003409C9">
              <w:rPr>
                <w:noProof/>
                <w:sz w:val="18"/>
              </w:rPr>
              <w:t>8,0</w:t>
            </w:r>
          </w:p>
        </w:tc>
        <w:tc>
          <w:tcPr>
            <w:tcW w:w="708" w:type="dxa"/>
            <w:shd w:val="clear" w:color="auto" w:fill="BFBFBF" w:themeFill="background1" w:themeFillShade="BF"/>
          </w:tcPr>
          <w:p w:rsidR="00CD7E2F" w:rsidRPr="003409C9" w:rsidRDefault="00CD7E2F" w:rsidP="00EA0500">
            <w:pPr>
              <w:spacing w:before="60" w:after="60"/>
              <w:jc w:val="right"/>
              <w:rPr>
                <w:noProof/>
                <w:sz w:val="18"/>
                <w:szCs w:val="18"/>
              </w:rPr>
            </w:pPr>
            <w:r w:rsidRPr="003409C9">
              <w:rPr>
                <w:noProof/>
                <w:sz w:val="18"/>
              </w:rPr>
              <w:t>10,0</w:t>
            </w:r>
          </w:p>
        </w:tc>
        <w:tc>
          <w:tcPr>
            <w:tcW w:w="709" w:type="dxa"/>
            <w:shd w:val="clear" w:color="auto" w:fill="BFBFBF" w:themeFill="background1" w:themeFillShade="BF"/>
          </w:tcPr>
          <w:p w:rsidR="00CD7E2F" w:rsidRPr="003409C9" w:rsidRDefault="00CD7E2F" w:rsidP="00EA0500">
            <w:pPr>
              <w:spacing w:before="60" w:after="60"/>
              <w:jc w:val="right"/>
              <w:rPr>
                <w:noProof/>
                <w:sz w:val="18"/>
                <w:szCs w:val="18"/>
              </w:rPr>
            </w:pPr>
            <w:r w:rsidRPr="003409C9">
              <w:rPr>
                <w:noProof/>
                <w:sz w:val="18"/>
              </w:rPr>
              <w:t>23,0</w:t>
            </w:r>
          </w:p>
        </w:tc>
        <w:tc>
          <w:tcPr>
            <w:tcW w:w="709" w:type="dxa"/>
            <w:shd w:val="clear" w:color="auto" w:fill="BFBFBF" w:themeFill="background1" w:themeFillShade="BF"/>
          </w:tcPr>
          <w:p w:rsidR="00CD7E2F" w:rsidRPr="003409C9" w:rsidRDefault="00CD7E2F" w:rsidP="00EA0500">
            <w:pPr>
              <w:spacing w:before="60" w:after="60"/>
              <w:jc w:val="right"/>
              <w:rPr>
                <w:noProof/>
                <w:sz w:val="18"/>
                <w:szCs w:val="18"/>
              </w:rPr>
            </w:pPr>
            <w:r w:rsidRPr="003409C9">
              <w:rPr>
                <w:noProof/>
                <w:sz w:val="18"/>
              </w:rPr>
              <w:t>13,0</w:t>
            </w:r>
          </w:p>
        </w:tc>
        <w:tc>
          <w:tcPr>
            <w:tcW w:w="709" w:type="dxa"/>
            <w:shd w:val="clear" w:color="auto" w:fill="BFBFBF" w:themeFill="background1" w:themeFillShade="BF"/>
          </w:tcPr>
          <w:p w:rsidR="00CD7E2F" w:rsidRPr="003409C9" w:rsidRDefault="00CD7E2F" w:rsidP="00EA0500">
            <w:pPr>
              <w:spacing w:before="60" w:after="60"/>
              <w:jc w:val="right"/>
              <w:rPr>
                <w:noProof/>
                <w:sz w:val="18"/>
                <w:szCs w:val="18"/>
              </w:rPr>
            </w:pPr>
            <w:r w:rsidRPr="003409C9">
              <w:rPr>
                <w:noProof/>
                <w:sz w:val="18"/>
              </w:rPr>
              <w:t>12,0</w:t>
            </w:r>
          </w:p>
        </w:tc>
        <w:tc>
          <w:tcPr>
            <w:tcW w:w="708" w:type="dxa"/>
            <w:shd w:val="clear" w:color="auto" w:fill="BFBFBF" w:themeFill="background1" w:themeFillShade="BF"/>
          </w:tcPr>
          <w:p w:rsidR="00CD7E2F" w:rsidRPr="00BB07AF" w:rsidRDefault="00CD7E2F" w:rsidP="00EA0500">
            <w:pPr>
              <w:spacing w:before="60" w:after="60"/>
              <w:jc w:val="right"/>
              <w:rPr>
                <w:b/>
                <w:noProof/>
                <w:sz w:val="18"/>
                <w:szCs w:val="18"/>
              </w:rPr>
            </w:pPr>
            <w:r w:rsidRPr="003409C9">
              <w:rPr>
                <w:noProof/>
                <w:sz w:val="18"/>
              </w:rPr>
              <w:t>12,0</w:t>
            </w:r>
          </w:p>
        </w:tc>
        <w:tc>
          <w:tcPr>
            <w:tcW w:w="709" w:type="dxa"/>
            <w:shd w:val="clear" w:color="auto" w:fill="BFBFBF" w:themeFill="background1" w:themeFillShade="BF"/>
          </w:tcPr>
          <w:p w:rsidR="00CD7E2F" w:rsidRPr="00BB07AF" w:rsidRDefault="00CD7E2F" w:rsidP="00EA0500">
            <w:pPr>
              <w:spacing w:before="60" w:after="60"/>
              <w:jc w:val="right"/>
              <w:rPr>
                <w:b/>
                <w:noProof/>
                <w:sz w:val="18"/>
                <w:szCs w:val="18"/>
              </w:rPr>
            </w:pPr>
            <w:r w:rsidRPr="003409C9">
              <w:rPr>
                <w:noProof/>
                <w:sz w:val="18"/>
              </w:rPr>
              <w:t>12,0</w:t>
            </w:r>
          </w:p>
        </w:tc>
        <w:tc>
          <w:tcPr>
            <w:tcW w:w="709" w:type="dxa"/>
            <w:shd w:val="clear" w:color="auto" w:fill="BFBFBF" w:themeFill="background1" w:themeFillShade="BF"/>
          </w:tcPr>
          <w:p w:rsidR="00CD7E2F" w:rsidRPr="00BB07AF" w:rsidRDefault="00CD7E2F" w:rsidP="00EA0500">
            <w:pPr>
              <w:spacing w:before="60" w:after="60"/>
              <w:jc w:val="right"/>
              <w:rPr>
                <w:b/>
                <w:noProof/>
                <w:sz w:val="18"/>
                <w:szCs w:val="18"/>
              </w:rPr>
            </w:pPr>
            <w:r w:rsidRPr="003409C9">
              <w:rPr>
                <w:noProof/>
                <w:sz w:val="18"/>
              </w:rPr>
              <w:t>12,0</w:t>
            </w:r>
          </w:p>
        </w:tc>
        <w:tc>
          <w:tcPr>
            <w:tcW w:w="709" w:type="dxa"/>
            <w:shd w:val="clear" w:color="auto" w:fill="BFBFBF" w:themeFill="background1" w:themeFillShade="BF"/>
          </w:tcPr>
          <w:p w:rsidR="00CD7E2F" w:rsidRPr="00BB07AF" w:rsidRDefault="00CD7E2F" w:rsidP="00EA0500">
            <w:pPr>
              <w:spacing w:before="60" w:after="60"/>
              <w:jc w:val="right"/>
              <w:rPr>
                <w:b/>
                <w:noProof/>
                <w:sz w:val="18"/>
                <w:szCs w:val="18"/>
              </w:rPr>
            </w:pPr>
            <w:r w:rsidRPr="003409C9">
              <w:rPr>
                <w:noProof/>
                <w:sz w:val="18"/>
              </w:rPr>
              <w:t>12,0</w:t>
            </w:r>
          </w:p>
        </w:tc>
      </w:tr>
      <w:tr w:rsidR="00CD7E2F" w:rsidRPr="003409C9" w:rsidTr="00EA0500">
        <w:trPr>
          <w:trHeight w:val="585"/>
        </w:trPr>
        <w:tc>
          <w:tcPr>
            <w:tcW w:w="1980" w:type="dxa"/>
            <w:shd w:val="clear" w:color="auto" w:fill="CCCCCC"/>
            <w:vAlign w:val="center"/>
          </w:tcPr>
          <w:p w:rsidR="00CD7E2F" w:rsidRPr="003409C9" w:rsidRDefault="00CD7E2F" w:rsidP="00EA0500">
            <w:pPr>
              <w:spacing w:before="60" w:after="60"/>
              <w:jc w:val="center"/>
              <w:rPr>
                <w:noProof/>
              </w:rPr>
            </w:pPr>
            <w:r w:rsidRPr="003409C9">
              <w:rPr>
                <w:noProof/>
                <w:sz w:val="18"/>
              </w:rPr>
              <w:t>Oddelegowani eksperci krajowi</w:t>
            </w:r>
          </w:p>
        </w:tc>
        <w:tc>
          <w:tcPr>
            <w:tcW w:w="725" w:type="dxa"/>
          </w:tcPr>
          <w:p w:rsidR="00CD7E2F" w:rsidRPr="003409C9" w:rsidRDefault="00CD7E2F" w:rsidP="00EA0500">
            <w:pPr>
              <w:spacing w:before="60" w:after="60"/>
              <w:jc w:val="right"/>
              <w:rPr>
                <w:noProof/>
                <w:sz w:val="18"/>
                <w:szCs w:val="18"/>
              </w:rPr>
            </w:pPr>
          </w:p>
        </w:tc>
        <w:tc>
          <w:tcPr>
            <w:tcW w:w="709" w:type="dxa"/>
          </w:tcPr>
          <w:p w:rsidR="00CD7E2F" w:rsidRPr="003409C9" w:rsidRDefault="00CD7E2F" w:rsidP="00EA0500">
            <w:pPr>
              <w:spacing w:before="60" w:after="60"/>
              <w:jc w:val="right"/>
              <w:rPr>
                <w:noProof/>
                <w:sz w:val="18"/>
                <w:szCs w:val="18"/>
              </w:rPr>
            </w:pPr>
          </w:p>
        </w:tc>
        <w:tc>
          <w:tcPr>
            <w:tcW w:w="709" w:type="dxa"/>
          </w:tcPr>
          <w:p w:rsidR="00CD7E2F" w:rsidRPr="003409C9" w:rsidRDefault="00CD7E2F" w:rsidP="00EA0500">
            <w:pPr>
              <w:spacing w:before="60" w:after="60"/>
              <w:jc w:val="right"/>
              <w:rPr>
                <w:noProof/>
                <w:sz w:val="18"/>
                <w:szCs w:val="18"/>
              </w:rPr>
            </w:pPr>
          </w:p>
        </w:tc>
        <w:tc>
          <w:tcPr>
            <w:tcW w:w="708" w:type="dxa"/>
          </w:tcPr>
          <w:p w:rsidR="00CD7E2F" w:rsidRPr="003409C9" w:rsidRDefault="00CD7E2F" w:rsidP="00EA0500">
            <w:pPr>
              <w:spacing w:before="60" w:after="60"/>
              <w:jc w:val="right"/>
              <w:rPr>
                <w:noProof/>
                <w:sz w:val="18"/>
                <w:szCs w:val="18"/>
              </w:rPr>
            </w:pPr>
          </w:p>
        </w:tc>
        <w:tc>
          <w:tcPr>
            <w:tcW w:w="709" w:type="dxa"/>
          </w:tcPr>
          <w:p w:rsidR="00CD7E2F" w:rsidRPr="003409C9" w:rsidRDefault="00CD7E2F" w:rsidP="00EA0500">
            <w:pPr>
              <w:spacing w:before="60" w:after="60"/>
              <w:jc w:val="right"/>
              <w:rPr>
                <w:noProof/>
                <w:sz w:val="18"/>
                <w:szCs w:val="18"/>
              </w:rPr>
            </w:pPr>
          </w:p>
        </w:tc>
        <w:tc>
          <w:tcPr>
            <w:tcW w:w="709" w:type="dxa"/>
          </w:tcPr>
          <w:p w:rsidR="00CD7E2F" w:rsidRPr="003409C9" w:rsidRDefault="00CD7E2F" w:rsidP="00EA0500">
            <w:pPr>
              <w:spacing w:before="60" w:after="60"/>
              <w:jc w:val="right"/>
              <w:rPr>
                <w:noProof/>
                <w:sz w:val="18"/>
                <w:szCs w:val="18"/>
              </w:rPr>
            </w:pPr>
          </w:p>
        </w:tc>
        <w:tc>
          <w:tcPr>
            <w:tcW w:w="709" w:type="dxa"/>
          </w:tcPr>
          <w:p w:rsidR="00CD7E2F" w:rsidRPr="003409C9" w:rsidRDefault="00CD7E2F" w:rsidP="00EA0500">
            <w:pPr>
              <w:spacing w:before="60" w:after="60"/>
              <w:jc w:val="right"/>
              <w:rPr>
                <w:noProof/>
                <w:sz w:val="18"/>
                <w:szCs w:val="18"/>
              </w:rPr>
            </w:pPr>
          </w:p>
        </w:tc>
        <w:tc>
          <w:tcPr>
            <w:tcW w:w="708" w:type="dxa"/>
          </w:tcPr>
          <w:p w:rsidR="00CD7E2F" w:rsidRPr="003409C9" w:rsidRDefault="00CD7E2F" w:rsidP="00EA0500">
            <w:pPr>
              <w:spacing w:before="60" w:after="60"/>
              <w:jc w:val="right"/>
              <w:rPr>
                <w:b/>
                <w:noProof/>
                <w:sz w:val="18"/>
                <w:szCs w:val="18"/>
              </w:rPr>
            </w:pPr>
          </w:p>
        </w:tc>
        <w:tc>
          <w:tcPr>
            <w:tcW w:w="709" w:type="dxa"/>
          </w:tcPr>
          <w:p w:rsidR="00CD7E2F" w:rsidRPr="003409C9" w:rsidRDefault="00CD7E2F" w:rsidP="00EA0500">
            <w:pPr>
              <w:spacing w:before="60" w:after="60"/>
              <w:jc w:val="right"/>
              <w:rPr>
                <w:b/>
                <w:noProof/>
                <w:sz w:val="18"/>
                <w:szCs w:val="18"/>
              </w:rPr>
            </w:pPr>
          </w:p>
        </w:tc>
        <w:tc>
          <w:tcPr>
            <w:tcW w:w="709" w:type="dxa"/>
          </w:tcPr>
          <w:p w:rsidR="00CD7E2F" w:rsidRPr="003409C9" w:rsidRDefault="00CD7E2F" w:rsidP="00EA0500">
            <w:pPr>
              <w:spacing w:before="60" w:after="60"/>
              <w:jc w:val="right"/>
              <w:rPr>
                <w:b/>
                <w:noProof/>
                <w:sz w:val="18"/>
                <w:szCs w:val="18"/>
              </w:rPr>
            </w:pPr>
          </w:p>
        </w:tc>
        <w:tc>
          <w:tcPr>
            <w:tcW w:w="709" w:type="dxa"/>
          </w:tcPr>
          <w:p w:rsidR="00CD7E2F" w:rsidRPr="00BB07AF" w:rsidRDefault="00CD7E2F" w:rsidP="00EA0500">
            <w:pPr>
              <w:spacing w:before="60" w:after="60"/>
              <w:jc w:val="right"/>
              <w:rPr>
                <w:b/>
                <w:noProof/>
                <w:sz w:val="18"/>
                <w:szCs w:val="18"/>
              </w:rPr>
            </w:pPr>
          </w:p>
        </w:tc>
      </w:tr>
    </w:tbl>
    <w:p w:rsidR="00CD7E2F" w:rsidRPr="003409C9" w:rsidRDefault="00CD7E2F" w:rsidP="00CD7E2F">
      <w:pPr>
        <w:rPr>
          <w:noProof/>
          <w:sz w:val="20"/>
        </w:rPr>
      </w:pPr>
    </w:p>
    <w:tbl>
      <w:tblPr>
        <w:tblW w:w="9793" w:type="dxa"/>
        <w:tblInd w:w="-612" w:type="dxa"/>
        <w:tblLayout w:type="fixed"/>
        <w:tblLook w:val="01E0" w:firstRow="1" w:lastRow="1" w:firstColumn="1" w:lastColumn="1" w:noHBand="0" w:noVBand="0"/>
      </w:tblPr>
      <w:tblGrid>
        <w:gridCol w:w="1980"/>
        <w:gridCol w:w="725"/>
        <w:gridCol w:w="709"/>
        <w:gridCol w:w="709"/>
        <w:gridCol w:w="708"/>
        <w:gridCol w:w="709"/>
        <w:gridCol w:w="709"/>
        <w:gridCol w:w="709"/>
        <w:gridCol w:w="708"/>
        <w:gridCol w:w="709"/>
        <w:gridCol w:w="709"/>
        <w:gridCol w:w="709"/>
      </w:tblGrid>
      <w:tr w:rsidR="00CD7E2F" w:rsidRPr="003409C9" w:rsidTr="00EA0500">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CD7E2F" w:rsidRPr="003409C9" w:rsidRDefault="00CD7E2F" w:rsidP="00EA0500">
            <w:pPr>
              <w:spacing w:before="60" w:after="60"/>
              <w:jc w:val="center"/>
              <w:rPr>
                <w:noProof/>
                <w:sz w:val="20"/>
              </w:rPr>
            </w:pPr>
            <w:r w:rsidRPr="00BB07AF">
              <w:rPr>
                <w:b/>
                <w:noProof/>
                <w:sz w:val="20"/>
              </w:rPr>
              <w:t>OGÓŁEM</w:t>
            </w:r>
          </w:p>
        </w:tc>
        <w:tc>
          <w:tcPr>
            <w:tcW w:w="725" w:type="dxa"/>
            <w:tcBorders>
              <w:top w:val="single" w:sz="12" w:space="0" w:color="auto"/>
              <w:left w:val="single" w:sz="2" w:space="0" w:color="auto"/>
              <w:bottom w:val="single" w:sz="12" w:space="0" w:color="auto"/>
              <w:right w:val="single" w:sz="2" w:space="0" w:color="auto"/>
            </w:tcBorders>
          </w:tcPr>
          <w:p w:rsidR="00CD7E2F" w:rsidRPr="003409C9" w:rsidRDefault="00CD7E2F" w:rsidP="00EA0500">
            <w:pPr>
              <w:spacing w:before="60" w:after="60"/>
              <w:jc w:val="right"/>
              <w:rPr>
                <w:b/>
                <w:noProof/>
                <w:sz w:val="18"/>
                <w:szCs w:val="18"/>
              </w:rPr>
            </w:pPr>
            <w:r w:rsidRPr="00BB07AF">
              <w:rPr>
                <w:b/>
                <w:noProof/>
                <w:sz w:val="18"/>
              </w:rPr>
              <w:t>2,0</w:t>
            </w:r>
          </w:p>
        </w:tc>
        <w:tc>
          <w:tcPr>
            <w:tcW w:w="709" w:type="dxa"/>
            <w:tcBorders>
              <w:top w:val="single" w:sz="12" w:space="0" w:color="auto"/>
              <w:left w:val="single" w:sz="2" w:space="0" w:color="auto"/>
              <w:bottom w:val="single" w:sz="12" w:space="0" w:color="auto"/>
              <w:right w:val="single" w:sz="2" w:space="0" w:color="auto"/>
            </w:tcBorders>
          </w:tcPr>
          <w:p w:rsidR="00CD7E2F" w:rsidRPr="003409C9" w:rsidRDefault="00CD7E2F" w:rsidP="00EA0500">
            <w:pPr>
              <w:spacing w:before="60" w:after="60"/>
              <w:jc w:val="right"/>
              <w:rPr>
                <w:b/>
                <w:noProof/>
                <w:sz w:val="18"/>
                <w:szCs w:val="18"/>
              </w:rPr>
            </w:pPr>
            <w:r w:rsidRPr="00BB07AF">
              <w:rPr>
                <w:b/>
                <w:noProof/>
                <w:sz w:val="18"/>
              </w:rPr>
              <w:t>21,0</w:t>
            </w:r>
          </w:p>
        </w:tc>
        <w:tc>
          <w:tcPr>
            <w:tcW w:w="709" w:type="dxa"/>
            <w:tcBorders>
              <w:top w:val="single" w:sz="12" w:space="0" w:color="auto"/>
              <w:left w:val="single" w:sz="2" w:space="0" w:color="auto"/>
              <w:bottom w:val="single" w:sz="12" w:space="0" w:color="auto"/>
              <w:right w:val="single" w:sz="2" w:space="0" w:color="auto"/>
            </w:tcBorders>
          </w:tcPr>
          <w:p w:rsidR="00CD7E2F" w:rsidRPr="003409C9" w:rsidRDefault="00CD7E2F" w:rsidP="00EA0500">
            <w:pPr>
              <w:spacing w:before="60" w:after="60"/>
              <w:jc w:val="right"/>
              <w:rPr>
                <w:b/>
                <w:noProof/>
                <w:sz w:val="18"/>
                <w:szCs w:val="18"/>
              </w:rPr>
            </w:pPr>
            <w:r w:rsidRPr="00BB07AF">
              <w:rPr>
                <w:b/>
                <w:noProof/>
                <w:sz w:val="18"/>
              </w:rPr>
              <w:t>22,0</w:t>
            </w:r>
          </w:p>
        </w:tc>
        <w:tc>
          <w:tcPr>
            <w:tcW w:w="708" w:type="dxa"/>
            <w:tcBorders>
              <w:top w:val="single" w:sz="12" w:space="0" w:color="auto"/>
              <w:left w:val="single" w:sz="2" w:space="0" w:color="auto"/>
              <w:bottom w:val="single" w:sz="12" w:space="0" w:color="auto"/>
              <w:right w:val="single" w:sz="2" w:space="0" w:color="auto"/>
            </w:tcBorders>
          </w:tcPr>
          <w:p w:rsidR="00CD7E2F" w:rsidRPr="003409C9" w:rsidRDefault="00CD7E2F" w:rsidP="00EA0500">
            <w:pPr>
              <w:spacing w:before="60" w:after="60"/>
              <w:jc w:val="right"/>
              <w:rPr>
                <w:b/>
                <w:noProof/>
                <w:sz w:val="18"/>
                <w:szCs w:val="18"/>
              </w:rPr>
            </w:pPr>
            <w:r w:rsidRPr="00BB07AF">
              <w:rPr>
                <w:b/>
                <w:noProof/>
                <w:sz w:val="18"/>
              </w:rPr>
              <w:t>25,0</w:t>
            </w:r>
          </w:p>
        </w:tc>
        <w:tc>
          <w:tcPr>
            <w:tcW w:w="709" w:type="dxa"/>
            <w:tcBorders>
              <w:top w:val="single" w:sz="12" w:space="0" w:color="auto"/>
              <w:left w:val="single" w:sz="2" w:space="0" w:color="auto"/>
              <w:bottom w:val="single" w:sz="12" w:space="0" w:color="auto"/>
              <w:right w:val="single" w:sz="2" w:space="0" w:color="auto"/>
            </w:tcBorders>
          </w:tcPr>
          <w:p w:rsidR="00CD7E2F" w:rsidRPr="003409C9" w:rsidRDefault="00CD7E2F" w:rsidP="00EA0500">
            <w:pPr>
              <w:spacing w:before="60" w:after="60"/>
              <w:jc w:val="right"/>
              <w:rPr>
                <w:b/>
                <w:noProof/>
                <w:sz w:val="18"/>
                <w:szCs w:val="18"/>
              </w:rPr>
            </w:pPr>
            <w:r w:rsidRPr="00BB07AF">
              <w:rPr>
                <w:b/>
                <w:noProof/>
                <w:sz w:val="18"/>
              </w:rPr>
              <w:t>53,0</w:t>
            </w:r>
          </w:p>
        </w:tc>
        <w:tc>
          <w:tcPr>
            <w:tcW w:w="709" w:type="dxa"/>
            <w:tcBorders>
              <w:top w:val="single" w:sz="12" w:space="0" w:color="auto"/>
              <w:left w:val="single" w:sz="2" w:space="0" w:color="auto"/>
              <w:bottom w:val="single" w:sz="12" w:space="0" w:color="auto"/>
              <w:right w:val="single" w:sz="2" w:space="0" w:color="auto"/>
            </w:tcBorders>
          </w:tcPr>
          <w:p w:rsidR="00CD7E2F" w:rsidRPr="003409C9" w:rsidRDefault="00CD7E2F" w:rsidP="00EA0500">
            <w:pPr>
              <w:spacing w:before="60" w:after="60"/>
              <w:jc w:val="right"/>
              <w:rPr>
                <w:b/>
                <w:noProof/>
                <w:sz w:val="18"/>
                <w:szCs w:val="18"/>
              </w:rPr>
            </w:pPr>
            <w:r w:rsidRPr="00BB07AF">
              <w:rPr>
                <w:b/>
                <w:noProof/>
                <w:sz w:val="18"/>
              </w:rPr>
              <w:t>28,0</w:t>
            </w:r>
          </w:p>
        </w:tc>
        <w:tc>
          <w:tcPr>
            <w:tcW w:w="709" w:type="dxa"/>
            <w:tcBorders>
              <w:top w:val="single" w:sz="12" w:space="0" w:color="auto"/>
              <w:left w:val="single" w:sz="2" w:space="0" w:color="auto"/>
              <w:bottom w:val="single" w:sz="12" w:space="0" w:color="auto"/>
              <w:right w:val="single" w:sz="2" w:space="0" w:color="auto"/>
            </w:tcBorders>
          </w:tcPr>
          <w:p w:rsidR="00CD7E2F" w:rsidRPr="003409C9" w:rsidRDefault="00CD7E2F" w:rsidP="00EA0500">
            <w:pPr>
              <w:spacing w:before="60" w:after="60"/>
              <w:jc w:val="right"/>
              <w:rPr>
                <w:b/>
                <w:noProof/>
                <w:sz w:val="18"/>
                <w:szCs w:val="18"/>
              </w:rPr>
            </w:pPr>
            <w:r w:rsidRPr="00BB07AF">
              <w:rPr>
                <w:b/>
                <w:noProof/>
                <w:sz w:val="18"/>
              </w:rPr>
              <w:t>27,0</w:t>
            </w:r>
          </w:p>
        </w:tc>
        <w:tc>
          <w:tcPr>
            <w:tcW w:w="708" w:type="dxa"/>
            <w:tcBorders>
              <w:top w:val="single" w:sz="12" w:space="0" w:color="auto"/>
              <w:left w:val="single" w:sz="2" w:space="0" w:color="auto"/>
              <w:bottom w:val="single" w:sz="12" w:space="0" w:color="auto"/>
              <w:right w:val="single" w:sz="2" w:space="0" w:color="auto"/>
            </w:tcBorders>
          </w:tcPr>
          <w:p w:rsidR="00CD7E2F" w:rsidRPr="003409C9" w:rsidRDefault="00CD7E2F" w:rsidP="00EA0500">
            <w:pPr>
              <w:spacing w:before="60" w:after="60"/>
              <w:jc w:val="right"/>
              <w:rPr>
                <w:b/>
                <w:noProof/>
                <w:sz w:val="18"/>
                <w:szCs w:val="18"/>
              </w:rPr>
            </w:pPr>
            <w:r w:rsidRPr="00BB07AF">
              <w:rPr>
                <w:b/>
                <w:noProof/>
                <w:sz w:val="18"/>
              </w:rPr>
              <w:t>27,0</w:t>
            </w:r>
          </w:p>
        </w:tc>
        <w:tc>
          <w:tcPr>
            <w:tcW w:w="709" w:type="dxa"/>
            <w:tcBorders>
              <w:top w:val="single" w:sz="12" w:space="0" w:color="auto"/>
              <w:left w:val="single" w:sz="2" w:space="0" w:color="auto"/>
              <w:bottom w:val="single" w:sz="12" w:space="0" w:color="auto"/>
              <w:right w:val="single" w:sz="12" w:space="0" w:color="auto"/>
            </w:tcBorders>
          </w:tcPr>
          <w:p w:rsidR="00CD7E2F" w:rsidRPr="003409C9" w:rsidRDefault="00CD7E2F" w:rsidP="00EA0500">
            <w:pPr>
              <w:spacing w:before="60" w:after="60"/>
              <w:jc w:val="right"/>
              <w:rPr>
                <w:b/>
                <w:noProof/>
                <w:sz w:val="18"/>
                <w:szCs w:val="18"/>
              </w:rPr>
            </w:pPr>
            <w:r w:rsidRPr="00BB07AF">
              <w:rPr>
                <w:b/>
                <w:noProof/>
                <w:sz w:val="18"/>
              </w:rPr>
              <w:t>27,0</w:t>
            </w:r>
          </w:p>
        </w:tc>
        <w:tc>
          <w:tcPr>
            <w:tcW w:w="709" w:type="dxa"/>
            <w:tcBorders>
              <w:top w:val="single" w:sz="12" w:space="0" w:color="auto"/>
              <w:left w:val="single" w:sz="2" w:space="0" w:color="auto"/>
              <w:bottom w:val="single" w:sz="12" w:space="0" w:color="auto"/>
              <w:right w:val="single" w:sz="2" w:space="0" w:color="auto"/>
            </w:tcBorders>
          </w:tcPr>
          <w:p w:rsidR="00CD7E2F" w:rsidRPr="003409C9" w:rsidRDefault="00CD7E2F" w:rsidP="00EA0500">
            <w:pPr>
              <w:spacing w:before="60" w:after="60"/>
              <w:jc w:val="right"/>
              <w:rPr>
                <w:b/>
                <w:noProof/>
                <w:sz w:val="18"/>
                <w:szCs w:val="18"/>
              </w:rPr>
            </w:pPr>
            <w:r w:rsidRPr="00BB07AF">
              <w:rPr>
                <w:b/>
                <w:noProof/>
                <w:sz w:val="18"/>
              </w:rPr>
              <w:t>27,0</w:t>
            </w:r>
          </w:p>
        </w:tc>
        <w:tc>
          <w:tcPr>
            <w:tcW w:w="709" w:type="dxa"/>
            <w:tcBorders>
              <w:top w:val="single" w:sz="12" w:space="0" w:color="auto"/>
              <w:left w:val="single" w:sz="2" w:space="0" w:color="auto"/>
              <w:bottom w:val="single" w:sz="12" w:space="0" w:color="auto"/>
              <w:right w:val="single" w:sz="12" w:space="0" w:color="auto"/>
            </w:tcBorders>
          </w:tcPr>
          <w:p w:rsidR="00CD7E2F" w:rsidRPr="00BB07AF" w:rsidRDefault="00CD7E2F" w:rsidP="00EA0500">
            <w:pPr>
              <w:spacing w:before="60" w:after="60"/>
              <w:jc w:val="right"/>
              <w:rPr>
                <w:b/>
                <w:noProof/>
                <w:sz w:val="18"/>
                <w:szCs w:val="18"/>
              </w:rPr>
            </w:pPr>
            <w:r w:rsidRPr="00BB07AF">
              <w:rPr>
                <w:b/>
                <w:noProof/>
                <w:sz w:val="18"/>
              </w:rPr>
              <w:t>27,0</w:t>
            </w:r>
          </w:p>
        </w:tc>
      </w:tr>
    </w:tbl>
    <w:p w:rsidR="00CD7E2F" w:rsidRPr="00BB07AF" w:rsidRDefault="00CD7E2F" w:rsidP="00CD7E2F">
      <w:pPr>
        <w:rPr>
          <w:noProof/>
          <w:u w:val="single"/>
        </w:rPr>
      </w:pPr>
    </w:p>
    <w:p w:rsidR="00CD7E2F" w:rsidRPr="003409C9" w:rsidRDefault="00CD7E2F" w:rsidP="00CD7E2F">
      <w:pPr>
        <w:rPr>
          <w:noProof/>
        </w:rPr>
      </w:pPr>
      <w:r w:rsidRPr="003409C9">
        <w:rPr>
          <w:noProof/>
        </w:rPr>
        <w:t>Pracownicy eu-LISA powinni wspierać starania DG HOME</w:t>
      </w:r>
      <w:r w:rsidR="003409C9" w:rsidRPr="003409C9">
        <w:rPr>
          <w:noProof/>
        </w:rPr>
        <w:t xml:space="preserve"> w zak</w:t>
      </w:r>
      <w:r w:rsidRPr="003409C9">
        <w:rPr>
          <w:noProof/>
        </w:rPr>
        <w:t>resie opracowywania prawa wtórnego na początku 2024</w:t>
      </w:r>
      <w:r w:rsidR="003409C9" w:rsidRPr="003409C9">
        <w:rPr>
          <w:noProof/>
        </w:rPr>
        <w:t> </w:t>
      </w:r>
      <w:r w:rsidRPr="003409C9">
        <w:rPr>
          <w:noProof/>
        </w:rPr>
        <w:t>r.,</w:t>
      </w:r>
      <w:r w:rsidR="003409C9" w:rsidRPr="003409C9">
        <w:rPr>
          <w:noProof/>
        </w:rPr>
        <w:t xml:space="preserve"> w zwi</w:t>
      </w:r>
      <w:r w:rsidRPr="003409C9">
        <w:rPr>
          <w:noProof/>
        </w:rPr>
        <w:t>ązku</w:t>
      </w:r>
      <w:r w:rsidR="003409C9" w:rsidRPr="003409C9">
        <w:rPr>
          <w:noProof/>
        </w:rPr>
        <w:t xml:space="preserve"> z czy</w:t>
      </w:r>
      <w:r w:rsidRPr="003409C9">
        <w:rPr>
          <w:noProof/>
        </w:rPr>
        <w:t>m powinni jak najszybciej rozpocząć prace. Procedury rekrutacyjne rozpoczynają się</w:t>
      </w:r>
      <w:r w:rsidR="003409C9" w:rsidRPr="003409C9">
        <w:rPr>
          <w:noProof/>
        </w:rPr>
        <w:t xml:space="preserve"> w sty</w:t>
      </w:r>
      <w:r w:rsidRPr="003409C9">
        <w:rPr>
          <w:noProof/>
        </w:rPr>
        <w:t>czniu 2024</w:t>
      </w:r>
      <w:r w:rsidR="003409C9" w:rsidRPr="003409C9">
        <w:rPr>
          <w:noProof/>
        </w:rPr>
        <w:t> </w:t>
      </w:r>
      <w:r w:rsidRPr="003409C9">
        <w:rPr>
          <w:noProof/>
        </w:rPr>
        <w:t>r. Współczynnik 50</w:t>
      </w:r>
      <w:r w:rsidR="003409C9" w:rsidRPr="003409C9">
        <w:rPr>
          <w:noProof/>
        </w:rPr>
        <w:t> </w:t>
      </w:r>
      <w:r w:rsidRPr="003409C9">
        <w:rPr>
          <w:noProof/>
        </w:rPr>
        <w:t>% stosuje się</w:t>
      </w:r>
      <w:r w:rsidR="003409C9" w:rsidRPr="003409C9">
        <w:rPr>
          <w:noProof/>
        </w:rPr>
        <w:t xml:space="preserve"> w 2</w:t>
      </w:r>
      <w:r w:rsidRPr="003409C9">
        <w:rPr>
          <w:noProof/>
        </w:rPr>
        <w:t>024</w:t>
      </w:r>
      <w:r w:rsidR="003409C9" w:rsidRPr="003409C9">
        <w:rPr>
          <w:noProof/>
        </w:rPr>
        <w:t> </w:t>
      </w:r>
      <w:r w:rsidRPr="003409C9">
        <w:rPr>
          <w:noProof/>
        </w:rPr>
        <w:t>r.</w:t>
      </w:r>
      <w:r w:rsidR="003409C9" w:rsidRPr="003409C9">
        <w:rPr>
          <w:noProof/>
        </w:rPr>
        <w:t xml:space="preserve"> w odn</w:t>
      </w:r>
      <w:r w:rsidRPr="003409C9">
        <w:rPr>
          <w:noProof/>
        </w:rPr>
        <w:t>iesieniu do</w:t>
      </w:r>
      <w:r w:rsidR="003409C9" w:rsidRPr="003409C9">
        <w:rPr>
          <w:noProof/>
        </w:rPr>
        <w:t> </w:t>
      </w:r>
      <w:r w:rsidRPr="003409C9">
        <w:rPr>
          <w:noProof/>
        </w:rPr>
        <w:t>2 EPC, a</w:t>
      </w:r>
      <w:r w:rsidR="003409C9" w:rsidRPr="003409C9">
        <w:rPr>
          <w:noProof/>
        </w:rPr>
        <w:t xml:space="preserve"> w 2</w:t>
      </w:r>
      <w:r w:rsidRPr="003409C9">
        <w:rPr>
          <w:noProof/>
        </w:rPr>
        <w:t>025</w:t>
      </w:r>
      <w:r w:rsidR="003409C9" w:rsidRPr="003409C9">
        <w:rPr>
          <w:noProof/>
        </w:rPr>
        <w:t> </w:t>
      </w:r>
      <w:r w:rsidRPr="003409C9">
        <w:rPr>
          <w:noProof/>
        </w:rPr>
        <w:t>r. –</w:t>
      </w:r>
      <w:r w:rsidR="003409C9" w:rsidRPr="003409C9">
        <w:rPr>
          <w:noProof/>
        </w:rPr>
        <w:t xml:space="preserve"> w odn</w:t>
      </w:r>
      <w:r w:rsidRPr="003409C9">
        <w:rPr>
          <w:noProof/>
        </w:rPr>
        <w:t>iesieniu do</w:t>
      </w:r>
      <w:r w:rsidR="003409C9" w:rsidRPr="003409C9">
        <w:rPr>
          <w:noProof/>
        </w:rPr>
        <w:t> </w:t>
      </w:r>
      <w:r w:rsidRPr="003409C9">
        <w:rPr>
          <w:noProof/>
        </w:rPr>
        <w:t>21 EPC. Pozostali pracownicy będą rekrutowani</w:t>
      </w:r>
      <w:r w:rsidR="003409C9" w:rsidRPr="003409C9">
        <w:rPr>
          <w:noProof/>
        </w:rPr>
        <w:t xml:space="preserve"> w ram</w:t>
      </w:r>
      <w:r w:rsidRPr="003409C9">
        <w:rPr>
          <w:noProof/>
        </w:rPr>
        <w:t>ach przeniesienia wewnętrznego</w:t>
      </w:r>
      <w:r w:rsidR="003409C9" w:rsidRPr="003409C9">
        <w:rPr>
          <w:noProof/>
        </w:rPr>
        <w:t xml:space="preserve"> z inn</w:t>
      </w:r>
      <w:r w:rsidRPr="003409C9">
        <w:rPr>
          <w:noProof/>
        </w:rPr>
        <w:t>ych projektów.</w:t>
      </w:r>
    </w:p>
    <w:bookmarkEnd w:id="142"/>
    <w:p w:rsidR="00CD7E2F" w:rsidRPr="003409C9" w:rsidRDefault="00CD7E2F" w:rsidP="00CD7E2F">
      <w:pPr>
        <w:rPr>
          <w:noProof/>
        </w:rPr>
        <w:sectPr w:rsidR="00CD7E2F" w:rsidRPr="003409C9" w:rsidSect="00883BC7">
          <w:headerReference w:type="default" r:id="rId30"/>
          <w:footerReference w:type="default" r:id="rId31"/>
          <w:headerReference w:type="first" r:id="rId32"/>
          <w:footerReference w:type="first" r:id="rId33"/>
          <w:pgSz w:w="11907" w:h="16840" w:code="9"/>
          <w:pgMar w:top="1134" w:right="1418" w:bottom="1134" w:left="1418" w:header="709" w:footer="709" w:gutter="0"/>
          <w:cols w:space="720"/>
          <w:docGrid w:linePitch="326"/>
        </w:sectPr>
      </w:pPr>
    </w:p>
    <w:p w:rsidR="00CD7E2F" w:rsidRPr="00BB07AF" w:rsidRDefault="009475BC" w:rsidP="009475BC">
      <w:pPr>
        <w:pStyle w:val="ManualHeading3"/>
        <w:rPr>
          <w:bCs/>
          <w:noProof/>
          <w:szCs w:val="24"/>
        </w:rPr>
      </w:pPr>
      <w:bookmarkStart w:id="143" w:name="_Toc117796995"/>
      <w:r w:rsidRPr="00BB07AF">
        <w:rPr>
          <w:noProof/>
        </w:rPr>
        <w:t>3.2.4.</w:t>
      </w:r>
      <w:r w:rsidRPr="00BB07AF">
        <w:rPr>
          <w:noProof/>
        </w:rPr>
        <w:tab/>
        <w:t>Podsumowanie szacunkowego wpływu na środki administracyjne</w:t>
      </w:r>
      <w:bookmarkEnd w:id="139"/>
      <w:r w:rsidRPr="00BB07AF">
        <w:rPr>
          <w:noProof/>
        </w:rPr>
        <w:t xml:space="preserve"> (dla DG HOME)</w:t>
      </w:r>
      <w:bookmarkEnd w:id="143"/>
    </w:p>
    <w:p w:rsidR="00CD7E2F" w:rsidRPr="003409C9" w:rsidRDefault="00CD7E2F" w:rsidP="00CD7E2F">
      <w:pPr>
        <w:pStyle w:val="ListDash1"/>
        <w:rPr>
          <w:noProof/>
        </w:rPr>
      </w:pPr>
      <w:bookmarkStart w:id="144" w:name="_Hlk118441835"/>
      <w:r w:rsidRPr="003409C9">
        <w:rPr>
          <w:noProof/>
        </w:rPr>
        <w:sym w:font="Wingdings" w:char="F0A8"/>
      </w:r>
      <w:r w:rsidRPr="003409C9">
        <w:rPr>
          <w:noProof/>
        </w:rPr>
        <w:tab/>
        <w:t>Wniosek/inicjatywa nie wiąże się</w:t>
      </w:r>
      <w:r w:rsidR="003409C9" w:rsidRPr="003409C9">
        <w:rPr>
          <w:noProof/>
        </w:rPr>
        <w:t xml:space="preserve"> z kon</w:t>
      </w:r>
      <w:r w:rsidRPr="003409C9">
        <w:rPr>
          <w:noProof/>
        </w:rPr>
        <w:t xml:space="preserve">iecznością wykorzystania środków administracyjnych </w:t>
      </w:r>
    </w:p>
    <w:p w:rsidR="00CD7E2F" w:rsidRPr="003409C9" w:rsidRDefault="00CD7E2F" w:rsidP="00CD7E2F">
      <w:pPr>
        <w:pStyle w:val="ListDash1"/>
        <w:rPr>
          <w:noProof/>
        </w:rPr>
      </w:pPr>
      <w:r w:rsidRPr="003409C9">
        <w:rPr>
          <w:noProof/>
        </w:rPr>
        <w:sym w:font="Wingdings" w:char="F078"/>
      </w:r>
      <w:r w:rsidRPr="003409C9">
        <w:rPr>
          <w:noProof/>
        </w:rPr>
        <w:tab/>
        <w:t>Wniosek/inicjatywa wiąże się</w:t>
      </w:r>
      <w:r w:rsidR="003409C9" w:rsidRPr="003409C9">
        <w:rPr>
          <w:noProof/>
        </w:rPr>
        <w:t xml:space="preserve"> z kon</w:t>
      </w:r>
      <w:r w:rsidRPr="003409C9">
        <w:rPr>
          <w:noProof/>
        </w:rPr>
        <w:t>iecznością wykorzystania środków administracyjnych, jak określono poniżej:</w:t>
      </w:r>
    </w:p>
    <w:p w:rsidR="00CD7E2F" w:rsidRPr="003409C9" w:rsidRDefault="00CD7E2F" w:rsidP="00CD7E2F">
      <w:pPr>
        <w:jc w:val="right"/>
        <w:rPr>
          <w:noProof/>
          <w:sz w:val="20"/>
        </w:rPr>
      </w:pPr>
      <w:r w:rsidRPr="003409C9">
        <w:rPr>
          <w:noProof/>
          <w:sz w:val="20"/>
        </w:rPr>
        <w:t>w mln EUR (do trzech miejsc po przecinku)</w:t>
      </w:r>
    </w:p>
    <w:tbl>
      <w:tblPr>
        <w:tblW w:w="1101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583"/>
        <w:gridCol w:w="567"/>
        <w:gridCol w:w="567"/>
        <w:gridCol w:w="567"/>
        <w:gridCol w:w="709"/>
        <w:gridCol w:w="567"/>
        <w:gridCol w:w="567"/>
        <w:gridCol w:w="567"/>
        <w:gridCol w:w="567"/>
        <w:gridCol w:w="652"/>
        <w:gridCol w:w="709"/>
        <w:gridCol w:w="709"/>
        <w:gridCol w:w="709"/>
        <w:gridCol w:w="992"/>
      </w:tblGrid>
      <w:tr w:rsidR="00CD7E2F" w:rsidRPr="003409C9" w:rsidTr="00EA0500">
        <w:trPr>
          <w:trHeight w:val="585"/>
        </w:trPr>
        <w:tc>
          <w:tcPr>
            <w:tcW w:w="1980" w:type="dxa"/>
          </w:tcPr>
          <w:p w:rsidR="00CD7E2F" w:rsidRPr="003409C9" w:rsidRDefault="00CD7E2F" w:rsidP="00EA0500">
            <w:pPr>
              <w:spacing w:before="60" w:after="60" w:line="200" w:lineRule="exact"/>
              <w:rPr>
                <w:noProof/>
                <w:sz w:val="16"/>
                <w:szCs w:val="16"/>
              </w:rPr>
            </w:pPr>
            <w:bookmarkStart w:id="145" w:name="_Hlk118441862"/>
            <w:bookmarkEnd w:id="144"/>
          </w:p>
        </w:tc>
        <w:tc>
          <w:tcPr>
            <w:tcW w:w="583" w:type="dxa"/>
            <w:vAlign w:val="center"/>
          </w:tcPr>
          <w:p w:rsidR="00CD7E2F" w:rsidRPr="003409C9" w:rsidRDefault="00CD7E2F" w:rsidP="00EA0500">
            <w:pPr>
              <w:spacing w:before="60" w:after="60" w:line="200" w:lineRule="exact"/>
              <w:jc w:val="center"/>
              <w:rPr>
                <w:noProof/>
                <w:sz w:val="16"/>
                <w:szCs w:val="16"/>
              </w:rPr>
            </w:pPr>
            <w:r w:rsidRPr="003409C9">
              <w:rPr>
                <w:noProof/>
                <w:sz w:val="16"/>
              </w:rPr>
              <w:t>Rok</w:t>
            </w:r>
            <w:r w:rsidRPr="003409C9">
              <w:rPr>
                <w:noProof/>
              </w:rPr>
              <w:t xml:space="preserve"> </w:t>
            </w:r>
            <w:r w:rsidRPr="003409C9">
              <w:rPr>
                <w:noProof/>
              </w:rPr>
              <w:br/>
            </w:r>
            <w:r w:rsidRPr="00BB07AF">
              <w:rPr>
                <w:b/>
                <w:noProof/>
                <w:sz w:val="16"/>
              </w:rPr>
              <w:t>2024</w:t>
            </w:r>
          </w:p>
        </w:tc>
        <w:tc>
          <w:tcPr>
            <w:tcW w:w="567" w:type="dxa"/>
            <w:vAlign w:val="center"/>
          </w:tcPr>
          <w:p w:rsidR="00CD7E2F" w:rsidRPr="003409C9" w:rsidRDefault="00CD7E2F" w:rsidP="00EA0500">
            <w:pPr>
              <w:spacing w:before="60" w:after="60" w:line="200" w:lineRule="exact"/>
              <w:jc w:val="center"/>
              <w:rPr>
                <w:noProof/>
                <w:sz w:val="16"/>
              </w:rPr>
            </w:pPr>
            <w:r w:rsidRPr="003409C9">
              <w:rPr>
                <w:noProof/>
                <w:sz w:val="16"/>
              </w:rPr>
              <w:t>Rok</w:t>
            </w:r>
            <w:r w:rsidRPr="003409C9">
              <w:rPr>
                <w:noProof/>
              </w:rPr>
              <w:t xml:space="preserve"> </w:t>
            </w:r>
            <w:r w:rsidRPr="003409C9">
              <w:rPr>
                <w:noProof/>
              </w:rPr>
              <w:br/>
            </w:r>
            <w:r w:rsidRPr="00BB07AF">
              <w:rPr>
                <w:b/>
                <w:noProof/>
                <w:sz w:val="16"/>
              </w:rPr>
              <w:t>2025</w:t>
            </w:r>
          </w:p>
        </w:tc>
        <w:tc>
          <w:tcPr>
            <w:tcW w:w="567" w:type="dxa"/>
            <w:vAlign w:val="center"/>
          </w:tcPr>
          <w:p w:rsidR="00CD7E2F" w:rsidRPr="003409C9" w:rsidRDefault="00CD7E2F" w:rsidP="00EA0500">
            <w:pPr>
              <w:spacing w:before="60" w:after="60" w:line="200" w:lineRule="exact"/>
              <w:jc w:val="center"/>
              <w:rPr>
                <w:noProof/>
                <w:sz w:val="16"/>
                <w:szCs w:val="16"/>
              </w:rPr>
            </w:pPr>
            <w:r w:rsidRPr="003409C9">
              <w:rPr>
                <w:noProof/>
                <w:sz w:val="16"/>
              </w:rPr>
              <w:t>Rok</w:t>
            </w:r>
            <w:r w:rsidRPr="003409C9">
              <w:rPr>
                <w:noProof/>
              </w:rPr>
              <w:t xml:space="preserve"> </w:t>
            </w:r>
            <w:r w:rsidRPr="003409C9">
              <w:rPr>
                <w:noProof/>
              </w:rPr>
              <w:br/>
            </w:r>
            <w:r w:rsidRPr="00BB07AF">
              <w:rPr>
                <w:b/>
                <w:noProof/>
                <w:sz w:val="16"/>
              </w:rPr>
              <w:t>2026</w:t>
            </w:r>
          </w:p>
        </w:tc>
        <w:tc>
          <w:tcPr>
            <w:tcW w:w="567" w:type="dxa"/>
            <w:vAlign w:val="center"/>
          </w:tcPr>
          <w:p w:rsidR="00CD7E2F" w:rsidRPr="003409C9" w:rsidRDefault="00CD7E2F" w:rsidP="00EA0500">
            <w:pPr>
              <w:spacing w:before="60" w:after="60" w:line="200" w:lineRule="exact"/>
              <w:jc w:val="center"/>
              <w:rPr>
                <w:noProof/>
                <w:sz w:val="16"/>
                <w:szCs w:val="16"/>
              </w:rPr>
            </w:pPr>
            <w:r w:rsidRPr="003409C9">
              <w:rPr>
                <w:noProof/>
                <w:sz w:val="16"/>
              </w:rPr>
              <w:t>Rok</w:t>
            </w:r>
            <w:r w:rsidRPr="003409C9">
              <w:rPr>
                <w:noProof/>
              </w:rPr>
              <w:t xml:space="preserve"> </w:t>
            </w:r>
            <w:r w:rsidRPr="003409C9">
              <w:rPr>
                <w:noProof/>
              </w:rPr>
              <w:br/>
            </w:r>
            <w:r w:rsidRPr="00BB07AF">
              <w:rPr>
                <w:b/>
                <w:noProof/>
                <w:sz w:val="16"/>
              </w:rPr>
              <w:t>2027</w:t>
            </w:r>
          </w:p>
        </w:tc>
        <w:tc>
          <w:tcPr>
            <w:tcW w:w="709" w:type="dxa"/>
            <w:shd w:val="clear" w:color="auto" w:fill="DAEEF3" w:themeFill="accent5" w:themeFillTint="33"/>
            <w:vAlign w:val="center"/>
          </w:tcPr>
          <w:p w:rsidR="00CD7E2F" w:rsidRPr="003409C9" w:rsidRDefault="00CD7E2F" w:rsidP="00EA0500">
            <w:pPr>
              <w:spacing w:before="60" w:after="60" w:line="200" w:lineRule="exact"/>
              <w:jc w:val="center"/>
              <w:rPr>
                <w:noProof/>
                <w:sz w:val="16"/>
              </w:rPr>
            </w:pPr>
            <w:r w:rsidRPr="003409C9">
              <w:rPr>
                <w:noProof/>
                <w:sz w:val="16"/>
              </w:rPr>
              <w:t>Ogółem</w:t>
            </w:r>
            <w:r w:rsidRPr="003409C9">
              <w:rPr>
                <w:noProof/>
              </w:rPr>
              <w:t xml:space="preserve"> </w:t>
            </w:r>
            <w:r w:rsidRPr="003409C9">
              <w:rPr>
                <w:noProof/>
              </w:rPr>
              <w:br/>
            </w:r>
            <w:r w:rsidRPr="00BB07AF">
              <w:rPr>
                <w:b/>
                <w:noProof/>
                <w:sz w:val="16"/>
              </w:rPr>
              <w:t>21-27</w:t>
            </w:r>
          </w:p>
        </w:tc>
        <w:tc>
          <w:tcPr>
            <w:tcW w:w="567" w:type="dxa"/>
            <w:vAlign w:val="center"/>
          </w:tcPr>
          <w:p w:rsidR="00CD7E2F" w:rsidRPr="003409C9" w:rsidRDefault="00CD7E2F" w:rsidP="00EA0500">
            <w:pPr>
              <w:spacing w:before="60" w:after="60" w:line="200" w:lineRule="exact"/>
              <w:jc w:val="center"/>
              <w:rPr>
                <w:noProof/>
                <w:sz w:val="16"/>
              </w:rPr>
            </w:pPr>
            <w:r w:rsidRPr="003409C9">
              <w:rPr>
                <w:noProof/>
                <w:sz w:val="16"/>
              </w:rPr>
              <w:t>Rok</w:t>
            </w:r>
            <w:r w:rsidRPr="003409C9">
              <w:rPr>
                <w:noProof/>
              </w:rPr>
              <w:t xml:space="preserve"> </w:t>
            </w:r>
            <w:r w:rsidRPr="003409C9">
              <w:rPr>
                <w:noProof/>
              </w:rPr>
              <w:br/>
            </w:r>
            <w:r w:rsidRPr="00BB07AF">
              <w:rPr>
                <w:b/>
                <w:noProof/>
                <w:sz w:val="16"/>
              </w:rPr>
              <w:t>2028</w:t>
            </w:r>
          </w:p>
        </w:tc>
        <w:tc>
          <w:tcPr>
            <w:tcW w:w="567" w:type="dxa"/>
            <w:vAlign w:val="center"/>
          </w:tcPr>
          <w:p w:rsidR="00CD7E2F" w:rsidRPr="003409C9" w:rsidRDefault="00CD7E2F" w:rsidP="00EA0500">
            <w:pPr>
              <w:spacing w:before="60" w:after="60" w:line="200" w:lineRule="exact"/>
              <w:jc w:val="center"/>
              <w:rPr>
                <w:noProof/>
                <w:sz w:val="16"/>
              </w:rPr>
            </w:pPr>
            <w:r w:rsidRPr="003409C9">
              <w:rPr>
                <w:noProof/>
                <w:sz w:val="16"/>
              </w:rPr>
              <w:t>Rok</w:t>
            </w:r>
            <w:r w:rsidRPr="003409C9">
              <w:rPr>
                <w:noProof/>
              </w:rPr>
              <w:t xml:space="preserve"> </w:t>
            </w:r>
            <w:r w:rsidRPr="003409C9">
              <w:rPr>
                <w:noProof/>
              </w:rPr>
              <w:br/>
            </w:r>
            <w:r w:rsidRPr="00BB07AF">
              <w:rPr>
                <w:b/>
                <w:noProof/>
                <w:sz w:val="16"/>
              </w:rPr>
              <w:t>2029</w:t>
            </w:r>
          </w:p>
        </w:tc>
        <w:tc>
          <w:tcPr>
            <w:tcW w:w="567" w:type="dxa"/>
            <w:vAlign w:val="center"/>
          </w:tcPr>
          <w:p w:rsidR="00CD7E2F" w:rsidRPr="003409C9" w:rsidRDefault="00CD7E2F" w:rsidP="00EA0500">
            <w:pPr>
              <w:spacing w:before="60" w:after="60" w:line="200" w:lineRule="exact"/>
              <w:jc w:val="center"/>
              <w:rPr>
                <w:noProof/>
                <w:sz w:val="16"/>
              </w:rPr>
            </w:pPr>
            <w:r w:rsidRPr="003409C9">
              <w:rPr>
                <w:noProof/>
                <w:sz w:val="16"/>
              </w:rPr>
              <w:t>Rok</w:t>
            </w:r>
            <w:r w:rsidRPr="003409C9">
              <w:rPr>
                <w:noProof/>
              </w:rPr>
              <w:t xml:space="preserve"> </w:t>
            </w:r>
            <w:r w:rsidRPr="003409C9">
              <w:rPr>
                <w:noProof/>
              </w:rPr>
              <w:br/>
            </w:r>
            <w:r w:rsidRPr="00BB07AF">
              <w:rPr>
                <w:b/>
                <w:noProof/>
                <w:sz w:val="16"/>
              </w:rPr>
              <w:t>2030</w:t>
            </w:r>
          </w:p>
        </w:tc>
        <w:tc>
          <w:tcPr>
            <w:tcW w:w="567" w:type="dxa"/>
            <w:vAlign w:val="center"/>
          </w:tcPr>
          <w:p w:rsidR="00CD7E2F" w:rsidRPr="003409C9" w:rsidRDefault="00CD7E2F" w:rsidP="00EA0500">
            <w:pPr>
              <w:spacing w:before="60" w:after="60" w:line="200" w:lineRule="exact"/>
              <w:jc w:val="center"/>
              <w:rPr>
                <w:noProof/>
                <w:sz w:val="16"/>
              </w:rPr>
            </w:pPr>
            <w:r w:rsidRPr="003409C9">
              <w:rPr>
                <w:noProof/>
                <w:sz w:val="16"/>
              </w:rPr>
              <w:t>Rok</w:t>
            </w:r>
            <w:r w:rsidRPr="003409C9">
              <w:rPr>
                <w:noProof/>
              </w:rPr>
              <w:t xml:space="preserve"> </w:t>
            </w:r>
            <w:r w:rsidRPr="003409C9">
              <w:rPr>
                <w:noProof/>
              </w:rPr>
              <w:br/>
            </w:r>
            <w:r w:rsidRPr="00BB07AF">
              <w:rPr>
                <w:b/>
                <w:noProof/>
                <w:sz w:val="16"/>
              </w:rPr>
              <w:t>2031</w:t>
            </w:r>
          </w:p>
        </w:tc>
        <w:tc>
          <w:tcPr>
            <w:tcW w:w="652" w:type="dxa"/>
            <w:vAlign w:val="center"/>
          </w:tcPr>
          <w:p w:rsidR="00CD7E2F" w:rsidRPr="003409C9" w:rsidRDefault="00CD7E2F" w:rsidP="00EA0500">
            <w:pPr>
              <w:spacing w:before="60" w:after="60" w:line="200" w:lineRule="exact"/>
              <w:jc w:val="center"/>
              <w:rPr>
                <w:noProof/>
                <w:sz w:val="16"/>
              </w:rPr>
            </w:pPr>
            <w:r w:rsidRPr="003409C9">
              <w:rPr>
                <w:noProof/>
                <w:sz w:val="16"/>
              </w:rPr>
              <w:t>Rok</w:t>
            </w:r>
            <w:r w:rsidRPr="003409C9">
              <w:rPr>
                <w:noProof/>
              </w:rPr>
              <w:t xml:space="preserve"> </w:t>
            </w:r>
            <w:r w:rsidRPr="003409C9">
              <w:rPr>
                <w:noProof/>
              </w:rPr>
              <w:br/>
            </w:r>
            <w:r w:rsidRPr="00BB07AF">
              <w:rPr>
                <w:b/>
                <w:noProof/>
                <w:sz w:val="16"/>
              </w:rPr>
              <w:t>2032</w:t>
            </w:r>
          </w:p>
        </w:tc>
        <w:tc>
          <w:tcPr>
            <w:tcW w:w="709" w:type="dxa"/>
            <w:vAlign w:val="center"/>
          </w:tcPr>
          <w:p w:rsidR="00CD7E2F" w:rsidRPr="003409C9" w:rsidRDefault="00CD7E2F" w:rsidP="00EA0500">
            <w:pPr>
              <w:spacing w:before="60" w:after="60" w:line="200" w:lineRule="exact"/>
              <w:jc w:val="center"/>
              <w:rPr>
                <w:noProof/>
                <w:sz w:val="16"/>
              </w:rPr>
            </w:pPr>
            <w:r w:rsidRPr="003409C9">
              <w:rPr>
                <w:noProof/>
                <w:sz w:val="16"/>
              </w:rPr>
              <w:t>Rok</w:t>
            </w:r>
            <w:r w:rsidRPr="003409C9">
              <w:rPr>
                <w:noProof/>
              </w:rPr>
              <w:t xml:space="preserve"> </w:t>
            </w:r>
            <w:r w:rsidRPr="003409C9">
              <w:rPr>
                <w:noProof/>
              </w:rPr>
              <w:br/>
            </w:r>
            <w:r w:rsidRPr="00BB07AF">
              <w:rPr>
                <w:b/>
                <w:noProof/>
                <w:sz w:val="16"/>
              </w:rPr>
              <w:t>2033</w:t>
            </w:r>
          </w:p>
        </w:tc>
        <w:tc>
          <w:tcPr>
            <w:tcW w:w="709" w:type="dxa"/>
            <w:vAlign w:val="center"/>
          </w:tcPr>
          <w:p w:rsidR="00CD7E2F" w:rsidRPr="003409C9" w:rsidRDefault="00CD7E2F" w:rsidP="00EA0500">
            <w:pPr>
              <w:spacing w:before="60" w:after="60" w:line="200" w:lineRule="exact"/>
              <w:jc w:val="center"/>
              <w:rPr>
                <w:noProof/>
                <w:sz w:val="16"/>
              </w:rPr>
            </w:pPr>
            <w:r w:rsidRPr="003409C9">
              <w:rPr>
                <w:noProof/>
                <w:sz w:val="16"/>
              </w:rPr>
              <w:t>Rok</w:t>
            </w:r>
            <w:r w:rsidRPr="003409C9">
              <w:rPr>
                <w:noProof/>
              </w:rPr>
              <w:t xml:space="preserve"> </w:t>
            </w:r>
            <w:r w:rsidRPr="003409C9">
              <w:rPr>
                <w:noProof/>
              </w:rPr>
              <w:br/>
            </w:r>
            <w:r w:rsidRPr="00BB07AF">
              <w:rPr>
                <w:b/>
                <w:noProof/>
                <w:sz w:val="16"/>
              </w:rPr>
              <w:t>2034</w:t>
            </w:r>
          </w:p>
        </w:tc>
        <w:tc>
          <w:tcPr>
            <w:tcW w:w="709" w:type="dxa"/>
            <w:shd w:val="clear" w:color="auto" w:fill="DBE5F1" w:themeFill="accent1" w:themeFillTint="33"/>
          </w:tcPr>
          <w:p w:rsidR="00CD7E2F" w:rsidRPr="00BB07AF" w:rsidRDefault="00CD7E2F" w:rsidP="00EA0500">
            <w:pPr>
              <w:spacing w:before="60" w:after="60" w:line="200" w:lineRule="exact"/>
              <w:jc w:val="center"/>
              <w:rPr>
                <w:i/>
                <w:noProof/>
                <w:sz w:val="16"/>
              </w:rPr>
            </w:pPr>
            <w:r w:rsidRPr="00BB07AF">
              <w:rPr>
                <w:i/>
                <w:noProof/>
                <w:sz w:val="16"/>
              </w:rPr>
              <w:t>Ogółem</w:t>
            </w:r>
            <w:r w:rsidRPr="003409C9">
              <w:rPr>
                <w:noProof/>
              </w:rPr>
              <w:t xml:space="preserve"> </w:t>
            </w:r>
            <w:r w:rsidRPr="003409C9">
              <w:rPr>
                <w:noProof/>
              </w:rPr>
              <w:br/>
            </w:r>
            <w:r w:rsidRPr="00BB07AF">
              <w:rPr>
                <w:b/>
                <w:i/>
                <w:noProof/>
                <w:sz w:val="16"/>
              </w:rPr>
              <w:t>28-34</w:t>
            </w:r>
          </w:p>
        </w:tc>
        <w:tc>
          <w:tcPr>
            <w:tcW w:w="992" w:type="dxa"/>
            <w:vAlign w:val="center"/>
          </w:tcPr>
          <w:p w:rsidR="00CD7E2F" w:rsidRPr="00BB07AF" w:rsidRDefault="00CD7E2F" w:rsidP="00EA0500">
            <w:pPr>
              <w:spacing w:before="60" w:after="60" w:line="200" w:lineRule="exact"/>
              <w:jc w:val="center"/>
              <w:rPr>
                <w:b/>
                <w:noProof/>
                <w:sz w:val="16"/>
                <w:szCs w:val="16"/>
              </w:rPr>
            </w:pPr>
            <w:r w:rsidRPr="00BB07AF">
              <w:rPr>
                <w:b/>
                <w:noProof/>
                <w:sz w:val="16"/>
              </w:rPr>
              <w:t>OGÓŁEM</w:t>
            </w:r>
          </w:p>
        </w:tc>
      </w:tr>
    </w:tbl>
    <w:p w:rsidR="00CD7E2F" w:rsidRPr="003409C9" w:rsidRDefault="00CD7E2F" w:rsidP="00CD7E2F">
      <w:pPr>
        <w:spacing w:line="200" w:lineRule="exact"/>
        <w:rPr>
          <w:noProof/>
          <w:sz w:val="16"/>
          <w:szCs w:val="16"/>
        </w:rPr>
      </w:pPr>
    </w:p>
    <w:tbl>
      <w:tblPr>
        <w:tblW w:w="1101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1E0" w:firstRow="1" w:lastRow="1" w:firstColumn="1" w:lastColumn="1" w:noHBand="0" w:noVBand="0"/>
      </w:tblPr>
      <w:tblGrid>
        <w:gridCol w:w="1980"/>
        <w:gridCol w:w="583"/>
        <w:gridCol w:w="567"/>
        <w:gridCol w:w="567"/>
        <w:gridCol w:w="567"/>
        <w:gridCol w:w="658"/>
        <w:gridCol w:w="567"/>
        <w:gridCol w:w="567"/>
        <w:gridCol w:w="567"/>
        <w:gridCol w:w="567"/>
        <w:gridCol w:w="567"/>
        <w:gridCol w:w="709"/>
        <w:gridCol w:w="845"/>
        <w:gridCol w:w="709"/>
        <w:gridCol w:w="992"/>
      </w:tblGrid>
      <w:tr w:rsidR="00415F9E" w:rsidRPr="003409C9" w:rsidTr="00EA0500">
        <w:trPr>
          <w:trHeight w:val="585"/>
        </w:trPr>
        <w:tc>
          <w:tcPr>
            <w:tcW w:w="1980" w:type="dxa"/>
            <w:shd w:val="clear" w:color="auto" w:fill="CCCCCC"/>
            <w:vAlign w:val="center"/>
          </w:tcPr>
          <w:p w:rsidR="00CD7E2F" w:rsidRPr="00BB07AF" w:rsidRDefault="00CD7E2F" w:rsidP="00EA0500">
            <w:pPr>
              <w:spacing w:before="60" w:after="60" w:line="200" w:lineRule="exact"/>
              <w:jc w:val="center"/>
              <w:rPr>
                <w:b/>
                <w:noProof/>
                <w:sz w:val="20"/>
                <w:szCs w:val="20"/>
              </w:rPr>
            </w:pPr>
            <w:r w:rsidRPr="00BB07AF">
              <w:rPr>
                <w:b/>
                <w:noProof/>
                <w:sz w:val="20"/>
              </w:rPr>
              <w:t>DZIAŁ 7</w:t>
            </w:r>
            <w:r w:rsidRPr="003409C9">
              <w:rPr>
                <w:noProof/>
              </w:rPr>
              <w:t xml:space="preserve"> </w:t>
            </w:r>
            <w:r w:rsidRPr="003409C9">
              <w:rPr>
                <w:noProof/>
              </w:rPr>
              <w:br/>
            </w:r>
            <w:r w:rsidRPr="00BB07AF">
              <w:rPr>
                <w:b/>
                <w:noProof/>
                <w:sz w:val="20"/>
              </w:rPr>
              <w:t>wieloletnich ram finansowych</w:t>
            </w:r>
          </w:p>
        </w:tc>
        <w:tc>
          <w:tcPr>
            <w:tcW w:w="583" w:type="dxa"/>
            <w:vAlign w:val="bottom"/>
          </w:tcPr>
          <w:p w:rsidR="00CD7E2F" w:rsidRPr="003409C9" w:rsidRDefault="00CD7E2F" w:rsidP="00EA0500">
            <w:pPr>
              <w:spacing w:before="60" w:after="60" w:line="200" w:lineRule="exact"/>
              <w:jc w:val="right"/>
              <w:rPr>
                <w:noProof/>
                <w:sz w:val="18"/>
                <w:szCs w:val="18"/>
              </w:rPr>
            </w:pPr>
          </w:p>
        </w:tc>
        <w:tc>
          <w:tcPr>
            <w:tcW w:w="567" w:type="dxa"/>
            <w:vAlign w:val="bottom"/>
          </w:tcPr>
          <w:p w:rsidR="00CD7E2F" w:rsidRPr="003409C9" w:rsidRDefault="00CD7E2F" w:rsidP="00EA0500">
            <w:pPr>
              <w:spacing w:before="60" w:after="60" w:line="200" w:lineRule="exact"/>
              <w:jc w:val="right"/>
              <w:rPr>
                <w:noProof/>
                <w:sz w:val="18"/>
                <w:szCs w:val="18"/>
              </w:rPr>
            </w:pPr>
          </w:p>
        </w:tc>
        <w:tc>
          <w:tcPr>
            <w:tcW w:w="567" w:type="dxa"/>
            <w:vAlign w:val="bottom"/>
          </w:tcPr>
          <w:p w:rsidR="00CD7E2F" w:rsidRPr="003409C9" w:rsidRDefault="00CD7E2F" w:rsidP="00EA0500">
            <w:pPr>
              <w:spacing w:before="60" w:after="60" w:line="200" w:lineRule="exact"/>
              <w:jc w:val="right"/>
              <w:rPr>
                <w:noProof/>
                <w:sz w:val="18"/>
                <w:szCs w:val="18"/>
              </w:rPr>
            </w:pPr>
          </w:p>
        </w:tc>
        <w:tc>
          <w:tcPr>
            <w:tcW w:w="567" w:type="dxa"/>
            <w:vAlign w:val="bottom"/>
          </w:tcPr>
          <w:p w:rsidR="00CD7E2F" w:rsidRPr="003409C9" w:rsidRDefault="00CD7E2F" w:rsidP="00EA0500">
            <w:pPr>
              <w:spacing w:before="60" w:after="60" w:line="200" w:lineRule="exact"/>
              <w:jc w:val="right"/>
              <w:rPr>
                <w:noProof/>
                <w:sz w:val="18"/>
                <w:szCs w:val="18"/>
              </w:rPr>
            </w:pPr>
          </w:p>
        </w:tc>
        <w:tc>
          <w:tcPr>
            <w:tcW w:w="658" w:type="dxa"/>
            <w:shd w:val="clear" w:color="auto" w:fill="DAEEF3" w:themeFill="accent5" w:themeFillTint="33"/>
            <w:vAlign w:val="bottom"/>
          </w:tcPr>
          <w:p w:rsidR="00CD7E2F" w:rsidRPr="003409C9" w:rsidRDefault="00CD7E2F" w:rsidP="00EA0500">
            <w:pPr>
              <w:spacing w:before="60" w:after="60" w:line="200" w:lineRule="exact"/>
              <w:jc w:val="right"/>
              <w:rPr>
                <w:noProof/>
                <w:sz w:val="18"/>
                <w:szCs w:val="18"/>
              </w:rPr>
            </w:pPr>
          </w:p>
        </w:tc>
        <w:tc>
          <w:tcPr>
            <w:tcW w:w="567" w:type="dxa"/>
            <w:vAlign w:val="bottom"/>
          </w:tcPr>
          <w:p w:rsidR="00CD7E2F" w:rsidRPr="003409C9" w:rsidRDefault="00CD7E2F" w:rsidP="00EA0500">
            <w:pPr>
              <w:spacing w:before="60" w:after="60" w:line="200" w:lineRule="exact"/>
              <w:jc w:val="right"/>
              <w:rPr>
                <w:noProof/>
                <w:sz w:val="18"/>
                <w:szCs w:val="18"/>
              </w:rPr>
            </w:pPr>
          </w:p>
        </w:tc>
        <w:tc>
          <w:tcPr>
            <w:tcW w:w="567" w:type="dxa"/>
            <w:vAlign w:val="bottom"/>
          </w:tcPr>
          <w:p w:rsidR="00CD7E2F" w:rsidRPr="003409C9" w:rsidRDefault="00CD7E2F" w:rsidP="00EA0500">
            <w:pPr>
              <w:spacing w:before="60" w:after="60" w:line="200" w:lineRule="exact"/>
              <w:jc w:val="right"/>
              <w:rPr>
                <w:noProof/>
                <w:sz w:val="18"/>
                <w:szCs w:val="18"/>
              </w:rPr>
            </w:pPr>
          </w:p>
        </w:tc>
        <w:tc>
          <w:tcPr>
            <w:tcW w:w="567" w:type="dxa"/>
            <w:vAlign w:val="bottom"/>
          </w:tcPr>
          <w:p w:rsidR="00CD7E2F" w:rsidRPr="003409C9" w:rsidRDefault="00CD7E2F" w:rsidP="00EA0500">
            <w:pPr>
              <w:spacing w:before="60" w:after="60" w:line="200" w:lineRule="exact"/>
              <w:jc w:val="right"/>
              <w:rPr>
                <w:b/>
                <w:noProof/>
                <w:sz w:val="18"/>
                <w:szCs w:val="18"/>
              </w:rPr>
            </w:pPr>
          </w:p>
        </w:tc>
        <w:tc>
          <w:tcPr>
            <w:tcW w:w="567" w:type="dxa"/>
            <w:vAlign w:val="bottom"/>
          </w:tcPr>
          <w:p w:rsidR="00CD7E2F" w:rsidRPr="003409C9" w:rsidRDefault="00CD7E2F" w:rsidP="00EA0500">
            <w:pPr>
              <w:spacing w:before="60" w:after="60" w:line="200" w:lineRule="exact"/>
              <w:jc w:val="right"/>
              <w:rPr>
                <w:b/>
                <w:noProof/>
                <w:sz w:val="18"/>
                <w:szCs w:val="18"/>
              </w:rPr>
            </w:pPr>
          </w:p>
        </w:tc>
        <w:tc>
          <w:tcPr>
            <w:tcW w:w="567" w:type="dxa"/>
            <w:vAlign w:val="bottom"/>
          </w:tcPr>
          <w:p w:rsidR="00CD7E2F" w:rsidRPr="003409C9" w:rsidRDefault="00CD7E2F" w:rsidP="00EA0500">
            <w:pPr>
              <w:spacing w:before="60" w:after="60" w:line="200" w:lineRule="exact"/>
              <w:jc w:val="right"/>
              <w:rPr>
                <w:b/>
                <w:noProof/>
                <w:sz w:val="18"/>
                <w:szCs w:val="18"/>
              </w:rPr>
            </w:pPr>
          </w:p>
        </w:tc>
        <w:tc>
          <w:tcPr>
            <w:tcW w:w="709" w:type="dxa"/>
            <w:vAlign w:val="bottom"/>
          </w:tcPr>
          <w:p w:rsidR="00CD7E2F" w:rsidRPr="003409C9" w:rsidRDefault="00CD7E2F" w:rsidP="00EA0500">
            <w:pPr>
              <w:spacing w:before="60" w:after="60" w:line="200" w:lineRule="exact"/>
              <w:jc w:val="right"/>
              <w:rPr>
                <w:b/>
                <w:noProof/>
                <w:sz w:val="18"/>
                <w:szCs w:val="18"/>
              </w:rPr>
            </w:pPr>
          </w:p>
        </w:tc>
        <w:tc>
          <w:tcPr>
            <w:tcW w:w="845" w:type="dxa"/>
            <w:vAlign w:val="bottom"/>
          </w:tcPr>
          <w:p w:rsidR="00CD7E2F" w:rsidRPr="003409C9" w:rsidRDefault="00CD7E2F" w:rsidP="00EA0500">
            <w:pPr>
              <w:spacing w:before="60" w:after="60" w:line="200" w:lineRule="exact"/>
              <w:jc w:val="right"/>
              <w:rPr>
                <w:b/>
                <w:noProof/>
                <w:sz w:val="18"/>
                <w:szCs w:val="18"/>
              </w:rPr>
            </w:pPr>
          </w:p>
        </w:tc>
        <w:tc>
          <w:tcPr>
            <w:tcW w:w="709" w:type="dxa"/>
            <w:shd w:val="clear" w:color="auto" w:fill="DBE5F1" w:themeFill="accent1" w:themeFillTint="33"/>
            <w:vAlign w:val="bottom"/>
          </w:tcPr>
          <w:p w:rsidR="00CD7E2F" w:rsidRPr="003409C9" w:rsidRDefault="00CD7E2F" w:rsidP="00EA0500">
            <w:pPr>
              <w:spacing w:before="60" w:after="60" w:line="200" w:lineRule="exact"/>
              <w:jc w:val="right"/>
              <w:rPr>
                <w:b/>
                <w:noProof/>
                <w:sz w:val="18"/>
                <w:szCs w:val="18"/>
              </w:rPr>
            </w:pPr>
          </w:p>
        </w:tc>
        <w:tc>
          <w:tcPr>
            <w:tcW w:w="992" w:type="dxa"/>
            <w:vAlign w:val="bottom"/>
          </w:tcPr>
          <w:p w:rsidR="00CD7E2F" w:rsidRPr="00BB07AF" w:rsidRDefault="00CD7E2F" w:rsidP="00EA0500">
            <w:pPr>
              <w:spacing w:before="60" w:after="60" w:line="200" w:lineRule="exact"/>
              <w:jc w:val="right"/>
              <w:rPr>
                <w:b/>
                <w:noProof/>
                <w:sz w:val="18"/>
                <w:szCs w:val="18"/>
              </w:rPr>
            </w:pPr>
          </w:p>
        </w:tc>
      </w:tr>
      <w:tr w:rsidR="00415F9E" w:rsidRPr="003409C9" w:rsidTr="00EA0500">
        <w:trPr>
          <w:trHeight w:val="585"/>
        </w:trPr>
        <w:tc>
          <w:tcPr>
            <w:tcW w:w="1980" w:type="dxa"/>
            <w:vAlign w:val="center"/>
          </w:tcPr>
          <w:p w:rsidR="00CD7E2F" w:rsidRPr="003409C9" w:rsidRDefault="00CD7E2F" w:rsidP="00EA0500">
            <w:pPr>
              <w:spacing w:before="60" w:after="60" w:line="200" w:lineRule="exact"/>
              <w:ind w:left="72"/>
              <w:jc w:val="left"/>
              <w:rPr>
                <w:noProof/>
                <w:sz w:val="20"/>
                <w:szCs w:val="20"/>
              </w:rPr>
            </w:pPr>
            <w:r w:rsidRPr="003409C9">
              <w:rPr>
                <w:noProof/>
                <w:sz w:val="20"/>
              </w:rPr>
              <w:t xml:space="preserve">Zasoby ludzkie </w:t>
            </w:r>
          </w:p>
        </w:tc>
        <w:tc>
          <w:tcPr>
            <w:tcW w:w="583" w:type="dxa"/>
            <w:vAlign w:val="bottom"/>
          </w:tcPr>
          <w:p w:rsidR="00CD7E2F" w:rsidRPr="003409C9" w:rsidRDefault="00CD7E2F" w:rsidP="00EA0500">
            <w:pPr>
              <w:spacing w:before="60" w:after="60" w:line="200" w:lineRule="exact"/>
              <w:jc w:val="right"/>
              <w:rPr>
                <w:noProof/>
                <w:sz w:val="18"/>
                <w:szCs w:val="18"/>
              </w:rPr>
            </w:pPr>
            <w:r w:rsidRPr="003409C9">
              <w:rPr>
                <w:noProof/>
                <w:sz w:val="18"/>
              </w:rPr>
              <w:t>0,314</w:t>
            </w:r>
          </w:p>
        </w:tc>
        <w:tc>
          <w:tcPr>
            <w:tcW w:w="567" w:type="dxa"/>
            <w:vAlign w:val="bottom"/>
          </w:tcPr>
          <w:p w:rsidR="00CD7E2F" w:rsidRPr="003409C9" w:rsidRDefault="00CD7E2F" w:rsidP="00EA0500">
            <w:pPr>
              <w:spacing w:before="60" w:after="60" w:line="200" w:lineRule="exact"/>
              <w:jc w:val="right"/>
              <w:rPr>
                <w:noProof/>
                <w:sz w:val="18"/>
                <w:szCs w:val="18"/>
              </w:rPr>
            </w:pPr>
            <w:r w:rsidRPr="003409C9">
              <w:rPr>
                <w:noProof/>
                <w:sz w:val="18"/>
              </w:rPr>
              <w:t>0,471</w:t>
            </w:r>
          </w:p>
        </w:tc>
        <w:tc>
          <w:tcPr>
            <w:tcW w:w="567" w:type="dxa"/>
            <w:vAlign w:val="bottom"/>
          </w:tcPr>
          <w:p w:rsidR="00CD7E2F" w:rsidRPr="003409C9" w:rsidRDefault="00CD7E2F" w:rsidP="00EA0500">
            <w:pPr>
              <w:spacing w:before="60" w:after="60" w:line="200" w:lineRule="exact"/>
              <w:jc w:val="right"/>
              <w:rPr>
                <w:noProof/>
                <w:sz w:val="18"/>
                <w:szCs w:val="18"/>
              </w:rPr>
            </w:pPr>
            <w:r w:rsidRPr="003409C9">
              <w:rPr>
                <w:noProof/>
                <w:sz w:val="18"/>
              </w:rPr>
              <w:t>0,471</w:t>
            </w:r>
          </w:p>
        </w:tc>
        <w:tc>
          <w:tcPr>
            <w:tcW w:w="567" w:type="dxa"/>
            <w:vAlign w:val="bottom"/>
          </w:tcPr>
          <w:p w:rsidR="00CD7E2F" w:rsidRPr="003409C9" w:rsidRDefault="00CD7E2F" w:rsidP="00EA0500">
            <w:pPr>
              <w:spacing w:before="60" w:after="60" w:line="200" w:lineRule="exact"/>
              <w:jc w:val="right"/>
              <w:rPr>
                <w:noProof/>
                <w:sz w:val="18"/>
                <w:szCs w:val="18"/>
              </w:rPr>
            </w:pPr>
            <w:r w:rsidRPr="003409C9">
              <w:rPr>
                <w:noProof/>
                <w:sz w:val="18"/>
              </w:rPr>
              <w:t>0,471</w:t>
            </w:r>
          </w:p>
        </w:tc>
        <w:tc>
          <w:tcPr>
            <w:tcW w:w="658" w:type="dxa"/>
            <w:shd w:val="clear" w:color="auto" w:fill="DAEEF3" w:themeFill="accent5" w:themeFillTint="33"/>
            <w:vAlign w:val="bottom"/>
          </w:tcPr>
          <w:p w:rsidR="00CD7E2F" w:rsidRPr="003409C9" w:rsidRDefault="00CD7E2F" w:rsidP="00EA0500">
            <w:pPr>
              <w:spacing w:before="60" w:after="60" w:line="200" w:lineRule="exact"/>
              <w:jc w:val="right"/>
              <w:rPr>
                <w:noProof/>
                <w:sz w:val="18"/>
                <w:szCs w:val="18"/>
              </w:rPr>
            </w:pPr>
            <w:r w:rsidRPr="003409C9">
              <w:rPr>
                <w:noProof/>
                <w:color w:val="000000"/>
                <w:sz w:val="18"/>
              </w:rPr>
              <w:t>1,727</w:t>
            </w:r>
          </w:p>
        </w:tc>
        <w:tc>
          <w:tcPr>
            <w:tcW w:w="567" w:type="dxa"/>
            <w:vAlign w:val="bottom"/>
          </w:tcPr>
          <w:p w:rsidR="00CD7E2F" w:rsidRPr="003409C9" w:rsidRDefault="00CD7E2F" w:rsidP="00EA0500">
            <w:pPr>
              <w:spacing w:before="60" w:after="60" w:line="200" w:lineRule="exact"/>
              <w:jc w:val="right"/>
              <w:rPr>
                <w:noProof/>
                <w:sz w:val="18"/>
                <w:szCs w:val="18"/>
              </w:rPr>
            </w:pPr>
            <w:r w:rsidRPr="003409C9">
              <w:rPr>
                <w:noProof/>
                <w:sz w:val="18"/>
              </w:rPr>
              <w:t>0,471</w:t>
            </w:r>
          </w:p>
        </w:tc>
        <w:tc>
          <w:tcPr>
            <w:tcW w:w="567" w:type="dxa"/>
            <w:vAlign w:val="bottom"/>
          </w:tcPr>
          <w:p w:rsidR="00CD7E2F" w:rsidRPr="003409C9" w:rsidRDefault="00CD7E2F" w:rsidP="00EA0500">
            <w:pPr>
              <w:spacing w:before="60" w:after="60" w:line="200" w:lineRule="exact"/>
              <w:jc w:val="right"/>
              <w:rPr>
                <w:noProof/>
                <w:sz w:val="18"/>
                <w:szCs w:val="18"/>
              </w:rPr>
            </w:pPr>
            <w:r w:rsidRPr="003409C9">
              <w:rPr>
                <w:noProof/>
                <w:sz w:val="18"/>
              </w:rPr>
              <w:t>0,471</w:t>
            </w:r>
          </w:p>
        </w:tc>
        <w:tc>
          <w:tcPr>
            <w:tcW w:w="567" w:type="dxa"/>
            <w:vAlign w:val="bottom"/>
          </w:tcPr>
          <w:p w:rsidR="00CD7E2F" w:rsidRPr="00BB07AF" w:rsidRDefault="00CD7E2F" w:rsidP="00EA0500">
            <w:pPr>
              <w:spacing w:before="60" w:after="60" w:line="200" w:lineRule="exact"/>
              <w:jc w:val="right"/>
              <w:rPr>
                <w:b/>
                <w:noProof/>
                <w:sz w:val="18"/>
                <w:szCs w:val="18"/>
              </w:rPr>
            </w:pPr>
            <w:r w:rsidRPr="003409C9">
              <w:rPr>
                <w:noProof/>
                <w:sz w:val="18"/>
              </w:rPr>
              <w:t>0,471</w:t>
            </w:r>
          </w:p>
        </w:tc>
        <w:tc>
          <w:tcPr>
            <w:tcW w:w="567" w:type="dxa"/>
            <w:vAlign w:val="bottom"/>
          </w:tcPr>
          <w:p w:rsidR="00CD7E2F" w:rsidRPr="00BB07AF" w:rsidRDefault="00CD7E2F" w:rsidP="00EA0500">
            <w:pPr>
              <w:spacing w:before="60" w:after="60" w:line="200" w:lineRule="exact"/>
              <w:jc w:val="right"/>
              <w:rPr>
                <w:b/>
                <w:noProof/>
                <w:sz w:val="18"/>
                <w:szCs w:val="18"/>
              </w:rPr>
            </w:pPr>
            <w:r w:rsidRPr="003409C9">
              <w:rPr>
                <w:noProof/>
                <w:sz w:val="18"/>
              </w:rPr>
              <w:t>0,471</w:t>
            </w:r>
          </w:p>
        </w:tc>
        <w:tc>
          <w:tcPr>
            <w:tcW w:w="567" w:type="dxa"/>
            <w:vAlign w:val="bottom"/>
          </w:tcPr>
          <w:p w:rsidR="00CD7E2F" w:rsidRPr="003409C9" w:rsidRDefault="00CD7E2F" w:rsidP="00EA0500">
            <w:pPr>
              <w:spacing w:before="60" w:after="60" w:line="200" w:lineRule="exact"/>
              <w:jc w:val="right"/>
              <w:rPr>
                <w:noProof/>
                <w:sz w:val="18"/>
                <w:szCs w:val="18"/>
              </w:rPr>
            </w:pPr>
            <w:r w:rsidRPr="003409C9">
              <w:rPr>
                <w:noProof/>
                <w:sz w:val="18"/>
              </w:rPr>
              <w:t>0,471</w:t>
            </w:r>
          </w:p>
        </w:tc>
        <w:tc>
          <w:tcPr>
            <w:tcW w:w="709" w:type="dxa"/>
            <w:vAlign w:val="bottom"/>
          </w:tcPr>
          <w:p w:rsidR="00CD7E2F" w:rsidRPr="003409C9" w:rsidRDefault="00CD7E2F" w:rsidP="00EA0500">
            <w:pPr>
              <w:spacing w:before="60" w:after="60" w:line="200" w:lineRule="exact"/>
              <w:jc w:val="right"/>
              <w:rPr>
                <w:noProof/>
                <w:sz w:val="18"/>
                <w:szCs w:val="18"/>
              </w:rPr>
            </w:pPr>
            <w:r w:rsidRPr="003409C9">
              <w:rPr>
                <w:noProof/>
                <w:sz w:val="18"/>
              </w:rPr>
              <w:t>0,471</w:t>
            </w:r>
          </w:p>
        </w:tc>
        <w:tc>
          <w:tcPr>
            <w:tcW w:w="845" w:type="dxa"/>
            <w:vAlign w:val="bottom"/>
          </w:tcPr>
          <w:p w:rsidR="00CD7E2F" w:rsidRPr="003409C9" w:rsidRDefault="00CD7E2F" w:rsidP="00EA0500">
            <w:pPr>
              <w:spacing w:before="60" w:after="60" w:line="200" w:lineRule="exact"/>
              <w:jc w:val="right"/>
              <w:rPr>
                <w:noProof/>
                <w:sz w:val="18"/>
                <w:szCs w:val="18"/>
              </w:rPr>
            </w:pPr>
            <w:r w:rsidRPr="003409C9">
              <w:rPr>
                <w:noProof/>
                <w:sz w:val="18"/>
              </w:rPr>
              <w:t>0,471</w:t>
            </w:r>
          </w:p>
        </w:tc>
        <w:tc>
          <w:tcPr>
            <w:tcW w:w="709" w:type="dxa"/>
            <w:shd w:val="clear" w:color="auto" w:fill="DBE5F1" w:themeFill="accent1" w:themeFillTint="33"/>
            <w:vAlign w:val="bottom"/>
          </w:tcPr>
          <w:p w:rsidR="00CD7E2F" w:rsidRPr="00BB07AF" w:rsidRDefault="00CD7E2F" w:rsidP="00EA0500">
            <w:pPr>
              <w:spacing w:before="60" w:after="60" w:line="200" w:lineRule="exact"/>
              <w:jc w:val="right"/>
              <w:rPr>
                <w:i/>
                <w:noProof/>
                <w:sz w:val="18"/>
                <w:szCs w:val="18"/>
              </w:rPr>
            </w:pPr>
            <w:r w:rsidRPr="00BB07AF">
              <w:rPr>
                <w:i/>
                <w:noProof/>
                <w:sz w:val="18"/>
              </w:rPr>
              <w:t>3,297</w:t>
            </w:r>
          </w:p>
        </w:tc>
        <w:tc>
          <w:tcPr>
            <w:tcW w:w="992" w:type="dxa"/>
            <w:vAlign w:val="bottom"/>
          </w:tcPr>
          <w:p w:rsidR="00CD7E2F" w:rsidRPr="00BB07AF" w:rsidDel="008F48D3" w:rsidRDefault="00CD7E2F" w:rsidP="00EA0500">
            <w:pPr>
              <w:spacing w:before="60" w:after="60" w:line="200" w:lineRule="exact"/>
              <w:jc w:val="right"/>
              <w:rPr>
                <w:b/>
                <w:noProof/>
                <w:sz w:val="18"/>
                <w:szCs w:val="18"/>
              </w:rPr>
            </w:pPr>
            <w:r w:rsidRPr="00BB07AF">
              <w:rPr>
                <w:b/>
                <w:noProof/>
                <w:color w:val="000000"/>
                <w:sz w:val="18"/>
              </w:rPr>
              <w:t>5,024</w:t>
            </w:r>
          </w:p>
        </w:tc>
      </w:tr>
      <w:tr w:rsidR="00415F9E" w:rsidRPr="003409C9" w:rsidTr="00EA0500">
        <w:trPr>
          <w:trHeight w:val="585"/>
        </w:trPr>
        <w:tc>
          <w:tcPr>
            <w:tcW w:w="1980" w:type="dxa"/>
            <w:vAlign w:val="center"/>
          </w:tcPr>
          <w:p w:rsidR="00CD7E2F" w:rsidRPr="003409C9" w:rsidRDefault="00CD7E2F" w:rsidP="00EA0500">
            <w:pPr>
              <w:spacing w:before="60" w:after="60" w:line="200" w:lineRule="exact"/>
              <w:ind w:left="72"/>
              <w:jc w:val="left"/>
              <w:rPr>
                <w:noProof/>
                <w:sz w:val="20"/>
                <w:szCs w:val="20"/>
              </w:rPr>
            </w:pPr>
            <w:r w:rsidRPr="003409C9">
              <w:rPr>
                <w:noProof/>
                <w:sz w:val="20"/>
              </w:rPr>
              <w:t xml:space="preserve">Pozostałe wydatki administracyjne </w:t>
            </w:r>
          </w:p>
        </w:tc>
        <w:tc>
          <w:tcPr>
            <w:tcW w:w="583" w:type="dxa"/>
            <w:vAlign w:val="bottom"/>
          </w:tcPr>
          <w:p w:rsidR="00CD7E2F" w:rsidRPr="003409C9" w:rsidRDefault="00CD7E2F" w:rsidP="00EA0500">
            <w:pPr>
              <w:spacing w:before="60" w:after="60" w:line="200" w:lineRule="exact"/>
              <w:jc w:val="right"/>
              <w:rPr>
                <w:noProof/>
                <w:sz w:val="18"/>
                <w:szCs w:val="18"/>
              </w:rPr>
            </w:pPr>
            <w:r w:rsidRPr="003409C9">
              <w:rPr>
                <w:noProof/>
                <w:sz w:val="18"/>
              </w:rPr>
              <w:t>0,187</w:t>
            </w:r>
          </w:p>
        </w:tc>
        <w:tc>
          <w:tcPr>
            <w:tcW w:w="567" w:type="dxa"/>
            <w:vAlign w:val="bottom"/>
          </w:tcPr>
          <w:p w:rsidR="00CD7E2F" w:rsidRPr="003409C9" w:rsidRDefault="00CD7E2F" w:rsidP="00EA0500">
            <w:pPr>
              <w:spacing w:before="60" w:after="60" w:line="200" w:lineRule="exact"/>
              <w:jc w:val="right"/>
              <w:rPr>
                <w:noProof/>
                <w:sz w:val="18"/>
                <w:szCs w:val="18"/>
              </w:rPr>
            </w:pPr>
            <w:r w:rsidRPr="003409C9">
              <w:rPr>
                <w:noProof/>
                <w:sz w:val="18"/>
              </w:rPr>
              <w:t>0,273</w:t>
            </w:r>
          </w:p>
        </w:tc>
        <w:tc>
          <w:tcPr>
            <w:tcW w:w="567" w:type="dxa"/>
            <w:vAlign w:val="bottom"/>
          </w:tcPr>
          <w:p w:rsidR="00CD7E2F" w:rsidRPr="003409C9" w:rsidRDefault="00CD7E2F" w:rsidP="00EA0500">
            <w:pPr>
              <w:spacing w:before="60" w:after="60" w:line="200" w:lineRule="exact"/>
              <w:jc w:val="right"/>
              <w:rPr>
                <w:noProof/>
                <w:sz w:val="18"/>
                <w:szCs w:val="18"/>
              </w:rPr>
            </w:pPr>
            <w:r w:rsidRPr="003409C9">
              <w:rPr>
                <w:noProof/>
                <w:sz w:val="18"/>
              </w:rPr>
              <w:t>0,273</w:t>
            </w:r>
          </w:p>
        </w:tc>
        <w:tc>
          <w:tcPr>
            <w:tcW w:w="567" w:type="dxa"/>
            <w:vAlign w:val="bottom"/>
          </w:tcPr>
          <w:p w:rsidR="00CD7E2F" w:rsidRPr="003409C9" w:rsidRDefault="00CD7E2F" w:rsidP="00EA0500">
            <w:pPr>
              <w:spacing w:before="60" w:after="60" w:line="200" w:lineRule="exact"/>
              <w:jc w:val="right"/>
              <w:rPr>
                <w:noProof/>
                <w:sz w:val="18"/>
                <w:szCs w:val="18"/>
              </w:rPr>
            </w:pPr>
            <w:r w:rsidRPr="003409C9">
              <w:rPr>
                <w:noProof/>
                <w:sz w:val="18"/>
              </w:rPr>
              <w:t>0,273</w:t>
            </w:r>
          </w:p>
        </w:tc>
        <w:tc>
          <w:tcPr>
            <w:tcW w:w="658" w:type="dxa"/>
            <w:shd w:val="clear" w:color="auto" w:fill="DAEEF3" w:themeFill="accent5" w:themeFillTint="33"/>
            <w:vAlign w:val="bottom"/>
          </w:tcPr>
          <w:p w:rsidR="00CD7E2F" w:rsidRPr="003409C9" w:rsidRDefault="00CD7E2F" w:rsidP="00EA0500">
            <w:pPr>
              <w:spacing w:before="60" w:after="60" w:line="200" w:lineRule="exact"/>
              <w:jc w:val="right"/>
              <w:rPr>
                <w:noProof/>
                <w:sz w:val="18"/>
                <w:szCs w:val="18"/>
              </w:rPr>
            </w:pPr>
            <w:r w:rsidRPr="003409C9">
              <w:rPr>
                <w:noProof/>
                <w:color w:val="000000"/>
                <w:sz w:val="18"/>
              </w:rPr>
              <w:t>1,006</w:t>
            </w:r>
          </w:p>
        </w:tc>
        <w:tc>
          <w:tcPr>
            <w:tcW w:w="567" w:type="dxa"/>
            <w:vAlign w:val="bottom"/>
          </w:tcPr>
          <w:p w:rsidR="00CD7E2F" w:rsidRPr="003409C9" w:rsidRDefault="00CD7E2F" w:rsidP="00EA0500">
            <w:pPr>
              <w:spacing w:before="60" w:after="60" w:line="200" w:lineRule="exact"/>
              <w:jc w:val="right"/>
              <w:rPr>
                <w:noProof/>
                <w:sz w:val="18"/>
                <w:szCs w:val="18"/>
              </w:rPr>
            </w:pPr>
            <w:r w:rsidRPr="003409C9">
              <w:rPr>
                <w:noProof/>
                <w:sz w:val="18"/>
              </w:rPr>
              <w:t>0,273</w:t>
            </w:r>
          </w:p>
        </w:tc>
        <w:tc>
          <w:tcPr>
            <w:tcW w:w="567" w:type="dxa"/>
            <w:vAlign w:val="bottom"/>
          </w:tcPr>
          <w:p w:rsidR="00CD7E2F" w:rsidRPr="003409C9" w:rsidRDefault="00CD7E2F" w:rsidP="00EA0500">
            <w:pPr>
              <w:spacing w:before="60" w:after="60" w:line="200" w:lineRule="exact"/>
              <w:jc w:val="right"/>
              <w:rPr>
                <w:noProof/>
                <w:sz w:val="18"/>
                <w:szCs w:val="18"/>
              </w:rPr>
            </w:pPr>
            <w:r w:rsidRPr="003409C9">
              <w:rPr>
                <w:noProof/>
                <w:sz w:val="18"/>
              </w:rPr>
              <w:t>0,273</w:t>
            </w:r>
          </w:p>
        </w:tc>
        <w:tc>
          <w:tcPr>
            <w:tcW w:w="567" w:type="dxa"/>
            <w:vAlign w:val="bottom"/>
          </w:tcPr>
          <w:p w:rsidR="00CD7E2F" w:rsidRPr="00BB07AF" w:rsidRDefault="00CD7E2F" w:rsidP="00EA0500">
            <w:pPr>
              <w:spacing w:before="60" w:after="60" w:line="200" w:lineRule="exact"/>
              <w:jc w:val="right"/>
              <w:rPr>
                <w:b/>
                <w:noProof/>
                <w:sz w:val="18"/>
                <w:szCs w:val="18"/>
              </w:rPr>
            </w:pPr>
            <w:r w:rsidRPr="003409C9">
              <w:rPr>
                <w:noProof/>
                <w:sz w:val="18"/>
              </w:rPr>
              <w:t>0,273</w:t>
            </w:r>
          </w:p>
        </w:tc>
        <w:tc>
          <w:tcPr>
            <w:tcW w:w="567" w:type="dxa"/>
            <w:vAlign w:val="bottom"/>
          </w:tcPr>
          <w:p w:rsidR="00CD7E2F" w:rsidRPr="00BB07AF" w:rsidRDefault="00CD7E2F" w:rsidP="00EA0500">
            <w:pPr>
              <w:spacing w:before="60" w:after="60" w:line="200" w:lineRule="exact"/>
              <w:jc w:val="right"/>
              <w:rPr>
                <w:b/>
                <w:noProof/>
                <w:sz w:val="18"/>
                <w:szCs w:val="18"/>
              </w:rPr>
            </w:pPr>
            <w:r w:rsidRPr="003409C9">
              <w:rPr>
                <w:noProof/>
                <w:sz w:val="18"/>
              </w:rPr>
              <w:t>0,187</w:t>
            </w:r>
          </w:p>
        </w:tc>
        <w:tc>
          <w:tcPr>
            <w:tcW w:w="567" w:type="dxa"/>
            <w:vAlign w:val="bottom"/>
          </w:tcPr>
          <w:p w:rsidR="00CD7E2F" w:rsidRPr="003409C9" w:rsidRDefault="00CD7E2F" w:rsidP="00EA0500">
            <w:pPr>
              <w:spacing w:before="60" w:after="60" w:line="200" w:lineRule="exact"/>
              <w:jc w:val="right"/>
              <w:rPr>
                <w:noProof/>
                <w:sz w:val="18"/>
                <w:szCs w:val="18"/>
              </w:rPr>
            </w:pPr>
            <w:r w:rsidRPr="003409C9">
              <w:rPr>
                <w:noProof/>
                <w:sz w:val="18"/>
              </w:rPr>
              <w:t>0,187</w:t>
            </w:r>
          </w:p>
        </w:tc>
        <w:tc>
          <w:tcPr>
            <w:tcW w:w="709" w:type="dxa"/>
            <w:vAlign w:val="bottom"/>
          </w:tcPr>
          <w:p w:rsidR="00CD7E2F" w:rsidRPr="003409C9" w:rsidRDefault="00CD7E2F" w:rsidP="00EA0500">
            <w:pPr>
              <w:spacing w:before="60" w:after="60" w:line="200" w:lineRule="exact"/>
              <w:jc w:val="right"/>
              <w:rPr>
                <w:noProof/>
                <w:sz w:val="18"/>
                <w:szCs w:val="18"/>
              </w:rPr>
            </w:pPr>
            <w:r w:rsidRPr="003409C9">
              <w:rPr>
                <w:noProof/>
                <w:sz w:val="18"/>
              </w:rPr>
              <w:t>0,187</w:t>
            </w:r>
          </w:p>
        </w:tc>
        <w:tc>
          <w:tcPr>
            <w:tcW w:w="845" w:type="dxa"/>
            <w:vAlign w:val="bottom"/>
          </w:tcPr>
          <w:p w:rsidR="00CD7E2F" w:rsidRPr="003409C9" w:rsidRDefault="00CD7E2F" w:rsidP="00EA0500">
            <w:pPr>
              <w:spacing w:before="60" w:after="60" w:line="200" w:lineRule="exact"/>
              <w:jc w:val="right"/>
              <w:rPr>
                <w:noProof/>
                <w:sz w:val="18"/>
                <w:szCs w:val="18"/>
              </w:rPr>
            </w:pPr>
            <w:r w:rsidRPr="003409C9">
              <w:rPr>
                <w:noProof/>
                <w:sz w:val="18"/>
              </w:rPr>
              <w:t>0,187</w:t>
            </w:r>
          </w:p>
        </w:tc>
        <w:tc>
          <w:tcPr>
            <w:tcW w:w="709" w:type="dxa"/>
            <w:shd w:val="clear" w:color="auto" w:fill="DBE5F1" w:themeFill="accent1" w:themeFillTint="33"/>
            <w:vAlign w:val="bottom"/>
          </w:tcPr>
          <w:p w:rsidR="00CD7E2F" w:rsidRPr="00BB07AF" w:rsidRDefault="00CD7E2F" w:rsidP="00EA0500">
            <w:pPr>
              <w:spacing w:before="60" w:after="60" w:line="200" w:lineRule="exact"/>
              <w:jc w:val="right"/>
              <w:rPr>
                <w:i/>
                <w:noProof/>
                <w:sz w:val="18"/>
                <w:szCs w:val="18"/>
              </w:rPr>
            </w:pPr>
            <w:r w:rsidRPr="003409C9">
              <w:rPr>
                <w:noProof/>
                <w:color w:val="000000"/>
                <w:sz w:val="18"/>
              </w:rPr>
              <w:t>1,567</w:t>
            </w:r>
          </w:p>
        </w:tc>
        <w:tc>
          <w:tcPr>
            <w:tcW w:w="992" w:type="dxa"/>
            <w:vAlign w:val="bottom"/>
          </w:tcPr>
          <w:p w:rsidR="00CD7E2F" w:rsidRPr="00BB07AF" w:rsidDel="008F48D3" w:rsidRDefault="00CD7E2F" w:rsidP="00EA0500">
            <w:pPr>
              <w:spacing w:before="60" w:after="60" w:line="200" w:lineRule="exact"/>
              <w:jc w:val="right"/>
              <w:rPr>
                <w:b/>
                <w:noProof/>
                <w:sz w:val="18"/>
                <w:szCs w:val="18"/>
              </w:rPr>
            </w:pPr>
            <w:r w:rsidRPr="00BB07AF">
              <w:rPr>
                <w:b/>
                <w:noProof/>
                <w:color w:val="000000"/>
                <w:sz w:val="18"/>
              </w:rPr>
              <w:t>2,573</w:t>
            </w:r>
          </w:p>
        </w:tc>
      </w:tr>
      <w:tr w:rsidR="00415F9E" w:rsidRPr="003409C9" w:rsidTr="00EA0500">
        <w:trPr>
          <w:trHeight w:val="585"/>
        </w:trPr>
        <w:tc>
          <w:tcPr>
            <w:tcW w:w="1980" w:type="dxa"/>
            <w:shd w:val="clear" w:color="auto" w:fill="CCCCCC"/>
            <w:vAlign w:val="center"/>
          </w:tcPr>
          <w:p w:rsidR="00CD7E2F" w:rsidRPr="00BB07AF" w:rsidRDefault="00CD7E2F" w:rsidP="00EA0500">
            <w:pPr>
              <w:spacing w:before="60" w:after="60" w:line="200" w:lineRule="exact"/>
              <w:jc w:val="center"/>
              <w:rPr>
                <w:b/>
                <w:noProof/>
                <w:sz w:val="20"/>
                <w:szCs w:val="20"/>
              </w:rPr>
            </w:pPr>
            <w:r w:rsidRPr="00BB07AF">
              <w:rPr>
                <w:b/>
                <w:noProof/>
                <w:sz w:val="20"/>
              </w:rPr>
              <w:t>Suma cząstkowa DZIAŁU 7</w:t>
            </w:r>
            <w:r w:rsidRPr="003409C9">
              <w:rPr>
                <w:noProof/>
              </w:rPr>
              <w:t xml:space="preserve"> </w:t>
            </w:r>
            <w:r w:rsidRPr="003409C9">
              <w:rPr>
                <w:noProof/>
              </w:rPr>
              <w:br/>
            </w:r>
            <w:r w:rsidRPr="00BB07AF">
              <w:rPr>
                <w:b/>
                <w:noProof/>
                <w:sz w:val="20"/>
              </w:rPr>
              <w:t xml:space="preserve">wieloletnich ram finansowych </w:t>
            </w:r>
          </w:p>
        </w:tc>
        <w:tc>
          <w:tcPr>
            <w:tcW w:w="583" w:type="dxa"/>
            <w:vAlign w:val="bottom"/>
          </w:tcPr>
          <w:p w:rsidR="00CD7E2F" w:rsidRPr="003409C9" w:rsidRDefault="00CD7E2F" w:rsidP="00EA0500">
            <w:pPr>
              <w:spacing w:before="60" w:after="60" w:line="200" w:lineRule="exact"/>
              <w:jc w:val="right"/>
              <w:rPr>
                <w:noProof/>
                <w:sz w:val="18"/>
                <w:szCs w:val="18"/>
              </w:rPr>
            </w:pPr>
            <w:r w:rsidRPr="003409C9">
              <w:rPr>
                <w:noProof/>
                <w:sz w:val="18"/>
              </w:rPr>
              <w:t>0,501</w:t>
            </w:r>
          </w:p>
        </w:tc>
        <w:tc>
          <w:tcPr>
            <w:tcW w:w="567" w:type="dxa"/>
            <w:vAlign w:val="bottom"/>
          </w:tcPr>
          <w:p w:rsidR="00CD7E2F" w:rsidRPr="003409C9" w:rsidRDefault="00CD7E2F" w:rsidP="00EA0500">
            <w:pPr>
              <w:spacing w:before="60" w:after="60" w:line="200" w:lineRule="exact"/>
              <w:jc w:val="right"/>
              <w:rPr>
                <w:noProof/>
                <w:sz w:val="18"/>
                <w:szCs w:val="18"/>
              </w:rPr>
            </w:pPr>
            <w:r w:rsidRPr="003409C9">
              <w:rPr>
                <w:noProof/>
                <w:sz w:val="18"/>
              </w:rPr>
              <w:t>0,744</w:t>
            </w:r>
          </w:p>
        </w:tc>
        <w:tc>
          <w:tcPr>
            <w:tcW w:w="567" w:type="dxa"/>
            <w:vAlign w:val="bottom"/>
          </w:tcPr>
          <w:p w:rsidR="00CD7E2F" w:rsidRPr="003409C9" w:rsidRDefault="00CD7E2F" w:rsidP="00EA0500">
            <w:pPr>
              <w:spacing w:before="60" w:after="60" w:line="200" w:lineRule="exact"/>
              <w:jc w:val="right"/>
              <w:rPr>
                <w:noProof/>
                <w:sz w:val="18"/>
                <w:szCs w:val="18"/>
              </w:rPr>
            </w:pPr>
            <w:r w:rsidRPr="003409C9">
              <w:rPr>
                <w:noProof/>
                <w:sz w:val="18"/>
              </w:rPr>
              <w:t>0,744</w:t>
            </w:r>
          </w:p>
        </w:tc>
        <w:tc>
          <w:tcPr>
            <w:tcW w:w="567" w:type="dxa"/>
            <w:vAlign w:val="bottom"/>
          </w:tcPr>
          <w:p w:rsidR="00CD7E2F" w:rsidRPr="003409C9" w:rsidRDefault="00CD7E2F" w:rsidP="00EA0500">
            <w:pPr>
              <w:spacing w:before="60" w:after="60" w:line="200" w:lineRule="exact"/>
              <w:jc w:val="right"/>
              <w:rPr>
                <w:noProof/>
                <w:sz w:val="18"/>
                <w:szCs w:val="18"/>
              </w:rPr>
            </w:pPr>
            <w:r w:rsidRPr="003409C9">
              <w:rPr>
                <w:noProof/>
                <w:sz w:val="18"/>
              </w:rPr>
              <w:t>0,744</w:t>
            </w:r>
          </w:p>
        </w:tc>
        <w:tc>
          <w:tcPr>
            <w:tcW w:w="658" w:type="dxa"/>
            <w:shd w:val="clear" w:color="auto" w:fill="DAEEF3" w:themeFill="accent5" w:themeFillTint="33"/>
            <w:vAlign w:val="bottom"/>
          </w:tcPr>
          <w:p w:rsidR="00CD7E2F" w:rsidRPr="003409C9" w:rsidRDefault="00CD7E2F" w:rsidP="00EA0500">
            <w:pPr>
              <w:spacing w:before="60" w:after="60" w:line="200" w:lineRule="exact"/>
              <w:jc w:val="right"/>
              <w:rPr>
                <w:noProof/>
                <w:sz w:val="18"/>
                <w:szCs w:val="18"/>
              </w:rPr>
            </w:pPr>
            <w:r w:rsidRPr="003409C9">
              <w:rPr>
                <w:noProof/>
                <w:color w:val="000000"/>
                <w:sz w:val="18"/>
              </w:rPr>
              <w:t>2,733</w:t>
            </w:r>
          </w:p>
        </w:tc>
        <w:tc>
          <w:tcPr>
            <w:tcW w:w="567" w:type="dxa"/>
            <w:vAlign w:val="bottom"/>
          </w:tcPr>
          <w:p w:rsidR="00CD7E2F" w:rsidRPr="003409C9" w:rsidRDefault="00CD7E2F" w:rsidP="00EA0500">
            <w:pPr>
              <w:spacing w:before="60" w:after="60" w:line="200" w:lineRule="exact"/>
              <w:jc w:val="right"/>
              <w:rPr>
                <w:noProof/>
                <w:sz w:val="18"/>
                <w:szCs w:val="18"/>
              </w:rPr>
            </w:pPr>
            <w:r w:rsidRPr="003409C9">
              <w:rPr>
                <w:noProof/>
                <w:sz w:val="18"/>
              </w:rPr>
              <w:t>0,744</w:t>
            </w:r>
          </w:p>
        </w:tc>
        <w:tc>
          <w:tcPr>
            <w:tcW w:w="567" w:type="dxa"/>
            <w:vAlign w:val="bottom"/>
          </w:tcPr>
          <w:p w:rsidR="00CD7E2F" w:rsidRPr="003409C9" w:rsidRDefault="00CD7E2F" w:rsidP="00EA0500">
            <w:pPr>
              <w:spacing w:before="60" w:after="60" w:line="200" w:lineRule="exact"/>
              <w:jc w:val="right"/>
              <w:rPr>
                <w:noProof/>
                <w:sz w:val="18"/>
                <w:szCs w:val="18"/>
              </w:rPr>
            </w:pPr>
            <w:r w:rsidRPr="003409C9">
              <w:rPr>
                <w:noProof/>
                <w:sz w:val="18"/>
              </w:rPr>
              <w:t>0,744</w:t>
            </w:r>
          </w:p>
        </w:tc>
        <w:tc>
          <w:tcPr>
            <w:tcW w:w="567" w:type="dxa"/>
            <w:vAlign w:val="bottom"/>
          </w:tcPr>
          <w:p w:rsidR="00CD7E2F" w:rsidRPr="00BB07AF" w:rsidRDefault="00CD7E2F" w:rsidP="00EA0500">
            <w:pPr>
              <w:spacing w:before="60" w:after="60" w:line="200" w:lineRule="exact"/>
              <w:jc w:val="right"/>
              <w:rPr>
                <w:b/>
                <w:noProof/>
                <w:sz w:val="18"/>
                <w:szCs w:val="18"/>
              </w:rPr>
            </w:pPr>
            <w:r w:rsidRPr="003409C9">
              <w:rPr>
                <w:noProof/>
                <w:sz w:val="18"/>
              </w:rPr>
              <w:t>0,744</w:t>
            </w:r>
          </w:p>
        </w:tc>
        <w:tc>
          <w:tcPr>
            <w:tcW w:w="567" w:type="dxa"/>
            <w:vAlign w:val="bottom"/>
          </w:tcPr>
          <w:p w:rsidR="00CD7E2F" w:rsidRPr="00BB07AF" w:rsidRDefault="00CD7E2F" w:rsidP="00EA0500">
            <w:pPr>
              <w:spacing w:before="60" w:after="60" w:line="200" w:lineRule="exact"/>
              <w:jc w:val="right"/>
              <w:rPr>
                <w:b/>
                <w:noProof/>
                <w:sz w:val="18"/>
                <w:szCs w:val="18"/>
              </w:rPr>
            </w:pPr>
            <w:r w:rsidRPr="003409C9">
              <w:rPr>
                <w:noProof/>
                <w:sz w:val="18"/>
              </w:rPr>
              <w:t>0,658</w:t>
            </w:r>
          </w:p>
        </w:tc>
        <w:tc>
          <w:tcPr>
            <w:tcW w:w="567" w:type="dxa"/>
            <w:vAlign w:val="bottom"/>
          </w:tcPr>
          <w:p w:rsidR="00CD7E2F" w:rsidRPr="00BB07AF" w:rsidRDefault="00CD7E2F" w:rsidP="00EA0500">
            <w:pPr>
              <w:spacing w:before="60" w:after="60" w:line="200" w:lineRule="exact"/>
              <w:jc w:val="right"/>
              <w:rPr>
                <w:b/>
                <w:noProof/>
                <w:sz w:val="18"/>
                <w:szCs w:val="18"/>
              </w:rPr>
            </w:pPr>
            <w:r w:rsidRPr="003409C9">
              <w:rPr>
                <w:noProof/>
                <w:sz w:val="18"/>
              </w:rPr>
              <w:t>0,658</w:t>
            </w:r>
          </w:p>
        </w:tc>
        <w:tc>
          <w:tcPr>
            <w:tcW w:w="709" w:type="dxa"/>
            <w:vAlign w:val="bottom"/>
          </w:tcPr>
          <w:p w:rsidR="00CD7E2F" w:rsidRPr="00BB07AF" w:rsidRDefault="00CD7E2F" w:rsidP="00EA0500">
            <w:pPr>
              <w:spacing w:before="60" w:after="60" w:line="200" w:lineRule="exact"/>
              <w:jc w:val="right"/>
              <w:rPr>
                <w:b/>
                <w:noProof/>
                <w:sz w:val="18"/>
                <w:szCs w:val="18"/>
              </w:rPr>
            </w:pPr>
            <w:r w:rsidRPr="003409C9">
              <w:rPr>
                <w:noProof/>
                <w:sz w:val="18"/>
              </w:rPr>
              <w:t>0,658</w:t>
            </w:r>
          </w:p>
        </w:tc>
        <w:tc>
          <w:tcPr>
            <w:tcW w:w="845" w:type="dxa"/>
            <w:vAlign w:val="bottom"/>
          </w:tcPr>
          <w:p w:rsidR="00CD7E2F" w:rsidRPr="00BB07AF" w:rsidRDefault="00CD7E2F" w:rsidP="00EA0500">
            <w:pPr>
              <w:spacing w:before="60" w:after="60" w:line="200" w:lineRule="exact"/>
              <w:jc w:val="right"/>
              <w:rPr>
                <w:b/>
                <w:noProof/>
                <w:sz w:val="18"/>
                <w:szCs w:val="18"/>
              </w:rPr>
            </w:pPr>
            <w:r w:rsidRPr="003409C9">
              <w:rPr>
                <w:noProof/>
                <w:sz w:val="18"/>
              </w:rPr>
              <w:t>0,658</w:t>
            </w:r>
          </w:p>
        </w:tc>
        <w:tc>
          <w:tcPr>
            <w:tcW w:w="709" w:type="dxa"/>
            <w:shd w:val="clear" w:color="auto" w:fill="DBE5F1" w:themeFill="accent1" w:themeFillTint="33"/>
            <w:vAlign w:val="bottom"/>
          </w:tcPr>
          <w:p w:rsidR="00CD7E2F" w:rsidRPr="00BB07AF" w:rsidRDefault="00CD7E2F" w:rsidP="00EA0500">
            <w:pPr>
              <w:spacing w:before="60" w:after="60" w:line="200" w:lineRule="exact"/>
              <w:jc w:val="right"/>
              <w:rPr>
                <w:i/>
                <w:noProof/>
                <w:sz w:val="18"/>
                <w:szCs w:val="18"/>
              </w:rPr>
            </w:pPr>
            <w:r w:rsidRPr="00BB07AF">
              <w:rPr>
                <w:i/>
                <w:noProof/>
                <w:sz w:val="18"/>
              </w:rPr>
              <w:t>4,864</w:t>
            </w:r>
          </w:p>
        </w:tc>
        <w:tc>
          <w:tcPr>
            <w:tcW w:w="992" w:type="dxa"/>
            <w:vAlign w:val="bottom"/>
          </w:tcPr>
          <w:p w:rsidR="00CD7E2F" w:rsidRPr="00BB07AF" w:rsidDel="008F48D3" w:rsidRDefault="00CD7E2F" w:rsidP="00EA0500">
            <w:pPr>
              <w:spacing w:before="60" w:after="60" w:line="200" w:lineRule="exact"/>
              <w:jc w:val="right"/>
              <w:rPr>
                <w:b/>
                <w:noProof/>
                <w:sz w:val="18"/>
                <w:szCs w:val="18"/>
              </w:rPr>
            </w:pPr>
            <w:r w:rsidRPr="00BB07AF">
              <w:rPr>
                <w:b/>
                <w:noProof/>
                <w:color w:val="000000"/>
                <w:sz w:val="18"/>
              </w:rPr>
              <w:t>7, 597</w:t>
            </w:r>
          </w:p>
        </w:tc>
      </w:tr>
    </w:tbl>
    <w:p w:rsidR="00CD7E2F" w:rsidRPr="003409C9" w:rsidRDefault="00CD7E2F" w:rsidP="00CD7E2F">
      <w:pPr>
        <w:spacing w:line="200" w:lineRule="exact"/>
        <w:rPr>
          <w:noProof/>
          <w:sz w:val="20"/>
          <w:szCs w:val="20"/>
        </w:rPr>
      </w:pPr>
    </w:p>
    <w:tbl>
      <w:tblPr>
        <w:tblW w:w="11068"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96"/>
        <w:gridCol w:w="567"/>
        <w:gridCol w:w="567"/>
        <w:gridCol w:w="567"/>
        <w:gridCol w:w="709"/>
        <w:gridCol w:w="567"/>
        <w:gridCol w:w="567"/>
        <w:gridCol w:w="567"/>
        <w:gridCol w:w="567"/>
        <w:gridCol w:w="567"/>
        <w:gridCol w:w="567"/>
        <w:gridCol w:w="709"/>
        <w:gridCol w:w="850"/>
        <w:gridCol w:w="709"/>
        <w:gridCol w:w="992"/>
      </w:tblGrid>
      <w:tr w:rsidR="00CD7E2F" w:rsidRPr="003409C9" w:rsidTr="00EA0500">
        <w:trPr>
          <w:trHeight w:val="585"/>
        </w:trPr>
        <w:tc>
          <w:tcPr>
            <w:tcW w:w="1996" w:type="dxa"/>
            <w:shd w:val="clear" w:color="auto" w:fill="CCCCCC"/>
            <w:vAlign w:val="center"/>
          </w:tcPr>
          <w:p w:rsidR="00CD7E2F" w:rsidRPr="003409C9" w:rsidRDefault="00CD7E2F" w:rsidP="00EA0500">
            <w:pPr>
              <w:spacing w:before="60" w:after="60" w:line="200" w:lineRule="exact"/>
              <w:jc w:val="center"/>
              <w:rPr>
                <w:noProof/>
                <w:sz w:val="16"/>
                <w:szCs w:val="16"/>
              </w:rPr>
            </w:pPr>
            <w:r w:rsidRPr="00BB07AF">
              <w:rPr>
                <w:b/>
                <w:noProof/>
                <w:sz w:val="16"/>
              </w:rPr>
              <w:t>Poza DZIAŁEM 7</w:t>
            </w:r>
            <w:r w:rsidRPr="00BB07AF">
              <w:rPr>
                <w:rStyle w:val="FootnoteReference0"/>
                <w:b/>
                <w:noProof/>
                <w:sz w:val="16"/>
              </w:rPr>
              <w:footnoteReference w:id="63"/>
            </w:r>
            <w:r w:rsidRPr="003409C9">
              <w:rPr>
                <w:noProof/>
              </w:rPr>
              <w:t xml:space="preserve"> </w:t>
            </w:r>
            <w:r w:rsidRPr="003409C9">
              <w:rPr>
                <w:noProof/>
              </w:rPr>
              <w:br/>
            </w:r>
            <w:r w:rsidRPr="00BB07AF">
              <w:rPr>
                <w:b/>
                <w:noProof/>
                <w:sz w:val="16"/>
              </w:rPr>
              <w:t xml:space="preserve">wieloletnich ram finansowych </w:t>
            </w:r>
          </w:p>
          <w:p w:rsidR="00CD7E2F" w:rsidRPr="00BB07AF" w:rsidRDefault="00CD7E2F" w:rsidP="00EA0500">
            <w:pPr>
              <w:spacing w:before="0" w:after="0" w:line="200" w:lineRule="exact"/>
              <w:jc w:val="center"/>
              <w:rPr>
                <w:b/>
                <w:noProof/>
                <w:sz w:val="16"/>
                <w:szCs w:val="16"/>
              </w:rPr>
            </w:pPr>
          </w:p>
        </w:tc>
        <w:tc>
          <w:tcPr>
            <w:tcW w:w="567" w:type="dxa"/>
            <w:vAlign w:val="center"/>
          </w:tcPr>
          <w:p w:rsidR="00CD7E2F" w:rsidRPr="003409C9" w:rsidRDefault="00CD7E2F" w:rsidP="00EA0500">
            <w:pPr>
              <w:spacing w:before="60" w:after="60" w:line="200" w:lineRule="exact"/>
              <w:jc w:val="right"/>
              <w:rPr>
                <w:noProof/>
                <w:sz w:val="16"/>
                <w:szCs w:val="16"/>
              </w:rPr>
            </w:pPr>
          </w:p>
        </w:tc>
        <w:tc>
          <w:tcPr>
            <w:tcW w:w="567" w:type="dxa"/>
            <w:vAlign w:val="center"/>
          </w:tcPr>
          <w:p w:rsidR="00CD7E2F" w:rsidRPr="003409C9" w:rsidRDefault="00CD7E2F" w:rsidP="00EA0500">
            <w:pPr>
              <w:spacing w:before="60" w:after="60" w:line="200" w:lineRule="exact"/>
              <w:jc w:val="right"/>
              <w:rPr>
                <w:noProof/>
                <w:sz w:val="16"/>
                <w:szCs w:val="16"/>
              </w:rPr>
            </w:pPr>
          </w:p>
        </w:tc>
        <w:tc>
          <w:tcPr>
            <w:tcW w:w="567" w:type="dxa"/>
            <w:vAlign w:val="center"/>
          </w:tcPr>
          <w:p w:rsidR="00CD7E2F" w:rsidRPr="003409C9" w:rsidRDefault="00CD7E2F" w:rsidP="00EA0500">
            <w:pPr>
              <w:spacing w:before="60" w:after="60" w:line="200" w:lineRule="exact"/>
              <w:jc w:val="right"/>
              <w:rPr>
                <w:noProof/>
                <w:sz w:val="16"/>
                <w:szCs w:val="16"/>
              </w:rPr>
            </w:pPr>
          </w:p>
        </w:tc>
        <w:tc>
          <w:tcPr>
            <w:tcW w:w="709" w:type="dxa"/>
            <w:shd w:val="clear" w:color="auto" w:fill="auto"/>
          </w:tcPr>
          <w:p w:rsidR="00CD7E2F" w:rsidRPr="003409C9" w:rsidRDefault="00CD7E2F" w:rsidP="00EA0500">
            <w:pPr>
              <w:spacing w:before="60" w:after="60" w:line="200" w:lineRule="exact"/>
              <w:jc w:val="right"/>
              <w:rPr>
                <w:noProof/>
                <w:sz w:val="16"/>
                <w:szCs w:val="16"/>
              </w:rPr>
            </w:pPr>
          </w:p>
        </w:tc>
        <w:tc>
          <w:tcPr>
            <w:tcW w:w="567" w:type="dxa"/>
            <w:shd w:val="clear" w:color="auto" w:fill="C6D9F1" w:themeFill="text2" w:themeFillTint="33"/>
            <w:vAlign w:val="center"/>
          </w:tcPr>
          <w:p w:rsidR="00CD7E2F" w:rsidRPr="003409C9" w:rsidRDefault="00CD7E2F" w:rsidP="00EA0500">
            <w:pPr>
              <w:spacing w:before="60" w:after="60" w:line="200" w:lineRule="exact"/>
              <w:jc w:val="right"/>
              <w:rPr>
                <w:noProof/>
                <w:sz w:val="16"/>
                <w:szCs w:val="16"/>
              </w:rPr>
            </w:pPr>
          </w:p>
        </w:tc>
        <w:tc>
          <w:tcPr>
            <w:tcW w:w="567" w:type="dxa"/>
            <w:vAlign w:val="center"/>
          </w:tcPr>
          <w:p w:rsidR="00CD7E2F" w:rsidRPr="003409C9" w:rsidRDefault="00CD7E2F" w:rsidP="00EA0500">
            <w:pPr>
              <w:spacing w:before="60" w:after="60" w:line="200" w:lineRule="exact"/>
              <w:jc w:val="right"/>
              <w:rPr>
                <w:noProof/>
                <w:sz w:val="16"/>
                <w:szCs w:val="16"/>
              </w:rPr>
            </w:pPr>
          </w:p>
        </w:tc>
        <w:tc>
          <w:tcPr>
            <w:tcW w:w="567" w:type="dxa"/>
            <w:vAlign w:val="center"/>
          </w:tcPr>
          <w:p w:rsidR="00CD7E2F" w:rsidRPr="003409C9" w:rsidRDefault="00CD7E2F" w:rsidP="00EA0500">
            <w:pPr>
              <w:spacing w:before="60" w:after="60" w:line="200" w:lineRule="exact"/>
              <w:jc w:val="right"/>
              <w:rPr>
                <w:noProof/>
                <w:sz w:val="16"/>
                <w:szCs w:val="16"/>
              </w:rPr>
            </w:pPr>
          </w:p>
        </w:tc>
        <w:tc>
          <w:tcPr>
            <w:tcW w:w="567" w:type="dxa"/>
            <w:vAlign w:val="center"/>
          </w:tcPr>
          <w:p w:rsidR="00CD7E2F" w:rsidRPr="003409C9" w:rsidRDefault="00CD7E2F" w:rsidP="00EA0500">
            <w:pPr>
              <w:spacing w:before="60" w:after="60" w:line="200" w:lineRule="exact"/>
              <w:jc w:val="right"/>
              <w:rPr>
                <w:b/>
                <w:noProof/>
                <w:sz w:val="16"/>
                <w:szCs w:val="16"/>
              </w:rPr>
            </w:pPr>
          </w:p>
        </w:tc>
        <w:tc>
          <w:tcPr>
            <w:tcW w:w="567" w:type="dxa"/>
            <w:vAlign w:val="center"/>
          </w:tcPr>
          <w:p w:rsidR="00CD7E2F" w:rsidRPr="003409C9" w:rsidRDefault="00CD7E2F" w:rsidP="00EA0500">
            <w:pPr>
              <w:spacing w:before="60" w:after="60" w:line="200" w:lineRule="exact"/>
              <w:jc w:val="right"/>
              <w:rPr>
                <w:b/>
                <w:noProof/>
                <w:sz w:val="16"/>
                <w:szCs w:val="16"/>
              </w:rPr>
            </w:pPr>
          </w:p>
        </w:tc>
        <w:tc>
          <w:tcPr>
            <w:tcW w:w="567" w:type="dxa"/>
          </w:tcPr>
          <w:p w:rsidR="00CD7E2F" w:rsidRPr="003409C9" w:rsidRDefault="00CD7E2F" w:rsidP="00EA0500">
            <w:pPr>
              <w:spacing w:before="60" w:after="60" w:line="200" w:lineRule="exact"/>
              <w:jc w:val="right"/>
              <w:rPr>
                <w:b/>
                <w:noProof/>
                <w:sz w:val="16"/>
                <w:szCs w:val="16"/>
              </w:rPr>
            </w:pPr>
          </w:p>
        </w:tc>
        <w:tc>
          <w:tcPr>
            <w:tcW w:w="709" w:type="dxa"/>
          </w:tcPr>
          <w:p w:rsidR="00CD7E2F" w:rsidRPr="003409C9" w:rsidRDefault="00CD7E2F" w:rsidP="00EA0500">
            <w:pPr>
              <w:spacing w:before="60" w:after="60" w:line="200" w:lineRule="exact"/>
              <w:jc w:val="right"/>
              <w:rPr>
                <w:b/>
                <w:noProof/>
                <w:sz w:val="16"/>
                <w:szCs w:val="16"/>
              </w:rPr>
            </w:pPr>
          </w:p>
        </w:tc>
        <w:tc>
          <w:tcPr>
            <w:tcW w:w="850" w:type="dxa"/>
          </w:tcPr>
          <w:p w:rsidR="00CD7E2F" w:rsidRPr="003409C9" w:rsidRDefault="00CD7E2F" w:rsidP="00EA0500">
            <w:pPr>
              <w:spacing w:before="60" w:after="60" w:line="200" w:lineRule="exact"/>
              <w:jc w:val="right"/>
              <w:rPr>
                <w:b/>
                <w:noProof/>
                <w:sz w:val="16"/>
                <w:szCs w:val="16"/>
              </w:rPr>
            </w:pPr>
          </w:p>
        </w:tc>
        <w:tc>
          <w:tcPr>
            <w:tcW w:w="709" w:type="dxa"/>
          </w:tcPr>
          <w:p w:rsidR="00CD7E2F" w:rsidRPr="003409C9" w:rsidRDefault="00CD7E2F" w:rsidP="00EA0500">
            <w:pPr>
              <w:spacing w:before="60" w:after="60" w:line="200" w:lineRule="exact"/>
              <w:jc w:val="right"/>
              <w:rPr>
                <w:b/>
                <w:noProof/>
                <w:sz w:val="16"/>
                <w:szCs w:val="16"/>
              </w:rPr>
            </w:pPr>
          </w:p>
        </w:tc>
        <w:tc>
          <w:tcPr>
            <w:tcW w:w="992" w:type="dxa"/>
          </w:tcPr>
          <w:p w:rsidR="00CD7E2F" w:rsidRPr="00BB07AF" w:rsidRDefault="00CD7E2F" w:rsidP="00EA0500">
            <w:pPr>
              <w:spacing w:before="60" w:after="60" w:line="200" w:lineRule="exact"/>
              <w:jc w:val="right"/>
              <w:rPr>
                <w:b/>
                <w:noProof/>
                <w:sz w:val="16"/>
                <w:szCs w:val="16"/>
              </w:rPr>
            </w:pPr>
          </w:p>
        </w:tc>
      </w:tr>
      <w:tr w:rsidR="00CD7E2F" w:rsidRPr="003409C9" w:rsidTr="00EA0500">
        <w:trPr>
          <w:trHeight w:val="585"/>
        </w:trPr>
        <w:tc>
          <w:tcPr>
            <w:tcW w:w="1996" w:type="dxa"/>
            <w:vAlign w:val="center"/>
          </w:tcPr>
          <w:p w:rsidR="00CD7E2F" w:rsidRPr="003409C9" w:rsidRDefault="00CD7E2F" w:rsidP="00EA0500">
            <w:pPr>
              <w:spacing w:before="60" w:after="60" w:line="200" w:lineRule="exact"/>
              <w:ind w:left="72"/>
              <w:jc w:val="left"/>
              <w:rPr>
                <w:noProof/>
                <w:sz w:val="16"/>
                <w:szCs w:val="16"/>
              </w:rPr>
            </w:pPr>
            <w:r w:rsidRPr="003409C9">
              <w:rPr>
                <w:noProof/>
                <w:sz w:val="16"/>
              </w:rPr>
              <w:t xml:space="preserve">Zasoby ludzkie </w:t>
            </w:r>
          </w:p>
        </w:tc>
        <w:tc>
          <w:tcPr>
            <w:tcW w:w="567" w:type="dxa"/>
            <w:vAlign w:val="center"/>
          </w:tcPr>
          <w:p w:rsidR="00CD7E2F" w:rsidRPr="003409C9" w:rsidRDefault="00CD7E2F" w:rsidP="00EA0500">
            <w:pPr>
              <w:spacing w:before="60" w:after="60" w:line="200" w:lineRule="exact"/>
              <w:jc w:val="right"/>
              <w:rPr>
                <w:noProof/>
                <w:sz w:val="16"/>
                <w:szCs w:val="16"/>
              </w:rPr>
            </w:pPr>
          </w:p>
        </w:tc>
        <w:tc>
          <w:tcPr>
            <w:tcW w:w="567" w:type="dxa"/>
            <w:vAlign w:val="center"/>
          </w:tcPr>
          <w:p w:rsidR="00CD7E2F" w:rsidRPr="003409C9" w:rsidRDefault="00CD7E2F" w:rsidP="00EA0500">
            <w:pPr>
              <w:spacing w:before="60" w:after="60" w:line="200" w:lineRule="exact"/>
              <w:jc w:val="right"/>
              <w:rPr>
                <w:noProof/>
                <w:sz w:val="16"/>
                <w:szCs w:val="16"/>
              </w:rPr>
            </w:pPr>
          </w:p>
        </w:tc>
        <w:tc>
          <w:tcPr>
            <w:tcW w:w="567" w:type="dxa"/>
            <w:vAlign w:val="center"/>
          </w:tcPr>
          <w:p w:rsidR="00CD7E2F" w:rsidRPr="003409C9" w:rsidRDefault="00CD7E2F" w:rsidP="00EA0500">
            <w:pPr>
              <w:spacing w:before="60" w:after="60" w:line="200" w:lineRule="exact"/>
              <w:jc w:val="right"/>
              <w:rPr>
                <w:noProof/>
                <w:sz w:val="16"/>
                <w:szCs w:val="16"/>
              </w:rPr>
            </w:pPr>
          </w:p>
        </w:tc>
        <w:tc>
          <w:tcPr>
            <w:tcW w:w="709" w:type="dxa"/>
            <w:shd w:val="clear" w:color="auto" w:fill="auto"/>
          </w:tcPr>
          <w:p w:rsidR="00CD7E2F" w:rsidRPr="003409C9" w:rsidRDefault="00CD7E2F" w:rsidP="00EA0500">
            <w:pPr>
              <w:spacing w:before="60" w:after="60" w:line="200" w:lineRule="exact"/>
              <w:jc w:val="right"/>
              <w:rPr>
                <w:noProof/>
                <w:sz w:val="16"/>
                <w:szCs w:val="16"/>
              </w:rPr>
            </w:pPr>
          </w:p>
        </w:tc>
        <w:tc>
          <w:tcPr>
            <w:tcW w:w="567" w:type="dxa"/>
            <w:shd w:val="clear" w:color="auto" w:fill="C6D9F1" w:themeFill="text2" w:themeFillTint="33"/>
            <w:vAlign w:val="center"/>
          </w:tcPr>
          <w:p w:rsidR="00CD7E2F" w:rsidRPr="003409C9" w:rsidRDefault="00CD7E2F" w:rsidP="00EA0500">
            <w:pPr>
              <w:spacing w:before="60" w:after="60" w:line="200" w:lineRule="exact"/>
              <w:jc w:val="right"/>
              <w:rPr>
                <w:noProof/>
                <w:sz w:val="16"/>
                <w:szCs w:val="16"/>
              </w:rPr>
            </w:pPr>
          </w:p>
        </w:tc>
        <w:tc>
          <w:tcPr>
            <w:tcW w:w="567" w:type="dxa"/>
            <w:vAlign w:val="center"/>
          </w:tcPr>
          <w:p w:rsidR="00CD7E2F" w:rsidRPr="003409C9" w:rsidRDefault="00CD7E2F" w:rsidP="00EA0500">
            <w:pPr>
              <w:spacing w:before="60" w:after="60" w:line="200" w:lineRule="exact"/>
              <w:jc w:val="right"/>
              <w:rPr>
                <w:noProof/>
                <w:sz w:val="16"/>
                <w:szCs w:val="16"/>
              </w:rPr>
            </w:pPr>
          </w:p>
        </w:tc>
        <w:tc>
          <w:tcPr>
            <w:tcW w:w="567" w:type="dxa"/>
            <w:vAlign w:val="center"/>
          </w:tcPr>
          <w:p w:rsidR="00CD7E2F" w:rsidRPr="003409C9" w:rsidRDefault="00CD7E2F" w:rsidP="00EA0500">
            <w:pPr>
              <w:spacing w:before="60" w:after="60" w:line="200" w:lineRule="exact"/>
              <w:jc w:val="right"/>
              <w:rPr>
                <w:noProof/>
                <w:sz w:val="16"/>
                <w:szCs w:val="16"/>
              </w:rPr>
            </w:pPr>
          </w:p>
        </w:tc>
        <w:tc>
          <w:tcPr>
            <w:tcW w:w="567" w:type="dxa"/>
            <w:vAlign w:val="center"/>
          </w:tcPr>
          <w:p w:rsidR="00CD7E2F" w:rsidRPr="003409C9" w:rsidRDefault="00CD7E2F" w:rsidP="00EA0500">
            <w:pPr>
              <w:spacing w:before="60" w:after="60" w:line="200" w:lineRule="exact"/>
              <w:jc w:val="right"/>
              <w:rPr>
                <w:b/>
                <w:noProof/>
                <w:sz w:val="16"/>
                <w:szCs w:val="16"/>
              </w:rPr>
            </w:pPr>
          </w:p>
        </w:tc>
        <w:tc>
          <w:tcPr>
            <w:tcW w:w="567" w:type="dxa"/>
            <w:vAlign w:val="center"/>
          </w:tcPr>
          <w:p w:rsidR="00CD7E2F" w:rsidRPr="003409C9" w:rsidRDefault="00CD7E2F" w:rsidP="00EA0500">
            <w:pPr>
              <w:spacing w:before="60" w:after="60" w:line="200" w:lineRule="exact"/>
              <w:jc w:val="right"/>
              <w:rPr>
                <w:b/>
                <w:noProof/>
                <w:sz w:val="16"/>
                <w:szCs w:val="16"/>
              </w:rPr>
            </w:pPr>
          </w:p>
        </w:tc>
        <w:tc>
          <w:tcPr>
            <w:tcW w:w="567" w:type="dxa"/>
          </w:tcPr>
          <w:p w:rsidR="00CD7E2F" w:rsidRPr="003409C9" w:rsidRDefault="00CD7E2F" w:rsidP="00EA0500">
            <w:pPr>
              <w:spacing w:before="60" w:after="60" w:line="200" w:lineRule="exact"/>
              <w:jc w:val="right"/>
              <w:rPr>
                <w:b/>
                <w:noProof/>
                <w:sz w:val="16"/>
                <w:szCs w:val="16"/>
              </w:rPr>
            </w:pPr>
          </w:p>
        </w:tc>
        <w:tc>
          <w:tcPr>
            <w:tcW w:w="709" w:type="dxa"/>
          </w:tcPr>
          <w:p w:rsidR="00CD7E2F" w:rsidRPr="003409C9" w:rsidRDefault="00CD7E2F" w:rsidP="00EA0500">
            <w:pPr>
              <w:spacing w:before="60" w:after="60" w:line="200" w:lineRule="exact"/>
              <w:jc w:val="right"/>
              <w:rPr>
                <w:b/>
                <w:noProof/>
                <w:sz w:val="16"/>
                <w:szCs w:val="16"/>
              </w:rPr>
            </w:pPr>
          </w:p>
        </w:tc>
        <w:tc>
          <w:tcPr>
            <w:tcW w:w="850" w:type="dxa"/>
          </w:tcPr>
          <w:p w:rsidR="00CD7E2F" w:rsidRPr="003409C9" w:rsidRDefault="00CD7E2F" w:rsidP="00EA0500">
            <w:pPr>
              <w:spacing w:before="60" w:after="60" w:line="200" w:lineRule="exact"/>
              <w:jc w:val="right"/>
              <w:rPr>
                <w:b/>
                <w:noProof/>
                <w:sz w:val="16"/>
                <w:szCs w:val="16"/>
              </w:rPr>
            </w:pPr>
          </w:p>
        </w:tc>
        <w:tc>
          <w:tcPr>
            <w:tcW w:w="709" w:type="dxa"/>
          </w:tcPr>
          <w:p w:rsidR="00CD7E2F" w:rsidRPr="003409C9" w:rsidRDefault="00CD7E2F" w:rsidP="00EA0500">
            <w:pPr>
              <w:spacing w:before="60" w:after="60" w:line="200" w:lineRule="exact"/>
              <w:jc w:val="right"/>
              <w:rPr>
                <w:b/>
                <w:noProof/>
                <w:sz w:val="16"/>
                <w:szCs w:val="16"/>
              </w:rPr>
            </w:pPr>
          </w:p>
        </w:tc>
        <w:tc>
          <w:tcPr>
            <w:tcW w:w="992" w:type="dxa"/>
          </w:tcPr>
          <w:p w:rsidR="00CD7E2F" w:rsidRPr="00BB07AF" w:rsidRDefault="00CD7E2F" w:rsidP="00EA0500">
            <w:pPr>
              <w:spacing w:before="60" w:after="60" w:line="200" w:lineRule="exact"/>
              <w:jc w:val="right"/>
              <w:rPr>
                <w:b/>
                <w:noProof/>
                <w:sz w:val="16"/>
                <w:szCs w:val="16"/>
              </w:rPr>
            </w:pPr>
          </w:p>
        </w:tc>
      </w:tr>
      <w:tr w:rsidR="00CD7E2F" w:rsidRPr="003409C9" w:rsidTr="00EA0500">
        <w:trPr>
          <w:trHeight w:val="585"/>
        </w:trPr>
        <w:tc>
          <w:tcPr>
            <w:tcW w:w="1996" w:type="dxa"/>
            <w:vAlign w:val="center"/>
          </w:tcPr>
          <w:p w:rsidR="00CD7E2F" w:rsidRPr="003409C9" w:rsidRDefault="00CD7E2F" w:rsidP="00EA0500">
            <w:pPr>
              <w:spacing w:before="60" w:after="60" w:line="200" w:lineRule="exact"/>
              <w:ind w:left="72"/>
              <w:jc w:val="left"/>
              <w:rPr>
                <w:noProof/>
                <w:sz w:val="16"/>
                <w:szCs w:val="16"/>
              </w:rPr>
            </w:pPr>
            <w:r w:rsidRPr="003409C9">
              <w:rPr>
                <w:noProof/>
                <w:sz w:val="16"/>
              </w:rPr>
              <w:t>Pozostałe wydatki</w:t>
            </w:r>
            <w:r w:rsidRPr="003409C9">
              <w:rPr>
                <w:noProof/>
              </w:rPr>
              <w:br/>
            </w:r>
            <w:r w:rsidRPr="003409C9">
              <w:rPr>
                <w:noProof/>
                <w:sz w:val="16"/>
              </w:rPr>
              <w:t>o charakterze administracyjnym</w:t>
            </w:r>
          </w:p>
        </w:tc>
        <w:tc>
          <w:tcPr>
            <w:tcW w:w="567" w:type="dxa"/>
            <w:vAlign w:val="center"/>
          </w:tcPr>
          <w:p w:rsidR="00CD7E2F" w:rsidRPr="003409C9" w:rsidRDefault="00CD7E2F" w:rsidP="00EA0500">
            <w:pPr>
              <w:spacing w:before="60" w:after="60" w:line="200" w:lineRule="exact"/>
              <w:jc w:val="right"/>
              <w:rPr>
                <w:noProof/>
                <w:sz w:val="16"/>
                <w:szCs w:val="16"/>
              </w:rPr>
            </w:pPr>
          </w:p>
        </w:tc>
        <w:tc>
          <w:tcPr>
            <w:tcW w:w="567" w:type="dxa"/>
            <w:vAlign w:val="center"/>
          </w:tcPr>
          <w:p w:rsidR="00CD7E2F" w:rsidRPr="003409C9" w:rsidRDefault="00CD7E2F" w:rsidP="00EA0500">
            <w:pPr>
              <w:spacing w:before="60" w:after="60" w:line="200" w:lineRule="exact"/>
              <w:jc w:val="right"/>
              <w:rPr>
                <w:noProof/>
                <w:sz w:val="16"/>
                <w:szCs w:val="16"/>
              </w:rPr>
            </w:pPr>
          </w:p>
        </w:tc>
        <w:tc>
          <w:tcPr>
            <w:tcW w:w="567" w:type="dxa"/>
            <w:vAlign w:val="center"/>
          </w:tcPr>
          <w:p w:rsidR="00CD7E2F" w:rsidRPr="003409C9" w:rsidRDefault="00CD7E2F" w:rsidP="00EA0500">
            <w:pPr>
              <w:spacing w:before="60" w:after="60" w:line="200" w:lineRule="exact"/>
              <w:jc w:val="right"/>
              <w:rPr>
                <w:noProof/>
                <w:sz w:val="16"/>
                <w:szCs w:val="16"/>
              </w:rPr>
            </w:pPr>
          </w:p>
        </w:tc>
        <w:tc>
          <w:tcPr>
            <w:tcW w:w="709" w:type="dxa"/>
            <w:shd w:val="clear" w:color="auto" w:fill="auto"/>
          </w:tcPr>
          <w:p w:rsidR="00CD7E2F" w:rsidRPr="003409C9" w:rsidRDefault="00CD7E2F" w:rsidP="00EA0500">
            <w:pPr>
              <w:spacing w:before="60" w:after="60" w:line="200" w:lineRule="exact"/>
              <w:jc w:val="right"/>
              <w:rPr>
                <w:noProof/>
                <w:sz w:val="16"/>
                <w:szCs w:val="16"/>
              </w:rPr>
            </w:pPr>
          </w:p>
        </w:tc>
        <w:tc>
          <w:tcPr>
            <w:tcW w:w="567" w:type="dxa"/>
            <w:shd w:val="clear" w:color="auto" w:fill="C6D9F1" w:themeFill="text2" w:themeFillTint="33"/>
            <w:vAlign w:val="center"/>
          </w:tcPr>
          <w:p w:rsidR="00CD7E2F" w:rsidRPr="003409C9" w:rsidRDefault="00CD7E2F" w:rsidP="00EA0500">
            <w:pPr>
              <w:spacing w:before="60" w:after="60" w:line="200" w:lineRule="exact"/>
              <w:jc w:val="right"/>
              <w:rPr>
                <w:noProof/>
                <w:sz w:val="16"/>
                <w:szCs w:val="16"/>
              </w:rPr>
            </w:pPr>
          </w:p>
        </w:tc>
        <w:tc>
          <w:tcPr>
            <w:tcW w:w="567" w:type="dxa"/>
            <w:vAlign w:val="center"/>
          </w:tcPr>
          <w:p w:rsidR="00CD7E2F" w:rsidRPr="003409C9" w:rsidRDefault="00CD7E2F" w:rsidP="00EA0500">
            <w:pPr>
              <w:spacing w:before="60" w:after="60" w:line="200" w:lineRule="exact"/>
              <w:jc w:val="right"/>
              <w:rPr>
                <w:noProof/>
                <w:sz w:val="16"/>
                <w:szCs w:val="16"/>
              </w:rPr>
            </w:pPr>
          </w:p>
        </w:tc>
        <w:tc>
          <w:tcPr>
            <w:tcW w:w="567" w:type="dxa"/>
            <w:vAlign w:val="center"/>
          </w:tcPr>
          <w:p w:rsidR="00CD7E2F" w:rsidRPr="003409C9" w:rsidRDefault="00CD7E2F" w:rsidP="00EA0500">
            <w:pPr>
              <w:spacing w:before="60" w:after="60" w:line="200" w:lineRule="exact"/>
              <w:jc w:val="right"/>
              <w:rPr>
                <w:noProof/>
                <w:sz w:val="16"/>
                <w:szCs w:val="16"/>
              </w:rPr>
            </w:pPr>
          </w:p>
        </w:tc>
        <w:tc>
          <w:tcPr>
            <w:tcW w:w="567" w:type="dxa"/>
            <w:vAlign w:val="center"/>
          </w:tcPr>
          <w:p w:rsidR="00CD7E2F" w:rsidRPr="003409C9" w:rsidRDefault="00CD7E2F" w:rsidP="00EA0500">
            <w:pPr>
              <w:spacing w:before="60" w:after="60" w:line="200" w:lineRule="exact"/>
              <w:jc w:val="right"/>
              <w:rPr>
                <w:b/>
                <w:noProof/>
                <w:sz w:val="16"/>
                <w:szCs w:val="16"/>
              </w:rPr>
            </w:pPr>
          </w:p>
        </w:tc>
        <w:tc>
          <w:tcPr>
            <w:tcW w:w="567" w:type="dxa"/>
            <w:vAlign w:val="center"/>
          </w:tcPr>
          <w:p w:rsidR="00CD7E2F" w:rsidRPr="003409C9" w:rsidRDefault="00CD7E2F" w:rsidP="00EA0500">
            <w:pPr>
              <w:spacing w:before="60" w:after="60" w:line="200" w:lineRule="exact"/>
              <w:jc w:val="right"/>
              <w:rPr>
                <w:b/>
                <w:noProof/>
                <w:sz w:val="16"/>
                <w:szCs w:val="16"/>
              </w:rPr>
            </w:pPr>
          </w:p>
        </w:tc>
        <w:tc>
          <w:tcPr>
            <w:tcW w:w="567" w:type="dxa"/>
          </w:tcPr>
          <w:p w:rsidR="00CD7E2F" w:rsidRPr="003409C9" w:rsidRDefault="00CD7E2F" w:rsidP="00EA0500">
            <w:pPr>
              <w:spacing w:before="60" w:after="60" w:line="200" w:lineRule="exact"/>
              <w:jc w:val="right"/>
              <w:rPr>
                <w:b/>
                <w:noProof/>
                <w:sz w:val="16"/>
                <w:szCs w:val="16"/>
              </w:rPr>
            </w:pPr>
          </w:p>
        </w:tc>
        <w:tc>
          <w:tcPr>
            <w:tcW w:w="709" w:type="dxa"/>
          </w:tcPr>
          <w:p w:rsidR="00CD7E2F" w:rsidRPr="003409C9" w:rsidRDefault="00CD7E2F" w:rsidP="00EA0500">
            <w:pPr>
              <w:spacing w:before="60" w:after="60" w:line="200" w:lineRule="exact"/>
              <w:jc w:val="right"/>
              <w:rPr>
                <w:b/>
                <w:noProof/>
                <w:sz w:val="16"/>
                <w:szCs w:val="16"/>
              </w:rPr>
            </w:pPr>
          </w:p>
        </w:tc>
        <w:tc>
          <w:tcPr>
            <w:tcW w:w="850" w:type="dxa"/>
          </w:tcPr>
          <w:p w:rsidR="00CD7E2F" w:rsidRPr="003409C9" w:rsidRDefault="00CD7E2F" w:rsidP="00EA0500">
            <w:pPr>
              <w:spacing w:before="60" w:after="60" w:line="200" w:lineRule="exact"/>
              <w:jc w:val="right"/>
              <w:rPr>
                <w:b/>
                <w:noProof/>
                <w:sz w:val="16"/>
                <w:szCs w:val="16"/>
              </w:rPr>
            </w:pPr>
          </w:p>
        </w:tc>
        <w:tc>
          <w:tcPr>
            <w:tcW w:w="709" w:type="dxa"/>
          </w:tcPr>
          <w:p w:rsidR="00CD7E2F" w:rsidRPr="003409C9" w:rsidRDefault="00CD7E2F" w:rsidP="00EA0500">
            <w:pPr>
              <w:spacing w:before="60" w:after="60" w:line="200" w:lineRule="exact"/>
              <w:jc w:val="right"/>
              <w:rPr>
                <w:b/>
                <w:noProof/>
                <w:sz w:val="16"/>
                <w:szCs w:val="16"/>
              </w:rPr>
            </w:pPr>
          </w:p>
        </w:tc>
        <w:tc>
          <w:tcPr>
            <w:tcW w:w="992" w:type="dxa"/>
          </w:tcPr>
          <w:p w:rsidR="00CD7E2F" w:rsidRPr="00BB07AF" w:rsidRDefault="00CD7E2F" w:rsidP="00EA0500">
            <w:pPr>
              <w:spacing w:before="60" w:after="60" w:line="200" w:lineRule="exact"/>
              <w:jc w:val="right"/>
              <w:rPr>
                <w:b/>
                <w:noProof/>
                <w:sz w:val="16"/>
                <w:szCs w:val="16"/>
              </w:rPr>
            </w:pPr>
          </w:p>
        </w:tc>
      </w:tr>
      <w:tr w:rsidR="00CD7E2F" w:rsidRPr="003409C9" w:rsidTr="00EA0500">
        <w:trPr>
          <w:trHeight w:val="585"/>
        </w:trPr>
        <w:tc>
          <w:tcPr>
            <w:tcW w:w="1996" w:type="dxa"/>
            <w:shd w:val="clear" w:color="auto" w:fill="CCCCCC"/>
            <w:vAlign w:val="center"/>
          </w:tcPr>
          <w:p w:rsidR="00CD7E2F" w:rsidRPr="00BB07AF" w:rsidRDefault="00CD7E2F" w:rsidP="00EA0500">
            <w:pPr>
              <w:spacing w:before="60" w:after="60" w:line="200" w:lineRule="exact"/>
              <w:jc w:val="center"/>
              <w:rPr>
                <w:b/>
                <w:noProof/>
                <w:sz w:val="16"/>
                <w:szCs w:val="16"/>
              </w:rPr>
            </w:pPr>
            <w:r w:rsidRPr="00BB07AF">
              <w:rPr>
                <w:b/>
                <w:noProof/>
                <w:sz w:val="16"/>
              </w:rPr>
              <w:t>Suma cząstkowa</w:t>
            </w:r>
            <w:r w:rsidRPr="003409C9">
              <w:rPr>
                <w:noProof/>
              </w:rPr>
              <w:t xml:space="preserve"> </w:t>
            </w:r>
            <w:r w:rsidRPr="003409C9">
              <w:rPr>
                <w:noProof/>
              </w:rPr>
              <w:br/>
            </w:r>
            <w:r w:rsidRPr="00BB07AF">
              <w:rPr>
                <w:b/>
                <w:noProof/>
                <w:sz w:val="16"/>
              </w:rPr>
              <w:t>poza DZIAŁEM 7</w:t>
            </w:r>
            <w:r w:rsidRPr="003409C9">
              <w:rPr>
                <w:noProof/>
              </w:rPr>
              <w:t xml:space="preserve"> </w:t>
            </w:r>
            <w:r w:rsidRPr="003409C9">
              <w:rPr>
                <w:noProof/>
              </w:rPr>
              <w:br/>
            </w:r>
            <w:r w:rsidRPr="00BB07AF">
              <w:rPr>
                <w:b/>
                <w:noProof/>
                <w:sz w:val="16"/>
              </w:rPr>
              <w:t xml:space="preserve">wieloletnich ram finansowych </w:t>
            </w:r>
          </w:p>
        </w:tc>
        <w:tc>
          <w:tcPr>
            <w:tcW w:w="567" w:type="dxa"/>
            <w:vAlign w:val="center"/>
          </w:tcPr>
          <w:p w:rsidR="00CD7E2F" w:rsidRPr="003409C9" w:rsidRDefault="00CD7E2F" w:rsidP="00EA0500">
            <w:pPr>
              <w:spacing w:before="60" w:after="60" w:line="200" w:lineRule="exact"/>
              <w:jc w:val="right"/>
              <w:rPr>
                <w:noProof/>
                <w:sz w:val="16"/>
                <w:szCs w:val="16"/>
              </w:rPr>
            </w:pPr>
          </w:p>
        </w:tc>
        <w:tc>
          <w:tcPr>
            <w:tcW w:w="567" w:type="dxa"/>
            <w:vAlign w:val="center"/>
          </w:tcPr>
          <w:p w:rsidR="00CD7E2F" w:rsidRPr="003409C9" w:rsidRDefault="00CD7E2F" w:rsidP="00EA0500">
            <w:pPr>
              <w:spacing w:before="60" w:after="60" w:line="200" w:lineRule="exact"/>
              <w:jc w:val="right"/>
              <w:rPr>
                <w:noProof/>
                <w:sz w:val="16"/>
                <w:szCs w:val="16"/>
              </w:rPr>
            </w:pPr>
          </w:p>
        </w:tc>
        <w:tc>
          <w:tcPr>
            <w:tcW w:w="567" w:type="dxa"/>
            <w:vAlign w:val="center"/>
          </w:tcPr>
          <w:p w:rsidR="00CD7E2F" w:rsidRPr="003409C9" w:rsidRDefault="00CD7E2F" w:rsidP="00EA0500">
            <w:pPr>
              <w:spacing w:before="60" w:after="60" w:line="200" w:lineRule="exact"/>
              <w:jc w:val="right"/>
              <w:rPr>
                <w:noProof/>
                <w:sz w:val="16"/>
                <w:szCs w:val="16"/>
              </w:rPr>
            </w:pPr>
          </w:p>
        </w:tc>
        <w:tc>
          <w:tcPr>
            <w:tcW w:w="709" w:type="dxa"/>
            <w:shd w:val="clear" w:color="auto" w:fill="auto"/>
          </w:tcPr>
          <w:p w:rsidR="00CD7E2F" w:rsidRPr="003409C9" w:rsidRDefault="00CD7E2F" w:rsidP="00EA0500">
            <w:pPr>
              <w:spacing w:before="60" w:after="60" w:line="200" w:lineRule="exact"/>
              <w:jc w:val="right"/>
              <w:rPr>
                <w:noProof/>
                <w:sz w:val="16"/>
                <w:szCs w:val="16"/>
              </w:rPr>
            </w:pPr>
          </w:p>
        </w:tc>
        <w:tc>
          <w:tcPr>
            <w:tcW w:w="567" w:type="dxa"/>
            <w:shd w:val="clear" w:color="auto" w:fill="C6D9F1" w:themeFill="text2" w:themeFillTint="33"/>
            <w:vAlign w:val="center"/>
          </w:tcPr>
          <w:p w:rsidR="00CD7E2F" w:rsidRPr="003409C9" w:rsidRDefault="00CD7E2F" w:rsidP="00EA0500">
            <w:pPr>
              <w:spacing w:before="60" w:after="60" w:line="200" w:lineRule="exact"/>
              <w:jc w:val="right"/>
              <w:rPr>
                <w:noProof/>
                <w:sz w:val="16"/>
                <w:szCs w:val="16"/>
              </w:rPr>
            </w:pPr>
          </w:p>
        </w:tc>
        <w:tc>
          <w:tcPr>
            <w:tcW w:w="567" w:type="dxa"/>
            <w:vAlign w:val="center"/>
          </w:tcPr>
          <w:p w:rsidR="00CD7E2F" w:rsidRPr="003409C9" w:rsidRDefault="00CD7E2F" w:rsidP="00EA0500">
            <w:pPr>
              <w:spacing w:before="60" w:after="60" w:line="200" w:lineRule="exact"/>
              <w:jc w:val="right"/>
              <w:rPr>
                <w:noProof/>
                <w:sz w:val="16"/>
                <w:szCs w:val="16"/>
              </w:rPr>
            </w:pPr>
          </w:p>
        </w:tc>
        <w:tc>
          <w:tcPr>
            <w:tcW w:w="567" w:type="dxa"/>
            <w:vAlign w:val="center"/>
          </w:tcPr>
          <w:p w:rsidR="00CD7E2F" w:rsidRPr="003409C9" w:rsidRDefault="00CD7E2F" w:rsidP="00EA0500">
            <w:pPr>
              <w:spacing w:before="60" w:after="60" w:line="200" w:lineRule="exact"/>
              <w:jc w:val="right"/>
              <w:rPr>
                <w:noProof/>
                <w:sz w:val="16"/>
                <w:szCs w:val="16"/>
              </w:rPr>
            </w:pPr>
          </w:p>
        </w:tc>
        <w:tc>
          <w:tcPr>
            <w:tcW w:w="567" w:type="dxa"/>
            <w:vAlign w:val="center"/>
          </w:tcPr>
          <w:p w:rsidR="00CD7E2F" w:rsidRPr="003409C9" w:rsidRDefault="00CD7E2F" w:rsidP="00EA0500">
            <w:pPr>
              <w:spacing w:before="60" w:after="60" w:line="200" w:lineRule="exact"/>
              <w:jc w:val="right"/>
              <w:rPr>
                <w:b/>
                <w:noProof/>
                <w:sz w:val="16"/>
                <w:szCs w:val="16"/>
              </w:rPr>
            </w:pPr>
          </w:p>
        </w:tc>
        <w:tc>
          <w:tcPr>
            <w:tcW w:w="567" w:type="dxa"/>
            <w:vAlign w:val="center"/>
          </w:tcPr>
          <w:p w:rsidR="00CD7E2F" w:rsidRPr="003409C9" w:rsidRDefault="00CD7E2F" w:rsidP="00EA0500">
            <w:pPr>
              <w:spacing w:before="60" w:after="60" w:line="200" w:lineRule="exact"/>
              <w:jc w:val="right"/>
              <w:rPr>
                <w:b/>
                <w:noProof/>
                <w:sz w:val="16"/>
                <w:szCs w:val="16"/>
              </w:rPr>
            </w:pPr>
          </w:p>
        </w:tc>
        <w:tc>
          <w:tcPr>
            <w:tcW w:w="567" w:type="dxa"/>
          </w:tcPr>
          <w:p w:rsidR="00CD7E2F" w:rsidRPr="003409C9" w:rsidRDefault="00CD7E2F" w:rsidP="00EA0500">
            <w:pPr>
              <w:spacing w:before="60" w:after="60" w:line="200" w:lineRule="exact"/>
              <w:jc w:val="right"/>
              <w:rPr>
                <w:b/>
                <w:noProof/>
                <w:sz w:val="16"/>
                <w:szCs w:val="16"/>
              </w:rPr>
            </w:pPr>
          </w:p>
        </w:tc>
        <w:tc>
          <w:tcPr>
            <w:tcW w:w="709" w:type="dxa"/>
          </w:tcPr>
          <w:p w:rsidR="00CD7E2F" w:rsidRPr="003409C9" w:rsidRDefault="00CD7E2F" w:rsidP="00EA0500">
            <w:pPr>
              <w:spacing w:before="60" w:after="60" w:line="200" w:lineRule="exact"/>
              <w:jc w:val="right"/>
              <w:rPr>
                <w:b/>
                <w:noProof/>
                <w:sz w:val="16"/>
                <w:szCs w:val="16"/>
              </w:rPr>
            </w:pPr>
          </w:p>
        </w:tc>
        <w:tc>
          <w:tcPr>
            <w:tcW w:w="850" w:type="dxa"/>
          </w:tcPr>
          <w:p w:rsidR="00CD7E2F" w:rsidRPr="003409C9" w:rsidRDefault="00CD7E2F" w:rsidP="00EA0500">
            <w:pPr>
              <w:spacing w:before="60" w:after="60" w:line="200" w:lineRule="exact"/>
              <w:jc w:val="right"/>
              <w:rPr>
                <w:b/>
                <w:noProof/>
                <w:sz w:val="16"/>
                <w:szCs w:val="16"/>
              </w:rPr>
            </w:pPr>
          </w:p>
        </w:tc>
        <w:tc>
          <w:tcPr>
            <w:tcW w:w="709" w:type="dxa"/>
          </w:tcPr>
          <w:p w:rsidR="00CD7E2F" w:rsidRPr="003409C9" w:rsidRDefault="00CD7E2F" w:rsidP="00EA0500">
            <w:pPr>
              <w:spacing w:before="60" w:after="60" w:line="200" w:lineRule="exact"/>
              <w:jc w:val="right"/>
              <w:rPr>
                <w:b/>
                <w:noProof/>
                <w:sz w:val="16"/>
                <w:szCs w:val="16"/>
              </w:rPr>
            </w:pPr>
          </w:p>
        </w:tc>
        <w:tc>
          <w:tcPr>
            <w:tcW w:w="992" w:type="dxa"/>
          </w:tcPr>
          <w:p w:rsidR="00CD7E2F" w:rsidRPr="00BB07AF" w:rsidRDefault="00CD7E2F" w:rsidP="00EA0500">
            <w:pPr>
              <w:spacing w:before="60" w:after="60" w:line="200" w:lineRule="exact"/>
              <w:jc w:val="right"/>
              <w:rPr>
                <w:b/>
                <w:noProof/>
                <w:sz w:val="16"/>
                <w:szCs w:val="16"/>
              </w:rPr>
            </w:pPr>
          </w:p>
        </w:tc>
      </w:tr>
    </w:tbl>
    <w:p w:rsidR="00CD7E2F" w:rsidRPr="003409C9" w:rsidRDefault="00CD7E2F" w:rsidP="00CD7E2F">
      <w:pPr>
        <w:spacing w:line="200" w:lineRule="exact"/>
        <w:rPr>
          <w:noProof/>
          <w:sz w:val="16"/>
          <w:szCs w:val="16"/>
        </w:rPr>
      </w:pPr>
    </w:p>
    <w:tbl>
      <w:tblPr>
        <w:tblW w:w="11017" w:type="dxa"/>
        <w:tblInd w:w="-612" w:type="dxa"/>
        <w:tblLayout w:type="fixed"/>
        <w:tblCellMar>
          <w:left w:w="57" w:type="dxa"/>
          <w:right w:w="57" w:type="dxa"/>
        </w:tblCellMar>
        <w:tblLook w:val="01E0" w:firstRow="1" w:lastRow="1" w:firstColumn="1" w:lastColumn="1" w:noHBand="0" w:noVBand="0"/>
      </w:tblPr>
      <w:tblGrid>
        <w:gridCol w:w="1980"/>
        <w:gridCol w:w="583"/>
        <w:gridCol w:w="583"/>
        <w:gridCol w:w="567"/>
        <w:gridCol w:w="642"/>
        <w:gridCol w:w="567"/>
        <w:gridCol w:w="567"/>
        <w:gridCol w:w="567"/>
        <w:gridCol w:w="567"/>
        <w:gridCol w:w="567"/>
        <w:gridCol w:w="567"/>
        <w:gridCol w:w="709"/>
        <w:gridCol w:w="850"/>
        <w:gridCol w:w="709"/>
        <w:gridCol w:w="992"/>
      </w:tblGrid>
      <w:tr w:rsidR="00415F9E" w:rsidRPr="003409C9" w:rsidTr="00EA0500">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CD7E2F" w:rsidRPr="003409C9" w:rsidRDefault="00CD7E2F" w:rsidP="00EA0500">
            <w:pPr>
              <w:spacing w:before="60" w:after="60" w:line="200" w:lineRule="exact"/>
              <w:jc w:val="center"/>
              <w:rPr>
                <w:noProof/>
                <w:sz w:val="16"/>
                <w:szCs w:val="16"/>
              </w:rPr>
            </w:pPr>
            <w:r w:rsidRPr="00BB07AF">
              <w:rPr>
                <w:b/>
                <w:noProof/>
                <w:sz w:val="16"/>
              </w:rPr>
              <w:t>OGÓŁEM</w:t>
            </w:r>
          </w:p>
        </w:tc>
        <w:tc>
          <w:tcPr>
            <w:tcW w:w="583" w:type="dxa"/>
            <w:tcBorders>
              <w:top w:val="single" w:sz="12" w:space="0" w:color="auto"/>
              <w:left w:val="single" w:sz="2" w:space="0" w:color="auto"/>
              <w:bottom w:val="single" w:sz="12" w:space="0" w:color="auto"/>
              <w:right w:val="single" w:sz="2" w:space="0" w:color="auto"/>
            </w:tcBorders>
            <w:vAlign w:val="bottom"/>
          </w:tcPr>
          <w:p w:rsidR="00CD7E2F" w:rsidRPr="00BB07AF" w:rsidRDefault="00CD7E2F" w:rsidP="00EA0500">
            <w:pPr>
              <w:spacing w:before="60" w:after="60" w:line="200" w:lineRule="exact"/>
              <w:jc w:val="right"/>
              <w:rPr>
                <w:b/>
                <w:noProof/>
                <w:sz w:val="18"/>
                <w:szCs w:val="18"/>
              </w:rPr>
            </w:pPr>
            <w:r w:rsidRPr="003409C9">
              <w:rPr>
                <w:noProof/>
                <w:sz w:val="18"/>
              </w:rPr>
              <w:t>0,501</w:t>
            </w:r>
          </w:p>
        </w:tc>
        <w:tc>
          <w:tcPr>
            <w:tcW w:w="583" w:type="dxa"/>
            <w:tcBorders>
              <w:top w:val="single" w:sz="12" w:space="0" w:color="auto"/>
              <w:left w:val="single" w:sz="2" w:space="0" w:color="auto"/>
              <w:bottom w:val="single" w:sz="12" w:space="0" w:color="auto"/>
              <w:right w:val="single" w:sz="2" w:space="0" w:color="auto"/>
            </w:tcBorders>
            <w:vAlign w:val="bottom"/>
          </w:tcPr>
          <w:p w:rsidR="00CD7E2F" w:rsidRPr="00BB07AF" w:rsidRDefault="00CD7E2F" w:rsidP="00EA0500">
            <w:pPr>
              <w:spacing w:before="60" w:after="60" w:line="200" w:lineRule="exact"/>
              <w:jc w:val="right"/>
              <w:rPr>
                <w:b/>
                <w:noProof/>
                <w:sz w:val="18"/>
                <w:szCs w:val="18"/>
              </w:rPr>
            </w:pPr>
            <w:r w:rsidRPr="003409C9">
              <w:rPr>
                <w:noProof/>
                <w:sz w:val="18"/>
              </w:rPr>
              <w:t>0,744</w:t>
            </w:r>
          </w:p>
        </w:tc>
        <w:tc>
          <w:tcPr>
            <w:tcW w:w="567" w:type="dxa"/>
            <w:tcBorders>
              <w:top w:val="single" w:sz="12" w:space="0" w:color="auto"/>
              <w:left w:val="single" w:sz="2" w:space="0" w:color="auto"/>
              <w:bottom w:val="single" w:sz="12" w:space="0" w:color="auto"/>
              <w:right w:val="single" w:sz="2" w:space="0" w:color="auto"/>
            </w:tcBorders>
            <w:vAlign w:val="bottom"/>
          </w:tcPr>
          <w:p w:rsidR="00CD7E2F" w:rsidRPr="003409C9" w:rsidRDefault="00CD7E2F" w:rsidP="00EA0500">
            <w:pPr>
              <w:spacing w:before="60" w:after="60" w:line="200" w:lineRule="exact"/>
              <w:jc w:val="right"/>
              <w:rPr>
                <w:noProof/>
                <w:sz w:val="18"/>
                <w:szCs w:val="18"/>
              </w:rPr>
            </w:pPr>
            <w:r w:rsidRPr="003409C9">
              <w:rPr>
                <w:noProof/>
                <w:sz w:val="18"/>
              </w:rPr>
              <w:t>0,744</w:t>
            </w:r>
          </w:p>
        </w:tc>
        <w:tc>
          <w:tcPr>
            <w:tcW w:w="642" w:type="dxa"/>
            <w:tcBorders>
              <w:top w:val="single" w:sz="12" w:space="0" w:color="auto"/>
              <w:left w:val="single" w:sz="2" w:space="0" w:color="auto"/>
              <w:bottom w:val="single" w:sz="12" w:space="0" w:color="auto"/>
              <w:right w:val="single" w:sz="2" w:space="0" w:color="auto"/>
            </w:tcBorders>
            <w:shd w:val="clear" w:color="auto" w:fill="auto"/>
            <w:vAlign w:val="bottom"/>
          </w:tcPr>
          <w:p w:rsidR="00CD7E2F" w:rsidRPr="003409C9" w:rsidRDefault="00CD7E2F" w:rsidP="00EA0500">
            <w:pPr>
              <w:spacing w:before="60" w:after="60" w:line="200" w:lineRule="exact"/>
              <w:jc w:val="right"/>
              <w:rPr>
                <w:noProof/>
                <w:sz w:val="18"/>
                <w:szCs w:val="18"/>
              </w:rPr>
            </w:pPr>
            <w:r w:rsidRPr="003409C9">
              <w:rPr>
                <w:noProof/>
                <w:sz w:val="18"/>
              </w:rPr>
              <w:t>0,744</w:t>
            </w:r>
          </w:p>
        </w:tc>
        <w:tc>
          <w:tcPr>
            <w:tcW w:w="567" w:type="dxa"/>
            <w:tcBorders>
              <w:top w:val="single" w:sz="12" w:space="0" w:color="auto"/>
              <w:left w:val="single" w:sz="2" w:space="0" w:color="auto"/>
              <w:bottom w:val="single" w:sz="12" w:space="0" w:color="auto"/>
              <w:right w:val="single" w:sz="2" w:space="0" w:color="auto"/>
            </w:tcBorders>
            <w:shd w:val="clear" w:color="auto" w:fill="C6D9F1" w:themeFill="text2" w:themeFillTint="33"/>
            <w:vAlign w:val="bottom"/>
          </w:tcPr>
          <w:p w:rsidR="00CD7E2F" w:rsidRPr="003409C9" w:rsidRDefault="00CD7E2F" w:rsidP="00EA0500">
            <w:pPr>
              <w:spacing w:before="60" w:after="60" w:line="200" w:lineRule="exact"/>
              <w:jc w:val="right"/>
              <w:rPr>
                <w:noProof/>
                <w:sz w:val="18"/>
                <w:szCs w:val="18"/>
              </w:rPr>
            </w:pPr>
            <w:r w:rsidRPr="003409C9">
              <w:rPr>
                <w:noProof/>
                <w:color w:val="000000"/>
                <w:sz w:val="18"/>
              </w:rPr>
              <w:t>2,733</w:t>
            </w:r>
          </w:p>
        </w:tc>
        <w:tc>
          <w:tcPr>
            <w:tcW w:w="567" w:type="dxa"/>
            <w:tcBorders>
              <w:top w:val="single" w:sz="12" w:space="0" w:color="auto"/>
              <w:left w:val="single" w:sz="2" w:space="0" w:color="auto"/>
              <w:bottom w:val="single" w:sz="12" w:space="0" w:color="auto"/>
              <w:right w:val="single" w:sz="2" w:space="0" w:color="auto"/>
            </w:tcBorders>
            <w:vAlign w:val="bottom"/>
          </w:tcPr>
          <w:p w:rsidR="00CD7E2F" w:rsidRPr="00BB07AF" w:rsidRDefault="00CD7E2F" w:rsidP="00EA0500">
            <w:pPr>
              <w:spacing w:before="60" w:after="60" w:line="200" w:lineRule="exact"/>
              <w:jc w:val="right"/>
              <w:rPr>
                <w:b/>
                <w:noProof/>
                <w:sz w:val="18"/>
                <w:szCs w:val="18"/>
              </w:rPr>
            </w:pPr>
            <w:r w:rsidRPr="003409C9">
              <w:rPr>
                <w:noProof/>
                <w:sz w:val="18"/>
              </w:rPr>
              <w:t>0,744</w:t>
            </w:r>
          </w:p>
        </w:tc>
        <w:tc>
          <w:tcPr>
            <w:tcW w:w="567" w:type="dxa"/>
            <w:tcBorders>
              <w:top w:val="single" w:sz="12" w:space="0" w:color="auto"/>
              <w:left w:val="single" w:sz="2" w:space="0" w:color="auto"/>
              <w:bottom w:val="single" w:sz="12" w:space="0" w:color="auto"/>
              <w:right w:val="single" w:sz="2" w:space="0" w:color="auto"/>
            </w:tcBorders>
            <w:vAlign w:val="bottom"/>
          </w:tcPr>
          <w:p w:rsidR="00CD7E2F" w:rsidRPr="00BB07AF" w:rsidRDefault="00CD7E2F" w:rsidP="00EA0500">
            <w:pPr>
              <w:spacing w:before="60" w:after="60" w:line="200" w:lineRule="exact"/>
              <w:jc w:val="right"/>
              <w:rPr>
                <w:b/>
                <w:noProof/>
                <w:sz w:val="18"/>
                <w:szCs w:val="18"/>
              </w:rPr>
            </w:pPr>
            <w:r w:rsidRPr="003409C9">
              <w:rPr>
                <w:noProof/>
                <w:sz w:val="18"/>
              </w:rPr>
              <w:t>0,744</w:t>
            </w:r>
          </w:p>
        </w:tc>
        <w:tc>
          <w:tcPr>
            <w:tcW w:w="567" w:type="dxa"/>
            <w:tcBorders>
              <w:top w:val="single" w:sz="12" w:space="0" w:color="auto"/>
              <w:left w:val="single" w:sz="2" w:space="0" w:color="auto"/>
              <w:bottom w:val="single" w:sz="12" w:space="0" w:color="auto"/>
              <w:right w:val="single" w:sz="2" w:space="0" w:color="auto"/>
            </w:tcBorders>
            <w:shd w:val="clear" w:color="auto" w:fill="auto"/>
            <w:vAlign w:val="bottom"/>
          </w:tcPr>
          <w:p w:rsidR="00CD7E2F" w:rsidRPr="00BB07AF" w:rsidRDefault="00CD7E2F" w:rsidP="00EA0500">
            <w:pPr>
              <w:spacing w:before="60" w:after="60" w:line="200" w:lineRule="exact"/>
              <w:jc w:val="right"/>
              <w:rPr>
                <w:i/>
                <w:noProof/>
                <w:sz w:val="18"/>
                <w:szCs w:val="18"/>
              </w:rPr>
            </w:pPr>
            <w:r w:rsidRPr="003409C9">
              <w:rPr>
                <w:noProof/>
                <w:sz w:val="18"/>
              </w:rPr>
              <w:t>0,744</w:t>
            </w:r>
          </w:p>
        </w:tc>
        <w:tc>
          <w:tcPr>
            <w:tcW w:w="567" w:type="dxa"/>
            <w:tcBorders>
              <w:top w:val="single" w:sz="12" w:space="0" w:color="auto"/>
              <w:left w:val="single" w:sz="2" w:space="0" w:color="auto"/>
              <w:bottom w:val="single" w:sz="12" w:space="0" w:color="auto"/>
              <w:right w:val="single" w:sz="2" w:space="0" w:color="auto"/>
            </w:tcBorders>
            <w:shd w:val="clear" w:color="auto" w:fill="auto"/>
            <w:vAlign w:val="bottom"/>
          </w:tcPr>
          <w:p w:rsidR="00CD7E2F" w:rsidRPr="00BB07AF" w:rsidRDefault="00CD7E2F" w:rsidP="00EA0500">
            <w:pPr>
              <w:spacing w:before="60" w:after="60" w:line="200" w:lineRule="exact"/>
              <w:jc w:val="right"/>
              <w:rPr>
                <w:i/>
                <w:noProof/>
                <w:sz w:val="18"/>
                <w:szCs w:val="18"/>
              </w:rPr>
            </w:pPr>
            <w:r w:rsidRPr="003409C9">
              <w:rPr>
                <w:noProof/>
                <w:sz w:val="18"/>
              </w:rPr>
              <w:t>0,658</w:t>
            </w:r>
          </w:p>
        </w:tc>
        <w:tc>
          <w:tcPr>
            <w:tcW w:w="567" w:type="dxa"/>
            <w:tcBorders>
              <w:top w:val="single" w:sz="12" w:space="0" w:color="auto"/>
              <w:left w:val="single" w:sz="2" w:space="0" w:color="auto"/>
              <w:bottom w:val="single" w:sz="12" w:space="0" w:color="auto"/>
              <w:right w:val="single" w:sz="2" w:space="0" w:color="auto"/>
            </w:tcBorders>
            <w:shd w:val="clear" w:color="auto" w:fill="auto"/>
            <w:vAlign w:val="bottom"/>
          </w:tcPr>
          <w:p w:rsidR="00CD7E2F" w:rsidRPr="00BB07AF" w:rsidRDefault="00CD7E2F" w:rsidP="00EA0500">
            <w:pPr>
              <w:spacing w:before="60" w:after="60" w:line="200" w:lineRule="exact"/>
              <w:jc w:val="right"/>
              <w:rPr>
                <w:b/>
                <w:i/>
                <w:noProof/>
                <w:sz w:val="18"/>
                <w:szCs w:val="18"/>
              </w:rPr>
            </w:pPr>
            <w:r w:rsidRPr="003409C9">
              <w:rPr>
                <w:noProof/>
                <w:sz w:val="18"/>
              </w:rPr>
              <w:t>0,658</w:t>
            </w:r>
          </w:p>
        </w:tc>
        <w:tc>
          <w:tcPr>
            <w:tcW w:w="709" w:type="dxa"/>
            <w:tcBorders>
              <w:top w:val="single" w:sz="12" w:space="0" w:color="auto"/>
              <w:left w:val="single" w:sz="2" w:space="0" w:color="auto"/>
              <w:bottom w:val="single" w:sz="12" w:space="0" w:color="auto"/>
              <w:right w:val="single" w:sz="2" w:space="0" w:color="auto"/>
            </w:tcBorders>
            <w:vAlign w:val="bottom"/>
          </w:tcPr>
          <w:p w:rsidR="00CD7E2F" w:rsidRPr="00BB07AF" w:rsidRDefault="00CD7E2F" w:rsidP="00EA0500">
            <w:pPr>
              <w:spacing w:before="60" w:after="60" w:line="200" w:lineRule="exact"/>
              <w:jc w:val="right"/>
              <w:rPr>
                <w:b/>
                <w:noProof/>
                <w:sz w:val="18"/>
                <w:szCs w:val="18"/>
              </w:rPr>
            </w:pPr>
            <w:r w:rsidRPr="003409C9">
              <w:rPr>
                <w:noProof/>
                <w:sz w:val="18"/>
              </w:rPr>
              <w:t>0,658</w:t>
            </w:r>
          </w:p>
        </w:tc>
        <w:tc>
          <w:tcPr>
            <w:tcW w:w="850" w:type="dxa"/>
            <w:tcBorders>
              <w:top w:val="single" w:sz="12" w:space="0" w:color="auto"/>
              <w:left w:val="single" w:sz="2" w:space="0" w:color="auto"/>
              <w:bottom w:val="single" w:sz="12" w:space="0" w:color="auto"/>
              <w:right w:val="single" w:sz="2" w:space="0" w:color="auto"/>
            </w:tcBorders>
            <w:vAlign w:val="bottom"/>
          </w:tcPr>
          <w:p w:rsidR="00CD7E2F" w:rsidRPr="00BB07AF" w:rsidRDefault="00CD7E2F" w:rsidP="00EA0500">
            <w:pPr>
              <w:spacing w:before="60" w:after="60" w:line="200" w:lineRule="exact"/>
              <w:jc w:val="right"/>
              <w:rPr>
                <w:b/>
                <w:noProof/>
                <w:sz w:val="18"/>
                <w:szCs w:val="18"/>
              </w:rPr>
            </w:pPr>
            <w:r w:rsidRPr="003409C9">
              <w:rPr>
                <w:noProof/>
                <w:sz w:val="18"/>
              </w:rPr>
              <w:t>0,658</w:t>
            </w:r>
          </w:p>
        </w:tc>
        <w:tc>
          <w:tcPr>
            <w:tcW w:w="709" w:type="dxa"/>
            <w:tcBorders>
              <w:top w:val="single" w:sz="12" w:space="0" w:color="auto"/>
              <w:left w:val="single" w:sz="2" w:space="0" w:color="auto"/>
              <w:bottom w:val="single" w:sz="12" w:space="0" w:color="auto"/>
              <w:right w:val="single" w:sz="2" w:space="0" w:color="auto"/>
            </w:tcBorders>
            <w:shd w:val="clear" w:color="auto" w:fill="C6D9F1" w:themeFill="text2" w:themeFillTint="33"/>
            <w:vAlign w:val="bottom"/>
          </w:tcPr>
          <w:p w:rsidR="00CD7E2F" w:rsidRPr="003409C9" w:rsidRDefault="00CD7E2F" w:rsidP="00EA0500">
            <w:pPr>
              <w:spacing w:before="0" w:after="0"/>
              <w:jc w:val="right"/>
              <w:rPr>
                <w:b/>
                <w:noProof/>
                <w:sz w:val="18"/>
                <w:szCs w:val="18"/>
              </w:rPr>
            </w:pPr>
            <w:r w:rsidRPr="00BB07AF">
              <w:rPr>
                <w:i/>
                <w:noProof/>
                <w:sz w:val="18"/>
              </w:rPr>
              <w:t>4,864</w:t>
            </w:r>
          </w:p>
        </w:tc>
        <w:tc>
          <w:tcPr>
            <w:tcW w:w="992" w:type="dxa"/>
            <w:tcBorders>
              <w:top w:val="single" w:sz="12" w:space="0" w:color="auto"/>
              <w:left w:val="single" w:sz="2" w:space="0" w:color="auto"/>
              <w:bottom w:val="single" w:sz="12" w:space="0" w:color="auto"/>
              <w:right w:val="single" w:sz="2" w:space="0" w:color="auto"/>
            </w:tcBorders>
            <w:shd w:val="clear" w:color="auto" w:fill="auto"/>
            <w:vAlign w:val="bottom"/>
          </w:tcPr>
          <w:p w:rsidR="00CD7E2F" w:rsidRPr="00BB07AF" w:rsidRDefault="00CD7E2F" w:rsidP="00EA0500">
            <w:pPr>
              <w:spacing w:before="0" w:after="0"/>
              <w:jc w:val="right"/>
              <w:rPr>
                <w:b/>
                <w:noProof/>
                <w:color w:val="000000"/>
                <w:sz w:val="18"/>
                <w:szCs w:val="18"/>
              </w:rPr>
            </w:pPr>
            <w:r w:rsidRPr="00BB07AF">
              <w:rPr>
                <w:b/>
                <w:noProof/>
                <w:color w:val="000000"/>
                <w:sz w:val="18"/>
              </w:rPr>
              <w:t>7, 597</w:t>
            </w:r>
          </w:p>
        </w:tc>
      </w:tr>
    </w:tbl>
    <w:p w:rsidR="00CD7E2F" w:rsidRPr="003409C9" w:rsidRDefault="00CD7E2F" w:rsidP="00CD7E2F">
      <w:pPr>
        <w:rPr>
          <w:noProof/>
          <w:sz w:val="18"/>
        </w:rPr>
      </w:pPr>
      <w:bookmarkStart w:id="146" w:name="_Hlk118441882"/>
      <w:r w:rsidRPr="003409C9">
        <w:rPr>
          <w:noProof/>
          <w:sz w:val="18"/>
        </w:rPr>
        <w:t>Potrzeby</w:t>
      </w:r>
      <w:r w:rsidR="003409C9" w:rsidRPr="003409C9">
        <w:rPr>
          <w:noProof/>
          <w:sz w:val="18"/>
        </w:rPr>
        <w:t xml:space="preserve"> w zak</w:t>
      </w:r>
      <w:r w:rsidRPr="003409C9">
        <w:rPr>
          <w:noProof/>
          <w:sz w:val="18"/>
        </w:rPr>
        <w:t>resie środków na zasoby ludzkie</w:t>
      </w:r>
      <w:r w:rsidR="003409C9" w:rsidRPr="003409C9">
        <w:rPr>
          <w:noProof/>
          <w:sz w:val="18"/>
        </w:rPr>
        <w:t xml:space="preserve"> i inn</w:t>
      </w:r>
      <w:r w:rsidRPr="003409C9">
        <w:rPr>
          <w:noProof/>
          <w:sz w:val="18"/>
        </w:rPr>
        <w:t>e wydatki</w:t>
      </w:r>
      <w:r w:rsidR="003409C9" w:rsidRPr="003409C9">
        <w:rPr>
          <w:noProof/>
          <w:sz w:val="18"/>
        </w:rPr>
        <w:t xml:space="preserve"> o cha</w:t>
      </w:r>
      <w:r w:rsidRPr="003409C9">
        <w:rPr>
          <w:noProof/>
          <w:sz w:val="18"/>
        </w:rPr>
        <w:t>rakterze administracyjnym zostaną pokryte</w:t>
      </w:r>
      <w:r w:rsidR="003409C9" w:rsidRPr="003409C9">
        <w:rPr>
          <w:noProof/>
          <w:sz w:val="18"/>
        </w:rPr>
        <w:t xml:space="preserve"> z zas</w:t>
      </w:r>
      <w:r w:rsidRPr="003409C9">
        <w:rPr>
          <w:noProof/>
          <w:sz w:val="18"/>
        </w:rPr>
        <w:t>obów dyrekcji generalnej już przydzielonych na zarządzanie tym działaniem lub przesuniętych</w:t>
      </w:r>
      <w:r w:rsidR="003409C9" w:rsidRPr="003409C9">
        <w:rPr>
          <w:noProof/>
          <w:sz w:val="18"/>
        </w:rPr>
        <w:t xml:space="preserve"> w ram</w:t>
      </w:r>
      <w:r w:rsidRPr="003409C9">
        <w:rPr>
          <w:noProof/>
          <w:sz w:val="18"/>
        </w:rPr>
        <w:t>ach dyrekcji generalnej, uzupełnionych</w:t>
      </w:r>
      <w:r w:rsidR="003409C9" w:rsidRPr="003409C9">
        <w:rPr>
          <w:noProof/>
          <w:sz w:val="18"/>
        </w:rPr>
        <w:t xml:space="preserve"> w raz</w:t>
      </w:r>
      <w:r w:rsidRPr="003409C9">
        <w:rPr>
          <w:noProof/>
          <w:sz w:val="18"/>
        </w:rPr>
        <w:t>ie potrzeby wszelkimi dodatkowymi zasobami, które mogą zostać przydzielone zarządzającej dyrekcji generalnej</w:t>
      </w:r>
      <w:r w:rsidR="003409C9" w:rsidRPr="003409C9">
        <w:rPr>
          <w:noProof/>
          <w:sz w:val="18"/>
        </w:rPr>
        <w:t xml:space="preserve"> w ram</w:t>
      </w:r>
      <w:r w:rsidRPr="003409C9">
        <w:rPr>
          <w:noProof/>
          <w:sz w:val="18"/>
        </w:rPr>
        <w:t>ach procedury rocznego przydziału środków oraz</w:t>
      </w:r>
      <w:r w:rsidR="003409C9" w:rsidRPr="003409C9">
        <w:rPr>
          <w:noProof/>
          <w:sz w:val="18"/>
        </w:rPr>
        <w:t xml:space="preserve"> w świ</w:t>
      </w:r>
      <w:r w:rsidRPr="003409C9">
        <w:rPr>
          <w:noProof/>
          <w:sz w:val="18"/>
        </w:rPr>
        <w:t>etle istniejących ograniczeń budżetowych.</w:t>
      </w:r>
    </w:p>
    <w:bookmarkEnd w:id="145"/>
    <w:bookmarkEnd w:id="146"/>
    <w:p w:rsidR="00CD7E2F" w:rsidRPr="003409C9" w:rsidRDefault="00CD7E2F" w:rsidP="00CD7E2F">
      <w:pPr>
        <w:rPr>
          <w:noProof/>
          <w:sz w:val="18"/>
        </w:rPr>
        <w:sectPr w:rsidR="00CD7E2F" w:rsidRPr="003409C9" w:rsidSect="00883BC7">
          <w:pgSz w:w="11907" w:h="16840" w:code="9"/>
          <w:pgMar w:top="1134" w:right="1418" w:bottom="1134" w:left="1418" w:header="709" w:footer="709" w:gutter="0"/>
          <w:cols w:space="708"/>
          <w:docGrid w:linePitch="360"/>
        </w:sectPr>
      </w:pPr>
    </w:p>
    <w:p w:rsidR="00CD7E2F" w:rsidRPr="003409C9" w:rsidRDefault="009475BC" w:rsidP="009475BC">
      <w:pPr>
        <w:pStyle w:val="ManualHeading4"/>
        <w:rPr>
          <w:bCs/>
          <w:noProof/>
          <w:szCs w:val="24"/>
        </w:rPr>
      </w:pPr>
      <w:bookmarkStart w:id="147" w:name="_Hlk118441905"/>
      <w:r w:rsidRPr="003409C9">
        <w:rPr>
          <w:noProof/>
        </w:rPr>
        <w:t>3.2.4.1.</w:t>
      </w:r>
      <w:r w:rsidRPr="003409C9">
        <w:rPr>
          <w:noProof/>
        </w:rPr>
        <w:tab/>
        <w:t>Szacowane zapotrzebowanie na zasoby ludzkie (DG HOME)</w:t>
      </w:r>
    </w:p>
    <w:p w:rsidR="00CD7E2F" w:rsidRPr="003409C9" w:rsidRDefault="00CD7E2F" w:rsidP="00CD7E2F">
      <w:pPr>
        <w:pStyle w:val="ListDash1"/>
        <w:rPr>
          <w:noProof/>
        </w:rPr>
      </w:pPr>
      <w:r w:rsidRPr="003409C9">
        <w:rPr>
          <w:noProof/>
        </w:rPr>
        <w:sym w:font="Wingdings" w:char="F0A8"/>
      </w:r>
      <w:r w:rsidRPr="003409C9">
        <w:rPr>
          <w:noProof/>
        </w:rPr>
        <w:tab/>
        <w:t>Wniosek/inicjatywa nie wiąże się</w:t>
      </w:r>
      <w:r w:rsidR="003409C9" w:rsidRPr="003409C9">
        <w:rPr>
          <w:noProof/>
        </w:rPr>
        <w:t xml:space="preserve"> z kon</w:t>
      </w:r>
      <w:r w:rsidRPr="003409C9">
        <w:rPr>
          <w:noProof/>
        </w:rPr>
        <w:t xml:space="preserve">iecznością wykorzystania zasobów ludzkich. </w:t>
      </w:r>
    </w:p>
    <w:p w:rsidR="00CD7E2F" w:rsidRPr="003409C9" w:rsidRDefault="00CD7E2F" w:rsidP="00CD7E2F">
      <w:pPr>
        <w:pStyle w:val="ListDash1"/>
        <w:rPr>
          <w:noProof/>
        </w:rPr>
      </w:pPr>
      <w:r w:rsidRPr="003409C9">
        <w:rPr>
          <w:noProof/>
        </w:rPr>
        <w:sym w:font="Wingdings" w:char="F078"/>
      </w:r>
      <w:r w:rsidRPr="003409C9">
        <w:rPr>
          <w:noProof/>
        </w:rPr>
        <w:tab/>
        <w:t>Wniosek/inicjatywa wiąże się</w:t>
      </w:r>
      <w:r w:rsidR="003409C9" w:rsidRPr="003409C9">
        <w:rPr>
          <w:noProof/>
        </w:rPr>
        <w:t xml:space="preserve"> z kon</w:t>
      </w:r>
      <w:r w:rsidRPr="003409C9">
        <w:rPr>
          <w:noProof/>
        </w:rPr>
        <w:t>iecznością wykorzystania zasobów ludzkich, jak określono poniżej:</w:t>
      </w:r>
    </w:p>
    <w:p w:rsidR="00CD7E2F" w:rsidRPr="00BB07AF" w:rsidRDefault="00CD7E2F" w:rsidP="00CD7E2F">
      <w:pPr>
        <w:spacing w:after="60"/>
        <w:jc w:val="right"/>
        <w:rPr>
          <w:i/>
          <w:noProof/>
          <w:sz w:val="20"/>
        </w:rPr>
      </w:pPr>
      <w:r w:rsidRPr="00BB07AF">
        <w:rPr>
          <w:i/>
          <w:noProof/>
          <w:sz w:val="20"/>
        </w:rPr>
        <w:t>Wartości szacunkowe należy wyrazić</w:t>
      </w:r>
      <w:r w:rsidR="003409C9" w:rsidRPr="00BB07AF">
        <w:rPr>
          <w:i/>
          <w:noProof/>
          <w:sz w:val="20"/>
        </w:rPr>
        <w:t xml:space="preserve"> w ekw</w:t>
      </w:r>
      <w:r w:rsidRPr="00BB07AF">
        <w:rPr>
          <w:i/>
          <w:noProof/>
          <w:sz w:val="20"/>
        </w:rPr>
        <w:t>iwalentach pełnego czasu pracy</w:t>
      </w:r>
    </w:p>
    <w:tbl>
      <w:tblPr>
        <w:tblW w:w="11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731"/>
        <w:gridCol w:w="1645"/>
        <w:gridCol w:w="2378"/>
        <w:gridCol w:w="257"/>
        <w:gridCol w:w="474"/>
        <w:gridCol w:w="257"/>
        <w:gridCol w:w="474"/>
        <w:gridCol w:w="731"/>
        <w:gridCol w:w="731"/>
        <w:gridCol w:w="731"/>
        <w:gridCol w:w="731"/>
        <w:gridCol w:w="731"/>
        <w:gridCol w:w="731"/>
        <w:gridCol w:w="731"/>
      </w:tblGrid>
      <w:tr w:rsidR="00CD7E2F" w:rsidRPr="003409C9" w:rsidTr="00EA0500">
        <w:trPr>
          <w:gridBefore w:val="1"/>
          <w:wBefore w:w="15" w:type="dxa"/>
          <w:trHeight w:val="289"/>
          <w:jc w:val="center"/>
        </w:trPr>
        <w:tc>
          <w:tcPr>
            <w:tcW w:w="4754" w:type="dxa"/>
            <w:gridSpan w:val="3"/>
            <w:shd w:val="clear" w:color="auto" w:fill="auto"/>
          </w:tcPr>
          <w:p w:rsidR="00CD7E2F" w:rsidRPr="00BB07AF" w:rsidRDefault="00CD7E2F" w:rsidP="009B05A0">
            <w:pPr>
              <w:pStyle w:val="Text11"/>
              <w:spacing w:before="40" w:after="40"/>
              <w:ind w:left="0"/>
              <w:jc w:val="center"/>
              <w:rPr>
                <w:i/>
                <w:noProof/>
                <w:sz w:val="16"/>
                <w:szCs w:val="16"/>
              </w:rPr>
            </w:pPr>
          </w:p>
        </w:tc>
        <w:tc>
          <w:tcPr>
            <w:tcW w:w="731" w:type="dxa"/>
            <w:gridSpan w:val="2"/>
            <w:shd w:val="clear" w:color="auto" w:fill="auto"/>
            <w:vAlign w:val="center"/>
          </w:tcPr>
          <w:p w:rsidR="00CD7E2F" w:rsidRPr="003409C9" w:rsidRDefault="00CD7E2F" w:rsidP="00EA0500">
            <w:pPr>
              <w:spacing w:before="20" w:after="20"/>
              <w:jc w:val="center"/>
              <w:rPr>
                <w:noProof/>
                <w:sz w:val="16"/>
                <w:szCs w:val="16"/>
              </w:rPr>
            </w:pPr>
            <w:r w:rsidRPr="003409C9">
              <w:rPr>
                <w:noProof/>
                <w:sz w:val="16"/>
              </w:rPr>
              <w:t>Rok</w:t>
            </w:r>
            <w:r w:rsidRPr="003409C9">
              <w:rPr>
                <w:noProof/>
              </w:rPr>
              <w:t xml:space="preserve"> </w:t>
            </w:r>
            <w:r w:rsidRPr="003409C9">
              <w:rPr>
                <w:noProof/>
              </w:rPr>
              <w:br/>
            </w:r>
            <w:r w:rsidRPr="00BB07AF">
              <w:rPr>
                <w:b/>
                <w:noProof/>
                <w:sz w:val="16"/>
              </w:rPr>
              <w:t>2024</w:t>
            </w:r>
          </w:p>
        </w:tc>
        <w:tc>
          <w:tcPr>
            <w:tcW w:w="731" w:type="dxa"/>
            <w:gridSpan w:val="2"/>
            <w:vAlign w:val="center"/>
          </w:tcPr>
          <w:p w:rsidR="00CD7E2F" w:rsidRPr="003409C9" w:rsidRDefault="00CD7E2F" w:rsidP="00EA0500">
            <w:pPr>
              <w:spacing w:before="20" w:after="20"/>
              <w:jc w:val="center"/>
              <w:rPr>
                <w:noProof/>
                <w:sz w:val="16"/>
              </w:rPr>
            </w:pPr>
            <w:r w:rsidRPr="003409C9">
              <w:rPr>
                <w:noProof/>
                <w:sz w:val="16"/>
              </w:rPr>
              <w:t>Rok</w:t>
            </w:r>
            <w:r w:rsidRPr="003409C9">
              <w:rPr>
                <w:noProof/>
              </w:rPr>
              <w:t xml:space="preserve"> </w:t>
            </w:r>
            <w:r w:rsidRPr="003409C9">
              <w:rPr>
                <w:noProof/>
              </w:rPr>
              <w:br/>
            </w:r>
            <w:r w:rsidRPr="00BB07AF">
              <w:rPr>
                <w:b/>
                <w:noProof/>
                <w:sz w:val="16"/>
              </w:rPr>
              <w:t>2025</w:t>
            </w:r>
          </w:p>
        </w:tc>
        <w:tc>
          <w:tcPr>
            <w:tcW w:w="731" w:type="dxa"/>
            <w:vAlign w:val="center"/>
          </w:tcPr>
          <w:p w:rsidR="00CD7E2F" w:rsidRPr="003409C9" w:rsidRDefault="00CD7E2F" w:rsidP="00EA0500">
            <w:pPr>
              <w:spacing w:before="20" w:after="20"/>
              <w:jc w:val="center"/>
              <w:rPr>
                <w:noProof/>
                <w:sz w:val="16"/>
              </w:rPr>
            </w:pPr>
            <w:r w:rsidRPr="003409C9">
              <w:rPr>
                <w:noProof/>
                <w:sz w:val="16"/>
              </w:rPr>
              <w:t>Rok</w:t>
            </w:r>
            <w:r w:rsidRPr="003409C9">
              <w:rPr>
                <w:noProof/>
              </w:rPr>
              <w:t xml:space="preserve"> </w:t>
            </w:r>
            <w:r w:rsidRPr="003409C9">
              <w:rPr>
                <w:noProof/>
              </w:rPr>
              <w:br/>
            </w:r>
            <w:r w:rsidRPr="00BB07AF">
              <w:rPr>
                <w:b/>
                <w:noProof/>
                <w:sz w:val="16"/>
              </w:rPr>
              <w:t>2026</w:t>
            </w:r>
          </w:p>
        </w:tc>
        <w:tc>
          <w:tcPr>
            <w:tcW w:w="731" w:type="dxa"/>
            <w:vAlign w:val="center"/>
          </w:tcPr>
          <w:p w:rsidR="00CD7E2F" w:rsidRPr="003409C9" w:rsidRDefault="00CD7E2F" w:rsidP="00EA0500">
            <w:pPr>
              <w:spacing w:before="20" w:after="20"/>
              <w:jc w:val="center"/>
              <w:rPr>
                <w:noProof/>
                <w:sz w:val="16"/>
              </w:rPr>
            </w:pPr>
            <w:r w:rsidRPr="003409C9">
              <w:rPr>
                <w:noProof/>
                <w:sz w:val="16"/>
              </w:rPr>
              <w:t>Rok</w:t>
            </w:r>
            <w:r w:rsidRPr="003409C9">
              <w:rPr>
                <w:noProof/>
              </w:rPr>
              <w:t xml:space="preserve"> </w:t>
            </w:r>
            <w:r w:rsidRPr="003409C9">
              <w:rPr>
                <w:noProof/>
              </w:rPr>
              <w:br/>
            </w:r>
            <w:r w:rsidRPr="00BB07AF">
              <w:rPr>
                <w:b/>
                <w:noProof/>
                <w:sz w:val="16"/>
              </w:rPr>
              <w:t>2027</w:t>
            </w:r>
          </w:p>
        </w:tc>
        <w:tc>
          <w:tcPr>
            <w:tcW w:w="731" w:type="dxa"/>
            <w:shd w:val="clear" w:color="auto" w:fill="auto"/>
            <w:vAlign w:val="center"/>
          </w:tcPr>
          <w:p w:rsidR="00CD7E2F" w:rsidRPr="003409C9" w:rsidRDefault="00CD7E2F" w:rsidP="00EA0500">
            <w:pPr>
              <w:spacing w:before="20" w:after="20"/>
              <w:jc w:val="center"/>
              <w:rPr>
                <w:noProof/>
                <w:sz w:val="16"/>
              </w:rPr>
            </w:pPr>
            <w:r w:rsidRPr="003409C9">
              <w:rPr>
                <w:noProof/>
                <w:sz w:val="16"/>
              </w:rPr>
              <w:t xml:space="preserve">Rok </w:t>
            </w:r>
            <w:r w:rsidRPr="00BB07AF">
              <w:rPr>
                <w:b/>
                <w:noProof/>
                <w:sz w:val="16"/>
              </w:rPr>
              <w:t>2028</w:t>
            </w:r>
          </w:p>
        </w:tc>
        <w:tc>
          <w:tcPr>
            <w:tcW w:w="731" w:type="dxa"/>
            <w:vAlign w:val="center"/>
          </w:tcPr>
          <w:p w:rsidR="00CD7E2F" w:rsidRPr="003409C9" w:rsidRDefault="00CD7E2F" w:rsidP="00EA0500">
            <w:pPr>
              <w:spacing w:before="20" w:after="20"/>
              <w:jc w:val="center"/>
              <w:rPr>
                <w:noProof/>
                <w:sz w:val="16"/>
              </w:rPr>
            </w:pPr>
            <w:r w:rsidRPr="003409C9">
              <w:rPr>
                <w:noProof/>
                <w:sz w:val="16"/>
              </w:rPr>
              <w:t>Rok</w:t>
            </w:r>
            <w:r w:rsidRPr="003409C9">
              <w:rPr>
                <w:noProof/>
              </w:rPr>
              <w:t xml:space="preserve"> </w:t>
            </w:r>
            <w:r w:rsidRPr="003409C9">
              <w:rPr>
                <w:noProof/>
              </w:rPr>
              <w:br/>
            </w:r>
            <w:r w:rsidRPr="00BB07AF">
              <w:rPr>
                <w:b/>
                <w:noProof/>
                <w:sz w:val="16"/>
              </w:rPr>
              <w:t>2029</w:t>
            </w:r>
          </w:p>
        </w:tc>
        <w:tc>
          <w:tcPr>
            <w:tcW w:w="731" w:type="dxa"/>
            <w:shd w:val="clear" w:color="auto" w:fill="auto"/>
            <w:vAlign w:val="center"/>
          </w:tcPr>
          <w:p w:rsidR="00CD7E2F" w:rsidRPr="003409C9" w:rsidRDefault="00CD7E2F" w:rsidP="00EA0500">
            <w:pPr>
              <w:spacing w:before="20" w:after="20"/>
              <w:jc w:val="center"/>
              <w:rPr>
                <w:noProof/>
                <w:sz w:val="16"/>
                <w:szCs w:val="16"/>
              </w:rPr>
            </w:pPr>
            <w:r w:rsidRPr="003409C9">
              <w:rPr>
                <w:noProof/>
                <w:sz w:val="16"/>
              </w:rPr>
              <w:t>Rok</w:t>
            </w:r>
            <w:r w:rsidRPr="003409C9">
              <w:rPr>
                <w:noProof/>
              </w:rPr>
              <w:t xml:space="preserve"> </w:t>
            </w:r>
            <w:r w:rsidRPr="003409C9">
              <w:rPr>
                <w:noProof/>
              </w:rPr>
              <w:br/>
            </w:r>
            <w:r w:rsidRPr="00BB07AF">
              <w:rPr>
                <w:b/>
                <w:noProof/>
                <w:sz w:val="16"/>
              </w:rPr>
              <w:t>2030</w:t>
            </w:r>
          </w:p>
        </w:tc>
        <w:tc>
          <w:tcPr>
            <w:tcW w:w="731" w:type="dxa"/>
            <w:shd w:val="clear" w:color="auto" w:fill="auto"/>
            <w:vAlign w:val="center"/>
          </w:tcPr>
          <w:p w:rsidR="00CD7E2F" w:rsidRPr="003409C9" w:rsidRDefault="00CD7E2F" w:rsidP="00EA0500">
            <w:pPr>
              <w:spacing w:before="20" w:after="20"/>
              <w:jc w:val="center"/>
              <w:rPr>
                <w:noProof/>
                <w:sz w:val="16"/>
                <w:szCs w:val="16"/>
              </w:rPr>
            </w:pPr>
            <w:r w:rsidRPr="003409C9">
              <w:rPr>
                <w:noProof/>
                <w:sz w:val="16"/>
              </w:rPr>
              <w:t xml:space="preserve">Rok </w:t>
            </w:r>
            <w:r w:rsidRPr="00BB07AF">
              <w:rPr>
                <w:b/>
                <w:noProof/>
                <w:sz w:val="16"/>
              </w:rPr>
              <w:t>2031</w:t>
            </w:r>
          </w:p>
        </w:tc>
        <w:tc>
          <w:tcPr>
            <w:tcW w:w="731" w:type="dxa"/>
            <w:shd w:val="clear" w:color="auto" w:fill="auto"/>
            <w:vAlign w:val="center"/>
          </w:tcPr>
          <w:p w:rsidR="00CD7E2F" w:rsidRPr="003409C9" w:rsidRDefault="00CD7E2F" w:rsidP="00EA0500">
            <w:pPr>
              <w:spacing w:before="20" w:after="20"/>
              <w:jc w:val="center"/>
              <w:rPr>
                <w:noProof/>
                <w:sz w:val="16"/>
                <w:szCs w:val="16"/>
              </w:rPr>
            </w:pPr>
            <w:r w:rsidRPr="003409C9">
              <w:rPr>
                <w:noProof/>
                <w:sz w:val="16"/>
              </w:rPr>
              <w:t xml:space="preserve">Rok </w:t>
            </w:r>
            <w:r w:rsidRPr="00BB07AF">
              <w:rPr>
                <w:b/>
                <w:noProof/>
                <w:sz w:val="16"/>
              </w:rPr>
              <w:t>2032</w:t>
            </w:r>
          </w:p>
        </w:tc>
      </w:tr>
      <w:tr w:rsidR="00CD7E2F" w:rsidRPr="003409C9" w:rsidTr="00EA0500">
        <w:trPr>
          <w:gridBefore w:val="1"/>
          <w:gridAfter w:val="1"/>
          <w:wBefore w:w="15" w:type="dxa"/>
          <w:wAfter w:w="731" w:type="dxa"/>
          <w:trHeight w:val="289"/>
          <w:jc w:val="center"/>
        </w:trPr>
        <w:tc>
          <w:tcPr>
            <w:tcW w:w="731" w:type="dxa"/>
          </w:tcPr>
          <w:p w:rsidR="00CD7E2F" w:rsidRPr="003409C9" w:rsidRDefault="00CD7E2F" w:rsidP="00EA0500">
            <w:pPr>
              <w:jc w:val="left"/>
              <w:rPr>
                <w:b/>
                <w:noProof/>
                <w:sz w:val="16"/>
              </w:rPr>
            </w:pPr>
          </w:p>
        </w:tc>
        <w:tc>
          <w:tcPr>
            <w:tcW w:w="9871" w:type="dxa"/>
            <w:gridSpan w:val="12"/>
            <w:shd w:val="clear" w:color="auto" w:fill="auto"/>
          </w:tcPr>
          <w:p w:rsidR="00CD7E2F" w:rsidRPr="003409C9" w:rsidRDefault="00CD7E2F" w:rsidP="00EA0500">
            <w:pPr>
              <w:jc w:val="left"/>
              <w:rPr>
                <w:noProof/>
                <w:sz w:val="16"/>
                <w:szCs w:val="16"/>
              </w:rPr>
            </w:pPr>
            <w:r w:rsidRPr="00BB07AF">
              <w:rPr>
                <w:b/>
                <w:noProof/>
                <w:sz w:val="16"/>
              </w:rPr>
              <w:sym w:font="Wingdings" w:char="F09F"/>
            </w:r>
            <w:r w:rsidRPr="00BB07AF">
              <w:rPr>
                <w:b/>
                <w:noProof/>
                <w:sz w:val="16"/>
              </w:rPr>
              <w:t xml:space="preserve"> Stanowiska przewidziane</w:t>
            </w:r>
            <w:r w:rsidR="003409C9" w:rsidRPr="00BB07AF">
              <w:rPr>
                <w:b/>
                <w:noProof/>
                <w:sz w:val="16"/>
              </w:rPr>
              <w:t xml:space="preserve"> w pla</w:t>
            </w:r>
            <w:r w:rsidRPr="00BB07AF">
              <w:rPr>
                <w:b/>
                <w:noProof/>
                <w:sz w:val="16"/>
              </w:rPr>
              <w:t>nie zatrudnienia (stanowiska urzędników</w:t>
            </w:r>
            <w:r w:rsidR="003409C9" w:rsidRPr="00BB07AF">
              <w:rPr>
                <w:b/>
                <w:noProof/>
                <w:sz w:val="16"/>
              </w:rPr>
              <w:t xml:space="preserve"> i pra</w:t>
            </w:r>
            <w:r w:rsidRPr="00BB07AF">
              <w:rPr>
                <w:b/>
                <w:noProof/>
                <w:sz w:val="16"/>
              </w:rPr>
              <w:t>cowników zatrudnionych na czas określony)</w:t>
            </w:r>
          </w:p>
        </w:tc>
      </w:tr>
      <w:tr w:rsidR="00CD7E2F" w:rsidRPr="003409C9" w:rsidTr="00EA0500">
        <w:trPr>
          <w:gridBefore w:val="1"/>
          <w:wBefore w:w="15" w:type="dxa"/>
          <w:trHeight w:val="289"/>
          <w:jc w:val="center"/>
        </w:trPr>
        <w:tc>
          <w:tcPr>
            <w:tcW w:w="4754" w:type="dxa"/>
            <w:gridSpan w:val="3"/>
            <w:shd w:val="clear" w:color="auto" w:fill="auto"/>
            <w:vAlign w:val="center"/>
          </w:tcPr>
          <w:p w:rsidR="00CD7E2F" w:rsidRPr="00BB07AF" w:rsidRDefault="00CD7E2F" w:rsidP="009B05A0">
            <w:pPr>
              <w:pStyle w:val="Text11"/>
              <w:spacing w:beforeLines="20" w:before="48" w:afterLines="20" w:after="48"/>
              <w:ind w:left="134"/>
              <w:jc w:val="left"/>
              <w:rPr>
                <w:b/>
                <w:noProof/>
                <w:sz w:val="16"/>
                <w:szCs w:val="16"/>
              </w:rPr>
            </w:pPr>
            <w:r w:rsidRPr="003409C9">
              <w:rPr>
                <w:noProof/>
                <w:sz w:val="16"/>
              </w:rPr>
              <w:t>20 01 02 01</w:t>
            </w:r>
            <w:r w:rsidRPr="003409C9">
              <w:rPr>
                <w:rFonts w:ascii="Arial Narrow" w:hAnsi="Arial Narrow"/>
                <w:noProof/>
                <w:color w:val="000000"/>
                <w:sz w:val="20"/>
              </w:rPr>
              <w:t xml:space="preserve"> </w:t>
            </w:r>
            <w:r w:rsidRPr="003409C9">
              <w:rPr>
                <w:noProof/>
                <w:sz w:val="16"/>
              </w:rPr>
              <w:t>(w centrali</w:t>
            </w:r>
            <w:r w:rsidR="003409C9" w:rsidRPr="003409C9">
              <w:rPr>
                <w:noProof/>
                <w:sz w:val="16"/>
              </w:rPr>
              <w:t xml:space="preserve"> i w biu</w:t>
            </w:r>
            <w:r w:rsidRPr="003409C9">
              <w:rPr>
                <w:noProof/>
                <w:sz w:val="16"/>
              </w:rPr>
              <w:t>rach przedstawicielstw Komisji)</w:t>
            </w:r>
          </w:p>
        </w:tc>
        <w:tc>
          <w:tcPr>
            <w:tcW w:w="731" w:type="dxa"/>
            <w:gridSpan w:val="2"/>
            <w:shd w:val="clear" w:color="auto" w:fill="auto"/>
            <w:vAlign w:val="center"/>
          </w:tcPr>
          <w:p w:rsidR="00CD7E2F" w:rsidRPr="003409C9" w:rsidRDefault="00CD7E2F" w:rsidP="00EA0500">
            <w:pPr>
              <w:spacing w:beforeLines="20" w:before="48" w:afterLines="20" w:after="48"/>
              <w:jc w:val="center"/>
              <w:rPr>
                <w:noProof/>
                <w:sz w:val="16"/>
                <w:szCs w:val="16"/>
              </w:rPr>
            </w:pPr>
            <w:r w:rsidRPr="003409C9">
              <w:rPr>
                <w:noProof/>
                <w:sz w:val="16"/>
              </w:rPr>
              <w:t>2</w:t>
            </w:r>
          </w:p>
        </w:tc>
        <w:tc>
          <w:tcPr>
            <w:tcW w:w="731" w:type="dxa"/>
            <w:gridSpan w:val="2"/>
            <w:vAlign w:val="center"/>
          </w:tcPr>
          <w:p w:rsidR="00CD7E2F" w:rsidRPr="003409C9" w:rsidRDefault="00CD7E2F" w:rsidP="00EA0500">
            <w:pPr>
              <w:spacing w:beforeLines="20" w:before="48" w:afterLines="20" w:after="48"/>
              <w:jc w:val="center"/>
              <w:rPr>
                <w:noProof/>
                <w:sz w:val="16"/>
                <w:szCs w:val="16"/>
              </w:rPr>
            </w:pPr>
            <w:r w:rsidRPr="003409C9">
              <w:rPr>
                <w:noProof/>
                <w:sz w:val="16"/>
              </w:rPr>
              <w:t>3</w:t>
            </w:r>
          </w:p>
        </w:tc>
        <w:tc>
          <w:tcPr>
            <w:tcW w:w="731" w:type="dxa"/>
            <w:vAlign w:val="center"/>
          </w:tcPr>
          <w:p w:rsidR="00CD7E2F" w:rsidRPr="003409C9" w:rsidRDefault="00CD7E2F" w:rsidP="00EA0500">
            <w:pPr>
              <w:spacing w:beforeLines="20" w:before="48" w:afterLines="20" w:after="48"/>
              <w:jc w:val="center"/>
              <w:rPr>
                <w:noProof/>
                <w:sz w:val="16"/>
                <w:szCs w:val="16"/>
              </w:rPr>
            </w:pPr>
            <w:r w:rsidRPr="003409C9">
              <w:rPr>
                <w:noProof/>
                <w:sz w:val="16"/>
              </w:rPr>
              <w:t>3</w:t>
            </w:r>
          </w:p>
        </w:tc>
        <w:tc>
          <w:tcPr>
            <w:tcW w:w="731" w:type="dxa"/>
            <w:vAlign w:val="center"/>
          </w:tcPr>
          <w:p w:rsidR="00CD7E2F" w:rsidRPr="003409C9" w:rsidRDefault="00CD7E2F" w:rsidP="00EA0500">
            <w:pPr>
              <w:spacing w:beforeLines="20" w:before="48" w:afterLines="20" w:after="48"/>
              <w:jc w:val="center"/>
              <w:rPr>
                <w:noProof/>
                <w:sz w:val="16"/>
                <w:szCs w:val="16"/>
              </w:rPr>
            </w:pPr>
            <w:r w:rsidRPr="003409C9">
              <w:rPr>
                <w:noProof/>
                <w:sz w:val="16"/>
              </w:rPr>
              <w:t>3</w:t>
            </w: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r w:rsidRPr="003409C9">
              <w:rPr>
                <w:noProof/>
                <w:sz w:val="16"/>
              </w:rPr>
              <w:t>3</w:t>
            </w:r>
          </w:p>
        </w:tc>
        <w:tc>
          <w:tcPr>
            <w:tcW w:w="731" w:type="dxa"/>
            <w:vAlign w:val="center"/>
          </w:tcPr>
          <w:p w:rsidR="00CD7E2F" w:rsidRPr="003409C9" w:rsidRDefault="00CD7E2F" w:rsidP="00EA0500">
            <w:pPr>
              <w:spacing w:beforeLines="20" w:before="48" w:afterLines="20" w:after="48"/>
              <w:jc w:val="center"/>
              <w:rPr>
                <w:noProof/>
                <w:sz w:val="16"/>
                <w:szCs w:val="16"/>
              </w:rPr>
            </w:pPr>
            <w:r w:rsidRPr="003409C9">
              <w:rPr>
                <w:noProof/>
                <w:sz w:val="16"/>
              </w:rPr>
              <w:t>3</w:t>
            </w: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r w:rsidRPr="003409C9">
              <w:rPr>
                <w:noProof/>
                <w:sz w:val="16"/>
              </w:rPr>
              <w:t>3</w:t>
            </w: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r w:rsidRPr="003409C9">
              <w:rPr>
                <w:noProof/>
                <w:sz w:val="16"/>
              </w:rPr>
              <w:t>3</w:t>
            </w: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r w:rsidRPr="003409C9">
              <w:rPr>
                <w:noProof/>
                <w:sz w:val="16"/>
              </w:rPr>
              <w:t>3</w:t>
            </w:r>
          </w:p>
        </w:tc>
      </w:tr>
      <w:tr w:rsidR="00CD7E2F" w:rsidRPr="003409C9" w:rsidTr="00EA0500">
        <w:trPr>
          <w:gridBefore w:val="1"/>
          <w:wBefore w:w="15" w:type="dxa"/>
          <w:trHeight w:val="289"/>
          <w:jc w:val="center"/>
        </w:trPr>
        <w:tc>
          <w:tcPr>
            <w:tcW w:w="4754" w:type="dxa"/>
            <w:gridSpan w:val="3"/>
            <w:shd w:val="clear" w:color="auto" w:fill="auto"/>
            <w:vAlign w:val="center"/>
          </w:tcPr>
          <w:p w:rsidR="00CD7E2F" w:rsidRPr="003409C9" w:rsidRDefault="00CD7E2F" w:rsidP="009B05A0">
            <w:pPr>
              <w:pStyle w:val="Text11"/>
              <w:spacing w:beforeLines="20" w:before="48" w:afterLines="20" w:after="48"/>
              <w:ind w:left="134"/>
              <w:jc w:val="left"/>
              <w:rPr>
                <w:noProof/>
                <w:sz w:val="16"/>
              </w:rPr>
            </w:pPr>
            <w:r w:rsidRPr="003409C9">
              <w:rPr>
                <w:noProof/>
                <w:sz w:val="16"/>
              </w:rPr>
              <w:t>20 01 02 03 (w delegaturach)</w:t>
            </w:r>
          </w:p>
        </w:tc>
        <w:tc>
          <w:tcPr>
            <w:tcW w:w="731" w:type="dxa"/>
            <w:gridSpan w:val="2"/>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gridSpan w:val="2"/>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r>
      <w:tr w:rsidR="00CD7E2F" w:rsidRPr="003409C9" w:rsidTr="00EA0500">
        <w:trPr>
          <w:gridBefore w:val="1"/>
          <w:wBefore w:w="15" w:type="dxa"/>
          <w:trHeight w:val="289"/>
          <w:jc w:val="center"/>
        </w:trPr>
        <w:tc>
          <w:tcPr>
            <w:tcW w:w="4754" w:type="dxa"/>
            <w:gridSpan w:val="3"/>
            <w:shd w:val="clear" w:color="auto" w:fill="auto"/>
            <w:vAlign w:val="center"/>
          </w:tcPr>
          <w:p w:rsidR="00CD7E2F" w:rsidRPr="003409C9" w:rsidRDefault="00CD7E2F" w:rsidP="009B05A0">
            <w:pPr>
              <w:pStyle w:val="Text11"/>
              <w:spacing w:beforeLines="20" w:before="48" w:afterLines="20" w:after="48"/>
              <w:ind w:left="134"/>
              <w:jc w:val="left"/>
              <w:rPr>
                <w:noProof/>
                <w:sz w:val="16"/>
                <w:szCs w:val="16"/>
              </w:rPr>
            </w:pPr>
            <w:r w:rsidRPr="003409C9">
              <w:rPr>
                <w:noProof/>
                <w:sz w:val="16"/>
              </w:rPr>
              <w:t>01 01 01 01</w:t>
            </w:r>
            <w:r w:rsidR="003B5A1D" w:rsidRPr="003409C9">
              <w:rPr>
                <w:rFonts w:ascii="Arial Narrow" w:hAnsi="Arial Narrow"/>
                <w:noProof/>
                <w:color w:val="000000"/>
                <w:sz w:val="20"/>
              </w:rPr>
              <w:t xml:space="preserve"> </w:t>
            </w:r>
            <w:r w:rsidRPr="003409C9">
              <w:rPr>
                <w:noProof/>
                <w:sz w:val="16"/>
              </w:rPr>
              <w:t>(pośrednie badania naukowe)</w:t>
            </w:r>
          </w:p>
        </w:tc>
        <w:tc>
          <w:tcPr>
            <w:tcW w:w="731" w:type="dxa"/>
            <w:gridSpan w:val="2"/>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gridSpan w:val="2"/>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r>
      <w:tr w:rsidR="00CD7E2F" w:rsidRPr="003409C9" w:rsidTr="00EA0500">
        <w:trPr>
          <w:gridBefore w:val="1"/>
          <w:wBefore w:w="15" w:type="dxa"/>
          <w:trHeight w:val="289"/>
          <w:jc w:val="center"/>
        </w:trPr>
        <w:tc>
          <w:tcPr>
            <w:tcW w:w="4754" w:type="dxa"/>
            <w:gridSpan w:val="3"/>
            <w:shd w:val="clear" w:color="auto" w:fill="auto"/>
            <w:vAlign w:val="center"/>
          </w:tcPr>
          <w:p w:rsidR="00CD7E2F" w:rsidRPr="003409C9" w:rsidRDefault="00CD7E2F" w:rsidP="009B05A0">
            <w:pPr>
              <w:pStyle w:val="Text11"/>
              <w:spacing w:beforeLines="20" w:before="48" w:afterLines="20" w:after="48"/>
              <w:ind w:left="134"/>
              <w:jc w:val="left"/>
              <w:rPr>
                <w:noProof/>
                <w:sz w:val="16"/>
                <w:szCs w:val="16"/>
              </w:rPr>
            </w:pPr>
            <w:r w:rsidRPr="003409C9">
              <w:rPr>
                <w:noProof/>
                <w:sz w:val="16"/>
              </w:rPr>
              <w:t xml:space="preserve"> 01 01 01 11 (bezpośrednie badania naukowe)</w:t>
            </w:r>
          </w:p>
        </w:tc>
        <w:tc>
          <w:tcPr>
            <w:tcW w:w="731" w:type="dxa"/>
            <w:gridSpan w:val="2"/>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gridSpan w:val="2"/>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r>
      <w:tr w:rsidR="00CD7E2F" w:rsidRPr="003409C9" w:rsidTr="00EA0500">
        <w:trPr>
          <w:gridBefore w:val="1"/>
          <w:wBefore w:w="15" w:type="dxa"/>
          <w:trHeight w:val="289"/>
          <w:jc w:val="center"/>
        </w:trPr>
        <w:tc>
          <w:tcPr>
            <w:tcW w:w="4754" w:type="dxa"/>
            <w:gridSpan w:val="3"/>
            <w:shd w:val="clear" w:color="auto" w:fill="auto"/>
            <w:vAlign w:val="center"/>
          </w:tcPr>
          <w:p w:rsidR="00CD7E2F" w:rsidRPr="003409C9" w:rsidRDefault="00CD7E2F" w:rsidP="009B05A0">
            <w:pPr>
              <w:pStyle w:val="Text11"/>
              <w:spacing w:beforeLines="20" w:before="48" w:afterLines="20" w:after="48"/>
              <w:ind w:left="134"/>
              <w:jc w:val="left"/>
              <w:rPr>
                <w:noProof/>
                <w:sz w:val="16"/>
              </w:rPr>
            </w:pPr>
            <w:r w:rsidRPr="003409C9">
              <w:rPr>
                <w:noProof/>
                <w:sz w:val="16"/>
              </w:rPr>
              <w:t>Inna linia budżetowa (określić)</w:t>
            </w:r>
          </w:p>
        </w:tc>
        <w:tc>
          <w:tcPr>
            <w:tcW w:w="731" w:type="dxa"/>
            <w:gridSpan w:val="2"/>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gridSpan w:val="2"/>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r>
      <w:tr w:rsidR="00CD7E2F" w:rsidRPr="003409C9" w:rsidTr="00EA0500">
        <w:trPr>
          <w:gridAfter w:val="8"/>
          <w:wAfter w:w="5591" w:type="dxa"/>
          <w:trHeight w:val="248"/>
          <w:jc w:val="center"/>
        </w:trPr>
        <w:tc>
          <w:tcPr>
            <w:tcW w:w="5026" w:type="dxa"/>
            <w:gridSpan w:val="5"/>
            <w:tcBorders>
              <w:left w:val="nil"/>
              <w:bottom w:val="nil"/>
              <w:right w:val="nil"/>
            </w:tcBorders>
            <w:vAlign w:val="center"/>
          </w:tcPr>
          <w:p w:rsidR="00CD7E2F" w:rsidRPr="00BB07AF" w:rsidRDefault="00CD7E2F" w:rsidP="00EA0500">
            <w:pPr>
              <w:jc w:val="center"/>
              <w:rPr>
                <w:b/>
                <w:noProof/>
                <w:sz w:val="16"/>
              </w:rPr>
            </w:pPr>
            <w:r w:rsidRPr="00BB07AF">
              <w:rPr>
                <w:b/>
                <w:noProof/>
                <w:sz w:val="16"/>
              </w:rPr>
              <w:t>Personel zewnętrzny (w ekwiwalentach pełnego czasu pracy: EPC)</w:t>
            </w:r>
          </w:p>
          <w:p w:rsidR="00CD7E2F" w:rsidRPr="003409C9" w:rsidRDefault="00CD7E2F" w:rsidP="009B05A0">
            <w:pPr>
              <w:pStyle w:val="Text11"/>
              <w:spacing w:before="60" w:after="60"/>
              <w:ind w:left="0"/>
              <w:jc w:val="center"/>
              <w:rPr>
                <w:b/>
                <w:noProof/>
                <w:sz w:val="16"/>
              </w:rPr>
            </w:pPr>
          </w:p>
        </w:tc>
        <w:tc>
          <w:tcPr>
            <w:tcW w:w="731" w:type="dxa"/>
            <w:gridSpan w:val="2"/>
            <w:tcBorders>
              <w:left w:val="nil"/>
              <w:bottom w:val="nil"/>
              <w:right w:val="nil"/>
            </w:tcBorders>
            <w:vAlign w:val="center"/>
          </w:tcPr>
          <w:p w:rsidR="00CD7E2F" w:rsidRPr="00BB07AF" w:rsidRDefault="00CD7E2F" w:rsidP="00EA0500">
            <w:pPr>
              <w:jc w:val="center"/>
              <w:rPr>
                <w:b/>
                <w:noProof/>
                <w:sz w:val="16"/>
              </w:rPr>
            </w:pPr>
          </w:p>
        </w:tc>
      </w:tr>
      <w:tr w:rsidR="00CD7E2F" w:rsidRPr="003409C9" w:rsidTr="00EA0500">
        <w:trPr>
          <w:gridBefore w:val="1"/>
          <w:wBefore w:w="15" w:type="dxa"/>
          <w:trHeight w:val="289"/>
          <w:jc w:val="center"/>
        </w:trPr>
        <w:tc>
          <w:tcPr>
            <w:tcW w:w="4754" w:type="dxa"/>
            <w:gridSpan w:val="3"/>
            <w:shd w:val="clear" w:color="auto" w:fill="auto"/>
            <w:vAlign w:val="center"/>
          </w:tcPr>
          <w:p w:rsidR="00CD7E2F" w:rsidRPr="00BB07AF" w:rsidRDefault="00CD7E2F" w:rsidP="009B05A0">
            <w:pPr>
              <w:pStyle w:val="Text11"/>
              <w:spacing w:beforeLines="20" w:before="48" w:afterLines="20" w:after="48"/>
              <w:ind w:left="136"/>
              <w:jc w:val="left"/>
              <w:rPr>
                <w:b/>
                <w:noProof/>
                <w:sz w:val="16"/>
                <w:szCs w:val="16"/>
              </w:rPr>
            </w:pPr>
            <w:r w:rsidRPr="003409C9">
              <w:rPr>
                <w:noProof/>
                <w:sz w:val="16"/>
              </w:rPr>
              <w:t>20 02 01</w:t>
            </w:r>
            <w:r w:rsidRPr="003409C9">
              <w:rPr>
                <w:rFonts w:ascii="Arial Narrow" w:hAnsi="Arial Narrow"/>
                <w:noProof/>
                <w:color w:val="000000"/>
                <w:sz w:val="20"/>
              </w:rPr>
              <w:t xml:space="preserve"> </w:t>
            </w:r>
            <w:r w:rsidRPr="003409C9">
              <w:rPr>
                <w:noProof/>
                <w:sz w:val="16"/>
              </w:rPr>
              <w:t>(CA, SNE, INT</w:t>
            </w:r>
            <w:r w:rsidR="003409C9" w:rsidRPr="003409C9">
              <w:rPr>
                <w:noProof/>
                <w:sz w:val="16"/>
              </w:rPr>
              <w:t xml:space="preserve"> z glo</w:t>
            </w:r>
            <w:r w:rsidRPr="003409C9">
              <w:rPr>
                <w:noProof/>
                <w:sz w:val="16"/>
              </w:rPr>
              <w:t>balnej koperty finansowej)</w:t>
            </w:r>
          </w:p>
        </w:tc>
        <w:tc>
          <w:tcPr>
            <w:tcW w:w="731" w:type="dxa"/>
            <w:gridSpan w:val="2"/>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gridSpan w:val="2"/>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r>
      <w:tr w:rsidR="00CD7E2F" w:rsidRPr="003409C9" w:rsidTr="00EA0500">
        <w:trPr>
          <w:gridBefore w:val="1"/>
          <w:wBefore w:w="15" w:type="dxa"/>
          <w:trHeight w:val="289"/>
          <w:jc w:val="center"/>
        </w:trPr>
        <w:tc>
          <w:tcPr>
            <w:tcW w:w="4754" w:type="dxa"/>
            <w:gridSpan w:val="3"/>
            <w:shd w:val="clear" w:color="auto" w:fill="auto"/>
            <w:vAlign w:val="center"/>
          </w:tcPr>
          <w:p w:rsidR="00CD7E2F" w:rsidRPr="003409C9" w:rsidRDefault="00CD7E2F" w:rsidP="009B05A0">
            <w:pPr>
              <w:pStyle w:val="Text11"/>
              <w:spacing w:beforeLines="20" w:before="48" w:afterLines="20" w:after="48"/>
              <w:ind w:left="136"/>
              <w:jc w:val="left"/>
              <w:rPr>
                <w:noProof/>
                <w:sz w:val="16"/>
              </w:rPr>
            </w:pPr>
            <w:r w:rsidRPr="003409C9">
              <w:rPr>
                <w:noProof/>
                <w:sz w:val="16"/>
              </w:rPr>
              <w:t>20 02 03 (CA, LA, SNE, INT i JPD</w:t>
            </w:r>
            <w:r w:rsidR="003409C9" w:rsidRPr="003409C9">
              <w:rPr>
                <w:noProof/>
                <w:sz w:val="16"/>
              </w:rPr>
              <w:t xml:space="preserve"> w del</w:t>
            </w:r>
            <w:r w:rsidRPr="003409C9">
              <w:rPr>
                <w:noProof/>
                <w:sz w:val="16"/>
              </w:rPr>
              <w:t>egaturach)</w:t>
            </w:r>
          </w:p>
        </w:tc>
        <w:tc>
          <w:tcPr>
            <w:tcW w:w="731" w:type="dxa"/>
            <w:gridSpan w:val="2"/>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gridSpan w:val="2"/>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r>
      <w:tr w:rsidR="00CD7E2F" w:rsidRPr="003409C9" w:rsidTr="00EA0500">
        <w:trPr>
          <w:gridBefore w:val="1"/>
          <w:wBefore w:w="15" w:type="dxa"/>
          <w:trHeight w:val="289"/>
          <w:jc w:val="center"/>
        </w:trPr>
        <w:tc>
          <w:tcPr>
            <w:tcW w:w="2376" w:type="dxa"/>
            <w:gridSpan w:val="2"/>
            <w:vMerge w:val="restart"/>
            <w:shd w:val="clear" w:color="auto" w:fill="auto"/>
            <w:vAlign w:val="center"/>
          </w:tcPr>
          <w:p w:rsidR="00CD7E2F" w:rsidRPr="00BB07AF" w:rsidRDefault="00CD7E2F" w:rsidP="009B05A0">
            <w:pPr>
              <w:pStyle w:val="Text11"/>
              <w:spacing w:beforeLines="20" w:before="48" w:afterLines="20" w:after="48"/>
              <w:ind w:left="136"/>
              <w:jc w:val="left"/>
              <w:rPr>
                <w:b/>
                <w:noProof/>
                <w:sz w:val="16"/>
                <w:szCs w:val="16"/>
              </w:rPr>
            </w:pPr>
            <w:r w:rsidRPr="00BB07AF">
              <w:rPr>
                <w:b/>
                <w:noProof/>
                <w:sz w:val="16"/>
              </w:rPr>
              <w:t>XX</w:t>
            </w:r>
            <w:r w:rsidRPr="003409C9">
              <w:rPr>
                <w:noProof/>
                <w:sz w:val="16"/>
              </w:rPr>
              <w:t xml:space="preserve"> 01</w:t>
            </w:r>
            <w:r w:rsidR="003B5A1D" w:rsidRPr="003409C9">
              <w:rPr>
                <w:noProof/>
                <w:sz w:val="16"/>
              </w:rPr>
              <w:t xml:space="preserve"> </w:t>
            </w:r>
            <w:r w:rsidRPr="003409C9">
              <w:rPr>
                <w:noProof/>
                <w:sz w:val="16"/>
              </w:rPr>
              <w:t xml:space="preserve">xx </w:t>
            </w:r>
            <w:r w:rsidRPr="00BB07AF">
              <w:rPr>
                <w:b/>
                <w:noProof/>
                <w:sz w:val="16"/>
              </w:rPr>
              <w:t>yy zz</w:t>
            </w:r>
            <w:r w:rsidR="003B5A1D" w:rsidRPr="00BB07AF">
              <w:rPr>
                <w:b/>
                <w:noProof/>
                <w:sz w:val="16"/>
              </w:rPr>
              <w:t xml:space="preserve"> </w:t>
            </w:r>
            <w:r w:rsidRPr="00BB07AF">
              <w:rPr>
                <w:rStyle w:val="FootnoteReference0"/>
                <w:b/>
                <w:noProof/>
                <w:sz w:val="16"/>
              </w:rPr>
              <w:footnoteReference w:id="64"/>
            </w:r>
          </w:p>
          <w:p w:rsidR="00CD7E2F" w:rsidRPr="00BB07AF" w:rsidRDefault="00CD7E2F" w:rsidP="009B05A0">
            <w:pPr>
              <w:pStyle w:val="Text11"/>
              <w:spacing w:beforeLines="20" w:before="48" w:afterLines="20" w:after="48"/>
              <w:ind w:left="136"/>
              <w:jc w:val="left"/>
              <w:rPr>
                <w:b/>
                <w:noProof/>
                <w:sz w:val="16"/>
                <w:szCs w:val="16"/>
              </w:rPr>
            </w:pPr>
          </w:p>
        </w:tc>
        <w:tc>
          <w:tcPr>
            <w:tcW w:w="2378" w:type="dxa"/>
            <w:shd w:val="clear" w:color="auto" w:fill="auto"/>
            <w:vAlign w:val="center"/>
          </w:tcPr>
          <w:p w:rsidR="00CD7E2F" w:rsidRPr="00BB07AF" w:rsidRDefault="00CD7E2F" w:rsidP="009B05A0">
            <w:pPr>
              <w:pStyle w:val="Text11"/>
              <w:spacing w:beforeLines="20" w:before="48" w:afterLines="20" w:after="48"/>
              <w:ind w:left="136"/>
              <w:jc w:val="left"/>
              <w:rPr>
                <w:b/>
                <w:noProof/>
                <w:sz w:val="16"/>
                <w:szCs w:val="16"/>
              </w:rPr>
            </w:pPr>
            <w:r w:rsidRPr="003409C9">
              <w:rPr>
                <w:noProof/>
                <w:sz w:val="16"/>
              </w:rPr>
              <w:t>-</w:t>
            </w:r>
            <w:r w:rsidR="003409C9" w:rsidRPr="003409C9">
              <w:rPr>
                <w:noProof/>
                <w:sz w:val="16"/>
              </w:rPr>
              <w:t xml:space="preserve"> w cen</w:t>
            </w:r>
            <w:r w:rsidRPr="003409C9">
              <w:rPr>
                <w:noProof/>
                <w:sz w:val="16"/>
              </w:rPr>
              <w:t>trali</w:t>
            </w:r>
          </w:p>
          <w:p w:rsidR="00CD7E2F" w:rsidRPr="00BB07AF" w:rsidRDefault="00CD7E2F" w:rsidP="009B05A0">
            <w:pPr>
              <w:pStyle w:val="Text11"/>
              <w:spacing w:beforeLines="20" w:before="48" w:afterLines="20" w:after="48"/>
              <w:ind w:left="136"/>
              <w:jc w:val="left"/>
              <w:rPr>
                <w:b/>
                <w:noProof/>
                <w:sz w:val="16"/>
                <w:szCs w:val="16"/>
              </w:rPr>
            </w:pPr>
          </w:p>
        </w:tc>
        <w:tc>
          <w:tcPr>
            <w:tcW w:w="731" w:type="dxa"/>
            <w:gridSpan w:val="2"/>
            <w:shd w:val="clear" w:color="auto" w:fill="auto"/>
            <w:vAlign w:val="center"/>
          </w:tcPr>
          <w:p w:rsidR="00CD7E2F" w:rsidRPr="003409C9" w:rsidRDefault="00CD7E2F" w:rsidP="009B05A0">
            <w:pPr>
              <w:pStyle w:val="Text11"/>
              <w:spacing w:beforeLines="20" w:before="48" w:afterLines="20" w:after="48"/>
              <w:ind w:left="0"/>
              <w:jc w:val="center"/>
              <w:rPr>
                <w:noProof/>
                <w:sz w:val="16"/>
                <w:szCs w:val="16"/>
              </w:rPr>
            </w:pPr>
          </w:p>
        </w:tc>
        <w:tc>
          <w:tcPr>
            <w:tcW w:w="731" w:type="dxa"/>
            <w:gridSpan w:val="2"/>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r>
      <w:tr w:rsidR="00CD7E2F" w:rsidRPr="003409C9" w:rsidTr="00EA0500">
        <w:trPr>
          <w:gridBefore w:val="1"/>
          <w:wBefore w:w="15" w:type="dxa"/>
          <w:trHeight w:val="289"/>
          <w:jc w:val="center"/>
        </w:trPr>
        <w:tc>
          <w:tcPr>
            <w:tcW w:w="2376" w:type="dxa"/>
            <w:gridSpan w:val="2"/>
            <w:vMerge/>
            <w:shd w:val="clear" w:color="auto" w:fill="auto"/>
            <w:vAlign w:val="center"/>
          </w:tcPr>
          <w:p w:rsidR="00CD7E2F" w:rsidRPr="00BB07AF" w:rsidRDefault="00CD7E2F" w:rsidP="009B05A0">
            <w:pPr>
              <w:pStyle w:val="Text11"/>
              <w:spacing w:beforeLines="20" w:before="48" w:afterLines="20" w:after="48"/>
              <w:ind w:left="136"/>
              <w:jc w:val="left"/>
              <w:rPr>
                <w:b/>
                <w:noProof/>
                <w:sz w:val="16"/>
                <w:szCs w:val="16"/>
              </w:rPr>
            </w:pPr>
          </w:p>
        </w:tc>
        <w:tc>
          <w:tcPr>
            <w:tcW w:w="2378" w:type="dxa"/>
            <w:shd w:val="clear" w:color="auto" w:fill="auto"/>
            <w:vAlign w:val="center"/>
          </w:tcPr>
          <w:p w:rsidR="00CD7E2F" w:rsidRPr="00BB07AF" w:rsidRDefault="00CD7E2F" w:rsidP="009B05A0">
            <w:pPr>
              <w:pStyle w:val="Text11"/>
              <w:spacing w:beforeLines="20" w:before="48" w:afterLines="20" w:after="48"/>
              <w:ind w:left="136"/>
              <w:jc w:val="left"/>
              <w:rPr>
                <w:b/>
                <w:noProof/>
                <w:sz w:val="16"/>
                <w:szCs w:val="16"/>
              </w:rPr>
            </w:pPr>
            <w:r w:rsidRPr="003409C9">
              <w:rPr>
                <w:noProof/>
                <w:sz w:val="16"/>
              </w:rPr>
              <w:t>-</w:t>
            </w:r>
            <w:r w:rsidR="003409C9" w:rsidRPr="003409C9">
              <w:rPr>
                <w:noProof/>
                <w:sz w:val="16"/>
              </w:rPr>
              <w:t xml:space="preserve"> w del</w:t>
            </w:r>
            <w:r w:rsidRPr="003409C9">
              <w:rPr>
                <w:noProof/>
                <w:sz w:val="16"/>
              </w:rPr>
              <w:t xml:space="preserve">egaturach </w:t>
            </w:r>
          </w:p>
        </w:tc>
        <w:tc>
          <w:tcPr>
            <w:tcW w:w="731" w:type="dxa"/>
            <w:gridSpan w:val="2"/>
            <w:shd w:val="clear" w:color="auto" w:fill="auto"/>
            <w:vAlign w:val="center"/>
          </w:tcPr>
          <w:p w:rsidR="00CD7E2F" w:rsidRPr="003409C9" w:rsidRDefault="00CD7E2F" w:rsidP="009B05A0">
            <w:pPr>
              <w:pStyle w:val="Text11"/>
              <w:spacing w:beforeLines="20" w:before="48" w:afterLines="20" w:after="48"/>
              <w:ind w:left="0"/>
              <w:jc w:val="center"/>
              <w:rPr>
                <w:noProof/>
                <w:sz w:val="16"/>
                <w:szCs w:val="16"/>
              </w:rPr>
            </w:pPr>
          </w:p>
        </w:tc>
        <w:tc>
          <w:tcPr>
            <w:tcW w:w="731" w:type="dxa"/>
            <w:gridSpan w:val="2"/>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r>
      <w:tr w:rsidR="00CD7E2F" w:rsidRPr="003409C9" w:rsidTr="00EA0500">
        <w:trPr>
          <w:gridBefore w:val="1"/>
          <w:wBefore w:w="15" w:type="dxa"/>
          <w:trHeight w:val="289"/>
          <w:jc w:val="center"/>
        </w:trPr>
        <w:tc>
          <w:tcPr>
            <w:tcW w:w="4754" w:type="dxa"/>
            <w:gridSpan w:val="3"/>
            <w:shd w:val="clear" w:color="auto" w:fill="auto"/>
            <w:vAlign w:val="center"/>
          </w:tcPr>
          <w:p w:rsidR="00CD7E2F" w:rsidRPr="003409C9" w:rsidRDefault="00CD7E2F" w:rsidP="009B05A0">
            <w:pPr>
              <w:pStyle w:val="Text11"/>
              <w:spacing w:beforeLines="20" w:before="48" w:afterLines="20" w:after="48"/>
              <w:ind w:left="136"/>
              <w:jc w:val="left"/>
              <w:rPr>
                <w:noProof/>
                <w:sz w:val="16"/>
                <w:szCs w:val="16"/>
              </w:rPr>
            </w:pPr>
            <w:r w:rsidRPr="003409C9">
              <w:rPr>
                <w:noProof/>
                <w:sz w:val="16"/>
              </w:rPr>
              <w:t>01 01 01 02</w:t>
            </w:r>
            <w:r w:rsidRPr="003409C9">
              <w:rPr>
                <w:rFonts w:ascii="Arial Narrow" w:hAnsi="Arial Narrow"/>
                <w:noProof/>
                <w:color w:val="000000"/>
                <w:sz w:val="20"/>
              </w:rPr>
              <w:t xml:space="preserve"> </w:t>
            </w:r>
            <w:r w:rsidRPr="003409C9">
              <w:rPr>
                <w:noProof/>
                <w:sz w:val="16"/>
              </w:rPr>
              <w:t>(CA, SNE, INT – pośrednie badania naukowe)</w:t>
            </w:r>
          </w:p>
        </w:tc>
        <w:tc>
          <w:tcPr>
            <w:tcW w:w="731" w:type="dxa"/>
            <w:gridSpan w:val="2"/>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gridSpan w:val="2"/>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r>
      <w:tr w:rsidR="00CD7E2F" w:rsidRPr="003409C9" w:rsidTr="00EA0500">
        <w:trPr>
          <w:gridBefore w:val="1"/>
          <w:wBefore w:w="15" w:type="dxa"/>
          <w:trHeight w:val="289"/>
          <w:jc w:val="center"/>
        </w:trPr>
        <w:tc>
          <w:tcPr>
            <w:tcW w:w="4754" w:type="dxa"/>
            <w:gridSpan w:val="3"/>
            <w:shd w:val="clear" w:color="auto" w:fill="auto"/>
            <w:vAlign w:val="center"/>
          </w:tcPr>
          <w:p w:rsidR="00CD7E2F" w:rsidRPr="003409C9" w:rsidRDefault="00CD7E2F" w:rsidP="009B05A0">
            <w:pPr>
              <w:pStyle w:val="Text11"/>
              <w:spacing w:beforeLines="20" w:before="48" w:afterLines="20" w:after="48"/>
              <w:ind w:left="136"/>
              <w:jc w:val="left"/>
              <w:rPr>
                <w:noProof/>
                <w:color w:val="FF0000"/>
                <w:sz w:val="16"/>
                <w:szCs w:val="16"/>
              </w:rPr>
            </w:pPr>
            <w:r w:rsidRPr="003409C9">
              <w:rPr>
                <w:noProof/>
                <w:sz w:val="16"/>
              </w:rPr>
              <w:t xml:space="preserve"> 01 01 01 12 (CA, INT, SNE – bezpośrednie badania naukowe)</w:t>
            </w:r>
          </w:p>
        </w:tc>
        <w:tc>
          <w:tcPr>
            <w:tcW w:w="731" w:type="dxa"/>
            <w:gridSpan w:val="2"/>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gridSpan w:val="2"/>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r>
      <w:tr w:rsidR="00CD7E2F" w:rsidRPr="003409C9" w:rsidTr="00EA0500">
        <w:trPr>
          <w:gridBefore w:val="1"/>
          <w:wBefore w:w="15" w:type="dxa"/>
          <w:trHeight w:val="289"/>
          <w:jc w:val="center"/>
        </w:trPr>
        <w:tc>
          <w:tcPr>
            <w:tcW w:w="4754" w:type="dxa"/>
            <w:gridSpan w:val="3"/>
            <w:shd w:val="clear" w:color="auto" w:fill="auto"/>
            <w:vAlign w:val="center"/>
          </w:tcPr>
          <w:p w:rsidR="00CD7E2F" w:rsidRPr="003409C9" w:rsidRDefault="00CD7E2F" w:rsidP="009B05A0">
            <w:pPr>
              <w:pStyle w:val="Text11"/>
              <w:spacing w:beforeLines="20" w:before="48" w:afterLines="20" w:after="48"/>
              <w:ind w:left="136"/>
              <w:jc w:val="left"/>
              <w:rPr>
                <w:noProof/>
                <w:sz w:val="16"/>
              </w:rPr>
            </w:pPr>
            <w:r w:rsidRPr="003409C9">
              <w:rPr>
                <w:noProof/>
                <w:sz w:val="16"/>
              </w:rPr>
              <w:t>Inna linia budżetowa (określić)</w:t>
            </w:r>
          </w:p>
        </w:tc>
        <w:tc>
          <w:tcPr>
            <w:tcW w:w="731" w:type="dxa"/>
            <w:gridSpan w:val="2"/>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gridSpan w:val="2"/>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c>
          <w:tcPr>
            <w:tcW w:w="731" w:type="dxa"/>
            <w:shd w:val="clear" w:color="auto" w:fill="auto"/>
            <w:vAlign w:val="center"/>
          </w:tcPr>
          <w:p w:rsidR="00CD7E2F" w:rsidRPr="003409C9" w:rsidRDefault="00CD7E2F" w:rsidP="00EA0500">
            <w:pPr>
              <w:spacing w:beforeLines="20" w:before="48" w:afterLines="20" w:after="48"/>
              <w:jc w:val="center"/>
              <w:rPr>
                <w:noProof/>
                <w:sz w:val="16"/>
                <w:szCs w:val="16"/>
              </w:rPr>
            </w:pPr>
          </w:p>
        </w:tc>
      </w:tr>
      <w:tr w:rsidR="00CD7E2F" w:rsidRPr="003409C9" w:rsidTr="00EA0500">
        <w:trPr>
          <w:gridBefore w:val="1"/>
          <w:wBefore w:w="15" w:type="dxa"/>
          <w:trHeight w:val="289"/>
          <w:jc w:val="center"/>
        </w:trPr>
        <w:tc>
          <w:tcPr>
            <w:tcW w:w="4754" w:type="dxa"/>
            <w:gridSpan w:val="3"/>
            <w:tcBorders>
              <w:top w:val="double" w:sz="4" w:space="0" w:color="auto"/>
            </w:tcBorders>
            <w:shd w:val="clear" w:color="auto" w:fill="auto"/>
            <w:vAlign w:val="center"/>
          </w:tcPr>
          <w:p w:rsidR="00CD7E2F" w:rsidRPr="003409C9" w:rsidRDefault="00CD7E2F" w:rsidP="009B05A0">
            <w:pPr>
              <w:pStyle w:val="Text11"/>
              <w:spacing w:beforeLines="20" w:before="48" w:afterLines="20" w:after="48"/>
              <w:ind w:left="136"/>
              <w:jc w:val="left"/>
              <w:rPr>
                <w:noProof/>
                <w:sz w:val="16"/>
                <w:szCs w:val="16"/>
              </w:rPr>
            </w:pPr>
            <w:r w:rsidRPr="00BB07AF">
              <w:rPr>
                <w:b/>
                <w:noProof/>
                <w:sz w:val="16"/>
              </w:rPr>
              <w:t>OGÓŁEM</w:t>
            </w:r>
          </w:p>
        </w:tc>
        <w:tc>
          <w:tcPr>
            <w:tcW w:w="731" w:type="dxa"/>
            <w:gridSpan w:val="2"/>
            <w:tcBorders>
              <w:top w:val="double" w:sz="4" w:space="0" w:color="auto"/>
            </w:tcBorders>
            <w:shd w:val="clear" w:color="auto" w:fill="auto"/>
            <w:vAlign w:val="center"/>
          </w:tcPr>
          <w:p w:rsidR="00CD7E2F" w:rsidRPr="003409C9" w:rsidRDefault="00CD7E2F" w:rsidP="00EA0500">
            <w:pPr>
              <w:spacing w:beforeLines="20" w:before="48" w:afterLines="20" w:after="48"/>
              <w:jc w:val="center"/>
              <w:rPr>
                <w:b/>
                <w:noProof/>
                <w:sz w:val="16"/>
                <w:szCs w:val="16"/>
              </w:rPr>
            </w:pPr>
            <w:r w:rsidRPr="00BB07AF">
              <w:rPr>
                <w:b/>
                <w:noProof/>
                <w:sz w:val="16"/>
              </w:rPr>
              <w:t>2</w:t>
            </w:r>
          </w:p>
        </w:tc>
        <w:tc>
          <w:tcPr>
            <w:tcW w:w="731" w:type="dxa"/>
            <w:gridSpan w:val="2"/>
            <w:tcBorders>
              <w:top w:val="double" w:sz="4" w:space="0" w:color="auto"/>
            </w:tcBorders>
            <w:vAlign w:val="center"/>
          </w:tcPr>
          <w:p w:rsidR="00CD7E2F" w:rsidRPr="003409C9" w:rsidRDefault="00CD7E2F" w:rsidP="00EA0500">
            <w:pPr>
              <w:spacing w:beforeLines="20" w:before="48" w:afterLines="20" w:after="48"/>
              <w:jc w:val="center"/>
              <w:rPr>
                <w:b/>
                <w:noProof/>
                <w:sz w:val="16"/>
                <w:szCs w:val="16"/>
              </w:rPr>
            </w:pPr>
            <w:r w:rsidRPr="00BB07AF">
              <w:rPr>
                <w:b/>
                <w:noProof/>
                <w:sz w:val="16"/>
              </w:rPr>
              <w:t>3</w:t>
            </w:r>
          </w:p>
        </w:tc>
        <w:tc>
          <w:tcPr>
            <w:tcW w:w="731" w:type="dxa"/>
            <w:tcBorders>
              <w:top w:val="double" w:sz="4" w:space="0" w:color="auto"/>
            </w:tcBorders>
            <w:vAlign w:val="center"/>
          </w:tcPr>
          <w:p w:rsidR="00CD7E2F" w:rsidRPr="003409C9" w:rsidRDefault="00CD7E2F" w:rsidP="00EA0500">
            <w:pPr>
              <w:spacing w:beforeLines="20" w:before="48" w:afterLines="20" w:after="48"/>
              <w:jc w:val="center"/>
              <w:rPr>
                <w:b/>
                <w:noProof/>
                <w:sz w:val="16"/>
                <w:szCs w:val="16"/>
              </w:rPr>
            </w:pPr>
            <w:r w:rsidRPr="00BB07AF">
              <w:rPr>
                <w:b/>
                <w:noProof/>
                <w:sz w:val="16"/>
              </w:rPr>
              <w:t>3</w:t>
            </w:r>
          </w:p>
        </w:tc>
        <w:tc>
          <w:tcPr>
            <w:tcW w:w="731" w:type="dxa"/>
            <w:tcBorders>
              <w:top w:val="double" w:sz="4" w:space="0" w:color="auto"/>
            </w:tcBorders>
            <w:vAlign w:val="center"/>
          </w:tcPr>
          <w:p w:rsidR="00CD7E2F" w:rsidRPr="003409C9" w:rsidRDefault="00CD7E2F" w:rsidP="00EA0500">
            <w:pPr>
              <w:spacing w:beforeLines="20" w:before="48" w:afterLines="20" w:after="48"/>
              <w:jc w:val="center"/>
              <w:rPr>
                <w:b/>
                <w:noProof/>
                <w:sz w:val="16"/>
                <w:szCs w:val="16"/>
              </w:rPr>
            </w:pPr>
            <w:r w:rsidRPr="00BB07AF">
              <w:rPr>
                <w:b/>
                <w:noProof/>
                <w:sz w:val="16"/>
              </w:rPr>
              <w:t>3</w:t>
            </w:r>
          </w:p>
        </w:tc>
        <w:tc>
          <w:tcPr>
            <w:tcW w:w="731" w:type="dxa"/>
            <w:tcBorders>
              <w:top w:val="double" w:sz="4" w:space="0" w:color="auto"/>
            </w:tcBorders>
            <w:vAlign w:val="center"/>
          </w:tcPr>
          <w:p w:rsidR="00CD7E2F" w:rsidRPr="003409C9" w:rsidRDefault="00CD7E2F" w:rsidP="00EA0500">
            <w:pPr>
              <w:spacing w:beforeLines="20" w:before="48" w:afterLines="20" w:after="48"/>
              <w:jc w:val="center"/>
              <w:rPr>
                <w:b/>
                <w:noProof/>
                <w:sz w:val="16"/>
                <w:szCs w:val="16"/>
              </w:rPr>
            </w:pPr>
            <w:r w:rsidRPr="00BB07AF">
              <w:rPr>
                <w:b/>
                <w:noProof/>
                <w:sz w:val="16"/>
              </w:rPr>
              <w:t>3</w:t>
            </w:r>
          </w:p>
        </w:tc>
        <w:tc>
          <w:tcPr>
            <w:tcW w:w="731" w:type="dxa"/>
            <w:tcBorders>
              <w:top w:val="double" w:sz="4" w:space="0" w:color="auto"/>
            </w:tcBorders>
            <w:vAlign w:val="center"/>
          </w:tcPr>
          <w:p w:rsidR="00CD7E2F" w:rsidRPr="003409C9" w:rsidRDefault="00CD7E2F" w:rsidP="00EA0500">
            <w:pPr>
              <w:spacing w:beforeLines="20" w:before="48" w:afterLines="20" w:after="48"/>
              <w:jc w:val="center"/>
              <w:rPr>
                <w:b/>
                <w:noProof/>
                <w:sz w:val="16"/>
                <w:szCs w:val="16"/>
              </w:rPr>
            </w:pPr>
            <w:r w:rsidRPr="00BB07AF">
              <w:rPr>
                <w:b/>
                <w:noProof/>
                <w:sz w:val="16"/>
              </w:rPr>
              <w:t>3</w:t>
            </w:r>
          </w:p>
        </w:tc>
        <w:tc>
          <w:tcPr>
            <w:tcW w:w="731" w:type="dxa"/>
            <w:tcBorders>
              <w:top w:val="double" w:sz="4" w:space="0" w:color="auto"/>
            </w:tcBorders>
            <w:shd w:val="clear" w:color="auto" w:fill="auto"/>
            <w:vAlign w:val="center"/>
          </w:tcPr>
          <w:p w:rsidR="00CD7E2F" w:rsidRPr="003409C9" w:rsidRDefault="00CD7E2F" w:rsidP="00EA0500">
            <w:pPr>
              <w:spacing w:beforeLines="20" w:before="48" w:afterLines="20" w:after="48"/>
              <w:jc w:val="center"/>
              <w:rPr>
                <w:b/>
                <w:noProof/>
                <w:sz w:val="16"/>
                <w:szCs w:val="16"/>
              </w:rPr>
            </w:pPr>
            <w:r w:rsidRPr="00BB07AF">
              <w:rPr>
                <w:b/>
                <w:noProof/>
                <w:sz w:val="16"/>
              </w:rPr>
              <w:t>3</w:t>
            </w:r>
          </w:p>
        </w:tc>
        <w:tc>
          <w:tcPr>
            <w:tcW w:w="731" w:type="dxa"/>
            <w:tcBorders>
              <w:top w:val="double" w:sz="4" w:space="0" w:color="auto"/>
            </w:tcBorders>
            <w:shd w:val="clear" w:color="auto" w:fill="auto"/>
            <w:vAlign w:val="center"/>
          </w:tcPr>
          <w:p w:rsidR="00CD7E2F" w:rsidRPr="003409C9" w:rsidRDefault="00CD7E2F" w:rsidP="00EA0500">
            <w:pPr>
              <w:spacing w:beforeLines="20" w:before="48" w:afterLines="20" w:after="48"/>
              <w:jc w:val="center"/>
              <w:rPr>
                <w:b/>
                <w:noProof/>
                <w:sz w:val="16"/>
                <w:szCs w:val="16"/>
              </w:rPr>
            </w:pPr>
            <w:r w:rsidRPr="00BB07AF">
              <w:rPr>
                <w:b/>
                <w:noProof/>
                <w:sz w:val="16"/>
              </w:rPr>
              <w:t>3</w:t>
            </w:r>
          </w:p>
        </w:tc>
        <w:tc>
          <w:tcPr>
            <w:tcW w:w="731" w:type="dxa"/>
            <w:tcBorders>
              <w:top w:val="double" w:sz="4" w:space="0" w:color="auto"/>
            </w:tcBorders>
            <w:shd w:val="clear" w:color="auto" w:fill="auto"/>
            <w:vAlign w:val="center"/>
          </w:tcPr>
          <w:p w:rsidR="00CD7E2F" w:rsidRPr="00BB07AF" w:rsidRDefault="00CD7E2F" w:rsidP="00EA0500">
            <w:pPr>
              <w:spacing w:beforeLines="20" w:before="48" w:afterLines="20" w:after="48"/>
              <w:jc w:val="center"/>
              <w:rPr>
                <w:b/>
                <w:noProof/>
                <w:sz w:val="16"/>
                <w:szCs w:val="16"/>
              </w:rPr>
            </w:pPr>
            <w:r w:rsidRPr="00BB07AF">
              <w:rPr>
                <w:b/>
                <w:noProof/>
                <w:sz w:val="16"/>
              </w:rPr>
              <w:t>3</w:t>
            </w:r>
          </w:p>
        </w:tc>
      </w:tr>
    </w:tbl>
    <w:p w:rsidR="00CD7E2F" w:rsidRPr="003409C9" w:rsidRDefault="00CD7E2F" w:rsidP="009B05A0">
      <w:pPr>
        <w:pStyle w:val="Text11"/>
        <w:spacing w:before="60" w:after="60"/>
        <w:ind w:left="851"/>
        <w:rPr>
          <w:noProof/>
          <w:sz w:val="18"/>
          <w:szCs w:val="18"/>
        </w:rPr>
      </w:pPr>
      <w:r w:rsidRPr="00BB07AF">
        <w:rPr>
          <w:b/>
          <w:noProof/>
          <w:sz w:val="18"/>
        </w:rPr>
        <w:t>XX</w:t>
      </w:r>
      <w:r w:rsidRPr="003409C9">
        <w:rPr>
          <w:noProof/>
          <w:sz w:val="18"/>
        </w:rPr>
        <w:t xml:space="preserve"> oznacza odpowiedni obszar polityki lub odpowiedni tytuł</w:t>
      </w:r>
      <w:r w:rsidR="003409C9" w:rsidRPr="003409C9">
        <w:rPr>
          <w:noProof/>
          <w:sz w:val="18"/>
        </w:rPr>
        <w:t xml:space="preserve"> w bud</w:t>
      </w:r>
      <w:r w:rsidRPr="003409C9">
        <w:rPr>
          <w:noProof/>
          <w:sz w:val="18"/>
        </w:rPr>
        <w:t>żecie.</w:t>
      </w:r>
    </w:p>
    <w:p w:rsidR="00CD7E2F" w:rsidRPr="003409C9" w:rsidRDefault="00CD7E2F" w:rsidP="009B05A0">
      <w:pPr>
        <w:pStyle w:val="Text11"/>
        <w:rPr>
          <w:noProof/>
          <w:sz w:val="18"/>
          <w:szCs w:val="18"/>
        </w:rPr>
      </w:pPr>
      <w:r w:rsidRPr="003409C9">
        <w:rPr>
          <w:noProof/>
          <w:sz w:val="18"/>
        </w:rPr>
        <w:t>Potrzeby</w:t>
      </w:r>
      <w:r w:rsidR="003409C9" w:rsidRPr="003409C9">
        <w:rPr>
          <w:noProof/>
          <w:sz w:val="18"/>
        </w:rPr>
        <w:t xml:space="preserve"> w zak</w:t>
      </w:r>
      <w:r w:rsidRPr="003409C9">
        <w:rPr>
          <w:noProof/>
          <w:sz w:val="18"/>
        </w:rPr>
        <w:t>resie zasobów ludzkich zostaną pokryte</w:t>
      </w:r>
      <w:r w:rsidR="003409C9" w:rsidRPr="003409C9">
        <w:rPr>
          <w:noProof/>
          <w:sz w:val="18"/>
        </w:rPr>
        <w:t xml:space="preserve"> z zas</w:t>
      </w:r>
      <w:r w:rsidRPr="003409C9">
        <w:rPr>
          <w:noProof/>
          <w:sz w:val="18"/>
        </w:rPr>
        <w:t>obów dyrekcji generalnej już przydzielonych na zarządzanie tym działaniem lub przesuniętych</w:t>
      </w:r>
      <w:r w:rsidR="003409C9" w:rsidRPr="003409C9">
        <w:rPr>
          <w:noProof/>
          <w:sz w:val="18"/>
        </w:rPr>
        <w:t xml:space="preserve"> w ram</w:t>
      </w:r>
      <w:r w:rsidRPr="003409C9">
        <w:rPr>
          <w:noProof/>
          <w:sz w:val="18"/>
        </w:rPr>
        <w:t>ach dyrekcji generalnej, uzupełnionych</w:t>
      </w:r>
      <w:r w:rsidR="003409C9" w:rsidRPr="003409C9">
        <w:rPr>
          <w:noProof/>
          <w:sz w:val="18"/>
        </w:rPr>
        <w:t xml:space="preserve"> w raz</w:t>
      </w:r>
      <w:r w:rsidRPr="003409C9">
        <w:rPr>
          <w:noProof/>
          <w:sz w:val="18"/>
        </w:rPr>
        <w:t>ie potrzeby wszelkimi dodatkowymi zasobami, które mogą zostać przydzielone zarządzającej dyrekcji generalnej</w:t>
      </w:r>
      <w:r w:rsidR="003409C9" w:rsidRPr="003409C9">
        <w:rPr>
          <w:noProof/>
          <w:sz w:val="18"/>
        </w:rPr>
        <w:t xml:space="preserve"> w ram</w:t>
      </w:r>
      <w:r w:rsidRPr="003409C9">
        <w:rPr>
          <w:noProof/>
          <w:sz w:val="18"/>
        </w:rPr>
        <w:t>ach procedury rocznego przydziału środków oraz</w:t>
      </w:r>
      <w:r w:rsidR="003409C9" w:rsidRPr="003409C9">
        <w:rPr>
          <w:noProof/>
          <w:sz w:val="18"/>
        </w:rPr>
        <w:t xml:space="preserve"> w świ</w:t>
      </w:r>
      <w:r w:rsidRPr="003409C9">
        <w:rPr>
          <w:noProof/>
          <w:sz w:val="18"/>
        </w:rPr>
        <w:t>etle istniejących ograniczeń budżetowych.</w:t>
      </w:r>
    </w:p>
    <w:p w:rsidR="00CD7E2F" w:rsidRPr="003409C9" w:rsidRDefault="00CD7E2F" w:rsidP="00CD7E2F">
      <w:pPr>
        <w:rPr>
          <w:noProof/>
          <w:sz w:val="20"/>
        </w:rPr>
      </w:pPr>
      <w:r w:rsidRPr="003409C9">
        <w:rPr>
          <w:noProof/>
          <w:sz w:val="20"/>
        </w:rPr>
        <w:t>Opis zadań do wykonania:</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CD7E2F" w:rsidRPr="003409C9" w:rsidTr="00EA0500">
        <w:tc>
          <w:tcPr>
            <w:tcW w:w="3240" w:type="dxa"/>
          </w:tcPr>
          <w:p w:rsidR="00CD7E2F" w:rsidRPr="003409C9" w:rsidRDefault="00CD7E2F" w:rsidP="00EA0500">
            <w:pPr>
              <w:rPr>
                <w:noProof/>
                <w:sz w:val="20"/>
              </w:rPr>
            </w:pPr>
            <w:r w:rsidRPr="003409C9">
              <w:rPr>
                <w:noProof/>
                <w:sz w:val="20"/>
              </w:rPr>
              <w:t>Urzędnicy</w:t>
            </w:r>
            <w:r w:rsidR="003409C9" w:rsidRPr="003409C9">
              <w:rPr>
                <w:noProof/>
                <w:sz w:val="20"/>
              </w:rPr>
              <w:t xml:space="preserve"> i pra</w:t>
            </w:r>
            <w:r w:rsidRPr="003409C9">
              <w:rPr>
                <w:noProof/>
                <w:sz w:val="20"/>
              </w:rPr>
              <w:t>cownicy zatrudnieni na czas określony</w:t>
            </w:r>
          </w:p>
        </w:tc>
        <w:tc>
          <w:tcPr>
            <w:tcW w:w="7200" w:type="dxa"/>
          </w:tcPr>
          <w:p w:rsidR="00CD7E2F" w:rsidRPr="003409C9" w:rsidRDefault="00CD7E2F" w:rsidP="00EA0500">
            <w:pPr>
              <w:rPr>
                <w:noProof/>
                <w:sz w:val="20"/>
              </w:rPr>
            </w:pPr>
            <w:r w:rsidRPr="003409C9">
              <w:rPr>
                <w:noProof/>
                <w:sz w:val="20"/>
              </w:rPr>
              <w:t>Trzej urzędnicy odpowiedzialni za monitorowanie. Pracownicy zajmują się realizacją obowiązków Komisji związanych</w:t>
            </w:r>
            <w:r w:rsidR="003409C9" w:rsidRPr="003409C9">
              <w:rPr>
                <w:noProof/>
                <w:sz w:val="20"/>
              </w:rPr>
              <w:t xml:space="preserve"> z rea</w:t>
            </w:r>
            <w:r w:rsidRPr="003409C9">
              <w:rPr>
                <w:noProof/>
                <w:sz w:val="20"/>
              </w:rPr>
              <w:t>lizacją programu: sprawdzają zgodność</w:t>
            </w:r>
            <w:r w:rsidR="003409C9" w:rsidRPr="003409C9">
              <w:rPr>
                <w:noProof/>
                <w:sz w:val="20"/>
              </w:rPr>
              <w:t xml:space="preserve"> z wni</w:t>
            </w:r>
            <w:r w:rsidRPr="003409C9">
              <w:rPr>
                <w:noProof/>
                <w:sz w:val="20"/>
              </w:rPr>
              <w:t>oskiem ustawodawczym, rozwiązują problemy związane</w:t>
            </w:r>
            <w:r w:rsidR="003409C9" w:rsidRPr="003409C9">
              <w:rPr>
                <w:noProof/>
                <w:sz w:val="20"/>
              </w:rPr>
              <w:t xml:space="preserve"> z nie</w:t>
            </w:r>
            <w:r w:rsidRPr="003409C9">
              <w:rPr>
                <w:noProof/>
                <w:sz w:val="20"/>
              </w:rPr>
              <w:t>zgodnością</w:t>
            </w:r>
            <w:r w:rsidR="003409C9" w:rsidRPr="003409C9">
              <w:rPr>
                <w:noProof/>
                <w:sz w:val="20"/>
              </w:rPr>
              <w:t xml:space="preserve"> z prz</w:t>
            </w:r>
            <w:r w:rsidRPr="003409C9">
              <w:rPr>
                <w:noProof/>
                <w:sz w:val="20"/>
              </w:rPr>
              <w:t>episami, przygotowują sprawozdania dla Parlamentu Europejskiego</w:t>
            </w:r>
            <w:r w:rsidR="003409C9" w:rsidRPr="003409C9">
              <w:rPr>
                <w:noProof/>
                <w:sz w:val="20"/>
              </w:rPr>
              <w:t xml:space="preserve"> i Rad</w:t>
            </w:r>
            <w:r w:rsidRPr="003409C9">
              <w:rPr>
                <w:noProof/>
                <w:sz w:val="20"/>
              </w:rPr>
              <w:t>y, oceniają postępy państwa członkowskiego, uaktualniają prawo wtórne,</w:t>
            </w:r>
            <w:r w:rsidR="003409C9" w:rsidRPr="003409C9">
              <w:rPr>
                <w:noProof/>
                <w:sz w:val="20"/>
              </w:rPr>
              <w:t xml:space="preserve"> w tym</w:t>
            </w:r>
            <w:r w:rsidRPr="003409C9">
              <w:rPr>
                <w:noProof/>
                <w:sz w:val="20"/>
              </w:rPr>
              <w:t xml:space="preserve"> wszelkie zmiany dotyczące norm. Ponieważ program stanowi dodatkowe działanie</w:t>
            </w:r>
            <w:r w:rsidR="003409C9" w:rsidRPr="003409C9">
              <w:rPr>
                <w:noProof/>
                <w:sz w:val="20"/>
              </w:rPr>
              <w:t xml:space="preserve"> w sto</w:t>
            </w:r>
            <w:r w:rsidRPr="003409C9">
              <w:rPr>
                <w:noProof/>
                <w:sz w:val="20"/>
              </w:rPr>
              <w:t>sunku do istniejącego obciążenia pracą, konieczne będzie zatrudnienie nowych pracowników (1 EPC).</w:t>
            </w:r>
          </w:p>
        </w:tc>
      </w:tr>
      <w:tr w:rsidR="00CD7E2F" w:rsidRPr="003409C9" w:rsidTr="00EA0500">
        <w:tc>
          <w:tcPr>
            <w:tcW w:w="3240" w:type="dxa"/>
          </w:tcPr>
          <w:p w:rsidR="00CD7E2F" w:rsidRPr="003409C9" w:rsidRDefault="00CD7E2F" w:rsidP="00EA0500">
            <w:pPr>
              <w:spacing w:before="60" w:after="60"/>
              <w:rPr>
                <w:noProof/>
                <w:sz w:val="20"/>
              </w:rPr>
            </w:pPr>
            <w:r w:rsidRPr="003409C9">
              <w:rPr>
                <w:noProof/>
                <w:sz w:val="20"/>
              </w:rPr>
              <w:t>Personel zewnętrzny</w:t>
            </w:r>
          </w:p>
        </w:tc>
        <w:tc>
          <w:tcPr>
            <w:tcW w:w="7200" w:type="dxa"/>
          </w:tcPr>
          <w:p w:rsidR="00CD7E2F" w:rsidRPr="003409C9" w:rsidRDefault="00CD7E2F" w:rsidP="00EA0500">
            <w:pPr>
              <w:rPr>
                <w:noProof/>
                <w:sz w:val="20"/>
              </w:rPr>
            </w:pPr>
          </w:p>
        </w:tc>
      </w:tr>
      <w:bookmarkEnd w:id="147"/>
    </w:tbl>
    <w:p w:rsidR="00CD7E2F" w:rsidRPr="003409C9" w:rsidRDefault="00CD7E2F" w:rsidP="00CD7E2F">
      <w:pPr>
        <w:rPr>
          <w:noProof/>
        </w:rPr>
        <w:sectPr w:rsidR="00CD7E2F" w:rsidRPr="003409C9" w:rsidSect="00883BC7">
          <w:pgSz w:w="11907" w:h="16840" w:code="9"/>
          <w:pgMar w:top="1134" w:right="1418" w:bottom="1134" w:left="1418" w:header="709" w:footer="709" w:gutter="0"/>
          <w:cols w:space="708"/>
          <w:docGrid w:linePitch="360"/>
        </w:sectPr>
      </w:pPr>
    </w:p>
    <w:p w:rsidR="00CD7E2F" w:rsidRPr="00BB07AF" w:rsidRDefault="009475BC" w:rsidP="009475BC">
      <w:pPr>
        <w:pStyle w:val="ManualHeading3"/>
        <w:rPr>
          <w:noProof/>
        </w:rPr>
      </w:pPr>
      <w:bookmarkStart w:id="148" w:name="_Toc514938056"/>
      <w:bookmarkStart w:id="149" w:name="_Toc117796996"/>
      <w:r w:rsidRPr="00BB07AF">
        <w:rPr>
          <w:noProof/>
        </w:rPr>
        <w:t>3.2.5.</w:t>
      </w:r>
      <w:r w:rsidRPr="00BB07AF">
        <w:rPr>
          <w:noProof/>
        </w:rPr>
        <w:tab/>
        <w:t>Zgodność</w:t>
      </w:r>
      <w:r w:rsidR="003409C9" w:rsidRPr="00BB07AF">
        <w:rPr>
          <w:noProof/>
        </w:rPr>
        <w:t xml:space="preserve"> z obo</w:t>
      </w:r>
      <w:r w:rsidRPr="00BB07AF">
        <w:rPr>
          <w:noProof/>
        </w:rPr>
        <w:t>wiązującymi wieloletnimi ramami finansowymi</w:t>
      </w:r>
      <w:bookmarkEnd w:id="148"/>
      <w:bookmarkEnd w:id="149"/>
      <w:r w:rsidRPr="00BB07AF">
        <w:rPr>
          <w:noProof/>
        </w:rPr>
        <w:t xml:space="preserve"> </w:t>
      </w:r>
    </w:p>
    <w:p w:rsidR="00CD7E2F" w:rsidRPr="003409C9" w:rsidRDefault="00CD7E2F" w:rsidP="009B05A0">
      <w:pPr>
        <w:pStyle w:val="Text11"/>
        <w:rPr>
          <w:noProof/>
        </w:rPr>
      </w:pPr>
      <w:r w:rsidRPr="003409C9">
        <w:rPr>
          <w:noProof/>
        </w:rPr>
        <w:t>Wniosek/inicjatywa:</w:t>
      </w:r>
    </w:p>
    <w:p w:rsidR="00CD7E2F" w:rsidRPr="003409C9" w:rsidRDefault="00CD7E2F" w:rsidP="00CD7E2F">
      <w:pPr>
        <w:pStyle w:val="ListDash1"/>
        <w:rPr>
          <w:noProof/>
        </w:rPr>
      </w:pPr>
      <w:r w:rsidRPr="003409C9">
        <w:rPr>
          <w:noProof/>
        </w:rPr>
        <w:sym w:font="Wingdings" w:char="F078"/>
      </w:r>
      <w:r w:rsidRPr="003409C9">
        <w:rPr>
          <w:noProof/>
        </w:rPr>
        <w:tab/>
        <w:t>może zostać</w:t>
      </w:r>
      <w:r w:rsidR="003409C9" w:rsidRPr="003409C9">
        <w:rPr>
          <w:noProof/>
        </w:rPr>
        <w:t xml:space="preserve"> w peł</w:t>
      </w:r>
      <w:r w:rsidRPr="003409C9">
        <w:rPr>
          <w:noProof/>
        </w:rPr>
        <w:t>ni sfinansowany(a) przez przegrupowanie środków</w:t>
      </w:r>
      <w:r w:rsidR="003409C9" w:rsidRPr="003409C9">
        <w:rPr>
          <w:noProof/>
        </w:rPr>
        <w:t xml:space="preserve"> w ram</w:t>
      </w:r>
      <w:r w:rsidRPr="003409C9">
        <w:rPr>
          <w:noProof/>
        </w:rPr>
        <w:t>ach odpowiedniego działu wieloletnich ram finansowych (WRF).</w:t>
      </w:r>
    </w:p>
    <w:p w:rsidR="00CD7E2F" w:rsidRPr="003409C9" w:rsidRDefault="00CD7E2F" w:rsidP="009B05A0">
      <w:pPr>
        <w:pStyle w:val="Text11"/>
        <w:pBdr>
          <w:top w:val="single" w:sz="4" w:space="1" w:color="auto"/>
          <w:left w:val="single" w:sz="4" w:space="4" w:color="auto"/>
          <w:bottom w:val="single" w:sz="4" w:space="0" w:color="auto"/>
          <w:right w:val="single" w:sz="4" w:space="4" w:color="auto"/>
        </w:pBdr>
        <w:rPr>
          <w:noProof/>
          <w:sz w:val="20"/>
        </w:rPr>
      </w:pPr>
      <w:bookmarkStart w:id="150" w:name="_Hlk118442009"/>
      <w:bookmarkStart w:id="151" w:name="_Hlk118441981"/>
      <w:r w:rsidRPr="003409C9">
        <w:rPr>
          <w:noProof/>
          <w:sz w:val="20"/>
        </w:rPr>
        <w:t>Ponieważ środki wymagane na opracowanie routera API (2024/2028</w:t>
      </w:r>
      <w:r w:rsidR="003409C9" w:rsidRPr="003409C9">
        <w:rPr>
          <w:noProof/>
          <w:sz w:val="20"/>
        </w:rPr>
        <w:t> </w:t>
      </w:r>
      <w:r w:rsidRPr="003409C9">
        <w:rPr>
          <w:noProof/>
          <w:sz w:val="20"/>
        </w:rPr>
        <w:t>r.)</w:t>
      </w:r>
      <w:r w:rsidR="003409C9" w:rsidRPr="003409C9">
        <w:rPr>
          <w:noProof/>
          <w:sz w:val="20"/>
        </w:rPr>
        <w:t xml:space="preserve"> i kos</w:t>
      </w:r>
      <w:r w:rsidRPr="003409C9">
        <w:rPr>
          <w:noProof/>
          <w:sz w:val="20"/>
        </w:rPr>
        <w:t>zty bieżące (od</w:t>
      </w:r>
      <w:r w:rsidR="003409C9" w:rsidRPr="003409C9">
        <w:rPr>
          <w:noProof/>
          <w:sz w:val="20"/>
        </w:rPr>
        <w:t> </w:t>
      </w:r>
      <w:r w:rsidRPr="003409C9">
        <w:rPr>
          <w:noProof/>
          <w:sz w:val="20"/>
        </w:rPr>
        <w:t>2029</w:t>
      </w:r>
      <w:r w:rsidR="003409C9" w:rsidRPr="003409C9">
        <w:rPr>
          <w:noProof/>
          <w:sz w:val="20"/>
        </w:rPr>
        <w:t> </w:t>
      </w:r>
      <w:r w:rsidRPr="003409C9">
        <w:rPr>
          <w:noProof/>
          <w:sz w:val="20"/>
        </w:rPr>
        <w:t>r.) nie zostały zaplanowane</w:t>
      </w:r>
      <w:r w:rsidR="003409C9" w:rsidRPr="003409C9">
        <w:rPr>
          <w:noProof/>
          <w:sz w:val="20"/>
        </w:rPr>
        <w:t xml:space="preserve"> w prz</w:t>
      </w:r>
      <w:r w:rsidRPr="003409C9">
        <w:rPr>
          <w:noProof/>
          <w:sz w:val="20"/>
        </w:rPr>
        <w:t>ydziale z WRF na lata 2021–2027 ani dla eu-LISA, ani na dodatkowych pracowników DG HOME, finansowanie wymagane odpowiednio na opracowanie</w:t>
      </w:r>
      <w:r w:rsidR="003409C9" w:rsidRPr="003409C9">
        <w:rPr>
          <w:noProof/>
          <w:sz w:val="20"/>
        </w:rPr>
        <w:t xml:space="preserve"> i utr</w:t>
      </w:r>
      <w:r w:rsidRPr="003409C9">
        <w:rPr>
          <w:noProof/>
          <w:sz w:val="20"/>
        </w:rPr>
        <w:t>zymanie routera API (33,577 mln EUR</w:t>
      </w:r>
      <w:r w:rsidR="003409C9" w:rsidRPr="003409C9">
        <w:rPr>
          <w:noProof/>
          <w:sz w:val="20"/>
        </w:rPr>
        <w:t xml:space="preserve"> w ram</w:t>
      </w:r>
      <w:r w:rsidRPr="003409C9">
        <w:rPr>
          <w:noProof/>
          <w:sz w:val="20"/>
        </w:rPr>
        <w:t>ach WRF na lata 2021–2027) oraz działania następcze Komisji (2,732 mln EUR) zostanie udostępnione</w:t>
      </w:r>
      <w:r w:rsidR="003409C9" w:rsidRPr="003409C9">
        <w:rPr>
          <w:noProof/>
          <w:sz w:val="20"/>
        </w:rPr>
        <w:t xml:space="preserve"> w dro</w:t>
      </w:r>
      <w:r w:rsidRPr="003409C9">
        <w:rPr>
          <w:noProof/>
          <w:sz w:val="20"/>
        </w:rPr>
        <w:t>dze potrącenia budżetowego z BMVI (11.02.01 – „Instrument Wsparcia Finansowego na rzecz Zarządzania Granicami</w:t>
      </w:r>
      <w:r w:rsidR="003409C9" w:rsidRPr="003409C9">
        <w:rPr>
          <w:noProof/>
          <w:sz w:val="20"/>
        </w:rPr>
        <w:t xml:space="preserve"> i Pol</w:t>
      </w:r>
      <w:r w:rsidRPr="003409C9">
        <w:rPr>
          <w:noProof/>
          <w:sz w:val="20"/>
        </w:rPr>
        <w:t>ityki Wizowej”) na odpowiednie kwoty:</w:t>
      </w:r>
      <w:bookmarkEnd w:id="150"/>
    </w:p>
    <w:p w:rsidR="00CD7E2F" w:rsidRPr="003409C9" w:rsidRDefault="00CD7E2F" w:rsidP="009B05A0">
      <w:pPr>
        <w:pStyle w:val="Text11"/>
        <w:pBdr>
          <w:top w:val="single" w:sz="4" w:space="1" w:color="auto"/>
          <w:left w:val="single" w:sz="4" w:space="4" w:color="auto"/>
          <w:bottom w:val="single" w:sz="4" w:space="0" w:color="auto"/>
          <w:right w:val="single" w:sz="4" w:space="4" w:color="auto"/>
        </w:pBdr>
        <w:rPr>
          <w:noProof/>
          <w:sz w:val="20"/>
        </w:rPr>
      </w:pPr>
      <w:bookmarkStart w:id="152" w:name="_Hlk118442023"/>
      <w:r w:rsidRPr="003409C9">
        <w:rPr>
          <w:noProof/>
          <w:sz w:val="20"/>
        </w:rPr>
        <w:t>Środki na zobowiązania = środki na płatności (mln EUR): 2024</w:t>
      </w:r>
      <w:r w:rsidR="003409C9" w:rsidRPr="003409C9">
        <w:rPr>
          <w:noProof/>
          <w:sz w:val="20"/>
        </w:rPr>
        <w:t xml:space="preserve">: </w:t>
      </w:r>
      <w:r w:rsidRPr="003409C9">
        <w:rPr>
          <w:noProof/>
          <w:sz w:val="20"/>
        </w:rPr>
        <w:t>0,157</w:t>
      </w:r>
      <w:r w:rsidR="003409C9" w:rsidRPr="003409C9">
        <w:rPr>
          <w:noProof/>
          <w:sz w:val="20"/>
        </w:rPr>
        <w:t xml:space="preserve">; </w:t>
      </w:r>
      <w:r w:rsidRPr="003409C9">
        <w:rPr>
          <w:noProof/>
          <w:sz w:val="20"/>
        </w:rPr>
        <w:t>2025</w:t>
      </w:r>
      <w:r w:rsidR="003409C9" w:rsidRPr="003409C9">
        <w:rPr>
          <w:noProof/>
          <w:sz w:val="20"/>
        </w:rPr>
        <w:t xml:space="preserve">: </w:t>
      </w:r>
      <w:r w:rsidRPr="003409C9">
        <w:rPr>
          <w:noProof/>
          <w:sz w:val="20"/>
        </w:rPr>
        <w:t>2,597, 2026</w:t>
      </w:r>
      <w:r w:rsidR="003409C9" w:rsidRPr="003409C9">
        <w:rPr>
          <w:noProof/>
          <w:sz w:val="20"/>
        </w:rPr>
        <w:t xml:space="preserve">: </w:t>
      </w:r>
      <w:r w:rsidRPr="003409C9">
        <w:rPr>
          <w:noProof/>
          <w:sz w:val="20"/>
        </w:rPr>
        <w:t>7,958; 2027</w:t>
      </w:r>
      <w:r w:rsidR="003409C9" w:rsidRPr="003409C9">
        <w:rPr>
          <w:noProof/>
          <w:sz w:val="20"/>
        </w:rPr>
        <w:t xml:space="preserve">: </w:t>
      </w:r>
      <w:r w:rsidRPr="003409C9">
        <w:rPr>
          <w:noProof/>
          <w:sz w:val="20"/>
        </w:rPr>
        <w:t>22,865</w:t>
      </w:r>
    </w:p>
    <w:p w:rsidR="00CD7E2F" w:rsidRPr="003409C9" w:rsidRDefault="00CD7E2F" w:rsidP="009B05A0">
      <w:pPr>
        <w:pStyle w:val="Text11"/>
        <w:pBdr>
          <w:top w:val="single" w:sz="4" w:space="1" w:color="auto"/>
          <w:left w:val="single" w:sz="4" w:space="4" w:color="auto"/>
          <w:bottom w:val="single" w:sz="4" w:space="0" w:color="auto"/>
          <w:right w:val="single" w:sz="4" w:space="4" w:color="auto"/>
        </w:pBdr>
        <w:ind w:firstLine="590"/>
        <w:rPr>
          <w:noProof/>
          <w:sz w:val="20"/>
        </w:rPr>
      </w:pPr>
      <w:r w:rsidRPr="003409C9">
        <w:rPr>
          <w:noProof/>
          <w:sz w:val="20"/>
        </w:rPr>
        <w:t>Na lata 2024–2027: 33,577</w:t>
      </w:r>
    </w:p>
    <w:p w:rsidR="00CD7E2F" w:rsidRPr="003409C9" w:rsidRDefault="00CD7E2F" w:rsidP="009B05A0">
      <w:pPr>
        <w:pStyle w:val="Text11"/>
        <w:pBdr>
          <w:top w:val="single" w:sz="4" w:space="1" w:color="auto"/>
          <w:left w:val="single" w:sz="4" w:space="4" w:color="auto"/>
          <w:bottom w:val="single" w:sz="4" w:space="0" w:color="auto"/>
          <w:right w:val="single" w:sz="4" w:space="4" w:color="auto"/>
        </w:pBdr>
        <w:rPr>
          <w:noProof/>
          <w:sz w:val="20"/>
        </w:rPr>
      </w:pPr>
      <w:r w:rsidRPr="003409C9">
        <w:rPr>
          <w:noProof/>
          <w:sz w:val="20"/>
        </w:rPr>
        <w:t>Koszty rozwoju</w:t>
      </w:r>
      <w:r w:rsidR="003409C9" w:rsidRPr="003409C9">
        <w:rPr>
          <w:noProof/>
          <w:sz w:val="20"/>
        </w:rPr>
        <w:t xml:space="preserve"> i kos</w:t>
      </w:r>
      <w:r w:rsidRPr="003409C9">
        <w:rPr>
          <w:noProof/>
          <w:sz w:val="20"/>
        </w:rPr>
        <w:t>zty bieżące na poziomie krajowym powinny być finansowane</w:t>
      </w:r>
      <w:r w:rsidR="003409C9" w:rsidRPr="003409C9">
        <w:rPr>
          <w:noProof/>
          <w:sz w:val="20"/>
        </w:rPr>
        <w:t xml:space="preserve"> z nas</w:t>
      </w:r>
      <w:r w:rsidRPr="003409C9">
        <w:rPr>
          <w:noProof/>
          <w:sz w:val="20"/>
        </w:rPr>
        <w:t>tępcy IZGW</w:t>
      </w:r>
      <w:r w:rsidR="003409C9" w:rsidRPr="003409C9">
        <w:rPr>
          <w:noProof/>
          <w:sz w:val="20"/>
        </w:rPr>
        <w:t xml:space="preserve"> z kol</w:t>
      </w:r>
      <w:r w:rsidRPr="003409C9">
        <w:rPr>
          <w:noProof/>
          <w:sz w:val="20"/>
        </w:rPr>
        <w:t>ejnych WRF.</w:t>
      </w:r>
      <w:bookmarkEnd w:id="151"/>
      <w:bookmarkEnd w:id="152"/>
      <w:r w:rsidRPr="003409C9">
        <w:rPr>
          <w:rStyle w:val="FootnoteReference0"/>
          <w:noProof/>
          <w:sz w:val="20"/>
        </w:rPr>
        <w:footnoteReference w:id="65"/>
      </w:r>
    </w:p>
    <w:p w:rsidR="00CD7E2F" w:rsidRPr="003409C9" w:rsidRDefault="00CD7E2F" w:rsidP="00CD7E2F">
      <w:pPr>
        <w:pStyle w:val="ListDash1"/>
        <w:rPr>
          <w:noProof/>
        </w:rPr>
      </w:pPr>
      <w:r w:rsidRPr="003409C9">
        <w:rPr>
          <w:noProof/>
        </w:rPr>
        <w:sym w:font="Wingdings" w:char="F0A8"/>
      </w:r>
      <w:r w:rsidRPr="003409C9">
        <w:rPr>
          <w:noProof/>
        </w:rPr>
        <w:tab/>
        <w:t>wymaga zastosowania nieprzydzielonego marginesu środków</w:t>
      </w:r>
      <w:r w:rsidR="003409C9" w:rsidRPr="003409C9">
        <w:rPr>
          <w:noProof/>
        </w:rPr>
        <w:t xml:space="preserve"> w ram</w:t>
      </w:r>
      <w:r w:rsidRPr="003409C9">
        <w:rPr>
          <w:noProof/>
        </w:rPr>
        <w:t>ach odpowiedniego działu WRF lub zastosowania specjalnych instrumentów zdefiniowanych</w:t>
      </w:r>
      <w:r w:rsidR="003409C9" w:rsidRPr="003409C9">
        <w:rPr>
          <w:noProof/>
        </w:rPr>
        <w:t xml:space="preserve"> w roz</w:t>
      </w:r>
      <w:r w:rsidRPr="003409C9">
        <w:rPr>
          <w:noProof/>
        </w:rPr>
        <w:t>porządzeniu</w:t>
      </w:r>
      <w:r w:rsidR="003409C9" w:rsidRPr="003409C9">
        <w:rPr>
          <w:noProof/>
        </w:rPr>
        <w:t xml:space="preserve"> w spr</w:t>
      </w:r>
      <w:r w:rsidRPr="003409C9">
        <w:rPr>
          <w:noProof/>
        </w:rPr>
        <w:t>awie WRF.</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sz w:val="20"/>
        </w:rPr>
      </w:pPr>
      <w:r w:rsidRPr="003409C9">
        <w:rPr>
          <w:noProof/>
          <w:sz w:val="20"/>
        </w:rPr>
        <w:t>Należy wyjaśnić, który wariant jest konieczny, określając działy</w:t>
      </w:r>
      <w:r w:rsidR="003409C9" w:rsidRPr="003409C9">
        <w:rPr>
          <w:noProof/>
          <w:sz w:val="20"/>
        </w:rPr>
        <w:t xml:space="preserve"> i lin</w:t>
      </w:r>
      <w:r w:rsidRPr="003409C9">
        <w:rPr>
          <w:noProof/>
          <w:sz w:val="20"/>
        </w:rPr>
        <w:t>ie budżetowe, których ma dotyczyć, odpowiadające im kwoty oraz proponowane instrumenty, które należy zastosować.</w:t>
      </w:r>
    </w:p>
    <w:p w:rsidR="00CD7E2F" w:rsidRPr="003409C9" w:rsidRDefault="00CD7E2F" w:rsidP="00CD7E2F">
      <w:pPr>
        <w:pStyle w:val="ListDash1"/>
        <w:rPr>
          <w:noProof/>
        </w:rPr>
      </w:pPr>
      <w:r w:rsidRPr="003409C9">
        <w:rPr>
          <w:noProof/>
        </w:rPr>
        <w:sym w:font="Wingdings" w:char="F0A8"/>
      </w:r>
      <w:r w:rsidRPr="003409C9">
        <w:rPr>
          <w:noProof/>
        </w:rPr>
        <w:tab/>
        <w:t>wymaga rewizji WRF.</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sz w:val="20"/>
        </w:rPr>
      </w:pPr>
      <w:r w:rsidRPr="003409C9">
        <w:rPr>
          <w:noProof/>
          <w:sz w:val="20"/>
        </w:rPr>
        <w:t>Należy wyjaśnić, który wariant jest konieczny, określając linie budżetowe, których ma on dotyczyć, oraz podając odpowiednie kwoty.</w:t>
      </w:r>
    </w:p>
    <w:p w:rsidR="00CD7E2F" w:rsidRPr="00BB07AF" w:rsidRDefault="009475BC" w:rsidP="009475BC">
      <w:pPr>
        <w:pStyle w:val="ManualHeading3"/>
        <w:rPr>
          <w:bCs/>
          <w:noProof/>
          <w:szCs w:val="24"/>
        </w:rPr>
      </w:pPr>
      <w:bookmarkStart w:id="153" w:name="_Toc514938058"/>
      <w:bookmarkStart w:id="154" w:name="_Toc117796997"/>
      <w:r w:rsidRPr="00BB07AF">
        <w:rPr>
          <w:noProof/>
        </w:rPr>
        <w:t>3.2.6.</w:t>
      </w:r>
      <w:r w:rsidRPr="00BB07AF">
        <w:rPr>
          <w:noProof/>
        </w:rPr>
        <w:tab/>
        <w:t>Udział osób trzecich</w:t>
      </w:r>
      <w:r w:rsidR="003409C9" w:rsidRPr="00BB07AF">
        <w:rPr>
          <w:noProof/>
        </w:rPr>
        <w:t xml:space="preserve"> w fin</w:t>
      </w:r>
      <w:r w:rsidRPr="00BB07AF">
        <w:rPr>
          <w:noProof/>
        </w:rPr>
        <w:t>ansowaniu</w:t>
      </w:r>
      <w:bookmarkEnd w:id="153"/>
      <w:bookmarkEnd w:id="154"/>
      <w:r w:rsidRPr="00BB07AF">
        <w:rPr>
          <w:noProof/>
        </w:rPr>
        <w:t xml:space="preserve"> </w:t>
      </w:r>
    </w:p>
    <w:p w:rsidR="00CD7E2F" w:rsidRPr="003409C9" w:rsidRDefault="00CD7E2F" w:rsidP="009B05A0">
      <w:pPr>
        <w:pStyle w:val="Text11"/>
        <w:rPr>
          <w:noProof/>
        </w:rPr>
      </w:pPr>
      <w:r w:rsidRPr="003409C9">
        <w:rPr>
          <w:noProof/>
        </w:rPr>
        <w:t>Wniosek/inicjatywa:</w:t>
      </w:r>
    </w:p>
    <w:p w:rsidR="00CD7E2F" w:rsidRPr="003409C9" w:rsidRDefault="00CD7E2F" w:rsidP="00CD7E2F">
      <w:pPr>
        <w:pStyle w:val="ListDash1"/>
        <w:rPr>
          <w:noProof/>
        </w:rPr>
      </w:pPr>
      <w:r w:rsidRPr="003409C9">
        <w:rPr>
          <w:noProof/>
        </w:rPr>
        <w:sym w:font="Wingdings" w:char="F078"/>
      </w:r>
      <w:r w:rsidRPr="003409C9">
        <w:rPr>
          <w:noProof/>
        </w:rPr>
        <w:tab/>
        <w:t>nie przewiduje współfinansowania ze strony osób trzecich</w:t>
      </w:r>
    </w:p>
    <w:p w:rsidR="00CD7E2F" w:rsidRPr="003409C9" w:rsidRDefault="00CD7E2F" w:rsidP="00CD7E2F">
      <w:pPr>
        <w:pStyle w:val="ListDash1"/>
        <w:rPr>
          <w:noProof/>
        </w:rPr>
      </w:pPr>
      <w:r w:rsidRPr="003409C9">
        <w:rPr>
          <w:noProof/>
        </w:rPr>
        <w:sym w:font="Wingdings" w:char="F0A8"/>
      </w:r>
      <w:r w:rsidRPr="003409C9">
        <w:rPr>
          <w:noProof/>
        </w:rPr>
        <w:tab/>
        <w:t>przewiduje współfinansowanie ze strony osób trzecich szacowane zgodnie</w:t>
      </w:r>
      <w:r w:rsidR="003409C9" w:rsidRPr="003409C9">
        <w:rPr>
          <w:noProof/>
        </w:rPr>
        <w:t xml:space="preserve"> z pon</w:t>
      </w:r>
      <w:r w:rsidRPr="003409C9">
        <w:rPr>
          <w:noProof/>
        </w:rPr>
        <w:t>iższymi szacunkami:</w:t>
      </w:r>
    </w:p>
    <w:p w:rsidR="00CD7E2F" w:rsidRPr="00BB07AF" w:rsidRDefault="00CD7E2F" w:rsidP="009475BC">
      <w:pPr>
        <w:pStyle w:val="ManualHeading2"/>
        <w:rPr>
          <w:bCs/>
          <w:noProof/>
          <w:szCs w:val="24"/>
        </w:rPr>
      </w:pPr>
      <w:r w:rsidRPr="00BB07AF">
        <w:rPr>
          <w:noProof/>
        </w:rPr>
        <w:br w:type="page"/>
      </w:r>
      <w:bookmarkStart w:id="155" w:name="_Toc514938059"/>
      <w:bookmarkStart w:id="156" w:name="_Toc117796998"/>
      <w:r w:rsidRPr="00BB07AF">
        <w:rPr>
          <w:noProof/>
        </w:rPr>
        <w:t>3.3.</w:t>
      </w:r>
      <w:r w:rsidRPr="00BB07AF">
        <w:rPr>
          <w:noProof/>
        </w:rPr>
        <w:tab/>
        <w:t>Szacunkowy wpływ na dochody</w:t>
      </w:r>
      <w:bookmarkEnd w:id="155"/>
      <w:bookmarkEnd w:id="156"/>
      <w:r w:rsidRPr="00BB07AF">
        <w:rPr>
          <w:noProof/>
        </w:rPr>
        <w:t xml:space="preserve"> </w:t>
      </w:r>
    </w:p>
    <w:p w:rsidR="00CD7E2F" w:rsidRPr="003409C9" w:rsidRDefault="00CD7E2F" w:rsidP="00CD7E2F">
      <w:pPr>
        <w:pStyle w:val="ListDash1"/>
        <w:rPr>
          <w:noProof/>
        </w:rPr>
      </w:pPr>
      <w:r w:rsidRPr="003409C9">
        <w:rPr>
          <w:noProof/>
        </w:rPr>
        <w:sym w:font="Wingdings" w:char="F0A8"/>
      </w:r>
      <w:r w:rsidRPr="003409C9">
        <w:rPr>
          <w:noProof/>
        </w:rPr>
        <w:tab/>
        <w:t>Wniosek/inicjatywa nie ma wpływu finansowego na dochody</w:t>
      </w:r>
    </w:p>
    <w:p w:rsidR="00CD7E2F" w:rsidRPr="003409C9" w:rsidRDefault="00CD7E2F" w:rsidP="00CD7E2F">
      <w:pPr>
        <w:pStyle w:val="ListDash1"/>
        <w:rPr>
          <w:noProof/>
        </w:rPr>
      </w:pPr>
      <w:r w:rsidRPr="003409C9">
        <w:rPr>
          <w:noProof/>
        </w:rPr>
        <w:sym w:font="Wingdings" w:char="F0FE"/>
      </w:r>
      <w:r w:rsidRPr="003409C9">
        <w:rPr>
          <w:noProof/>
        </w:rPr>
        <w:tab/>
        <w:t>Wniosek/inicjatywa ma wpływ finansowy określony poniżej:</w:t>
      </w:r>
    </w:p>
    <w:p w:rsidR="00CD7E2F" w:rsidRPr="003409C9" w:rsidRDefault="009475BC" w:rsidP="009475BC">
      <w:pPr>
        <w:pStyle w:val="Point2"/>
        <w:rPr>
          <w:noProof/>
        </w:rPr>
      </w:pPr>
      <w:r w:rsidRPr="003409C9">
        <w:rPr>
          <w:noProof/>
        </w:rPr>
        <w:t>(1)</w:t>
      </w:r>
      <w:r w:rsidRPr="003409C9">
        <w:rPr>
          <w:noProof/>
        </w:rPr>
        <w:tab/>
      </w:r>
      <w:r w:rsidRPr="003409C9">
        <w:rPr>
          <w:noProof/>
        </w:rPr>
        <w:sym w:font="Wingdings" w:char="F0A8"/>
      </w:r>
      <w:r w:rsidRPr="003409C9">
        <w:rPr>
          <w:noProof/>
        </w:rPr>
        <w:tab/>
        <w:t xml:space="preserve">wpływ na zasoby własne </w:t>
      </w:r>
    </w:p>
    <w:p w:rsidR="00CD7E2F" w:rsidRPr="003409C9" w:rsidRDefault="009475BC" w:rsidP="009475BC">
      <w:pPr>
        <w:pStyle w:val="Point2"/>
        <w:rPr>
          <w:noProof/>
        </w:rPr>
      </w:pPr>
      <w:r w:rsidRPr="003409C9">
        <w:rPr>
          <w:noProof/>
        </w:rPr>
        <w:t>(2)</w:t>
      </w:r>
      <w:r w:rsidRPr="003409C9">
        <w:rPr>
          <w:noProof/>
        </w:rPr>
        <w:tab/>
      </w:r>
      <w:r w:rsidRPr="003409C9">
        <w:rPr>
          <w:noProof/>
        </w:rPr>
        <w:sym w:font="Wingdings" w:char="F0FE"/>
      </w:r>
      <w:r w:rsidRPr="003409C9">
        <w:rPr>
          <w:noProof/>
        </w:rPr>
        <w:tab/>
        <w:t>wpływ na dochody inne</w:t>
      </w:r>
    </w:p>
    <w:p w:rsidR="00CD7E2F" w:rsidRPr="003409C9" w:rsidRDefault="009475BC" w:rsidP="009475BC">
      <w:pPr>
        <w:pStyle w:val="Point2"/>
        <w:rPr>
          <w:noProof/>
        </w:rPr>
      </w:pPr>
      <w:r w:rsidRPr="003409C9">
        <w:rPr>
          <w:noProof/>
        </w:rPr>
        <w:t>(3)</w:t>
      </w:r>
      <w:r w:rsidRPr="003409C9">
        <w:rPr>
          <w:noProof/>
        </w:rPr>
        <w:tab/>
        <w:t xml:space="preserve">Wskazać, czy dochody są przypisane do linii budżetowej po stronie wydatków </w:t>
      </w:r>
      <w:r w:rsidRPr="003409C9">
        <w:rPr>
          <w:noProof/>
        </w:rPr>
        <w:sym w:font="Wingdings" w:char="F0A8"/>
      </w:r>
      <w:r w:rsidRPr="003409C9">
        <w:rPr>
          <w:noProof/>
        </w:rPr>
        <w:tab/>
      </w:r>
    </w:p>
    <w:p w:rsidR="00CD7E2F" w:rsidRPr="00BB07AF" w:rsidRDefault="00CD7E2F" w:rsidP="00CD7E2F">
      <w:pPr>
        <w:ind w:left="4320"/>
        <w:rPr>
          <w:i/>
          <w:noProof/>
          <w:sz w:val="20"/>
        </w:rPr>
      </w:pPr>
      <w:r w:rsidRPr="003409C9">
        <w:rPr>
          <w:noProof/>
        </w:rPr>
        <w:t>w mln EUR (do trzech miejsc po przecinku)</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CD7E2F" w:rsidRPr="003409C9" w:rsidTr="00EA0500">
        <w:trPr>
          <w:trHeight w:val="388"/>
        </w:trPr>
        <w:tc>
          <w:tcPr>
            <w:tcW w:w="2144" w:type="dxa"/>
            <w:vMerge w:val="restart"/>
            <w:vAlign w:val="center"/>
          </w:tcPr>
          <w:p w:rsidR="00CD7E2F" w:rsidRPr="003409C9" w:rsidRDefault="00CD7E2F" w:rsidP="00EA0500">
            <w:pPr>
              <w:spacing w:before="40" w:after="40"/>
              <w:rPr>
                <w:noProof/>
                <w:sz w:val="18"/>
              </w:rPr>
            </w:pPr>
            <w:r w:rsidRPr="003409C9">
              <w:rPr>
                <w:noProof/>
                <w:sz w:val="18"/>
              </w:rPr>
              <w:t>Linia budżetowa po stronie dochodów</w:t>
            </w:r>
          </w:p>
        </w:tc>
        <w:tc>
          <w:tcPr>
            <w:tcW w:w="1325" w:type="dxa"/>
            <w:vMerge w:val="restart"/>
            <w:vAlign w:val="center"/>
          </w:tcPr>
          <w:p w:rsidR="00CD7E2F" w:rsidRPr="003409C9" w:rsidRDefault="00CD7E2F" w:rsidP="00EA0500">
            <w:pPr>
              <w:jc w:val="center"/>
              <w:rPr>
                <w:noProof/>
                <w:sz w:val="18"/>
              </w:rPr>
            </w:pPr>
            <w:r w:rsidRPr="003409C9">
              <w:rPr>
                <w:noProof/>
                <w:sz w:val="18"/>
              </w:rPr>
              <w:t>Środki zapisane</w:t>
            </w:r>
            <w:r w:rsidR="003409C9" w:rsidRPr="003409C9">
              <w:rPr>
                <w:noProof/>
                <w:sz w:val="18"/>
              </w:rPr>
              <w:t xml:space="preserve"> w bud</w:t>
            </w:r>
            <w:r w:rsidRPr="003409C9">
              <w:rPr>
                <w:noProof/>
                <w:sz w:val="18"/>
              </w:rPr>
              <w:t>żecie na bieżący rok budżetowy</w:t>
            </w:r>
          </w:p>
        </w:tc>
        <w:tc>
          <w:tcPr>
            <w:tcW w:w="7151" w:type="dxa"/>
            <w:gridSpan w:val="7"/>
            <w:vAlign w:val="center"/>
          </w:tcPr>
          <w:p w:rsidR="00CD7E2F" w:rsidRPr="003409C9" w:rsidRDefault="00CD7E2F" w:rsidP="00EA0500">
            <w:pPr>
              <w:jc w:val="center"/>
              <w:rPr>
                <w:noProof/>
                <w:sz w:val="18"/>
              </w:rPr>
            </w:pPr>
            <w:r w:rsidRPr="003409C9">
              <w:rPr>
                <w:noProof/>
                <w:sz w:val="18"/>
              </w:rPr>
              <w:t>Wpływ wniosku/inicjatywy</w:t>
            </w:r>
            <w:r w:rsidRPr="003409C9">
              <w:rPr>
                <w:rStyle w:val="FootnoteReference0"/>
                <w:noProof/>
                <w:sz w:val="18"/>
              </w:rPr>
              <w:footnoteReference w:id="66"/>
            </w:r>
          </w:p>
        </w:tc>
      </w:tr>
      <w:tr w:rsidR="00CD7E2F" w:rsidRPr="003409C9" w:rsidTr="00EA0500">
        <w:trPr>
          <w:trHeight w:val="388"/>
        </w:trPr>
        <w:tc>
          <w:tcPr>
            <w:tcW w:w="2144" w:type="dxa"/>
            <w:vMerge/>
          </w:tcPr>
          <w:p w:rsidR="00CD7E2F" w:rsidRPr="003409C9" w:rsidRDefault="00CD7E2F" w:rsidP="00EA0500">
            <w:pPr>
              <w:spacing w:before="40" w:after="40"/>
              <w:rPr>
                <w:noProof/>
                <w:sz w:val="18"/>
              </w:rPr>
            </w:pPr>
          </w:p>
        </w:tc>
        <w:tc>
          <w:tcPr>
            <w:tcW w:w="1325" w:type="dxa"/>
            <w:vMerge/>
          </w:tcPr>
          <w:p w:rsidR="00CD7E2F" w:rsidRPr="00BB07AF" w:rsidRDefault="00CD7E2F" w:rsidP="00EA0500">
            <w:pPr>
              <w:spacing w:beforeLines="40" w:before="96" w:afterLines="40" w:after="96"/>
              <w:rPr>
                <w:i/>
                <w:noProof/>
                <w:sz w:val="18"/>
              </w:rPr>
            </w:pPr>
          </w:p>
        </w:tc>
        <w:tc>
          <w:tcPr>
            <w:tcW w:w="1031" w:type="dxa"/>
            <w:vAlign w:val="center"/>
          </w:tcPr>
          <w:p w:rsidR="00CD7E2F" w:rsidRPr="003409C9" w:rsidRDefault="00CD7E2F" w:rsidP="00EA0500">
            <w:pPr>
              <w:jc w:val="center"/>
              <w:rPr>
                <w:noProof/>
                <w:sz w:val="18"/>
              </w:rPr>
            </w:pPr>
            <w:r w:rsidRPr="003409C9">
              <w:rPr>
                <w:noProof/>
                <w:sz w:val="18"/>
              </w:rPr>
              <w:t>Rok</w:t>
            </w:r>
            <w:r w:rsidRPr="003409C9">
              <w:rPr>
                <w:noProof/>
              </w:rPr>
              <w:t xml:space="preserve"> </w:t>
            </w:r>
            <w:r w:rsidRPr="003409C9">
              <w:rPr>
                <w:noProof/>
              </w:rPr>
              <w:br/>
            </w:r>
            <w:r w:rsidRPr="00BB07AF">
              <w:rPr>
                <w:b/>
                <w:noProof/>
                <w:sz w:val="18"/>
              </w:rPr>
              <w:t>N</w:t>
            </w:r>
          </w:p>
        </w:tc>
        <w:tc>
          <w:tcPr>
            <w:tcW w:w="900" w:type="dxa"/>
            <w:vAlign w:val="center"/>
          </w:tcPr>
          <w:p w:rsidR="00CD7E2F" w:rsidRPr="003409C9" w:rsidRDefault="00CD7E2F" w:rsidP="00EA0500">
            <w:pPr>
              <w:jc w:val="center"/>
              <w:rPr>
                <w:noProof/>
                <w:sz w:val="18"/>
              </w:rPr>
            </w:pPr>
            <w:r w:rsidRPr="003409C9">
              <w:rPr>
                <w:noProof/>
                <w:sz w:val="18"/>
              </w:rPr>
              <w:t>Rok</w:t>
            </w:r>
            <w:r w:rsidRPr="003409C9">
              <w:rPr>
                <w:noProof/>
              </w:rPr>
              <w:t xml:space="preserve"> </w:t>
            </w:r>
            <w:r w:rsidRPr="003409C9">
              <w:rPr>
                <w:noProof/>
              </w:rPr>
              <w:br/>
            </w:r>
            <w:r w:rsidRPr="00BB07AF">
              <w:rPr>
                <w:b/>
                <w:noProof/>
                <w:sz w:val="18"/>
              </w:rPr>
              <w:t>N+1</w:t>
            </w:r>
          </w:p>
        </w:tc>
        <w:tc>
          <w:tcPr>
            <w:tcW w:w="900" w:type="dxa"/>
            <w:vAlign w:val="center"/>
          </w:tcPr>
          <w:p w:rsidR="00CD7E2F" w:rsidRPr="003409C9" w:rsidRDefault="00CD7E2F" w:rsidP="00EA0500">
            <w:pPr>
              <w:jc w:val="center"/>
              <w:rPr>
                <w:noProof/>
                <w:sz w:val="18"/>
              </w:rPr>
            </w:pPr>
            <w:r w:rsidRPr="003409C9">
              <w:rPr>
                <w:noProof/>
                <w:sz w:val="18"/>
              </w:rPr>
              <w:t>Rok</w:t>
            </w:r>
            <w:r w:rsidRPr="003409C9">
              <w:rPr>
                <w:noProof/>
              </w:rPr>
              <w:t xml:space="preserve"> </w:t>
            </w:r>
            <w:r w:rsidRPr="003409C9">
              <w:rPr>
                <w:noProof/>
              </w:rPr>
              <w:br/>
            </w:r>
            <w:r w:rsidRPr="00BB07AF">
              <w:rPr>
                <w:b/>
                <w:noProof/>
                <w:sz w:val="18"/>
              </w:rPr>
              <w:t>N+2</w:t>
            </w:r>
          </w:p>
        </w:tc>
        <w:tc>
          <w:tcPr>
            <w:tcW w:w="1080" w:type="dxa"/>
            <w:vAlign w:val="center"/>
          </w:tcPr>
          <w:p w:rsidR="00CD7E2F" w:rsidRPr="003409C9" w:rsidRDefault="00CD7E2F" w:rsidP="00EA0500">
            <w:pPr>
              <w:jc w:val="center"/>
              <w:rPr>
                <w:noProof/>
                <w:sz w:val="18"/>
              </w:rPr>
            </w:pPr>
            <w:r w:rsidRPr="003409C9">
              <w:rPr>
                <w:noProof/>
                <w:sz w:val="18"/>
              </w:rPr>
              <w:t>Rok</w:t>
            </w:r>
            <w:r w:rsidRPr="003409C9">
              <w:rPr>
                <w:noProof/>
              </w:rPr>
              <w:t xml:space="preserve"> </w:t>
            </w:r>
            <w:r w:rsidRPr="003409C9">
              <w:rPr>
                <w:noProof/>
              </w:rPr>
              <w:br/>
            </w:r>
            <w:r w:rsidRPr="00BB07AF">
              <w:rPr>
                <w:b/>
                <w:noProof/>
                <w:sz w:val="18"/>
              </w:rPr>
              <w:t>N+3</w:t>
            </w:r>
          </w:p>
        </w:tc>
        <w:tc>
          <w:tcPr>
            <w:tcW w:w="3240" w:type="dxa"/>
            <w:gridSpan w:val="3"/>
            <w:vAlign w:val="center"/>
          </w:tcPr>
          <w:p w:rsidR="00CD7E2F" w:rsidRPr="00BB07AF" w:rsidRDefault="00CD7E2F" w:rsidP="00EA0500">
            <w:pPr>
              <w:jc w:val="center"/>
              <w:rPr>
                <w:b/>
                <w:noProof/>
                <w:sz w:val="18"/>
              </w:rPr>
            </w:pPr>
            <w:r w:rsidRPr="003409C9">
              <w:rPr>
                <w:noProof/>
                <w:sz w:val="18"/>
              </w:rPr>
              <w:t>Wprowadzić taką liczbę kolumn dla poszczególnych lat, jaka jest niezbędna, by odzwierciedlić cały okres wpływu (por. pkt</w:t>
            </w:r>
            <w:r w:rsidR="003409C9" w:rsidRPr="003409C9">
              <w:rPr>
                <w:noProof/>
                <w:sz w:val="18"/>
              </w:rPr>
              <w:t> </w:t>
            </w:r>
            <w:r w:rsidRPr="003409C9">
              <w:rPr>
                <w:noProof/>
                <w:sz w:val="18"/>
              </w:rPr>
              <w:t>1.6)</w:t>
            </w:r>
          </w:p>
        </w:tc>
      </w:tr>
      <w:tr w:rsidR="00CD7E2F" w:rsidRPr="003409C9" w:rsidTr="00EA0500">
        <w:trPr>
          <w:trHeight w:val="388"/>
        </w:trPr>
        <w:tc>
          <w:tcPr>
            <w:tcW w:w="2144" w:type="dxa"/>
            <w:vAlign w:val="center"/>
          </w:tcPr>
          <w:p w:rsidR="00CD7E2F" w:rsidRPr="003409C9" w:rsidRDefault="00CD7E2F" w:rsidP="00EA0500">
            <w:pPr>
              <w:spacing w:before="40" w:after="40"/>
              <w:rPr>
                <w:noProof/>
                <w:sz w:val="18"/>
              </w:rPr>
            </w:pPr>
            <w:r w:rsidRPr="003409C9">
              <w:rPr>
                <w:noProof/>
                <w:sz w:val="18"/>
              </w:rPr>
              <w:t>Artykuł …</w:t>
            </w:r>
          </w:p>
        </w:tc>
        <w:tc>
          <w:tcPr>
            <w:tcW w:w="1325" w:type="dxa"/>
          </w:tcPr>
          <w:p w:rsidR="00CD7E2F" w:rsidRPr="00BB07AF" w:rsidRDefault="00CD7E2F" w:rsidP="00EA0500">
            <w:pPr>
              <w:spacing w:beforeLines="40" w:before="96" w:afterLines="40" w:after="96"/>
              <w:jc w:val="center"/>
              <w:rPr>
                <w:i/>
                <w:noProof/>
                <w:sz w:val="18"/>
              </w:rPr>
            </w:pPr>
          </w:p>
        </w:tc>
        <w:tc>
          <w:tcPr>
            <w:tcW w:w="1031" w:type="dxa"/>
          </w:tcPr>
          <w:p w:rsidR="00CD7E2F" w:rsidRPr="003409C9" w:rsidRDefault="00CD7E2F" w:rsidP="00EA0500">
            <w:pPr>
              <w:spacing w:beforeLines="40" w:before="96" w:afterLines="40" w:after="96"/>
              <w:jc w:val="center"/>
              <w:rPr>
                <w:noProof/>
                <w:sz w:val="18"/>
              </w:rPr>
            </w:pPr>
            <w:r w:rsidRPr="003409C9">
              <w:rPr>
                <w:noProof/>
                <w:sz w:val="18"/>
              </w:rPr>
              <w:t>p.m.</w:t>
            </w:r>
          </w:p>
        </w:tc>
        <w:tc>
          <w:tcPr>
            <w:tcW w:w="900" w:type="dxa"/>
          </w:tcPr>
          <w:p w:rsidR="00CD7E2F" w:rsidRPr="003409C9" w:rsidRDefault="00CD7E2F" w:rsidP="00EA0500">
            <w:pPr>
              <w:spacing w:beforeLines="40" w:before="96" w:afterLines="40" w:after="96"/>
              <w:jc w:val="center"/>
              <w:rPr>
                <w:noProof/>
                <w:sz w:val="18"/>
              </w:rPr>
            </w:pPr>
          </w:p>
        </w:tc>
        <w:tc>
          <w:tcPr>
            <w:tcW w:w="900" w:type="dxa"/>
          </w:tcPr>
          <w:p w:rsidR="00CD7E2F" w:rsidRPr="003409C9" w:rsidRDefault="00CD7E2F" w:rsidP="00EA0500">
            <w:pPr>
              <w:spacing w:beforeLines="40" w:before="96" w:afterLines="40" w:after="96"/>
              <w:jc w:val="center"/>
              <w:rPr>
                <w:noProof/>
                <w:sz w:val="18"/>
              </w:rPr>
            </w:pPr>
          </w:p>
        </w:tc>
        <w:tc>
          <w:tcPr>
            <w:tcW w:w="1080" w:type="dxa"/>
          </w:tcPr>
          <w:p w:rsidR="00CD7E2F" w:rsidRPr="003409C9" w:rsidRDefault="00CD7E2F" w:rsidP="00EA0500">
            <w:pPr>
              <w:spacing w:beforeLines="40" w:before="96" w:afterLines="40" w:after="96"/>
              <w:jc w:val="center"/>
              <w:rPr>
                <w:noProof/>
                <w:sz w:val="18"/>
              </w:rPr>
            </w:pPr>
          </w:p>
        </w:tc>
        <w:tc>
          <w:tcPr>
            <w:tcW w:w="1080" w:type="dxa"/>
          </w:tcPr>
          <w:p w:rsidR="00CD7E2F" w:rsidRPr="003409C9" w:rsidRDefault="00CD7E2F" w:rsidP="00EA0500">
            <w:pPr>
              <w:spacing w:beforeLines="40" w:before="96" w:afterLines="40" w:after="96"/>
              <w:jc w:val="center"/>
              <w:rPr>
                <w:noProof/>
                <w:sz w:val="18"/>
              </w:rPr>
            </w:pPr>
          </w:p>
        </w:tc>
        <w:tc>
          <w:tcPr>
            <w:tcW w:w="1080" w:type="dxa"/>
          </w:tcPr>
          <w:p w:rsidR="00CD7E2F" w:rsidRPr="003409C9" w:rsidRDefault="00CD7E2F" w:rsidP="00EA0500">
            <w:pPr>
              <w:spacing w:beforeLines="40" w:before="96" w:afterLines="40" w:after="96"/>
              <w:jc w:val="center"/>
              <w:rPr>
                <w:noProof/>
                <w:sz w:val="18"/>
              </w:rPr>
            </w:pPr>
          </w:p>
        </w:tc>
        <w:tc>
          <w:tcPr>
            <w:tcW w:w="1080" w:type="dxa"/>
          </w:tcPr>
          <w:p w:rsidR="00CD7E2F" w:rsidRPr="003409C9" w:rsidRDefault="00CD7E2F" w:rsidP="00EA0500">
            <w:pPr>
              <w:spacing w:beforeLines="40" w:before="96" w:afterLines="40" w:after="96"/>
              <w:jc w:val="center"/>
              <w:rPr>
                <w:noProof/>
                <w:sz w:val="18"/>
              </w:rPr>
            </w:pPr>
          </w:p>
        </w:tc>
      </w:tr>
    </w:tbl>
    <w:p w:rsidR="00CD7E2F" w:rsidRPr="003409C9" w:rsidRDefault="00CD7E2F" w:rsidP="009B05A0">
      <w:pPr>
        <w:pStyle w:val="Text11"/>
        <w:rPr>
          <w:noProof/>
          <w:sz w:val="20"/>
        </w:rPr>
      </w:pPr>
      <w:r w:rsidRPr="003409C9">
        <w:rPr>
          <w:noProof/>
          <w:sz w:val="20"/>
        </w:rPr>
        <w:t>W przypadku wpływu na dochody przeznaczone na określony cel należy wskazać linie budżetowe po stronie wydatków, które ten wpływ obejmie.</w:t>
      </w:r>
    </w:p>
    <w:p w:rsidR="00CD7E2F" w:rsidRPr="003409C9" w:rsidRDefault="00CD7E2F" w:rsidP="009B05A0">
      <w:pPr>
        <w:pStyle w:val="Text11"/>
        <w:pBdr>
          <w:top w:val="single" w:sz="4" w:space="1" w:color="auto"/>
          <w:left w:val="single" w:sz="4" w:space="4" w:color="auto"/>
          <w:bottom w:val="single" w:sz="4" w:space="1" w:color="auto"/>
          <w:right w:val="single" w:sz="4" w:space="4" w:color="auto"/>
        </w:pBdr>
        <w:rPr>
          <w:noProof/>
        </w:rPr>
      </w:pPr>
      <w:bookmarkStart w:id="157" w:name="_Hlk118442130"/>
      <w:r w:rsidRPr="003409C9">
        <w:rPr>
          <w:noProof/>
        </w:rPr>
        <w:t>11.1002 (eu-LISA), 11.0201 (IZGW)</w:t>
      </w:r>
    </w:p>
    <w:bookmarkEnd w:id="157"/>
    <w:p w:rsidR="00CD7E2F" w:rsidRPr="003409C9" w:rsidRDefault="00CD7E2F" w:rsidP="009B05A0">
      <w:pPr>
        <w:pStyle w:val="Text11"/>
        <w:rPr>
          <w:noProof/>
          <w:sz w:val="20"/>
        </w:rPr>
      </w:pPr>
      <w:r w:rsidRPr="003409C9">
        <w:rPr>
          <w:noProof/>
          <w:sz w:val="20"/>
        </w:rPr>
        <w:t>Pozostałe uwagi (np. metoda/wzór użyte do obliczenia wpływu na dochody albo inne informacje).</w:t>
      </w:r>
    </w:p>
    <w:p w:rsidR="00CD7E2F" w:rsidRPr="003409C9" w:rsidRDefault="00CD7E2F" w:rsidP="00CD7E2F">
      <w:pPr>
        <w:pBdr>
          <w:top w:val="single" w:sz="4" w:space="1" w:color="auto"/>
          <w:left w:val="single" w:sz="4" w:space="4" w:color="auto"/>
          <w:bottom w:val="single" w:sz="4" w:space="1" w:color="auto"/>
          <w:right w:val="single" w:sz="4" w:space="4" w:color="auto"/>
        </w:pBdr>
        <w:ind w:left="850"/>
        <w:rPr>
          <w:noProof/>
        </w:rPr>
      </w:pPr>
      <w:bookmarkStart w:id="158" w:name="_Hlk118442148"/>
      <w:r w:rsidRPr="003409C9">
        <w:rPr>
          <w:noProof/>
        </w:rPr>
        <w:t>Budżet zawiera wkład państw uczestniczących we wdrażaniu, stosowaniu</w:t>
      </w:r>
      <w:r w:rsidR="003409C9" w:rsidRPr="003409C9">
        <w:rPr>
          <w:noProof/>
        </w:rPr>
        <w:t xml:space="preserve"> i roz</w:t>
      </w:r>
      <w:r w:rsidRPr="003409C9">
        <w:rPr>
          <w:noProof/>
        </w:rPr>
        <w:t>wijaniu dorobku Schengen oraz środków dotyczących cyfryzacji wiz zgodnie</w:t>
      </w:r>
      <w:r w:rsidR="003409C9" w:rsidRPr="003409C9">
        <w:rPr>
          <w:noProof/>
        </w:rPr>
        <w:t xml:space="preserve"> z ust</w:t>
      </w:r>
      <w:r w:rsidRPr="003409C9">
        <w:rPr>
          <w:noProof/>
        </w:rPr>
        <w:t>aleniami zawartymi</w:t>
      </w:r>
      <w:r w:rsidR="003409C9" w:rsidRPr="003409C9">
        <w:rPr>
          <w:noProof/>
        </w:rPr>
        <w:t xml:space="preserve"> w odn</w:t>
      </w:r>
      <w:r w:rsidRPr="003409C9">
        <w:rPr>
          <w:noProof/>
        </w:rPr>
        <w:t>ośnych obowiązujących umowach. Szacunki są oparte na kalkulacjach przychodów na rzecz wdrożenia dorobku prawnego Schengen</w:t>
      </w:r>
      <w:r w:rsidR="003409C9" w:rsidRPr="003409C9">
        <w:rPr>
          <w:noProof/>
        </w:rPr>
        <w:t xml:space="preserve"> z pań</w:t>
      </w:r>
      <w:r w:rsidRPr="003409C9">
        <w:rPr>
          <w:noProof/>
        </w:rPr>
        <w:t>stw (Islandia, Norwegia</w:t>
      </w:r>
      <w:r w:rsidR="003409C9" w:rsidRPr="003409C9">
        <w:rPr>
          <w:noProof/>
        </w:rPr>
        <w:t xml:space="preserve"> i Szw</w:t>
      </w:r>
      <w:r w:rsidRPr="003409C9">
        <w:rPr>
          <w:noProof/>
        </w:rPr>
        <w:t>ajcaria), które obecnie wpłacają do budżetu ogólnego Unii Europejskiej (zużytkowane płatności) roczną kwotę za dany rok budżetowy, obliczoną zgodnie</w:t>
      </w:r>
      <w:r w:rsidR="003409C9" w:rsidRPr="003409C9">
        <w:rPr>
          <w:noProof/>
        </w:rPr>
        <w:t xml:space="preserve"> z jej</w:t>
      </w:r>
      <w:r w:rsidRPr="003409C9">
        <w:rPr>
          <w:noProof/>
        </w:rPr>
        <w:t xml:space="preserve"> produktem krajowym brutto jako odsetek produktu krajowego brutto wszystkich uczestniczących państw. Kalkulacji dokonuje się na podstawie danych liczbowych Eurostatu, które podlegają znacznym wahaniom</w:t>
      </w:r>
      <w:r w:rsidR="003409C9" w:rsidRPr="003409C9">
        <w:rPr>
          <w:noProof/>
        </w:rPr>
        <w:t xml:space="preserve"> w zal</w:t>
      </w:r>
      <w:r w:rsidRPr="003409C9">
        <w:rPr>
          <w:noProof/>
        </w:rPr>
        <w:t>eżności od sytuacji gospodarczej uczestniczących państw.</w:t>
      </w:r>
      <w:bookmarkEnd w:id="158"/>
    </w:p>
    <w:p w:rsidR="00CD7E2F" w:rsidRPr="003409C9" w:rsidRDefault="00CD7E2F" w:rsidP="00CD7E2F">
      <w:pPr>
        <w:pStyle w:val="ListNumberLevel3"/>
        <w:tabs>
          <w:tab w:val="clear" w:pos="2126"/>
        </w:tabs>
        <w:ind w:left="0" w:firstLine="0"/>
        <w:rPr>
          <w:noProof/>
        </w:rPr>
      </w:pPr>
    </w:p>
    <w:p w:rsidR="00B341E4" w:rsidRPr="003409C9" w:rsidRDefault="00B341E4" w:rsidP="00CD7E2F">
      <w:pPr>
        <w:pStyle w:val="ListNumberLevel3"/>
        <w:tabs>
          <w:tab w:val="clear" w:pos="2126"/>
        </w:tabs>
        <w:ind w:left="0" w:firstLine="0"/>
        <w:rPr>
          <w:noProof/>
        </w:rPr>
      </w:pPr>
    </w:p>
    <w:p w:rsidR="00B341E4" w:rsidRPr="003409C9" w:rsidRDefault="00B341E4" w:rsidP="00903EA7">
      <w:pPr>
        <w:rPr>
          <w:noProof/>
        </w:rPr>
      </w:pPr>
    </w:p>
    <w:sectPr w:rsidR="00B341E4" w:rsidRPr="003409C9" w:rsidSect="00883BC7">
      <w:pgSz w:w="11907" w:h="16840" w:code="9"/>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9C9" w:rsidRPr="003409C9" w:rsidRDefault="003409C9" w:rsidP="00E70ABC">
      <w:pPr>
        <w:spacing w:before="0" w:after="0"/>
      </w:pPr>
      <w:r w:rsidRPr="003409C9">
        <w:separator/>
      </w:r>
    </w:p>
  </w:endnote>
  <w:endnote w:type="continuationSeparator" w:id="0">
    <w:p w:rsidR="003409C9" w:rsidRPr="003409C9" w:rsidRDefault="003409C9" w:rsidP="00E70ABC">
      <w:pPr>
        <w:spacing w:before="0" w:after="0"/>
      </w:pPr>
      <w:r w:rsidRPr="003409C9">
        <w:continuationSeparator/>
      </w:r>
    </w:p>
  </w:endnote>
  <w:endnote w:type="continuationNotice" w:id="1">
    <w:p w:rsidR="003409C9" w:rsidRPr="003409C9" w:rsidRDefault="003409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650" w:rsidRPr="00883BC7" w:rsidRDefault="00883BC7" w:rsidP="00883BC7">
    <w:pPr>
      <w:pStyle w:val="Footer"/>
      <w:rPr>
        <w:rFonts w:ascii="Arial" w:hAnsi="Arial" w:cs="Arial"/>
        <w:b/>
        <w:sz w:val="48"/>
      </w:rPr>
    </w:pPr>
    <w:r w:rsidRPr="00883BC7">
      <w:rPr>
        <w:rFonts w:ascii="Arial" w:hAnsi="Arial" w:cs="Arial"/>
        <w:b/>
        <w:sz w:val="48"/>
      </w:rPr>
      <w:t>PL</w:t>
    </w:r>
    <w:r w:rsidRPr="00883BC7">
      <w:rPr>
        <w:rFonts w:ascii="Arial" w:hAnsi="Arial" w:cs="Arial"/>
        <w:b/>
        <w:sz w:val="48"/>
      </w:rPr>
      <w:tab/>
    </w:r>
    <w:r w:rsidRPr="00883BC7">
      <w:rPr>
        <w:rFonts w:ascii="Arial" w:hAnsi="Arial" w:cs="Arial"/>
        <w:b/>
        <w:sz w:val="48"/>
      </w:rPr>
      <w:tab/>
    </w:r>
    <w:r w:rsidRPr="00883BC7">
      <w:tab/>
    </w:r>
    <w:r w:rsidRPr="00883BC7">
      <w:rPr>
        <w:rFonts w:ascii="Arial" w:hAnsi="Arial" w:cs="Arial"/>
        <w:b/>
        <w:sz w:val="48"/>
      </w:rPr>
      <w:t>PL</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9C9" w:rsidRPr="00883BC7" w:rsidRDefault="00883BC7" w:rsidP="00883BC7">
    <w:pPr>
      <w:pStyle w:val="Footer"/>
      <w:rPr>
        <w:rFonts w:ascii="Arial" w:hAnsi="Arial" w:cs="Arial"/>
        <w:b/>
        <w:sz w:val="48"/>
      </w:rPr>
    </w:pPr>
    <w:r w:rsidRPr="00883BC7">
      <w:rPr>
        <w:rFonts w:ascii="Arial" w:hAnsi="Arial" w:cs="Arial"/>
        <w:b/>
        <w:sz w:val="48"/>
      </w:rPr>
      <w:t>PL</w:t>
    </w:r>
    <w:r w:rsidRPr="00883BC7">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83BC7">
      <w:tab/>
    </w:r>
    <w:r w:rsidRPr="00883BC7">
      <w:rPr>
        <w:rFonts w:ascii="Arial" w:hAnsi="Arial" w:cs="Arial"/>
        <w:b/>
        <w:sz w:val="48"/>
      </w:rPr>
      <w:t>PL</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BC7" w:rsidRPr="00883BC7" w:rsidRDefault="00883BC7" w:rsidP="00883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BC7" w:rsidRPr="00883BC7" w:rsidRDefault="00883BC7" w:rsidP="00883BC7">
    <w:pPr>
      <w:pStyle w:val="Footer"/>
      <w:rPr>
        <w:rFonts w:ascii="Arial" w:hAnsi="Arial" w:cs="Arial"/>
        <w:b/>
        <w:sz w:val="48"/>
      </w:rPr>
    </w:pPr>
    <w:r w:rsidRPr="00883BC7">
      <w:rPr>
        <w:rFonts w:ascii="Arial" w:hAnsi="Arial" w:cs="Arial"/>
        <w:b/>
        <w:sz w:val="48"/>
      </w:rPr>
      <w:t>PL</w:t>
    </w:r>
    <w:r w:rsidRPr="00883BC7">
      <w:rPr>
        <w:rFonts w:ascii="Arial" w:hAnsi="Arial" w:cs="Arial"/>
        <w:b/>
        <w:sz w:val="48"/>
      </w:rPr>
      <w:tab/>
    </w:r>
    <w:r>
      <w:fldChar w:fldCharType="begin"/>
    </w:r>
    <w:r>
      <w:instrText xml:space="preserve"> PAGE  \* MERGEFORMAT </w:instrText>
    </w:r>
    <w:r>
      <w:fldChar w:fldCharType="separate"/>
    </w:r>
    <w:r w:rsidR="006B0808">
      <w:rPr>
        <w:noProof/>
      </w:rPr>
      <w:t>47</w:t>
    </w:r>
    <w:r>
      <w:fldChar w:fldCharType="end"/>
    </w:r>
    <w:r>
      <w:tab/>
    </w:r>
    <w:r w:rsidRPr="00883BC7">
      <w:tab/>
    </w:r>
    <w:r w:rsidRPr="00883BC7">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BC7" w:rsidRPr="00883BC7" w:rsidRDefault="00883BC7" w:rsidP="00883B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BC7" w:rsidRPr="00883BC7" w:rsidRDefault="00883BC7" w:rsidP="00883BC7">
    <w:pPr>
      <w:pStyle w:val="FooterLandscape"/>
      <w:rPr>
        <w:rFonts w:ascii="Arial" w:hAnsi="Arial" w:cs="Arial"/>
        <w:b/>
        <w:sz w:val="48"/>
      </w:rPr>
    </w:pPr>
    <w:r w:rsidRPr="00883BC7">
      <w:rPr>
        <w:rFonts w:ascii="Arial" w:hAnsi="Arial" w:cs="Arial"/>
        <w:b/>
        <w:sz w:val="48"/>
      </w:rPr>
      <w:t>PL</w:t>
    </w:r>
    <w:r w:rsidRPr="00883BC7">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83BC7">
      <w:tab/>
    </w:r>
    <w:r w:rsidRPr="00883BC7">
      <w:rPr>
        <w:rFonts w:ascii="Arial" w:hAnsi="Arial" w:cs="Arial"/>
        <w:b/>
        <w:sz w:val="48"/>
      </w:rPr>
      <w:t>PL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BC7" w:rsidRPr="00883BC7" w:rsidRDefault="00883BC7" w:rsidP="00883BC7">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9C9" w:rsidRPr="00883BC7" w:rsidRDefault="00883BC7" w:rsidP="00883BC7">
    <w:pPr>
      <w:pStyle w:val="Footer"/>
      <w:rPr>
        <w:rFonts w:ascii="Arial" w:hAnsi="Arial" w:cs="Arial"/>
        <w:b/>
        <w:sz w:val="48"/>
      </w:rPr>
    </w:pPr>
    <w:r w:rsidRPr="00883BC7">
      <w:rPr>
        <w:rFonts w:ascii="Arial" w:hAnsi="Arial" w:cs="Arial"/>
        <w:b/>
        <w:sz w:val="48"/>
      </w:rPr>
      <w:t>PL</w:t>
    </w:r>
    <w:r w:rsidRPr="00883BC7">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83BC7">
      <w:tab/>
    </w:r>
    <w:r w:rsidRPr="00883BC7">
      <w:rPr>
        <w:rFonts w:ascii="Arial" w:hAnsi="Arial" w:cs="Arial"/>
        <w:b/>
        <w:sz w:val="48"/>
      </w:rPr>
      <w:t>PL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BC7" w:rsidRPr="00883BC7" w:rsidRDefault="00883BC7" w:rsidP="00883BC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BC7" w:rsidRPr="00883BC7" w:rsidRDefault="00883BC7" w:rsidP="00883BC7">
    <w:pPr>
      <w:pStyle w:val="FooterLandscape"/>
      <w:rPr>
        <w:rFonts w:ascii="Arial" w:hAnsi="Arial" w:cs="Arial"/>
        <w:b/>
        <w:sz w:val="48"/>
      </w:rPr>
    </w:pPr>
    <w:r w:rsidRPr="00883BC7">
      <w:rPr>
        <w:rFonts w:ascii="Arial" w:hAnsi="Arial" w:cs="Arial"/>
        <w:b/>
        <w:sz w:val="48"/>
      </w:rPr>
      <w:t>PL</w:t>
    </w:r>
    <w:r w:rsidRPr="00883BC7">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83BC7">
      <w:tab/>
    </w:r>
    <w:r w:rsidRPr="00883BC7">
      <w:rPr>
        <w:rFonts w:ascii="Arial" w:hAnsi="Arial" w:cs="Arial"/>
        <w:b/>
        <w:sz w:val="48"/>
      </w:rPr>
      <w:t>PL</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BC7" w:rsidRPr="00883BC7" w:rsidRDefault="00883BC7" w:rsidP="00883BC7">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9C9" w:rsidRPr="003409C9" w:rsidRDefault="003409C9" w:rsidP="00E70ABC">
      <w:pPr>
        <w:spacing w:before="0" w:after="0"/>
      </w:pPr>
      <w:r w:rsidRPr="003409C9">
        <w:separator/>
      </w:r>
    </w:p>
  </w:footnote>
  <w:footnote w:type="continuationSeparator" w:id="0">
    <w:p w:rsidR="003409C9" w:rsidRPr="003409C9" w:rsidRDefault="003409C9" w:rsidP="00E70ABC">
      <w:pPr>
        <w:spacing w:before="0" w:after="0"/>
      </w:pPr>
      <w:r w:rsidRPr="003409C9">
        <w:continuationSeparator/>
      </w:r>
    </w:p>
  </w:footnote>
  <w:footnote w:type="continuationNotice" w:id="1">
    <w:p w:rsidR="003409C9" w:rsidRPr="003409C9" w:rsidRDefault="003409C9">
      <w:pPr>
        <w:spacing w:before="0" w:after="0"/>
      </w:pPr>
    </w:p>
  </w:footnote>
  <w:footnote w:id="2">
    <w:p w:rsidR="003409C9" w:rsidRPr="003409C9" w:rsidRDefault="003409C9" w:rsidP="00832116">
      <w:pPr>
        <w:pStyle w:val="FootnoteText"/>
      </w:pPr>
      <w:r w:rsidRPr="003409C9">
        <w:rPr>
          <w:rStyle w:val="FootnoteReference0"/>
        </w:rPr>
        <w:footnoteRef/>
      </w:r>
      <w:r w:rsidRPr="003409C9">
        <w:tab/>
        <w:t>ICAO, The World of Air Transport in 2019 [Przewóz lotniczy na świecie w</w:t>
      </w:r>
      <w:r>
        <w:t> </w:t>
      </w:r>
      <w:r w:rsidRPr="003409C9">
        <w:t xml:space="preserve">2019 r.], </w:t>
      </w:r>
      <w:hyperlink r:id="rId1" w:history="1">
        <w:r w:rsidRPr="003409C9">
          <w:rPr>
            <w:rStyle w:val="Hyperlink"/>
          </w:rPr>
          <w:t>https://www.icao.int/annual-report-2019/Pages/the-world-of-air-transport-in-2019.aspx</w:t>
        </w:r>
      </w:hyperlink>
      <w:r w:rsidRPr="003409C9">
        <w:t xml:space="preserve"> </w:t>
      </w:r>
    </w:p>
  </w:footnote>
  <w:footnote w:id="3">
    <w:p w:rsidR="003409C9" w:rsidRPr="003409C9" w:rsidRDefault="003409C9" w:rsidP="00832116">
      <w:pPr>
        <w:pStyle w:val="FootnoteText"/>
      </w:pPr>
      <w:r w:rsidRPr="003409C9">
        <w:rPr>
          <w:rStyle w:val="FootnoteReference0"/>
        </w:rPr>
        <w:footnoteRef/>
      </w:r>
      <w:r w:rsidRPr="003409C9">
        <w:tab/>
        <w:t>Źródło: Eurostat (internetowy kod danych: avia_paoc); dane te obejmują przewóz osób we wszystkich państwach należących obecnie do UE (27 państw członkowskich).</w:t>
      </w:r>
      <w:r w:rsidRPr="003409C9">
        <w:tab/>
      </w:r>
    </w:p>
  </w:footnote>
  <w:footnote w:id="4">
    <w:p w:rsidR="003409C9" w:rsidRPr="003409C9" w:rsidRDefault="003409C9" w:rsidP="00385BA3">
      <w:pPr>
        <w:pStyle w:val="FootnoteText"/>
      </w:pPr>
      <w:r w:rsidRPr="003409C9">
        <w:rPr>
          <w:rStyle w:val="FootnoteReference0"/>
        </w:rPr>
        <w:footnoteRef/>
      </w:r>
      <w:r w:rsidRPr="003409C9">
        <w:tab/>
        <w:t>Dyrektywa Rady 2004/82/WE z</w:t>
      </w:r>
      <w:r>
        <w:t> </w:t>
      </w:r>
      <w:r w:rsidRPr="003409C9">
        <w:t>dnia 29 kwietnia 2004 r. w</w:t>
      </w:r>
      <w:r>
        <w:t> </w:t>
      </w:r>
      <w:r w:rsidRPr="003409C9">
        <w:t>sprawie obowiązku przekazywania przez przewoźników danych dotyczących pasażerów, Dz.U. L 261 z</w:t>
      </w:r>
      <w:r>
        <w:t> </w:t>
      </w:r>
      <w:r w:rsidRPr="003409C9">
        <w:t>6.8.2004, s. 24.</w:t>
      </w:r>
    </w:p>
  </w:footnote>
  <w:footnote w:id="5">
    <w:p w:rsidR="003409C9" w:rsidRPr="003409C9" w:rsidRDefault="003409C9" w:rsidP="00832116">
      <w:pPr>
        <w:pStyle w:val="FootnoteText"/>
      </w:pPr>
      <w:r w:rsidRPr="003409C9">
        <w:rPr>
          <w:rStyle w:val="FootnoteReference0"/>
        </w:rPr>
        <w:footnoteRef/>
      </w:r>
      <w:r w:rsidRPr="003409C9">
        <w:tab/>
        <w:t>Konwencja chicagowska, tj. Konwencja o</w:t>
      </w:r>
      <w:r>
        <w:t> </w:t>
      </w:r>
      <w:r w:rsidRPr="003409C9">
        <w:t>międzynarodowym lotnictwie cywilnym, przyjęta w</w:t>
      </w:r>
      <w:r>
        <w:t> </w:t>
      </w:r>
      <w:r w:rsidRPr="003409C9">
        <w:t>1944 r., na mocy której ustanowiono Organizację Międzynarodowego Lotnictwa Cywilnego (ICAO). Wszystkie państwa członkowskie są stronami konwencji chicagowskiej (Konwencja o</w:t>
      </w:r>
      <w:r>
        <w:t> </w:t>
      </w:r>
      <w:r w:rsidRPr="003409C9">
        <w:t>międzynarodowym lotnictwie cywilnym).</w:t>
      </w:r>
    </w:p>
  </w:footnote>
  <w:footnote w:id="6">
    <w:p w:rsidR="003409C9" w:rsidRPr="003409C9" w:rsidRDefault="003409C9" w:rsidP="00495A58">
      <w:pPr>
        <w:pStyle w:val="FootnoteText"/>
      </w:pPr>
      <w:r w:rsidRPr="003409C9">
        <w:rPr>
          <w:rStyle w:val="FootnoteReference0"/>
        </w:rPr>
        <w:footnoteRef/>
      </w:r>
      <w:r w:rsidRPr="003409C9">
        <w:tab/>
        <w:t>Komisja Europejska, dokument roboczy służb Komisji, Ocena dyrektywy Rady 2004/82/WE w</w:t>
      </w:r>
      <w:r>
        <w:t> </w:t>
      </w:r>
      <w:r w:rsidRPr="003409C9">
        <w:t>sprawie obowiązku przekazywania przez przewoźników danych dotyczących pasażerów (dyrektywa w</w:t>
      </w:r>
      <w:r>
        <w:t> </w:t>
      </w:r>
      <w:r w:rsidRPr="003409C9">
        <w:t>sprawie API), Bruksela, 8.9.2020, SWD(2020)174 final.</w:t>
      </w:r>
    </w:p>
  </w:footnote>
  <w:footnote w:id="7">
    <w:p w:rsidR="003409C9" w:rsidRPr="003409C9" w:rsidRDefault="003409C9" w:rsidP="00495A58">
      <w:pPr>
        <w:pStyle w:val="FootnoteText"/>
      </w:pPr>
      <w:r w:rsidRPr="003409C9">
        <w:rPr>
          <w:rStyle w:val="FootnoteReference0"/>
        </w:rPr>
        <w:footnoteRef/>
      </w:r>
      <w:r w:rsidRPr="003409C9">
        <w:tab/>
        <w:t>Zob. ocena skutków.</w:t>
      </w:r>
    </w:p>
  </w:footnote>
  <w:footnote w:id="8">
    <w:p w:rsidR="003409C9" w:rsidRPr="003409C9" w:rsidRDefault="003409C9" w:rsidP="00832116">
      <w:pPr>
        <w:pStyle w:val="FootnoteText"/>
      </w:pPr>
      <w:r w:rsidRPr="003409C9">
        <w:rPr>
          <w:rStyle w:val="FootnoteReference0"/>
        </w:rPr>
        <w:footnoteRef/>
      </w:r>
      <w:r w:rsidRPr="003409C9">
        <w:tab/>
        <w:t xml:space="preserve"> W art. 8 ust. 2 lit. a) kodeksu granicznego Schengen (rozporządzenie Parlamentu Europejskiego i</w:t>
      </w:r>
      <w:r>
        <w:t> </w:t>
      </w:r>
      <w:r w:rsidRPr="003409C9">
        <w:t>Rady (UE) 2016/399 z</w:t>
      </w:r>
      <w:r>
        <w:t> </w:t>
      </w:r>
      <w:r w:rsidRPr="003409C9">
        <w:t>dnia 9 marca 2016 r. w</w:t>
      </w:r>
      <w:r>
        <w:t> </w:t>
      </w:r>
      <w:r w:rsidRPr="003409C9">
        <w:t>sprawie unijnego kodeksu zasad regulujących przepływ osób przez granice (kodeks graniczny Schengen)) jest mowa o SIS, bazie danych Interpolu o</w:t>
      </w:r>
      <w:r>
        <w:t> </w:t>
      </w:r>
      <w:r w:rsidRPr="003409C9">
        <w:t>skradzionych lub utraconych dokumentach podróży (SLTD) oraz krajowych bazach danych zawierających informacje o</w:t>
      </w:r>
      <w:r>
        <w:t> </w:t>
      </w:r>
      <w:r w:rsidRPr="003409C9">
        <w:t>skradzionych, przywłaszczonych, utraconych i</w:t>
      </w:r>
      <w:r>
        <w:t> </w:t>
      </w:r>
      <w:r w:rsidRPr="003409C9">
        <w:t>unieważnionych dokumentach podróży.</w:t>
      </w:r>
    </w:p>
  </w:footnote>
  <w:footnote w:id="9">
    <w:p w:rsidR="003409C9" w:rsidRPr="003409C9" w:rsidRDefault="003409C9" w:rsidP="00832116">
      <w:pPr>
        <w:pStyle w:val="FootnoteText"/>
      </w:pPr>
      <w:r w:rsidRPr="003409C9">
        <w:rPr>
          <w:rStyle w:val="FootnoteReference0"/>
        </w:rPr>
        <w:footnoteRef/>
      </w:r>
      <w:r w:rsidRPr="003409C9">
        <w:tab/>
        <w:t>Zob. Komisja Europejska, Dyrekcja Generalna ds. Migracji i</w:t>
      </w:r>
      <w:r>
        <w:t> </w:t>
      </w:r>
      <w:r w:rsidRPr="003409C9">
        <w:t>Spraw Wewnętrznych, „Study on Advance Passenger Information (API): evaluation of Council Directive 2004/82/EC on the obligation of carriers to communicate passenger data” [„Badanie dotyczące danych pasażera przekazywanych przed podróżą: ocena dyrektywy Rady 2004/82/WE w</w:t>
      </w:r>
      <w:r>
        <w:t> </w:t>
      </w:r>
      <w:r w:rsidRPr="003409C9">
        <w:t xml:space="preserve">sprawie obowiązku przekazywania przez przewoźników danych dotyczących pasażerów”], Urząd Publikacji, 2020, </w:t>
      </w:r>
      <w:hyperlink r:id="rId2" w:history="1">
        <w:r w:rsidRPr="003409C9">
          <w:rPr>
            <w:rStyle w:val="Hyperlink"/>
          </w:rPr>
          <w:t>https://data.europa.eu/doi/10.2837/882434</w:t>
        </w:r>
      </w:hyperlink>
      <w:r w:rsidRPr="003409C9">
        <w:t>, s. 149.</w:t>
      </w:r>
    </w:p>
  </w:footnote>
  <w:footnote w:id="10">
    <w:p w:rsidR="003409C9" w:rsidRPr="003409C9" w:rsidRDefault="003409C9" w:rsidP="0099564D">
      <w:pPr>
        <w:pStyle w:val="FootnoteText"/>
      </w:pPr>
      <w:r w:rsidRPr="003409C9">
        <w:rPr>
          <w:rStyle w:val="FootnoteReference0"/>
        </w:rPr>
        <w:footnoteRef/>
      </w:r>
      <w:r w:rsidRPr="003409C9">
        <w:tab/>
        <w:t>Światowa Organizacja Celna/IATA/ICAO, „Guidelines on Advanced Passenger Information (API)” [„Wytyczne dotyczące danych pasażera przekazywanych przed podróżą (API)”], 2014. Zob. załącznik 5 do oceny skutków.</w:t>
      </w:r>
    </w:p>
  </w:footnote>
  <w:footnote w:id="11">
    <w:p w:rsidR="003409C9" w:rsidRPr="003409C9" w:rsidRDefault="003409C9" w:rsidP="00832116">
      <w:pPr>
        <w:pStyle w:val="FootnoteText"/>
      </w:pPr>
      <w:r w:rsidRPr="003409C9">
        <w:rPr>
          <w:rStyle w:val="FootnoteReference0"/>
        </w:rPr>
        <w:footnoteRef/>
      </w:r>
      <w:r w:rsidRPr="003409C9">
        <w:tab/>
        <w:t>W odniesieniu do Strefy Schengen zob. Komisja Europejska, Sprawozdanie w</w:t>
      </w:r>
      <w:r>
        <w:t> </w:t>
      </w:r>
      <w:r w:rsidRPr="003409C9">
        <w:t>sprawie stanu strefy Schengen z</w:t>
      </w:r>
      <w:r>
        <w:t> </w:t>
      </w:r>
      <w:r w:rsidRPr="003409C9">
        <w:t>2022 r., COM(2022) 301 final/2 z</w:t>
      </w:r>
      <w:r>
        <w:t> </w:t>
      </w:r>
      <w:r w:rsidRPr="003409C9">
        <w:t xml:space="preserve">24.5.2022, </w:t>
      </w:r>
      <w:hyperlink r:id="rId3" w:history="1">
        <w:r w:rsidRPr="003409C9">
          <w:rPr>
            <w:rStyle w:val="Hyperlink"/>
          </w:rPr>
          <w:t>https://eur-lex.europa.eu/legal-content/pl/TXT/PDF/?uri=CELEX:52022DC0301</w:t>
        </w:r>
      </w:hyperlink>
      <w:r w:rsidRPr="003409C9">
        <w:t xml:space="preserve"> </w:t>
      </w:r>
    </w:p>
  </w:footnote>
  <w:footnote w:id="12">
    <w:p w:rsidR="003409C9" w:rsidRPr="003409C9" w:rsidRDefault="003409C9" w:rsidP="00832116">
      <w:pPr>
        <w:pStyle w:val="FootnoteText"/>
      </w:pPr>
      <w:r w:rsidRPr="003409C9">
        <w:rPr>
          <w:rStyle w:val="FootnoteReference0"/>
        </w:rPr>
        <w:footnoteRef/>
      </w:r>
      <w:r w:rsidRPr="003409C9">
        <w:tab/>
        <w:t>SIS (rozporządzenie Parlamentu Europejskiego i</w:t>
      </w:r>
      <w:r>
        <w:t> </w:t>
      </w:r>
      <w:r w:rsidRPr="003409C9">
        <w:t>Rady (UE) 2018/1861 z</w:t>
      </w:r>
      <w:r>
        <w:t> </w:t>
      </w:r>
      <w:r w:rsidRPr="003409C9">
        <w:t>dnia 28 listopada 2018 r. w</w:t>
      </w:r>
      <w:r>
        <w:t> </w:t>
      </w:r>
      <w:r w:rsidRPr="003409C9">
        <w:t>sprawie utworzenia, funkcjonowania i</w:t>
      </w:r>
      <w:r>
        <w:t> </w:t>
      </w:r>
      <w:r w:rsidRPr="003409C9">
        <w:t>użytkowania Systemu Informacyjnego Schengen (SIS) w</w:t>
      </w:r>
      <w:r>
        <w:t> </w:t>
      </w:r>
      <w:r w:rsidRPr="003409C9">
        <w:t>dziedzinie odpraw granicznych, zmiany konwencji wykonawczej do układu z</w:t>
      </w:r>
      <w:r>
        <w:t> </w:t>
      </w:r>
      <w:r w:rsidRPr="003409C9">
        <w:t>Schengen oraz zmiany i</w:t>
      </w:r>
      <w:r>
        <w:t> </w:t>
      </w:r>
      <w:r w:rsidRPr="003409C9">
        <w:t>uchylenia rozporządzenia (WE) nr 1987/2006) pomaga właściwym organom w UE zachować bezpieczeństwo wewnętrzne w</w:t>
      </w:r>
      <w:r>
        <w:t> </w:t>
      </w:r>
      <w:r w:rsidRPr="003409C9">
        <w:t>warunkach braku odprawy na granicach wewnętrznych, a VIS umożliwia państwom strefy Schengen wymianę danych wizowych. W</w:t>
      </w:r>
      <w:r>
        <w:t> </w:t>
      </w:r>
      <w:r w:rsidRPr="003409C9">
        <w:t>ramach systemu Eurodac przewidziano ustanowienie unijnej bazy danych daktyloskopijnych osób ubiegających się o</w:t>
      </w:r>
      <w:r>
        <w:t> </w:t>
      </w:r>
      <w:r w:rsidRPr="003409C9">
        <w:t>azyl, umożliwiającej państwom członkowskim porównywanie odcisków palców tych osób w</w:t>
      </w:r>
      <w:r>
        <w:t> </w:t>
      </w:r>
      <w:r w:rsidRPr="003409C9">
        <w:t>celu sprawdzenia, czy wcześniej ubiegały się one o</w:t>
      </w:r>
      <w:r>
        <w:t> </w:t>
      </w:r>
      <w:r w:rsidRPr="003409C9">
        <w:t>azyl lub nielegalnie wjechały do UE przez inne państwo członkowskie.</w:t>
      </w:r>
    </w:p>
  </w:footnote>
  <w:footnote w:id="13">
    <w:p w:rsidR="003409C9" w:rsidRPr="003409C9" w:rsidRDefault="003409C9" w:rsidP="00832116">
      <w:pPr>
        <w:pStyle w:val="FootnoteText"/>
      </w:pPr>
      <w:r w:rsidRPr="003409C9">
        <w:rPr>
          <w:rStyle w:val="FootnoteReference0"/>
        </w:rPr>
        <w:footnoteRef/>
      </w:r>
      <w:r w:rsidRPr="003409C9">
        <w:tab/>
        <w:t>EES i ETIAS wzmocnią kontrole bezpieczeństwa w</w:t>
      </w:r>
      <w:r>
        <w:t> </w:t>
      </w:r>
      <w:r w:rsidRPr="003409C9">
        <w:t>stosunku do podróżnych, którzy posiadają wizę krótkoterminową, oraz podróżnych nieposiadających wizy do strefy Schengen, ponieważ umożliwią przeprowadzanie kontroli pod kątem nielegalnej migracji i</w:t>
      </w:r>
      <w:r>
        <w:t> </w:t>
      </w:r>
      <w:r w:rsidRPr="003409C9">
        <w:t>kontroli bezpieczeństwa z</w:t>
      </w:r>
      <w:r>
        <w:t> </w:t>
      </w:r>
      <w:r w:rsidRPr="003409C9">
        <w:t>wyprzedzeniem. System ECRIS-TCN wypełni stwierdzoną lukę w</w:t>
      </w:r>
      <w:r>
        <w:t> </w:t>
      </w:r>
      <w:r w:rsidRPr="003409C9">
        <w:t>wymianie informacji między państwami członkowskimi na temat skazanych obywateli państw trzecich.</w:t>
      </w:r>
    </w:p>
  </w:footnote>
  <w:footnote w:id="14">
    <w:p w:rsidR="003409C9" w:rsidRPr="003409C9" w:rsidRDefault="003409C9" w:rsidP="00832116">
      <w:pPr>
        <w:pStyle w:val="FootnoteText"/>
      </w:pPr>
      <w:r w:rsidRPr="003409C9">
        <w:rPr>
          <w:rStyle w:val="FootnoteReference0"/>
        </w:rPr>
        <w:footnoteRef/>
      </w:r>
      <w:r w:rsidRPr="003409C9">
        <w:tab/>
        <w:t>Rozporządzenie (UE) 2019/817 i</w:t>
      </w:r>
      <w:r>
        <w:t> </w:t>
      </w:r>
      <w:r w:rsidRPr="003409C9">
        <w:t>rozporządzenie (UE) 2019/818.</w:t>
      </w:r>
    </w:p>
  </w:footnote>
  <w:footnote w:id="15">
    <w:p w:rsidR="003409C9" w:rsidRPr="003409C9" w:rsidRDefault="003409C9" w:rsidP="001279F6">
      <w:pPr>
        <w:pStyle w:val="FootnoteText"/>
      </w:pPr>
      <w:r w:rsidRPr="003409C9">
        <w:rPr>
          <w:rStyle w:val="FootnoteReference0"/>
        </w:rPr>
        <w:footnoteRef/>
      </w:r>
      <w:r w:rsidRPr="003409C9">
        <w:tab/>
        <w:t>Rozporządzenie Parlamentu Europejskiego i</w:t>
      </w:r>
      <w:r>
        <w:t> </w:t>
      </w:r>
      <w:r w:rsidRPr="003409C9">
        <w:t>Rady (UE) 2016/679 z</w:t>
      </w:r>
      <w:r>
        <w:t> </w:t>
      </w:r>
      <w:r w:rsidRPr="003409C9">
        <w:t>dnia 27 kwietnia 2016 r. w</w:t>
      </w:r>
      <w:r>
        <w:t> </w:t>
      </w:r>
      <w:r w:rsidRPr="003409C9">
        <w:t>sprawie ochrony osób fizycznych w</w:t>
      </w:r>
      <w:r>
        <w:t> </w:t>
      </w:r>
      <w:r w:rsidRPr="003409C9">
        <w:t>związku z</w:t>
      </w:r>
      <w:r>
        <w:t> </w:t>
      </w:r>
      <w:r w:rsidRPr="003409C9">
        <w:t>przetwarzaniem danych osobowych i</w:t>
      </w:r>
      <w:r>
        <w:t> </w:t>
      </w:r>
      <w:r w:rsidRPr="003409C9">
        <w:t>w</w:t>
      </w:r>
      <w:r>
        <w:t> </w:t>
      </w:r>
      <w:r w:rsidRPr="003409C9">
        <w:t>sprawie swobodnego przepływu takich danych.</w:t>
      </w:r>
    </w:p>
  </w:footnote>
  <w:footnote w:id="16">
    <w:p w:rsidR="003409C9" w:rsidRPr="003409C9" w:rsidRDefault="003409C9" w:rsidP="001279F6">
      <w:pPr>
        <w:pStyle w:val="FootnoteText"/>
      </w:pPr>
      <w:r w:rsidRPr="003409C9">
        <w:rPr>
          <w:rStyle w:val="FootnoteReference0"/>
        </w:rPr>
        <w:footnoteRef/>
      </w:r>
      <w:r w:rsidRPr="003409C9">
        <w:tab/>
        <w:t>Rozporządzenie Parlamentu Europejskiego i</w:t>
      </w:r>
      <w:r>
        <w:t> </w:t>
      </w:r>
      <w:r w:rsidRPr="003409C9">
        <w:t>Rady (UE) 2018/1725 z</w:t>
      </w:r>
      <w:r>
        <w:t> </w:t>
      </w:r>
      <w:r w:rsidRPr="003409C9">
        <w:t>dnia 23 października 2018 r. w</w:t>
      </w:r>
      <w:r>
        <w:t> </w:t>
      </w:r>
      <w:r w:rsidRPr="003409C9">
        <w:t>sprawie ochrony osób fizycznych w</w:t>
      </w:r>
      <w:r>
        <w:t> </w:t>
      </w:r>
      <w:r w:rsidRPr="003409C9">
        <w:t>związku z</w:t>
      </w:r>
      <w:r>
        <w:t> </w:t>
      </w:r>
      <w:r w:rsidRPr="003409C9">
        <w:t>przetwarzaniem danych osobowych przez instytucje, organy i</w:t>
      </w:r>
      <w:r>
        <w:t> </w:t>
      </w:r>
      <w:r w:rsidRPr="003409C9">
        <w:t>jednostki organizacyjne Unii i</w:t>
      </w:r>
      <w:r>
        <w:t> </w:t>
      </w:r>
      <w:r w:rsidRPr="003409C9">
        <w:t>swobodnego przepływu takich danych oraz uchylenia rozporządzenia (WE) nr 45/2001 i</w:t>
      </w:r>
      <w:r>
        <w:t> </w:t>
      </w:r>
      <w:r w:rsidRPr="003409C9">
        <w:t>decyzji nr 1247/2002/WE (Dz.U. L 295 z</w:t>
      </w:r>
      <w:r>
        <w:t> </w:t>
      </w:r>
      <w:r w:rsidRPr="003409C9">
        <w:t>21.11.2018, s. 39).</w:t>
      </w:r>
    </w:p>
  </w:footnote>
  <w:footnote w:id="17">
    <w:p w:rsidR="003409C9" w:rsidRPr="003409C9" w:rsidRDefault="003409C9">
      <w:pPr>
        <w:pStyle w:val="FootnoteText"/>
      </w:pPr>
      <w:r w:rsidRPr="003409C9">
        <w:rPr>
          <w:rStyle w:val="FootnoteReference0"/>
        </w:rPr>
        <w:footnoteRef/>
      </w:r>
      <w:r w:rsidRPr="003409C9">
        <w:tab/>
        <w:t xml:space="preserve">ICAO, dokument nr 9303, „Machine Readable Travel Documents” [„Dokumenty podróży odczytywane maszynowo”], wyd. ósme, 2021, dostępny pod adresem: </w:t>
      </w:r>
      <w:hyperlink r:id="rId4" w:history="1">
        <w:r w:rsidRPr="003409C9">
          <w:rPr>
            <w:rStyle w:val="Hyperlink"/>
          </w:rPr>
          <w:t>https://www.icao.int/publications/documents/9303_p1_cons_en.pdf</w:t>
        </w:r>
      </w:hyperlink>
      <w:r w:rsidRPr="003409C9">
        <w:t xml:space="preserve"> </w:t>
      </w:r>
    </w:p>
  </w:footnote>
  <w:footnote w:id="18">
    <w:p w:rsidR="003409C9" w:rsidRPr="003409C9" w:rsidRDefault="003409C9" w:rsidP="00832116">
      <w:pPr>
        <w:pStyle w:val="FootnoteText"/>
      </w:pPr>
      <w:r w:rsidRPr="003409C9">
        <w:rPr>
          <w:rStyle w:val="FootnoteReference0"/>
        </w:rPr>
        <w:footnoteRef/>
      </w:r>
      <w:r w:rsidRPr="003409C9">
        <w:tab/>
        <w:t>Rozporządzenie Parlamentu Europejskiego i</w:t>
      </w:r>
      <w:r>
        <w:t> </w:t>
      </w:r>
      <w:r w:rsidRPr="003409C9">
        <w:t>Rady (UE) 2016/399 z</w:t>
      </w:r>
      <w:r>
        <w:t> </w:t>
      </w:r>
      <w:r w:rsidRPr="003409C9">
        <w:t>dnia 9 marca 2016 r. w</w:t>
      </w:r>
      <w:r>
        <w:t> </w:t>
      </w:r>
      <w:r w:rsidRPr="003409C9">
        <w:t>sprawie unijnego kodeksu zasad regulujących przepływ osób przez granice (kodeks graniczny Schengen).</w:t>
      </w:r>
      <w:r w:rsidRPr="003409C9">
        <w:tab/>
      </w:r>
    </w:p>
  </w:footnote>
  <w:footnote w:id="19">
    <w:p w:rsidR="003409C9" w:rsidRPr="003409C9" w:rsidRDefault="003409C9" w:rsidP="00832116">
      <w:pPr>
        <w:pStyle w:val="FootnoteText"/>
        <w:rPr>
          <w:sz w:val="16"/>
          <w:szCs w:val="16"/>
        </w:rPr>
      </w:pPr>
      <w:r w:rsidRPr="003409C9">
        <w:rPr>
          <w:rStyle w:val="FootnoteReference0"/>
        </w:rPr>
        <w:footnoteRef/>
      </w:r>
      <w:r w:rsidRPr="003409C9">
        <w:tab/>
        <w:t>Rozporządzenie Parlamentu Europejskiego i</w:t>
      </w:r>
      <w:r>
        <w:t> </w:t>
      </w:r>
      <w:r w:rsidRPr="003409C9">
        <w:t>Rady (UE) 2019/817 z</w:t>
      </w:r>
      <w:r>
        <w:t> </w:t>
      </w:r>
      <w:r w:rsidRPr="003409C9">
        <w:t>dnia 20 maja 2019 r. w</w:t>
      </w:r>
      <w:r>
        <w:t> </w:t>
      </w:r>
      <w:r w:rsidRPr="003409C9">
        <w:t>sprawie ustanowienia ram interoperacyjności systemów informacyjnych UE w</w:t>
      </w:r>
      <w:r>
        <w:t> </w:t>
      </w:r>
      <w:r w:rsidRPr="003409C9">
        <w:t>obszarze granic i</w:t>
      </w:r>
      <w:r>
        <w:t> </w:t>
      </w:r>
      <w:r w:rsidRPr="003409C9">
        <w:t>polityki wizowej.</w:t>
      </w:r>
    </w:p>
  </w:footnote>
  <w:footnote w:id="20">
    <w:p w:rsidR="003409C9" w:rsidRPr="003409C9" w:rsidRDefault="003409C9" w:rsidP="00503747">
      <w:pPr>
        <w:pStyle w:val="FootnoteText"/>
      </w:pPr>
      <w:r w:rsidRPr="003409C9">
        <w:rPr>
          <w:rStyle w:val="FootnoteReference0"/>
        </w:rPr>
        <w:footnoteRef/>
      </w:r>
      <w:r w:rsidRPr="003409C9">
        <w:tab/>
        <w:t>Komisja Europejska, dokument roboczy służb Komisji, Ocena dyrektywy Rady 2004/82/WE w</w:t>
      </w:r>
      <w:r>
        <w:t> </w:t>
      </w:r>
      <w:r w:rsidRPr="003409C9">
        <w:t>sprawie obowiązku przekazywania przez przewoźników danych dotyczących pasażerów (dyrektywa w</w:t>
      </w:r>
      <w:r>
        <w:t> </w:t>
      </w:r>
      <w:r w:rsidRPr="003409C9">
        <w:t>sprawie API), Bruksela, 8.9.2020, SWD(2020)174 final.</w:t>
      </w:r>
    </w:p>
  </w:footnote>
  <w:footnote w:id="21">
    <w:p w:rsidR="003409C9" w:rsidRPr="003409C9" w:rsidRDefault="003409C9" w:rsidP="00503747">
      <w:pPr>
        <w:pStyle w:val="FootnoteText"/>
      </w:pPr>
      <w:r w:rsidRPr="003409C9">
        <w:rPr>
          <w:rStyle w:val="FootnoteReference0"/>
        </w:rPr>
        <w:footnoteRef/>
      </w:r>
      <w:r w:rsidRPr="003409C9">
        <w:tab/>
        <w:t>Zob. art. 6 akapit ostatni dyrektywy w</w:t>
      </w:r>
      <w:r>
        <w:t> </w:t>
      </w:r>
      <w:r w:rsidRPr="003409C9">
        <w:t>sprawie API.</w:t>
      </w:r>
    </w:p>
  </w:footnote>
  <w:footnote w:id="22">
    <w:p w:rsidR="003409C9" w:rsidRPr="003409C9" w:rsidRDefault="003409C9" w:rsidP="00832116">
      <w:pPr>
        <w:pStyle w:val="FootnoteText"/>
      </w:pPr>
      <w:r w:rsidRPr="003409C9">
        <w:rPr>
          <w:rStyle w:val="FootnoteReference0"/>
        </w:rPr>
        <w:footnoteRef/>
      </w:r>
      <w:r w:rsidRPr="003409C9">
        <w:tab/>
        <w:t>Ocena dyrektywy w</w:t>
      </w:r>
      <w:r>
        <w:t> </w:t>
      </w:r>
      <w:r w:rsidRPr="003409C9">
        <w:t>sprawie API, SWD(2020) 174.</w:t>
      </w:r>
    </w:p>
  </w:footnote>
  <w:footnote w:id="23">
    <w:p w:rsidR="003409C9" w:rsidRPr="003409C9" w:rsidRDefault="003409C9" w:rsidP="00832116">
      <w:pPr>
        <w:pStyle w:val="FootnoteText"/>
      </w:pPr>
      <w:r w:rsidRPr="003409C9">
        <w:rPr>
          <w:rStyle w:val="FootnoteReference0"/>
        </w:rPr>
        <w:footnoteRef/>
      </w:r>
      <w:r w:rsidRPr="003409C9">
        <w:tab/>
      </w:r>
      <w:hyperlink r:id="rId5" w:history="1">
        <w:r w:rsidRPr="003409C9">
          <w:rPr>
            <w:rStyle w:val="Hyperlink"/>
          </w:rPr>
          <w:t>https://ec.europa.eu/info/law/better-regulation/have-your-say/initiatives/12434-Zarzadzanie-granicami-i-egzekwowanie-prawa-dane-pasazera-linii-lotniczych-przekazywane-przed-podroza-API-zmienione-przepisy_pl</w:t>
        </w:r>
      </w:hyperlink>
      <w:r w:rsidRPr="003409C9">
        <w:t xml:space="preserve"> </w:t>
      </w:r>
    </w:p>
  </w:footnote>
  <w:footnote w:id="24">
    <w:p w:rsidR="003409C9" w:rsidRPr="003409C9" w:rsidRDefault="003409C9">
      <w:pPr>
        <w:pStyle w:val="FootnoteText"/>
      </w:pPr>
      <w:r w:rsidRPr="003409C9">
        <w:rPr>
          <w:rStyle w:val="FootnoteReference0"/>
        </w:rPr>
        <w:footnoteRef/>
      </w:r>
      <w:r w:rsidRPr="003409C9">
        <w:tab/>
        <w:t>SWD(2022) 422 final (13.12.2022).</w:t>
      </w:r>
    </w:p>
  </w:footnote>
  <w:footnote w:id="25">
    <w:p w:rsidR="003409C9" w:rsidRPr="003409C9" w:rsidRDefault="003409C9">
      <w:pPr>
        <w:pStyle w:val="FootnoteText"/>
      </w:pPr>
      <w:r w:rsidRPr="003409C9">
        <w:rPr>
          <w:rStyle w:val="FootnoteReference0"/>
        </w:rPr>
        <w:footnoteRef/>
      </w:r>
      <w:r w:rsidRPr="003409C9">
        <w:tab/>
        <w:t>Art. 2 ust. 1 rozporządzenia (UE) 2021/1119 z</w:t>
      </w:r>
      <w:r>
        <w:t> </w:t>
      </w:r>
      <w:r w:rsidRPr="003409C9">
        <w:t>dnia 30 czerwca 2021 r. w</w:t>
      </w:r>
      <w:r>
        <w:t> </w:t>
      </w:r>
      <w:r w:rsidRPr="003409C9">
        <w:t>sprawie ustanowienia ram na potrzeby osiągnięcia neutralności klimatycznej (Europejskie prawo o</w:t>
      </w:r>
      <w:r>
        <w:t> </w:t>
      </w:r>
      <w:r w:rsidRPr="003409C9">
        <w:t>klimacie).</w:t>
      </w:r>
    </w:p>
  </w:footnote>
  <w:footnote w:id="26">
    <w:p w:rsidR="003409C9" w:rsidRPr="003409C9" w:rsidRDefault="003409C9" w:rsidP="00A31C74">
      <w:pPr>
        <w:pStyle w:val="FootnoteText"/>
      </w:pPr>
      <w:r w:rsidRPr="003409C9">
        <w:rPr>
          <w:rStyle w:val="FootnoteReference0"/>
        </w:rPr>
        <w:footnoteRef/>
      </w:r>
      <w:r w:rsidRPr="003409C9">
        <w:tab/>
        <w:t>TSUE, wyrok z</w:t>
      </w:r>
      <w:r>
        <w:t> </w:t>
      </w:r>
      <w:r w:rsidRPr="003409C9">
        <w:t>9.11.2010 r.; sprawy połączone C-92/09 i C-93/09 Volker und Markus Schecke oraz Eifert [2010] Zb.Orz. I-0000.</w:t>
      </w:r>
    </w:p>
  </w:footnote>
  <w:footnote w:id="27">
    <w:p w:rsidR="003409C9" w:rsidRPr="003409C9" w:rsidRDefault="003409C9" w:rsidP="00A31C74">
      <w:pPr>
        <w:pStyle w:val="FootnoteText"/>
        <w:rPr>
          <w:sz w:val="16"/>
          <w:szCs w:val="16"/>
        </w:rPr>
      </w:pPr>
      <w:r w:rsidRPr="003409C9">
        <w:rPr>
          <w:rStyle w:val="FootnoteReference0"/>
        </w:rPr>
        <w:footnoteRef/>
      </w:r>
      <w:r w:rsidRPr="003409C9">
        <w:tab/>
        <w:t>Zgodnie z</w:t>
      </w:r>
      <w:r>
        <w:t> </w:t>
      </w:r>
      <w:r w:rsidRPr="003409C9">
        <w:t>art. 52 ust. 1 Karty można ograniczyć korzystanie z</w:t>
      </w:r>
      <w:r>
        <w:t> </w:t>
      </w:r>
      <w:r w:rsidRPr="003409C9">
        <w:t>prawa do ochrony danych, o</w:t>
      </w:r>
      <w:r>
        <w:t> </w:t>
      </w:r>
      <w:r w:rsidRPr="003409C9">
        <w:t>ile takie ograniczenia są przewidziane ustawą i</w:t>
      </w:r>
      <w:r>
        <w:t> </w:t>
      </w:r>
      <w:r w:rsidRPr="003409C9">
        <w:t>szanują istotę praw i</w:t>
      </w:r>
      <w:r>
        <w:t> </w:t>
      </w:r>
      <w:r w:rsidRPr="003409C9">
        <w:t>wolności, oraz, z</w:t>
      </w:r>
      <w:r>
        <w:t> </w:t>
      </w:r>
      <w:r w:rsidRPr="003409C9">
        <w:t>zastrzeżeniem zasady proporcjonalności, są one konieczne i</w:t>
      </w:r>
      <w:r>
        <w:t> </w:t>
      </w:r>
      <w:r w:rsidRPr="003409C9">
        <w:t>rzeczywiście odpowiadają celom interesu ogólnego uznawanym przez Unię Europejską lub potrzebom ochrony praw i</w:t>
      </w:r>
      <w:r>
        <w:t> </w:t>
      </w:r>
      <w:r w:rsidRPr="003409C9">
        <w:t>wolności innych osób.</w:t>
      </w:r>
    </w:p>
  </w:footnote>
  <w:footnote w:id="28">
    <w:p w:rsidR="003409C9" w:rsidRPr="003409C9" w:rsidRDefault="003409C9">
      <w:pPr>
        <w:pStyle w:val="FootnoteText"/>
      </w:pPr>
      <w:r w:rsidRPr="003409C9">
        <w:rPr>
          <w:rStyle w:val="FootnoteReference0"/>
        </w:rPr>
        <w:footnoteRef/>
      </w:r>
      <w:r w:rsidRPr="003409C9">
        <w:tab/>
        <w:t>Rozporządzenie Parlamentu Europejskiego i</w:t>
      </w:r>
      <w:r>
        <w:t> </w:t>
      </w:r>
      <w:r w:rsidRPr="003409C9">
        <w:t>Rady (UE) 2021/1148 z</w:t>
      </w:r>
      <w:r>
        <w:t> </w:t>
      </w:r>
      <w:r w:rsidRPr="003409C9">
        <w:t>dnia 7 lipca 2021 r. ustanawiające, w</w:t>
      </w:r>
      <w:r>
        <w:t> </w:t>
      </w:r>
      <w:r w:rsidRPr="003409C9">
        <w:t>ramach Funduszu Zintegrowanego Zarządzania Granicami, Instrument Wsparcia Finansowego na rzecz Zarządzania Granicami i</w:t>
      </w:r>
      <w:r>
        <w:t> </w:t>
      </w:r>
      <w:r w:rsidRPr="003409C9">
        <w:t>Polityki Wizowej.</w:t>
      </w:r>
    </w:p>
  </w:footnote>
  <w:footnote w:id="29">
    <w:p w:rsidR="003409C9" w:rsidRPr="003409C9" w:rsidRDefault="003409C9" w:rsidP="007B3117">
      <w:pPr>
        <w:pStyle w:val="FootnoteText"/>
      </w:pPr>
      <w:r w:rsidRPr="003409C9">
        <w:rPr>
          <w:rStyle w:val="FootnoteReference0"/>
        </w:rPr>
        <w:footnoteRef/>
      </w:r>
      <w:r w:rsidRPr="003409C9">
        <w:tab/>
        <w:t>Dz.U. L 64 z</w:t>
      </w:r>
      <w:r>
        <w:t> </w:t>
      </w:r>
      <w:r w:rsidRPr="003409C9">
        <w:t>7.3.2002, s. 20.</w:t>
      </w:r>
    </w:p>
  </w:footnote>
  <w:footnote w:id="30">
    <w:p w:rsidR="003409C9" w:rsidRPr="003409C9" w:rsidRDefault="003409C9" w:rsidP="003B1C87">
      <w:pPr>
        <w:pStyle w:val="FootnoteText"/>
      </w:pPr>
      <w:r w:rsidRPr="003409C9">
        <w:rPr>
          <w:rStyle w:val="FootnoteReference0"/>
        </w:rPr>
        <w:footnoteRef/>
      </w:r>
      <w:r w:rsidRPr="003409C9">
        <w:tab/>
        <w:t>Rozporządzenie Parlamentu Europejskiego i</w:t>
      </w:r>
      <w:r>
        <w:t> </w:t>
      </w:r>
      <w:r w:rsidRPr="003409C9">
        <w:t>Rady (UE) 2018/1726 z</w:t>
      </w:r>
      <w:r>
        <w:t> </w:t>
      </w:r>
      <w:r w:rsidRPr="003409C9">
        <w:t>dnia 14 listopada 2018 r. w</w:t>
      </w:r>
      <w:r>
        <w:t> </w:t>
      </w:r>
      <w:r w:rsidRPr="003409C9">
        <w:t>sprawie Agencji Unii Europejskiej ds. Zarządzania Operacyjnego Wielkoskalowymi Systemami Informatycznymi w</w:t>
      </w:r>
      <w:r>
        <w:t> </w:t>
      </w:r>
      <w:r w:rsidRPr="003409C9">
        <w:t>Przestrzeni Wolności, Bezpieczeństwa i</w:t>
      </w:r>
      <w:r>
        <w:t> </w:t>
      </w:r>
      <w:r w:rsidRPr="003409C9">
        <w:t>Sprawiedliwości (eu-LISA), zmiany rozporządzenia (WE) nr 1987/2006 i</w:t>
      </w:r>
      <w:r>
        <w:t> </w:t>
      </w:r>
      <w:r w:rsidRPr="003409C9">
        <w:t>decyzji Rady 2007/533/WSiSW oraz uchylenia rozporządzenia (UE) nr 1077/2011 (Dz.U. L 295 z</w:t>
      </w:r>
      <w:r>
        <w:t> </w:t>
      </w:r>
      <w:r w:rsidRPr="003409C9">
        <w:t>21.11.2018, s. 99).</w:t>
      </w:r>
    </w:p>
  </w:footnote>
  <w:footnote w:id="31">
    <w:p w:rsidR="003409C9" w:rsidRPr="003409C9" w:rsidRDefault="003409C9" w:rsidP="003B1C87">
      <w:pPr>
        <w:pStyle w:val="FootnoteText"/>
      </w:pPr>
      <w:r w:rsidRPr="003409C9">
        <w:rPr>
          <w:rStyle w:val="FootnoteReference0"/>
        </w:rPr>
        <w:footnoteRef/>
      </w:r>
      <w:r w:rsidRPr="003409C9">
        <w:tab/>
        <w:t>Rozporządzenie Parlamentu Europejskiego i</w:t>
      </w:r>
      <w:r>
        <w:t> </w:t>
      </w:r>
      <w:r w:rsidRPr="003409C9">
        <w:t>Rady (UE) 2019/817 z</w:t>
      </w:r>
      <w:r>
        <w:t> </w:t>
      </w:r>
      <w:r w:rsidRPr="003409C9">
        <w:t>dnia 20 maja 2019 r. w</w:t>
      </w:r>
      <w:r>
        <w:t> </w:t>
      </w:r>
      <w:r w:rsidRPr="003409C9">
        <w:t>sprawie ustanowienia ram interoperacyjności systemów informacyjnych UE w</w:t>
      </w:r>
      <w:r>
        <w:t> </w:t>
      </w:r>
      <w:r w:rsidRPr="003409C9">
        <w:t>obszarze granic i</w:t>
      </w:r>
      <w:r>
        <w:t> </w:t>
      </w:r>
      <w:r w:rsidRPr="003409C9">
        <w:t>polityki wizowej oraz zmieniające rozporządzenia Parlamentu Europejskiego i</w:t>
      </w:r>
      <w:r>
        <w:t> </w:t>
      </w:r>
      <w:r w:rsidRPr="003409C9">
        <w:t>Rady (WE) nr 767/2008, (UE) 2016/399, (UE) 2017/2226, (UE) 2018/1240, (UE) 2018/1726, (UE) 2018/1861 oraz decyzje Rady 2004/512/WE i</w:t>
      </w:r>
      <w:r>
        <w:t> </w:t>
      </w:r>
      <w:r w:rsidRPr="003409C9">
        <w:t>2008/633/WSiSW (Dz.U. L 135 z</w:t>
      </w:r>
      <w:r>
        <w:t> </w:t>
      </w:r>
      <w:r w:rsidRPr="003409C9">
        <w:t>22.5.2019, s. 27).</w:t>
      </w:r>
    </w:p>
  </w:footnote>
  <w:footnote w:id="32">
    <w:p w:rsidR="003409C9" w:rsidRPr="003409C9" w:rsidRDefault="003409C9">
      <w:pPr>
        <w:pStyle w:val="FootnoteText"/>
      </w:pPr>
      <w:r w:rsidRPr="003409C9">
        <w:rPr>
          <w:rStyle w:val="FootnoteReference0"/>
        </w:rPr>
        <w:footnoteRef/>
      </w:r>
      <w:r w:rsidRPr="003409C9">
        <w:tab/>
        <w:t>[Dz.U. C, , s. .]</w:t>
      </w:r>
    </w:p>
  </w:footnote>
  <w:footnote w:id="33">
    <w:p w:rsidR="003409C9" w:rsidRPr="003409C9" w:rsidRDefault="003409C9">
      <w:pPr>
        <w:pStyle w:val="FootnoteText"/>
      </w:pPr>
      <w:r w:rsidRPr="003409C9">
        <w:rPr>
          <w:rStyle w:val="FootnoteReference0"/>
        </w:rPr>
        <w:footnoteRef/>
      </w:r>
      <w:r w:rsidRPr="003409C9">
        <w:tab/>
        <w:t>Rozporządzenie Parlamentu Europejskiego i</w:t>
      </w:r>
      <w:r>
        <w:t> </w:t>
      </w:r>
      <w:r w:rsidRPr="003409C9">
        <w:t>Rady (UE) 2016/399 z</w:t>
      </w:r>
      <w:r>
        <w:t> </w:t>
      </w:r>
      <w:r w:rsidRPr="003409C9">
        <w:t>dnia 9 marca 2016 r. w</w:t>
      </w:r>
      <w:r>
        <w:t> </w:t>
      </w:r>
      <w:r w:rsidRPr="003409C9">
        <w:t>sprawie unijnego kodeksu zasad regulujących przepływ osób przez granice (kodeks graniczny Schengen) (Dz.U. L 77 z</w:t>
      </w:r>
      <w:r>
        <w:t> </w:t>
      </w:r>
      <w:r w:rsidRPr="003409C9">
        <w:t>23.3.2016, s. 1).</w:t>
      </w:r>
    </w:p>
  </w:footnote>
  <w:footnote w:id="34">
    <w:p w:rsidR="003409C9" w:rsidRPr="003409C9" w:rsidRDefault="003409C9">
      <w:pPr>
        <w:pStyle w:val="FootnoteText"/>
      </w:pPr>
      <w:r w:rsidRPr="003409C9">
        <w:rPr>
          <w:rStyle w:val="FootnoteReference0"/>
        </w:rPr>
        <w:footnoteRef/>
      </w:r>
      <w:r w:rsidRPr="003409C9">
        <w:tab/>
        <w:t>Dyrektywa Rady 2004/82/WE z</w:t>
      </w:r>
      <w:r>
        <w:t> </w:t>
      </w:r>
      <w:r w:rsidRPr="003409C9">
        <w:t>dnia 29 kwietnia 2004 r. w</w:t>
      </w:r>
      <w:r>
        <w:t> </w:t>
      </w:r>
      <w:r w:rsidRPr="003409C9">
        <w:t>sprawie obowiązku przekazywania przez przewoźników danych dotyczących pasażerów (Dz.U. L 261 z</w:t>
      </w:r>
      <w:r>
        <w:t> </w:t>
      </w:r>
      <w:r w:rsidRPr="003409C9">
        <w:t>6.8.2004, s. 24).</w:t>
      </w:r>
    </w:p>
  </w:footnote>
  <w:footnote w:id="35">
    <w:p w:rsidR="003409C9" w:rsidRPr="003409C9" w:rsidRDefault="003409C9">
      <w:pPr>
        <w:pStyle w:val="FootnoteText"/>
      </w:pPr>
      <w:r w:rsidRPr="003409C9">
        <w:rPr>
          <w:rStyle w:val="FootnoteReference0"/>
        </w:rPr>
        <w:footnoteRef/>
      </w:r>
      <w:r w:rsidRPr="003409C9">
        <w:tab/>
        <w:t>Rozporządzenie Parlamentu Europejskiego i</w:t>
      </w:r>
      <w:r>
        <w:t> </w:t>
      </w:r>
      <w:r w:rsidRPr="003409C9">
        <w:t>Rady (UE) 2016/679 z</w:t>
      </w:r>
      <w:r>
        <w:t> </w:t>
      </w:r>
      <w:r w:rsidRPr="003409C9">
        <w:t>dnia 27 kwietnia 2016 r. w</w:t>
      </w:r>
      <w:r>
        <w:t> </w:t>
      </w:r>
      <w:r w:rsidRPr="003409C9">
        <w:t>sprawie ochrony osób fizycznych w</w:t>
      </w:r>
      <w:r>
        <w:t> </w:t>
      </w:r>
      <w:r w:rsidRPr="003409C9">
        <w:t>związku z</w:t>
      </w:r>
      <w:r>
        <w:t> </w:t>
      </w:r>
      <w:r w:rsidRPr="003409C9">
        <w:t>przetwarzaniem danych osobowych i</w:t>
      </w:r>
      <w:r>
        <w:t> </w:t>
      </w:r>
      <w:r w:rsidRPr="003409C9">
        <w:t>w</w:t>
      </w:r>
      <w:r>
        <w:t> </w:t>
      </w:r>
      <w:r w:rsidRPr="003409C9">
        <w:t>sprawie swobodnego przepływu takich danych oraz uchylenia dyrektywy 95/46/WE (ogólne rozporządzenie o</w:t>
      </w:r>
      <w:r>
        <w:t> </w:t>
      </w:r>
      <w:r w:rsidRPr="003409C9">
        <w:t>ochronie danych) (Dz.U. L 119 z</w:t>
      </w:r>
      <w:r>
        <w:t> </w:t>
      </w:r>
      <w:r w:rsidRPr="003409C9">
        <w:t>4.5.2016, s. 1).</w:t>
      </w:r>
    </w:p>
  </w:footnote>
  <w:footnote w:id="36">
    <w:p w:rsidR="003409C9" w:rsidRPr="003409C9" w:rsidRDefault="003409C9" w:rsidP="003B1C87">
      <w:pPr>
        <w:pStyle w:val="FootnoteText"/>
      </w:pPr>
      <w:r w:rsidRPr="003409C9">
        <w:rPr>
          <w:rStyle w:val="FootnoteReference0"/>
        </w:rPr>
        <w:footnoteRef/>
      </w:r>
      <w:r w:rsidRPr="003409C9">
        <w:tab/>
        <w:t>Rozporządzenie Parlamentu Europejskiego i</w:t>
      </w:r>
      <w:r>
        <w:t> </w:t>
      </w:r>
      <w:r w:rsidRPr="003409C9">
        <w:t>Rady (UE) 2018/1725 z</w:t>
      </w:r>
      <w:r>
        <w:t> </w:t>
      </w:r>
      <w:r w:rsidRPr="003409C9">
        <w:t>dnia 23 października 2018 r. w</w:t>
      </w:r>
      <w:r>
        <w:t> </w:t>
      </w:r>
      <w:r w:rsidRPr="003409C9">
        <w:t>sprawie ochrony osób fizycznych w</w:t>
      </w:r>
      <w:r>
        <w:t> </w:t>
      </w:r>
      <w:r w:rsidRPr="003409C9">
        <w:t>związku z</w:t>
      </w:r>
      <w:r>
        <w:t> </w:t>
      </w:r>
      <w:r w:rsidRPr="003409C9">
        <w:t>przetwarzaniem danych osobowych przez instytucje, organy i</w:t>
      </w:r>
      <w:r>
        <w:t> </w:t>
      </w:r>
      <w:r w:rsidRPr="003409C9">
        <w:t>jednostki organizacyjne Unii i</w:t>
      </w:r>
      <w:r>
        <w:t> </w:t>
      </w:r>
      <w:r w:rsidRPr="003409C9">
        <w:t>swobodnego przepływu takich danych oraz uchylenia rozporządzenia (WE) nr 45/2001 i</w:t>
      </w:r>
      <w:r>
        <w:t> </w:t>
      </w:r>
      <w:r w:rsidRPr="003409C9">
        <w:t>decyzji nr 1247/2002/WE (Dz.U. L 295 z</w:t>
      </w:r>
      <w:r>
        <w:t> </w:t>
      </w:r>
      <w:r w:rsidRPr="003409C9">
        <w:t>21.11.2018, s. 39).</w:t>
      </w:r>
    </w:p>
  </w:footnote>
  <w:footnote w:id="37">
    <w:p w:rsidR="003409C9" w:rsidRPr="003409C9" w:rsidRDefault="003409C9">
      <w:pPr>
        <w:pStyle w:val="FootnoteText"/>
      </w:pPr>
      <w:r w:rsidRPr="003409C9">
        <w:rPr>
          <w:rStyle w:val="FootnoteReference0"/>
        </w:rPr>
        <w:footnoteRef/>
      </w:r>
      <w:r w:rsidRPr="003409C9">
        <w:tab/>
        <w:t>Rozporządzenie Parlamentu Europejskiego i</w:t>
      </w:r>
      <w:r>
        <w:t> </w:t>
      </w:r>
      <w:r w:rsidRPr="003409C9">
        <w:t>Rady (UE) 2018/1726 z</w:t>
      </w:r>
      <w:r>
        <w:t> </w:t>
      </w:r>
      <w:r w:rsidRPr="003409C9">
        <w:t>dnia 14 listopada 2018 r. w</w:t>
      </w:r>
      <w:r>
        <w:t> </w:t>
      </w:r>
      <w:r w:rsidRPr="003409C9">
        <w:t>sprawie Agencji Unii Europejskiej ds. Zarządzania Operacyjnego Wielkoskalowymi Systemami Informatycznymi w</w:t>
      </w:r>
      <w:r>
        <w:t> </w:t>
      </w:r>
      <w:r w:rsidRPr="003409C9">
        <w:t>Przestrzeni Wolności, Bezpieczeństwa i</w:t>
      </w:r>
      <w:r>
        <w:t> </w:t>
      </w:r>
      <w:r w:rsidRPr="003409C9">
        <w:t>Sprawiedliwości (eu-LISA), zmiany rozporządzenia (WE) nr 1987/2006 i</w:t>
      </w:r>
      <w:r>
        <w:t> </w:t>
      </w:r>
      <w:r w:rsidRPr="003409C9">
        <w:t>decyzji Rady 2007/533/WSiSW oraz uchylenia rozporządzenia (UE) nr 1077/2011 (Dz.U. L 295 z</w:t>
      </w:r>
      <w:r>
        <w:t> </w:t>
      </w:r>
      <w:r w:rsidRPr="003409C9">
        <w:t>21.11.2018, s. 99).</w:t>
      </w:r>
    </w:p>
  </w:footnote>
  <w:footnote w:id="38">
    <w:p w:rsidR="003409C9" w:rsidRPr="003409C9" w:rsidRDefault="003409C9" w:rsidP="00B022C7">
      <w:pPr>
        <w:pStyle w:val="FootnoteText"/>
      </w:pPr>
      <w:r w:rsidRPr="003409C9">
        <w:rPr>
          <w:rStyle w:val="FootnoteReference0"/>
        </w:rPr>
        <w:footnoteRef/>
      </w:r>
      <w:r w:rsidRPr="003409C9">
        <w:tab/>
        <w:t>Rozporządzenie Parlamentu Europejskiego i</w:t>
      </w:r>
      <w:r>
        <w:t> </w:t>
      </w:r>
      <w:r w:rsidRPr="003409C9">
        <w:t>Rady (UE) 2019/817 z</w:t>
      </w:r>
      <w:r>
        <w:t> </w:t>
      </w:r>
      <w:r w:rsidRPr="003409C9">
        <w:t>dnia 20 maja 2019 r. w</w:t>
      </w:r>
      <w:r>
        <w:t> </w:t>
      </w:r>
      <w:r w:rsidRPr="003409C9">
        <w:t>sprawie ustanowienia ram interoperacyjności systemów informacyjnych UE w</w:t>
      </w:r>
      <w:r>
        <w:t> </w:t>
      </w:r>
      <w:r w:rsidRPr="003409C9">
        <w:t>obszarze granic i</w:t>
      </w:r>
      <w:r>
        <w:t> </w:t>
      </w:r>
      <w:r w:rsidRPr="003409C9">
        <w:t>polityki wizowej oraz zmieniające rozporządzenia Parlamentu Europejskiego i</w:t>
      </w:r>
      <w:r>
        <w:t> </w:t>
      </w:r>
      <w:r w:rsidRPr="003409C9">
        <w:t>Rady (WE) nr 767/2008, (UE) 2016/399, (UE) 2017/2226, (UE) 2018/1240, (UE) 2018/1726, (UE) 2018/1861 oraz decyzje Rady 2004/512/WE i</w:t>
      </w:r>
      <w:r>
        <w:t> </w:t>
      </w:r>
      <w:r w:rsidRPr="003409C9">
        <w:t>2008/633/WSiSW (Dz.U. L 135 z</w:t>
      </w:r>
      <w:r>
        <w:t> </w:t>
      </w:r>
      <w:r w:rsidRPr="003409C9">
        <w:t>22.5.2019, s. 27).</w:t>
      </w:r>
    </w:p>
  </w:footnote>
  <w:footnote w:id="39">
    <w:p w:rsidR="003409C9" w:rsidRPr="003409C9" w:rsidRDefault="003409C9" w:rsidP="00B022C7">
      <w:pPr>
        <w:pStyle w:val="FootnoteText"/>
      </w:pPr>
      <w:r w:rsidRPr="003409C9">
        <w:rPr>
          <w:rStyle w:val="FootnoteReference0"/>
        </w:rPr>
        <w:footnoteRef/>
      </w:r>
      <w:r w:rsidRPr="003409C9">
        <w:tab/>
        <w:t>Dz.U. L 123 z</w:t>
      </w:r>
      <w:r>
        <w:t> </w:t>
      </w:r>
      <w:r w:rsidRPr="003409C9">
        <w:t>12.5.2016, s. 1.</w:t>
      </w:r>
    </w:p>
  </w:footnote>
  <w:footnote w:id="40">
    <w:p w:rsidR="003409C9" w:rsidRPr="003409C9" w:rsidRDefault="003409C9">
      <w:pPr>
        <w:pStyle w:val="FootnoteText"/>
      </w:pPr>
      <w:r w:rsidRPr="003409C9">
        <w:rPr>
          <w:rStyle w:val="FootnoteReference0"/>
        </w:rPr>
        <w:footnoteRef/>
      </w:r>
      <w:r w:rsidRPr="003409C9">
        <w:tab/>
        <w:t>Rozporządzenie Parlamentu Europejskiego i</w:t>
      </w:r>
      <w:r>
        <w:t> </w:t>
      </w:r>
      <w:r w:rsidRPr="003409C9">
        <w:t>Rady (UE) nr 182/2011 z</w:t>
      </w:r>
      <w:r>
        <w:t> </w:t>
      </w:r>
      <w:r w:rsidRPr="003409C9">
        <w:t>dnia 16 lutego 2011 r. ustanawiające przepisy i</w:t>
      </w:r>
      <w:r>
        <w:t> </w:t>
      </w:r>
      <w:r w:rsidRPr="003409C9">
        <w:t>zasady ogólne dotyczące trybu kontroli przez państwa członkowskie wykonywania uprawnień wykonawczych przez Komisję (Dz.U. L 55 z</w:t>
      </w:r>
      <w:r>
        <w:t> </w:t>
      </w:r>
      <w:r w:rsidRPr="003409C9">
        <w:t>28.2.2011, s. 13).</w:t>
      </w:r>
    </w:p>
  </w:footnote>
  <w:footnote w:id="41">
    <w:p w:rsidR="003409C9" w:rsidRPr="003409C9" w:rsidRDefault="003409C9" w:rsidP="00250117">
      <w:pPr>
        <w:pStyle w:val="FootnoteText"/>
      </w:pPr>
      <w:r w:rsidRPr="003409C9">
        <w:rPr>
          <w:rStyle w:val="FootnoteReference0"/>
        </w:rPr>
        <w:footnoteRef/>
      </w:r>
      <w:r w:rsidRPr="003409C9">
        <w:tab/>
        <w:t>Decyzja Rady 2002/192/WE z</w:t>
      </w:r>
      <w:r>
        <w:t> </w:t>
      </w:r>
      <w:r w:rsidRPr="003409C9">
        <w:t>dnia 28 lutego 2002 r. dotycząca wniosku Irlandii o</w:t>
      </w:r>
      <w:r>
        <w:t> </w:t>
      </w:r>
      <w:r w:rsidRPr="003409C9">
        <w:t>zastosowanie wobec niej niektórych przepisów dorobku Schengen (Dz.U. L 64 z</w:t>
      </w:r>
      <w:r>
        <w:t> </w:t>
      </w:r>
      <w:r w:rsidRPr="003409C9">
        <w:t>7.3.2002, s. 20).</w:t>
      </w:r>
    </w:p>
  </w:footnote>
  <w:footnote w:id="42">
    <w:p w:rsidR="003409C9" w:rsidRPr="003409C9" w:rsidRDefault="003409C9" w:rsidP="00250117">
      <w:pPr>
        <w:pStyle w:val="FootnoteText"/>
      </w:pPr>
      <w:r w:rsidRPr="003409C9">
        <w:rPr>
          <w:rStyle w:val="FootnoteReference0"/>
        </w:rPr>
        <w:footnoteRef/>
      </w:r>
      <w:r w:rsidRPr="003409C9">
        <w:tab/>
        <w:t>Dz.U. L 176 z</w:t>
      </w:r>
      <w:r>
        <w:t> </w:t>
      </w:r>
      <w:r w:rsidRPr="003409C9">
        <w:t>10.7.1999, s. 36.</w:t>
      </w:r>
    </w:p>
  </w:footnote>
  <w:footnote w:id="43">
    <w:p w:rsidR="003409C9" w:rsidRPr="003409C9" w:rsidRDefault="003409C9" w:rsidP="00250117">
      <w:pPr>
        <w:pStyle w:val="FootnoteText"/>
      </w:pPr>
      <w:r w:rsidRPr="003409C9">
        <w:rPr>
          <w:rStyle w:val="FootnoteReference0"/>
        </w:rPr>
        <w:footnoteRef/>
      </w:r>
      <w:r w:rsidRPr="003409C9">
        <w:tab/>
        <w:t>Decyzja Rady 1999/437/WE z</w:t>
      </w:r>
      <w:r>
        <w:t> </w:t>
      </w:r>
      <w:r w:rsidRPr="003409C9">
        <w:t>dnia 17 maja 1999 r. w</w:t>
      </w:r>
      <w:r>
        <w:t> </w:t>
      </w:r>
      <w:r w:rsidRPr="003409C9">
        <w:t>sprawie niektórych warunków stosowania Układu zawartego przez Radę Unii Europejskiej i</w:t>
      </w:r>
      <w:r>
        <w:t> </w:t>
      </w:r>
      <w:r w:rsidRPr="003409C9">
        <w:t>Republikę Islandii oraz Królestwo Norwegii dotyczącego włączenia tych dwóch państw we wprowadzanie w</w:t>
      </w:r>
      <w:r>
        <w:t> </w:t>
      </w:r>
      <w:r w:rsidRPr="003409C9">
        <w:t>życie, stosowanie i</w:t>
      </w:r>
      <w:r>
        <w:t> </w:t>
      </w:r>
      <w:r w:rsidRPr="003409C9">
        <w:t>rozwój dorobku Schengen (Dz.U. L 176 z</w:t>
      </w:r>
      <w:r>
        <w:t> </w:t>
      </w:r>
      <w:r w:rsidRPr="003409C9">
        <w:t>10.7.1999, s. 31).</w:t>
      </w:r>
    </w:p>
  </w:footnote>
  <w:footnote w:id="44">
    <w:p w:rsidR="003409C9" w:rsidRPr="003409C9" w:rsidRDefault="003409C9" w:rsidP="00250117">
      <w:pPr>
        <w:pStyle w:val="FootnoteText"/>
      </w:pPr>
      <w:r w:rsidRPr="003409C9">
        <w:rPr>
          <w:rStyle w:val="FootnoteReference0"/>
        </w:rPr>
        <w:footnoteRef/>
      </w:r>
      <w:r w:rsidRPr="003409C9">
        <w:tab/>
        <w:t>Dz.U. L 53 z</w:t>
      </w:r>
      <w:r>
        <w:t> </w:t>
      </w:r>
      <w:r w:rsidRPr="003409C9">
        <w:t>27.2.2008, s. 52.</w:t>
      </w:r>
    </w:p>
  </w:footnote>
  <w:footnote w:id="45">
    <w:p w:rsidR="003409C9" w:rsidRPr="003409C9" w:rsidRDefault="003409C9" w:rsidP="00250117">
      <w:pPr>
        <w:pStyle w:val="FootnoteText"/>
      </w:pPr>
      <w:r w:rsidRPr="003409C9">
        <w:rPr>
          <w:rStyle w:val="FootnoteReference0"/>
        </w:rPr>
        <w:footnoteRef/>
      </w:r>
      <w:r w:rsidRPr="003409C9">
        <w:tab/>
        <w:t>Decyzja Rady 2008/146/WE z</w:t>
      </w:r>
      <w:r>
        <w:t> </w:t>
      </w:r>
      <w:r w:rsidRPr="003409C9">
        <w:t>dnia 28 stycznia 2008 r. w</w:t>
      </w:r>
      <w:r>
        <w:t> </w:t>
      </w:r>
      <w:r w:rsidRPr="003409C9">
        <w:t>sprawie zawarcia w</w:t>
      </w:r>
      <w:r>
        <w:t> </w:t>
      </w:r>
      <w:r w:rsidRPr="003409C9">
        <w:t>imieniu Wspólnoty Europejskiej Umowy między Unią Europejską, Wspólnotą Europejską i</w:t>
      </w:r>
      <w:r>
        <w:t> </w:t>
      </w:r>
      <w:r w:rsidRPr="003409C9">
        <w:t>Konfederacją Szwajcarską dotyczącej włączenia tego państwa we wprowadzanie w</w:t>
      </w:r>
      <w:r>
        <w:t> </w:t>
      </w:r>
      <w:r w:rsidRPr="003409C9">
        <w:t>życie, stosowanie i</w:t>
      </w:r>
      <w:r>
        <w:t> </w:t>
      </w:r>
      <w:r w:rsidRPr="003409C9">
        <w:t>rozwój dorobku Schengen (Dz.U. L 53 z</w:t>
      </w:r>
      <w:r>
        <w:t> </w:t>
      </w:r>
      <w:r w:rsidRPr="003409C9">
        <w:t>27.2.2008, s. 1).</w:t>
      </w:r>
    </w:p>
  </w:footnote>
  <w:footnote w:id="46">
    <w:p w:rsidR="003409C9" w:rsidRPr="003409C9" w:rsidRDefault="003409C9">
      <w:pPr>
        <w:pStyle w:val="FootnoteText"/>
      </w:pPr>
      <w:r w:rsidRPr="003409C9">
        <w:rPr>
          <w:rStyle w:val="FootnoteReference0"/>
        </w:rPr>
        <w:footnoteRef/>
      </w:r>
      <w:r w:rsidRPr="003409C9">
        <w:tab/>
      </w:r>
      <w:hyperlink r:id="rId6" w:history="1">
        <w:r w:rsidRPr="003409C9">
          <w:rPr>
            <w:rStyle w:val="Hyperlink"/>
            <w:color w:val="23527C"/>
            <w:sz w:val="19"/>
            <w:shd w:val="clear" w:color="auto" w:fill="FFFFFF"/>
          </w:rPr>
          <w:t>Dz.U. L 160 z</w:t>
        </w:r>
        <w:r>
          <w:rPr>
            <w:rStyle w:val="Hyperlink"/>
            <w:color w:val="23527C"/>
            <w:sz w:val="19"/>
            <w:shd w:val="clear" w:color="auto" w:fill="FFFFFF"/>
          </w:rPr>
          <w:t> </w:t>
        </w:r>
        <w:r w:rsidRPr="003409C9">
          <w:rPr>
            <w:rStyle w:val="Hyperlink"/>
            <w:color w:val="23527C"/>
            <w:sz w:val="19"/>
            <w:shd w:val="clear" w:color="auto" w:fill="FFFFFF"/>
          </w:rPr>
          <w:t>18.6.2011, s. 21</w:t>
        </w:r>
      </w:hyperlink>
      <w:r w:rsidRPr="003409C9">
        <w:rPr>
          <w:color w:val="333333"/>
          <w:sz w:val="19"/>
          <w:shd w:val="clear" w:color="auto" w:fill="FFFFFF"/>
        </w:rPr>
        <w:t>.</w:t>
      </w:r>
    </w:p>
  </w:footnote>
  <w:footnote w:id="47">
    <w:p w:rsidR="003409C9" w:rsidRPr="003409C9" w:rsidRDefault="003409C9">
      <w:pPr>
        <w:pStyle w:val="FootnoteText"/>
      </w:pPr>
      <w:r w:rsidRPr="003409C9">
        <w:rPr>
          <w:rStyle w:val="FootnoteReference0"/>
        </w:rPr>
        <w:footnoteRef/>
      </w:r>
      <w:r w:rsidRPr="003409C9">
        <w:tab/>
      </w:r>
      <w:r w:rsidRPr="003409C9">
        <w:rPr>
          <w:color w:val="333333"/>
          <w:shd w:val="clear" w:color="auto" w:fill="FFFFFF"/>
        </w:rPr>
        <w:t>Decyzja Rady 2011/350/UE z</w:t>
      </w:r>
      <w:r>
        <w:rPr>
          <w:color w:val="333333"/>
          <w:shd w:val="clear" w:color="auto" w:fill="FFFFFF"/>
        </w:rPr>
        <w:t> </w:t>
      </w:r>
      <w:r w:rsidRPr="003409C9">
        <w:rPr>
          <w:color w:val="333333"/>
          <w:shd w:val="clear" w:color="auto" w:fill="FFFFFF"/>
        </w:rPr>
        <w:t>dnia 7 marca 2011 r. w</w:t>
      </w:r>
      <w:r>
        <w:rPr>
          <w:color w:val="333333"/>
          <w:shd w:val="clear" w:color="auto" w:fill="FFFFFF"/>
        </w:rPr>
        <w:t> </w:t>
      </w:r>
      <w:r w:rsidRPr="003409C9">
        <w:rPr>
          <w:color w:val="333333"/>
          <w:shd w:val="clear" w:color="auto" w:fill="FFFFFF"/>
        </w:rPr>
        <w:t>sprawie zawarcia w</w:t>
      </w:r>
      <w:r>
        <w:rPr>
          <w:color w:val="333333"/>
          <w:shd w:val="clear" w:color="auto" w:fill="FFFFFF"/>
        </w:rPr>
        <w:t> </w:t>
      </w:r>
      <w:r w:rsidRPr="003409C9">
        <w:rPr>
          <w:color w:val="333333"/>
          <w:shd w:val="clear" w:color="auto" w:fill="FFFFFF"/>
        </w:rPr>
        <w:t>imieniu Unii Europejskiej Protokołu między Unią Europejską, Wspólnotą Europejską, Konfederacją Szwajcarską i</w:t>
      </w:r>
      <w:r>
        <w:rPr>
          <w:color w:val="333333"/>
          <w:shd w:val="clear" w:color="auto" w:fill="FFFFFF"/>
        </w:rPr>
        <w:t> </w:t>
      </w:r>
      <w:r w:rsidRPr="003409C9">
        <w:rPr>
          <w:color w:val="333333"/>
          <w:shd w:val="clear" w:color="auto" w:fill="FFFFFF"/>
        </w:rPr>
        <w:t>Księstwem Liechtensteinu w</w:t>
      </w:r>
      <w:r>
        <w:rPr>
          <w:color w:val="333333"/>
          <w:shd w:val="clear" w:color="auto" w:fill="FFFFFF"/>
        </w:rPr>
        <w:t> </w:t>
      </w:r>
      <w:r w:rsidRPr="003409C9">
        <w:rPr>
          <w:color w:val="333333"/>
          <w:shd w:val="clear" w:color="auto" w:fill="FFFFFF"/>
        </w:rPr>
        <w:t>sprawie przystąpienia Księstwa Liechtensteinu do Umowy między Unią Europejską, Wspólnotą Europejską i</w:t>
      </w:r>
      <w:r>
        <w:rPr>
          <w:color w:val="333333"/>
          <w:shd w:val="clear" w:color="auto" w:fill="FFFFFF"/>
        </w:rPr>
        <w:t> </w:t>
      </w:r>
      <w:r w:rsidRPr="003409C9">
        <w:rPr>
          <w:color w:val="333333"/>
          <w:shd w:val="clear" w:color="auto" w:fill="FFFFFF"/>
        </w:rPr>
        <w:t>Konfederacją Szwajcarską dotyczącej włączenia Konfederacji Szwajcarskiej we wprowadzanie w</w:t>
      </w:r>
      <w:r>
        <w:rPr>
          <w:color w:val="333333"/>
          <w:shd w:val="clear" w:color="auto" w:fill="FFFFFF"/>
        </w:rPr>
        <w:t> </w:t>
      </w:r>
      <w:r w:rsidRPr="003409C9">
        <w:rPr>
          <w:color w:val="333333"/>
          <w:shd w:val="clear" w:color="auto" w:fill="FFFFFF"/>
        </w:rPr>
        <w:t>życie, stosowanie i</w:t>
      </w:r>
      <w:r>
        <w:rPr>
          <w:color w:val="333333"/>
          <w:shd w:val="clear" w:color="auto" w:fill="FFFFFF"/>
        </w:rPr>
        <w:t> </w:t>
      </w:r>
      <w:r w:rsidRPr="003409C9">
        <w:rPr>
          <w:color w:val="333333"/>
          <w:shd w:val="clear" w:color="auto" w:fill="FFFFFF"/>
        </w:rPr>
        <w:t>rozwój dorobku Schengen, odnoszącego się do zniesienia kontroli na granicach wewnętrznych i do przemieszczania się osób (</w:t>
      </w:r>
      <w:hyperlink r:id="rId7" w:history="1">
        <w:r w:rsidRPr="003409C9">
          <w:rPr>
            <w:rStyle w:val="Hyperlink"/>
            <w:color w:val="337AB7"/>
            <w:shd w:val="clear" w:color="auto" w:fill="FFFFFF"/>
          </w:rPr>
          <w:t>Dz.U. L 160 z</w:t>
        </w:r>
        <w:r>
          <w:rPr>
            <w:rStyle w:val="Hyperlink"/>
            <w:color w:val="337AB7"/>
            <w:shd w:val="clear" w:color="auto" w:fill="FFFFFF"/>
          </w:rPr>
          <w:t> </w:t>
        </w:r>
        <w:r w:rsidRPr="003409C9">
          <w:rPr>
            <w:rStyle w:val="Hyperlink"/>
            <w:color w:val="337AB7"/>
            <w:shd w:val="clear" w:color="auto" w:fill="FFFFFF"/>
          </w:rPr>
          <w:t>18.6.2011, s. 19</w:t>
        </w:r>
      </w:hyperlink>
      <w:r w:rsidRPr="003409C9">
        <w:rPr>
          <w:color w:val="333333"/>
          <w:shd w:val="clear" w:color="auto" w:fill="FFFFFF"/>
        </w:rPr>
        <w:t>).</w:t>
      </w:r>
    </w:p>
  </w:footnote>
  <w:footnote w:id="48">
    <w:p w:rsidR="003409C9" w:rsidRPr="003409C9" w:rsidRDefault="003409C9" w:rsidP="00250117">
      <w:pPr>
        <w:pStyle w:val="FootnoteText"/>
      </w:pPr>
      <w:r w:rsidRPr="003409C9">
        <w:rPr>
          <w:rStyle w:val="FootnoteReference0"/>
        </w:rPr>
        <w:footnoteRef/>
      </w:r>
      <w:r w:rsidRPr="003409C9">
        <w:tab/>
        <w:t>[Dz.U. C …]</w:t>
      </w:r>
    </w:p>
  </w:footnote>
  <w:footnote w:id="49">
    <w:p w:rsidR="003409C9" w:rsidRPr="003409C9" w:rsidRDefault="003409C9">
      <w:pPr>
        <w:pStyle w:val="FootnoteText"/>
      </w:pPr>
      <w:r w:rsidRPr="003409C9">
        <w:rPr>
          <w:rStyle w:val="FootnoteReference0"/>
        </w:rPr>
        <w:footnoteRef/>
      </w:r>
      <w:r w:rsidRPr="003409C9">
        <w:tab/>
        <w:t>Rozporządzenie Parlamentu Europejskiego i</w:t>
      </w:r>
      <w:r>
        <w:t> </w:t>
      </w:r>
      <w:r w:rsidRPr="003409C9">
        <w:t>Rady (UE) 2017/2226 z</w:t>
      </w:r>
      <w:r>
        <w:t> </w:t>
      </w:r>
      <w:r w:rsidRPr="003409C9">
        <w:t>dnia 30 listopada 2017 r. ustanawiające system wjazdu/wyjazdu (EES) w</w:t>
      </w:r>
      <w:r>
        <w:t> </w:t>
      </w:r>
      <w:r w:rsidRPr="003409C9">
        <w:t>celu rejestrowania danych dotyczących wjazdu i</w:t>
      </w:r>
      <w:r>
        <w:t> </w:t>
      </w:r>
      <w:r w:rsidRPr="003409C9">
        <w:t>wyjazdu obywateli państw trzecich przekraczających granice zewnętrzne państw członkowskich i</w:t>
      </w:r>
      <w:r>
        <w:t> </w:t>
      </w:r>
      <w:r w:rsidRPr="003409C9">
        <w:t>danych dotyczących odmowy wjazdu w</w:t>
      </w:r>
      <w:r>
        <w:t> </w:t>
      </w:r>
      <w:r w:rsidRPr="003409C9">
        <w:t>odniesieniu do takich obywateli oraz określające warunki dostępu do EES na potrzeby ochrony porządku publicznego i</w:t>
      </w:r>
      <w:r>
        <w:t> </w:t>
      </w:r>
      <w:r w:rsidRPr="003409C9">
        <w:t>zmieniające konwencję wykonawczą do układu z</w:t>
      </w:r>
      <w:r>
        <w:t> </w:t>
      </w:r>
      <w:r w:rsidRPr="003409C9">
        <w:t>Schengen i</w:t>
      </w:r>
      <w:r>
        <w:t> </w:t>
      </w:r>
      <w:r w:rsidRPr="003409C9">
        <w:t>rozporządzenia (WE) nr 767/2008 i (UE) nr 1077/2011 (Dz.U. L 327 z</w:t>
      </w:r>
      <w:r>
        <w:t> </w:t>
      </w:r>
      <w:r w:rsidRPr="003409C9">
        <w:t>9.12.2017, s. 20).</w:t>
      </w:r>
    </w:p>
  </w:footnote>
  <w:footnote w:id="50">
    <w:p w:rsidR="003409C9" w:rsidRPr="003409C9" w:rsidRDefault="003409C9">
      <w:pPr>
        <w:pStyle w:val="FootnoteText"/>
      </w:pPr>
      <w:r w:rsidRPr="003409C9">
        <w:rPr>
          <w:rStyle w:val="FootnoteReference0"/>
        </w:rPr>
        <w:footnoteRef/>
      </w:r>
      <w:r w:rsidRPr="003409C9">
        <w:tab/>
        <w:t>Rozporządzenie Parlamentu Europejskiego i</w:t>
      </w:r>
      <w:r>
        <w:t> </w:t>
      </w:r>
      <w:r w:rsidRPr="003409C9">
        <w:t>Rady (WE) nr 767/2008 z</w:t>
      </w:r>
      <w:r>
        <w:t> </w:t>
      </w:r>
      <w:r w:rsidRPr="003409C9">
        <w:t>dnia 9 lipca 2008 r. w</w:t>
      </w:r>
      <w:r>
        <w:t> </w:t>
      </w:r>
      <w:r w:rsidRPr="003409C9">
        <w:t>sprawie Wizowego Systemu Informacyjnego (VIS) oraz wymiany danych pomiędzy państwami członkowskimi na temat wiz krótkoterminowych (rozporządzenie w</w:t>
      </w:r>
      <w:r>
        <w:t> </w:t>
      </w:r>
      <w:r w:rsidRPr="003409C9">
        <w:t>sprawie VIS) (Dz.U. L 218 z</w:t>
      </w:r>
      <w:r>
        <w:t> </w:t>
      </w:r>
      <w:r w:rsidRPr="003409C9">
        <w:t>13.8.2008, s. 60)</w:t>
      </w:r>
    </w:p>
  </w:footnote>
  <w:footnote w:id="51">
    <w:p w:rsidR="003409C9" w:rsidRPr="003409C9" w:rsidRDefault="003409C9" w:rsidP="005F1A89">
      <w:pPr>
        <w:pStyle w:val="FootnoteText"/>
      </w:pPr>
      <w:r w:rsidRPr="003409C9">
        <w:rPr>
          <w:rStyle w:val="FootnoteReference0"/>
        </w:rPr>
        <w:footnoteRef/>
      </w:r>
      <w:r w:rsidRPr="003409C9">
        <w:tab/>
        <w:t>Rozporządzenie Rady (EWG, Euratom, EWWiS) nr 259/68 z</w:t>
      </w:r>
      <w:r>
        <w:t> </w:t>
      </w:r>
      <w:r w:rsidRPr="003409C9">
        <w:t>dnia 29 lutego 1968 r. ustanawiające regulamin pracowniczy urzędników Wspólnot Europejskich i</w:t>
      </w:r>
      <w:r>
        <w:t> </w:t>
      </w:r>
      <w:r w:rsidRPr="003409C9">
        <w:t>warunki zatrudnienia innych pracowników Wspólnot oraz ustanawiające specjalne środki stosowane tymczasowo wobec urzędników Komisji (Dz.U. L 56 z</w:t>
      </w:r>
      <w:r>
        <w:t> </w:t>
      </w:r>
      <w:r w:rsidRPr="003409C9">
        <w:t>4.3.1968, s. 1).</w:t>
      </w:r>
    </w:p>
  </w:footnote>
  <w:footnote w:id="52">
    <w:p w:rsidR="003409C9" w:rsidRPr="003409C9" w:rsidRDefault="003409C9" w:rsidP="00CD7E2F">
      <w:pPr>
        <w:pStyle w:val="FootnoteText"/>
        <w:rPr>
          <w:szCs w:val="24"/>
        </w:rPr>
      </w:pPr>
      <w:r w:rsidRPr="003409C9">
        <w:rPr>
          <w:rStyle w:val="FootnoteReference0"/>
        </w:rPr>
        <w:footnoteRef/>
      </w:r>
      <w:r w:rsidRPr="003409C9">
        <w:tab/>
        <w:t>O którym mowa w</w:t>
      </w:r>
      <w:r>
        <w:t> </w:t>
      </w:r>
      <w:r w:rsidRPr="003409C9">
        <w:t>art. 58 ust. 2 lit. a) lub b) rozporządzenia finansowego.</w:t>
      </w:r>
    </w:p>
  </w:footnote>
  <w:footnote w:id="53">
    <w:p w:rsidR="003409C9" w:rsidRPr="003409C9" w:rsidRDefault="003409C9" w:rsidP="00CD7E2F">
      <w:pPr>
        <w:pStyle w:val="FootnoteText"/>
      </w:pPr>
      <w:r w:rsidRPr="003409C9">
        <w:rPr>
          <w:rStyle w:val="FootnoteReference0"/>
        </w:rPr>
        <w:footnoteRef/>
      </w:r>
      <w:r w:rsidRPr="003409C9">
        <w:tab/>
        <w:t>Zgodnie z</w:t>
      </w:r>
      <w:r>
        <w:t> </w:t>
      </w:r>
      <w:r w:rsidRPr="003409C9">
        <w:t>oceną skutków.</w:t>
      </w:r>
    </w:p>
  </w:footnote>
  <w:footnote w:id="54">
    <w:p w:rsidR="003409C9" w:rsidRPr="003409C9" w:rsidRDefault="003409C9" w:rsidP="00755AFD">
      <w:pPr>
        <w:pStyle w:val="FootnoteText"/>
      </w:pPr>
      <w:r w:rsidRPr="003409C9">
        <w:rPr>
          <w:rStyle w:val="FootnoteReference0"/>
        </w:rPr>
        <w:footnoteRef/>
      </w:r>
      <w:r w:rsidRPr="003409C9">
        <w:tab/>
        <w:t>COM(2021) 277 final (2.6.2021).</w:t>
      </w:r>
    </w:p>
  </w:footnote>
  <w:footnote w:id="55">
    <w:p w:rsidR="003409C9" w:rsidRPr="003409C9" w:rsidRDefault="003409C9" w:rsidP="00CD7E2F">
      <w:pPr>
        <w:pStyle w:val="FootnoteText"/>
        <w:jc w:val="left"/>
        <w:rPr>
          <w:szCs w:val="24"/>
        </w:rPr>
      </w:pPr>
      <w:r w:rsidRPr="003409C9">
        <w:rPr>
          <w:rStyle w:val="FootnoteReference0"/>
        </w:rPr>
        <w:footnoteRef/>
      </w:r>
      <w:r w:rsidRPr="003409C9">
        <w:tab/>
        <w:t xml:space="preserve">Wyjaśnienia dotyczące trybów zarządzania oraz odniesienia do rozporządzenia finansowego znajdują się na następującej stronie: </w:t>
      </w:r>
      <w:hyperlink r:id="rId8" w:history="1">
        <w:r w:rsidRPr="003409C9">
          <w:rPr>
            <w:rStyle w:val="Hyperlink"/>
          </w:rPr>
          <w:t>https://myintracomm.ec.europa.eu/budgweb/EN/man/budgmanag/Pages/budgmanag.aspx</w:t>
        </w:r>
      </w:hyperlink>
      <w:r w:rsidRPr="003409C9">
        <w:t xml:space="preserve"> </w:t>
      </w:r>
    </w:p>
  </w:footnote>
  <w:footnote w:id="56">
    <w:p w:rsidR="003409C9" w:rsidRPr="003409C9" w:rsidRDefault="003409C9" w:rsidP="00CD7E2F">
      <w:pPr>
        <w:pStyle w:val="FootnoteText"/>
        <w:ind w:left="142" w:hanging="142"/>
      </w:pPr>
      <w:r w:rsidRPr="003409C9">
        <w:rPr>
          <w:rStyle w:val="FootnoteReference0"/>
        </w:rPr>
        <w:footnoteRef/>
      </w:r>
      <w:r w:rsidRPr="003409C9">
        <w:tab/>
        <w:t>Rozporządzenie Parlamentu Europejskiego i</w:t>
      </w:r>
      <w:r>
        <w:t> </w:t>
      </w:r>
      <w:r w:rsidRPr="003409C9">
        <w:t>Rady (UE) 2021/1060 z</w:t>
      </w:r>
      <w:r>
        <w:t> </w:t>
      </w:r>
      <w:r w:rsidRPr="003409C9">
        <w:t>dnia 24 czerwca 2021 r. ustanawiające wspólne przepisy dotyczące Europejskiego Funduszu Rozwoju Regionalnego, Europejskiego Funduszu Społecznego Plus, Funduszu Spójności, Funduszu na rzecz Sprawiedliwej Transformacji i</w:t>
      </w:r>
      <w:r>
        <w:t> </w:t>
      </w:r>
      <w:r w:rsidRPr="003409C9">
        <w:t>Europejskiego Funduszu Morskiego, Rybackiego i</w:t>
      </w:r>
      <w:r>
        <w:t> </w:t>
      </w:r>
      <w:r w:rsidRPr="003409C9">
        <w:t>Akwakultury, a</w:t>
      </w:r>
      <w:r>
        <w:t> </w:t>
      </w:r>
      <w:r w:rsidRPr="003409C9">
        <w:t>także przepisy finansowe na potrzeby tych funduszy oraz na potrzeby Funduszu Azylu, Migracji i</w:t>
      </w:r>
      <w:r>
        <w:t> </w:t>
      </w:r>
      <w:r w:rsidRPr="003409C9">
        <w:t>Integracji, Funduszu Bezpieczeństwa Wewnętrznego i</w:t>
      </w:r>
      <w:r>
        <w:t> </w:t>
      </w:r>
      <w:r w:rsidRPr="003409C9">
        <w:t>Instrumentu Wsparcia Finansowego na rzecz Zarządzania Granicami i</w:t>
      </w:r>
      <w:r>
        <w:t> </w:t>
      </w:r>
      <w:r w:rsidRPr="003409C9">
        <w:t>Polityki Wizowej.</w:t>
      </w:r>
    </w:p>
  </w:footnote>
  <w:footnote w:id="57">
    <w:p w:rsidR="003409C9" w:rsidRPr="003409C9" w:rsidRDefault="003409C9" w:rsidP="00CD7E2F">
      <w:pPr>
        <w:pStyle w:val="FootnoteText"/>
        <w:rPr>
          <w:szCs w:val="24"/>
        </w:rPr>
      </w:pPr>
      <w:r w:rsidRPr="003409C9">
        <w:rPr>
          <w:rStyle w:val="FootnoteReference0"/>
        </w:rPr>
        <w:footnoteRef/>
      </w:r>
      <w:r w:rsidRPr="003409C9">
        <w:tab/>
        <w:t>Środki zróżnicowane/środki niezróżnicowane.</w:t>
      </w:r>
    </w:p>
  </w:footnote>
  <w:footnote w:id="58">
    <w:p w:rsidR="003409C9" w:rsidRPr="003409C9" w:rsidRDefault="003409C9" w:rsidP="00CD7E2F">
      <w:pPr>
        <w:pStyle w:val="FootnoteText"/>
        <w:rPr>
          <w:szCs w:val="24"/>
        </w:rPr>
      </w:pPr>
      <w:r w:rsidRPr="003409C9">
        <w:rPr>
          <w:rStyle w:val="FootnoteReference0"/>
        </w:rPr>
        <w:footnoteRef/>
      </w:r>
      <w:r w:rsidRPr="003409C9">
        <w:tab/>
        <w:t xml:space="preserve">EFTA: Europejskie Stowarzyszenie Wolnego Handlu </w:t>
      </w:r>
    </w:p>
  </w:footnote>
  <w:footnote w:id="59">
    <w:p w:rsidR="003409C9" w:rsidRPr="003409C9" w:rsidRDefault="003409C9" w:rsidP="00CD7E2F">
      <w:pPr>
        <w:pStyle w:val="FootnoteText"/>
        <w:rPr>
          <w:szCs w:val="24"/>
        </w:rPr>
      </w:pPr>
      <w:r w:rsidRPr="003409C9">
        <w:rPr>
          <w:rStyle w:val="FootnoteReference0"/>
        </w:rPr>
        <w:footnoteRef/>
      </w:r>
      <w:r w:rsidRPr="003409C9">
        <w:tab/>
        <w:t>Kraje kandydujące oraz w</w:t>
      </w:r>
      <w:r>
        <w:t> </w:t>
      </w:r>
      <w:r w:rsidRPr="003409C9">
        <w:t>stosownych przypadkach potencjalne kraje kandydujące Bałkanów Zachodnich.</w:t>
      </w:r>
    </w:p>
  </w:footnote>
  <w:footnote w:id="60">
    <w:p w:rsidR="003409C9" w:rsidRPr="003409C9" w:rsidRDefault="003409C9" w:rsidP="000F0513">
      <w:pPr>
        <w:pStyle w:val="FootnoteText"/>
        <w:rPr>
          <w:szCs w:val="24"/>
        </w:rPr>
      </w:pPr>
      <w:r w:rsidRPr="003409C9">
        <w:rPr>
          <w:rStyle w:val="FootnoteReference0"/>
        </w:rPr>
        <w:footnoteRef/>
      </w:r>
      <w:r w:rsidRPr="003409C9">
        <w:tab/>
      </w:r>
      <w:r w:rsidRPr="003409C9">
        <w:rPr>
          <w:sz w:val="18"/>
        </w:rPr>
        <w:t>Wsparcie techniczne lub administracyjne oraz wydatki na wsparcie realizacji programów lub działań UE (dawne linie „BA”), pośrednie badania naukowe, bezpośrednie badania naukowe.</w:t>
      </w:r>
    </w:p>
  </w:footnote>
  <w:footnote w:id="61">
    <w:p w:rsidR="003409C9" w:rsidRPr="003409C9" w:rsidRDefault="003409C9" w:rsidP="000F0513">
      <w:pPr>
        <w:pStyle w:val="FootnoteText"/>
        <w:rPr>
          <w:szCs w:val="24"/>
        </w:rPr>
      </w:pPr>
      <w:r w:rsidRPr="003409C9">
        <w:rPr>
          <w:rStyle w:val="FootnoteReference0"/>
        </w:rPr>
        <w:footnoteRef/>
      </w:r>
      <w:r w:rsidRPr="003409C9">
        <w:tab/>
      </w:r>
      <w:r w:rsidRPr="003409C9">
        <w:rPr>
          <w:sz w:val="18"/>
        </w:rPr>
        <w:t>Wsparcie techniczne lub administracyjne oraz wydatki na wsparcie realizacji programów lub działań UE (dawne linie „BA”), pośrednie badania naukowe, bezpośrednie badania naukowe.</w:t>
      </w:r>
    </w:p>
  </w:footnote>
  <w:footnote w:id="62">
    <w:p w:rsidR="003409C9" w:rsidRPr="003409C9" w:rsidRDefault="003409C9">
      <w:pPr>
        <w:pStyle w:val="FootnoteText"/>
      </w:pPr>
      <w:r w:rsidRPr="003409C9">
        <w:rPr>
          <w:rStyle w:val="FootnoteReference0"/>
        </w:rPr>
        <w:footnoteRef/>
      </w:r>
      <w:r w:rsidRPr="003409C9">
        <w:tab/>
        <w:t>Produkty odnoszą się do produktów i</w:t>
      </w:r>
      <w:r>
        <w:t> </w:t>
      </w:r>
      <w:r w:rsidRPr="003409C9">
        <w:t>usług, które zostaną zapewnione (np. liczba sfinansowanych wymian studentów, liczba kilometrów zbudowanych dróg itp.).</w:t>
      </w:r>
    </w:p>
  </w:footnote>
  <w:footnote w:id="63">
    <w:p w:rsidR="003409C9" w:rsidRPr="003409C9" w:rsidRDefault="003409C9" w:rsidP="00CD7E2F">
      <w:pPr>
        <w:pStyle w:val="FootnoteText"/>
        <w:rPr>
          <w:szCs w:val="24"/>
        </w:rPr>
      </w:pPr>
      <w:r w:rsidRPr="003409C9">
        <w:rPr>
          <w:rStyle w:val="FootnoteReference0"/>
        </w:rPr>
        <w:footnoteRef/>
      </w:r>
      <w:r w:rsidRPr="003409C9">
        <w:tab/>
      </w:r>
      <w:r w:rsidRPr="003409C9">
        <w:rPr>
          <w:sz w:val="18"/>
        </w:rPr>
        <w:t>Wsparcie techniczne lub administracyjne oraz wydatki na wsparcie realizacji programów lub działań UE (dawne linie „BA”), pośrednie badania naukowe, bezpośrednie badania naukowe.</w:t>
      </w:r>
    </w:p>
  </w:footnote>
  <w:footnote w:id="64">
    <w:p w:rsidR="003409C9" w:rsidRPr="003409C9" w:rsidRDefault="003409C9" w:rsidP="00CD7E2F">
      <w:pPr>
        <w:pStyle w:val="FootnoteText"/>
        <w:rPr>
          <w:szCs w:val="24"/>
        </w:rPr>
      </w:pPr>
      <w:r w:rsidRPr="003409C9">
        <w:rPr>
          <w:rStyle w:val="FootnoteReference0"/>
        </w:rPr>
        <w:footnoteRef/>
      </w:r>
      <w:r w:rsidRPr="003409C9">
        <w:tab/>
        <w:t>W ramach podpułapu na personel zewnętrzny ze środków operacyjnych (dawne linie „BA”).</w:t>
      </w:r>
    </w:p>
  </w:footnote>
  <w:footnote w:id="65">
    <w:p w:rsidR="003409C9" w:rsidRPr="003409C9" w:rsidRDefault="003409C9">
      <w:pPr>
        <w:pStyle w:val="FootnoteText"/>
      </w:pPr>
      <w:r w:rsidRPr="003409C9">
        <w:rPr>
          <w:rStyle w:val="FootnoteReference0"/>
        </w:rPr>
        <w:footnoteRef/>
      </w:r>
      <w:r w:rsidRPr="003409C9">
        <w:tab/>
        <w:t>Wpływ na budżet wykraczający poza obowiązujące WRF ma charakter orientacyjny, bez uszczerbku dla przyszłej umowy w</w:t>
      </w:r>
      <w:r>
        <w:t> </w:t>
      </w:r>
      <w:r w:rsidRPr="003409C9">
        <w:t>sprawie WRF.</w:t>
      </w:r>
    </w:p>
  </w:footnote>
  <w:footnote w:id="66">
    <w:p w:rsidR="003409C9" w:rsidRPr="003409C9" w:rsidRDefault="003409C9" w:rsidP="00CD7E2F">
      <w:pPr>
        <w:pStyle w:val="FootnoteText"/>
        <w:rPr>
          <w:szCs w:val="24"/>
        </w:rPr>
      </w:pPr>
      <w:r w:rsidRPr="003409C9">
        <w:rPr>
          <w:rStyle w:val="FootnoteReference0"/>
        </w:rPr>
        <w:footnoteRef/>
      </w:r>
      <w:r w:rsidRPr="003409C9">
        <w:tab/>
        <w:t>W przypadku tradycyjnych zasobów własnych (opłaty celne, opłaty wyrównawcze od cukru) należy wskazać kwoty netto, tzn. kwoty brutto po odliczeniu 20 % na poczet kosztów poboru.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BC7" w:rsidRPr="00883BC7" w:rsidRDefault="00883BC7" w:rsidP="00883BC7">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BC7" w:rsidRPr="00883BC7" w:rsidRDefault="00883BC7" w:rsidP="00883BC7">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9C9" w:rsidRPr="00336F88" w:rsidRDefault="003409C9" w:rsidP="00883B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BC7" w:rsidRPr="00883BC7" w:rsidRDefault="00883BC7" w:rsidP="00883B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BC7" w:rsidRPr="00336F88" w:rsidRDefault="00883BC7" w:rsidP="00883BC7">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BC7" w:rsidRPr="00883BC7" w:rsidRDefault="00883BC7" w:rsidP="00883BC7">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9C9" w:rsidRPr="00336F88" w:rsidRDefault="003409C9" w:rsidP="00883BC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BC7" w:rsidRPr="00883BC7" w:rsidRDefault="00883BC7" w:rsidP="00883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DAA712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2CCEEF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2C2720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5160FC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D74E74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14570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21E24E0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8"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9"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1C7B624F"/>
    <w:multiLevelType w:val="multilevel"/>
    <w:tmpl w:val="9A927B28"/>
    <w:name w:val="ListDash2Numbering"/>
    <w:lvl w:ilvl="0">
      <w:start w:val="1"/>
      <w:numFmt w:val="bullet"/>
      <w:pStyle w:val="ListDash2"/>
      <w:lvlText w:val="–"/>
      <w:lvlJc w:val="left"/>
      <w:pPr>
        <w:tabs>
          <w:tab w:val="num" w:pos="1361"/>
        </w:tabs>
        <w:ind w:left="284" w:hanging="284"/>
      </w:pPr>
      <w:rPr>
        <w:rFonts w:ascii="Times New Roman" w:hAnsi="Times New Roman" w:cs="Times New Roman" w:hint="default"/>
      </w:rPr>
    </w:lvl>
    <w:lvl w:ilvl="1">
      <w:start w:val="1"/>
      <w:numFmt w:val="bullet"/>
      <w:pStyle w:val="ListDash2Level2"/>
      <w:lvlText w:val="–"/>
      <w:lvlJc w:val="left"/>
      <w:pPr>
        <w:tabs>
          <w:tab w:val="num" w:pos="1644"/>
        </w:tabs>
        <w:ind w:left="567" w:hanging="283"/>
      </w:pPr>
      <w:rPr>
        <w:rFonts w:ascii="Times New Roman" w:hAnsi="Times New Roman" w:cs="Times New Roman" w:hint="default"/>
      </w:rPr>
    </w:lvl>
    <w:lvl w:ilvl="2">
      <w:start w:val="1"/>
      <w:numFmt w:val="bullet"/>
      <w:pStyle w:val="ListDash2Level3"/>
      <w:lvlText w:val="–"/>
      <w:lvlJc w:val="left"/>
      <w:pPr>
        <w:tabs>
          <w:tab w:val="num" w:pos="1928"/>
        </w:tabs>
        <w:ind w:left="851" w:hanging="284"/>
      </w:pPr>
      <w:rPr>
        <w:rFonts w:ascii="Times New Roman" w:hAnsi="Times New Roman" w:cs="Times New Roman" w:hint="default"/>
      </w:rPr>
    </w:lvl>
    <w:lvl w:ilvl="3">
      <w:start w:val="1"/>
      <w:numFmt w:val="bullet"/>
      <w:pStyle w:val="ListDash2Level4"/>
      <w:lvlText w:val="–"/>
      <w:lvlJc w:val="left"/>
      <w:pPr>
        <w:tabs>
          <w:tab w:val="num" w:pos="2211"/>
        </w:tabs>
        <w:ind w:left="1134" w:hanging="283"/>
      </w:pPr>
      <w:rPr>
        <w:rFonts w:ascii="Times New Roman" w:hAnsi="Times New Roman" w:cs="Times New Roman" w:hint="default"/>
      </w:r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89D74ED"/>
    <w:multiLevelType w:val="singleLevel"/>
    <w:tmpl w:val="C2E2F936"/>
    <w:name w:val="List Dash 2"/>
    <w:lvl w:ilvl="0">
      <w:start w:val="1"/>
      <w:numFmt w:val="bullet"/>
      <w:lvlText w:val="–"/>
      <w:lvlJc w:val="left"/>
      <w:pPr>
        <w:tabs>
          <w:tab w:val="num" w:pos="1134"/>
        </w:tabs>
        <w:ind w:left="1134" w:hanging="283"/>
      </w:pPr>
      <w:rPr>
        <w:rFonts w:ascii="Times New Roman" w:hAnsi="Times New Roman"/>
      </w:rPr>
    </w:lvl>
  </w:abstractNum>
  <w:abstractNum w:abstractNumId="22"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11"/>
  </w:num>
  <w:num w:numId="6">
    <w:abstractNumId w:val="2"/>
  </w:num>
  <w:num w:numId="7">
    <w:abstractNumId w:val="1"/>
  </w:num>
  <w:num w:numId="8">
    <w:abstractNumId w:val="0"/>
  </w:num>
  <w:num w:numId="9">
    <w:abstractNumId w:val="17"/>
    <w:lvlOverride w:ilvl="0">
      <w:startOverride w:val="1"/>
    </w:lvlOverride>
  </w:num>
  <w:num w:numId="10">
    <w:abstractNumId w:val="7"/>
  </w:num>
  <w:num w:numId="11">
    <w:abstractNumId w:val="15"/>
  </w:num>
  <w:num w:numId="12">
    <w:abstractNumId w:val="22"/>
  </w:num>
  <w:num w:numId="13">
    <w:abstractNumId w:val="21"/>
  </w:num>
  <w:num w:numId="14">
    <w:abstractNumId w:val="27"/>
  </w:num>
  <w:num w:numId="15">
    <w:abstractNumId w:val="8"/>
  </w:num>
  <w:num w:numId="16">
    <w:abstractNumId w:val="16"/>
  </w:num>
  <w:num w:numId="17">
    <w:abstractNumId w:val="9"/>
  </w:num>
  <w:num w:numId="18">
    <w:abstractNumId w:val="26"/>
  </w:num>
  <w:num w:numId="19">
    <w:abstractNumId w:val="17"/>
  </w:num>
  <w:num w:numId="20">
    <w:abstractNumId w:val="29"/>
  </w:num>
  <w:num w:numId="21">
    <w:abstractNumId w:val="14"/>
  </w:num>
  <w:num w:numId="22">
    <w:abstractNumId w:val="18"/>
  </w:num>
  <w:num w:numId="23">
    <w:abstractNumId w:val="19"/>
  </w:num>
  <w:num w:numId="24">
    <w:abstractNumId w:val="12"/>
  </w:num>
  <w:num w:numId="25">
    <w:abstractNumId w:val="28"/>
  </w:num>
  <w:num w:numId="26">
    <w:abstractNumId w:val="10"/>
  </w:num>
  <w:num w:numId="27">
    <w:abstractNumId w:val="20"/>
  </w:num>
  <w:num w:numId="28">
    <w:abstractNumId w:val="24"/>
  </w:num>
  <w:num w:numId="29">
    <w:abstractNumId w:val="25"/>
  </w:num>
  <w:num w:numId="30">
    <w:abstractNumId w:val="13"/>
  </w:num>
  <w:num w:numId="31">
    <w:abstractNumId w:val="23"/>
  </w:num>
  <w:num w:numId="32">
    <w:abstractNumId w:val="30"/>
  </w:num>
  <w:num w:numId="33">
    <w:abstractNumId w:val="26"/>
  </w:num>
  <w:num w:numId="34">
    <w:abstractNumId w:val="17"/>
  </w:num>
  <w:num w:numId="35">
    <w:abstractNumId w:val="29"/>
  </w:num>
  <w:num w:numId="36">
    <w:abstractNumId w:val="14"/>
  </w:num>
  <w:num w:numId="37">
    <w:abstractNumId w:val="18"/>
  </w:num>
  <w:num w:numId="38">
    <w:abstractNumId w:val="19"/>
  </w:num>
  <w:num w:numId="39">
    <w:abstractNumId w:val="12"/>
  </w:num>
  <w:num w:numId="40">
    <w:abstractNumId w:val="28"/>
  </w:num>
  <w:num w:numId="41">
    <w:abstractNumId w:val="10"/>
  </w:num>
  <w:num w:numId="42">
    <w:abstractNumId w:val="20"/>
  </w:num>
  <w:num w:numId="43">
    <w:abstractNumId w:val="24"/>
  </w:num>
  <w:num w:numId="44">
    <w:abstractNumId w:val="25"/>
  </w:num>
  <w:num w:numId="45">
    <w:abstractNumId w:val="13"/>
  </w:num>
  <w:num w:numId="46">
    <w:abstractNumId w:val="23"/>
  </w:num>
  <w:num w:numId="47">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fr-FR" w:vendorID="64" w:dllVersion="0" w:nlCheck="1" w:checkStyle="0"/>
  <w:activeWritingStyle w:appName="MSWord" w:lang="fr-FR"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1"/>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2-06 12:11:44"/>
    <w:docVar w:name="DQCNUMB_1" w:val="419"/>
    <w:docVar w:name="DQCNUMB_10" w:val="322"/>
    <w:docVar w:name="DQCNUMB_11" w:val="323"/>
    <w:docVar w:name="DQCNUMB_12" w:val="324"/>
    <w:docVar w:name="DQCNUMB_13" w:val="331"/>
    <w:docVar w:name="DQCNUMB_14" w:val="384"/>
    <w:docVar w:name="DQCNUMB_15" w:val="385"/>
    <w:docVar w:name="DQCNUMB_16" w:val="386"/>
    <w:docVar w:name="DQCNUMB_17" w:val="433"/>
    <w:docVar w:name="DQCNUMB_18" w:val="434"/>
    <w:docVar w:name="DQCNUMB_19" w:val="435"/>
    <w:docVar w:name="DQCNUMB_2" w:val="420"/>
    <w:docVar w:name="DQCNUMB_20" w:val="439"/>
    <w:docVar w:name="DQCNUMB_21" w:val="440"/>
    <w:docVar w:name="DQCNUMB_3" w:val="421"/>
    <w:docVar w:name="DQCNUMB_4" w:val="422"/>
    <w:docVar w:name="DQCNUMB_5" w:val="423"/>
    <w:docVar w:name="DQCNUMB_6" w:val="424"/>
    <w:docVar w:name="DQCNUMB_7" w:val="440"/>
    <w:docVar w:name="DQCNUMB_8" w:val="320"/>
    <w:docVar w:name="DQCNUMB_9" w:val="32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97F17F49-C6F2-4CCA-B903-5907E61E9452"/>
    <w:docVar w:name="LW_COVERPAGE_TYPE" w:val="1"/>
    <w:docVar w:name="LW_CROSSREFERENCE" w:val="{SEC(2022) 444 final} - {SWD(2022) 421 final} - {SWD(2022) 422 final} - {SWD(2022) 423 final}"/>
    <w:docVar w:name="LW_DocType" w:val="COM"/>
    <w:docVar w:name="LW_EMISSION" w:val="13.12.2022"/>
    <w:docVar w:name="LW_EMISSION_ISODATE" w:val="2022-12-13"/>
    <w:docVar w:name="LW_EMISSION_LOCATION" w:val="STR"/>
    <w:docVar w:name="LW_EMISSION_PREFIX" w:val="Strasburg, dnia "/>
    <w:docVar w:name="LW_EMISSION_SUFFIX" w:val=" r."/>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424"/>
    <w:docVar w:name="LW_REF.II.NEW.CP_YEAR" w:val="2022"/>
    <w:docVar w:name="LW_REF.INST.NEW" w:val="COM"/>
    <w:docVar w:name="LW_REF.INST.NEW_ADOPTED" w:val="final"/>
    <w:docVar w:name="LW_REF.INST.NEW_TEXT" w:val="(2022) 7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w sprawie gromadzenia i przekazywania danych pasażera przekazywanych przed podróżą (API) w celu usprawnienia i ułatwienia kontroli na granicach zewnętrznych, zmieniające rozporządzenie (UE) 2019/817 i rozporządzenie (UE) 2018/1726 oraz uchylające dyrektywę Rady 2004/82/WE"/>
    <w:docVar w:name="LW_TYPE.DOC.CP" w:val="ROZPORZĄDZENIE PARLAMENTU EUROPEJSKIEGO I RADY"/>
    <w:docVar w:name="LwApiVersions" w:val="LW4CoDe 1.23.2.0; LW 8.0, Build 20211117"/>
  </w:docVars>
  <w:rsids>
    <w:rsidRoot w:val="00E70ABC"/>
    <w:rsid w:val="000008B6"/>
    <w:rsid w:val="00001165"/>
    <w:rsid w:val="00001B51"/>
    <w:rsid w:val="000049E2"/>
    <w:rsid w:val="00004CE8"/>
    <w:rsid w:val="000051B7"/>
    <w:rsid w:val="000064CD"/>
    <w:rsid w:val="00006915"/>
    <w:rsid w:val="00007A5E"/>
    <w:rsid w:val="00007DE8"/>
    <w:rsid w:val="00012241"/>
    <w:rsid w:val="000140BA"/>
    <w:rsid w:val="000146B3"/>
    <w:rsid w:val="00017780"/>
    <w:rsid w:val="0002373B"/>
    <w:rsid w:val="000237B4"/>
    <w:rsid w:val="000249CF"/>
    <w:rsid w:val="00025AA9"/>
    <w:rsid w:val="00025BF8"/>
    <w:rsid w:val="00026699"/>
    <w:rsid w:val="00027792"/>
    <w:rsid w:val="000305AF"/>
    <w:rsid w:val="00030C4C"/>
    <w:rsid w:val="00031459"/>
    <w:rsid w:val="00034094"/>
    <w:rsid w:val="00034447"/>
    <w:rsid w:val="00035A8C"/>
    <w:rsid w:val="0003620D"/>
    <w:rsid w:val="000367B6"/>
    <w:rsid w:val="00036FB3"/>
    <w:rsid w:val="000379F4"/>
    <w:rsid w:val="00043D71"/>
    <w:rsid w:val="00045227"/>
    <w:rsid w:val="0004630E"/>
    <w:rsid w:val="000470F2"/>
    <w:rsid w:val="000477A9"/>
    <w:rsid w:val="0005015D"/>
    <w:rsid w:val="00056F39"/>
    <w:rsid w:val="0006125B"/>
    <w:rsid w:val="00061396"/>
    <w:rsid w:val="00061A23"/>
    <w:rsid w:val="000702F2"/>
    <w:rsid w:val="000706FE"/>
    <w:rsid w:val="00070B1D"/>
    <w:rsid w:val="00073E6C"/>
    <w:rsid w:val="00075695"/>
    <w:rsid w:val="00077A6A"/>
    <w:rsid w:val="000808DF"/>
    <w:rsid w:val="00080EB1"/>
    <w:rsid w:val="000818D7"/>
    <w:rsid w:val="0008292A"/>
    <w:rsid w:val="00083E99"/>
    <w:rsid w:val="00084C7F"/>
    <w:rsid w:val="00085666"/>
    <w:rsid w:val="00085D2C"/>
    <w:rsid w:val="00087351"/>
    <w:rsid w:val="00087D91"/>
    <w:rsid w:val="00090A85"/>
    <w:rsid w:val="00090B74"/>
    <w:rsid w:val="0009377A"/>
    <w:rsid w:val="000942B0"/>
    <w:rsid w:val="00094533"/>
    <w:rsid w:val="000947CC"/>
    <w:rsid w:val="00097076"/>
    <w:rsid w:val="000A0306"/>
    <w:rsid w:val="000A132D"/>
    <w:rsid w:val="000A1DE8"/>
    <w:rsid w:val="000A2910"/>
    <w:rsid w:val="000A3C16"/>
    <w:rsid w:val="000A3FCD"/>
    <w:rsid w:val="000A4341"/>
    <w:rsid w:val="000A4500"/>
    <w:rsid w:val="000A7517"/>
    <w:rsid w:val="000B1DCF"/>
    <w:rsid w:val="000B21BC"/>
    <w:rsid w:val="000B2C9B"/>
    <w:rsid w:val="000B32B4"/>
    <w:rsid w:val="000B4678"/>
    <w:rsid w:val="000B5538"/>
    <w:rsid w:val="000B5B0B"/>
    <w:rsid w:val="000B75EF"/>
    <w:rsid w:val="000B7C1F"/>
    <w:rsid w:val="000C13A5"/>
    <w:rsid w:val="000C1D93"/>
    <w:rsid w:val="000C2640"/>
    <w:rsid w:val="000C3DF5"/>
    <w:rsid w:val="000C4CA7"/>
    <w:rsid w:val="000C6870"/>
    <w:rsid w:val="000C7447"/>
    <w:rsid w:val="000C7C51"/>
    <w:rsid w:val="000D00EE"/>
    <w:rsid w:val="000D1D2C"/>
    <w:rsid w:val="000D4231"/>
    <w:rsid w:val="000D5323"/>
    <w:rsid w:val="000E05EF"/>
    <w:rsid w:val="000E114D"/>
    <w:rsid w:val="000E198E"/>
    <w:rsid w:val="000E337C"/>
    <w:rsid w:val="000E4B16"/>
    <w:rsid w:val="000E521E"/>
    <w:rsid w:val="000E7612"/>
    <w:rsid w:val="000F0513"/>
    <w:rsid w:val="000F0A8B"/>
    <w:rsid w:val="000F0DBA"/>
    <w:rsid w:val="000F1872"/>
    <w:rsid w:val="000F26AE"/>
    <w:rsid w:val="000F2D81"/>
    <w:rsid w:val="000F2EF2"/>
    <w:rsid w:val="000F3248"/>
    <w:rsid w:val="000F3E95"/>
    <w:rsid w:val="000F5794"/>
    <w:rsid w:val="001003F2"/>
    <w:rsid w:val="00100908"/>
    <w:rsid w:val="001009EF"/>
    <w:rsid w:val="00103B1D"/>
    <w:rsid w:val="0010732E"/>
    <w:rsid w:val="00110E4E"/>
    <w:rsid w:val="001130D9"/>
    <w:rsid w:val="001134A9"/>
    <w:rsid w:val="00115A23"/>
    <w:rsid w:val="00115EFD"/>
    <w:rsid w:val="00116121"/>
    <w:rsid w:val="00122022"/>
    <w:rsid w:val="00123534"/>
    <w:rsid w:val="00123CD0"/>
    <w:rsid w:val="00124276"/>
    <w:rsid w:val="001251EE"/>
    <w:rsid w:val="001257DD"/>
    <w:rsid w:val="00125809"/>
    <w:rsid w:val="0012738B"/>
    <w:rsid w:val="00127465"/>
    <w:rsid w:val="00127774"/>
    <w:rsid w:val="001279F6"/>
    <w:rsid w:val="001308C7"/>
    <w:rsid w:val="00130B33"/>
    <w:rsid w:val="00132AF4"/>
    <w:rsid w:val="001343A1"/>
    <w:rsid w:val="00137ECD"/>
    <w:rsid w:val="00141A1D"/>
    <w:rsid w:val="0014211B"/>
    <w:rsid w:val="00142E35"/>
    <w:rsid w:val="001440D3"/>
    <w:rsid w:val="00144546"/>
    <w:rsid w:val="00145324"/>
    <w:rsid w:val="00151871"/>
    <w:rsid w:val="00152712"/>
    <w:rsid w:val="0016475C"/>
    <w:rsid w:val="00164880"/>
    <w:rsid w:val="0016633C"/>
    <w:rsid w:val="00170595"/>
    <w:rsid w:val="00170A69"/>
    <w:rsid w:val="00171674"/>
    <w:rsid w:val="001717A1"/>
    <w:rsid w:val="00172E0E"/>
    <w:rsid w:val="001779EC"/>
    <w:rsid w:val="00177F15"/>
    <w:rsid w:val="00181E3C"/>
    <w:rsid w:val="00182AA5"/>
    <w:rsid w:val="00182B5A"/>
    <w:rsid w:val="00184486"/>
    <w:rsid w:val="00186022"/>
    <w:rsid w:val="00187028"/>
    <w:rsid w:val="00191962"/>
    <w:rsid w:val="001924E2"/>
    <w:rsid w:val="00193FE0"/>
    <w:rsid w:val="00195509"/>
    <w:rsid w:val="00195EBB"/>
    <w:rsid w:val="0019677D"/>
    <w:rsid w:val="00196F96"/>
    <w:rsid w:val="00197764"/>
    <w:rsid w:val="00197FCC"/>
    <w:rsid w:val="001A0F58"/>
    <w:rsid w:val="001A1754"/>
    <w:rsid w:val="001A2B55"/>
    <w:rsid w:val="001A4015"/>
    <w:rsid w:val="001A586A"/>
    <w:rsid w:val="001B0E43"/>
    <w:rsid w:val="001B1312"/>
    <w:rsid w:val="001B15F6"/>
    <w:rsid w:val="001B2974"/>
    <w:rsid w:val="001B57A3"/>
    <w:rsid w:val="001B5CE2"/>
    <w:rsid w:val="001C1010"/>
    <w:rsid w:val="001C2816"/>
    <w:rsid w:val="001C4457"/>
    <w:rsid w:val="001C455E"/>
    <w:rsid w:val="001C6371"/>
    <w:rsid w:val="001C6E4A"/>
    <w:rsid w:val="001C798B"/>
    <w:rsid w:val="001C7D5F"/>
    <w:rsid w:val="001D1761"/>
    <w:rsid w:val="001D1BC1"/>
    <w:rsid w:val="001D2983"/>
    <w:rsid w:val="001D53A7"/>
    <w:rsid w:val="001D79C9"/>
    <w:rsid w:val="001E1822"/>
    <w:rsid w:val="001E1DC3"/>
    <w:rsid w:val="001E20A7"/>
    <w:rsid w:val="001E24AC"/>
    <w:rsid w:val="001E4FBE"/>
    <w:rsid w:val="001F0433"/>
    <w:rsid w:val="001F2DF5"/>
    <w:rsid w:val="001F2F83"/>
    <w:rsid w:val="001F3CE6"/>
    <w:rsid w:val="001F4398"/>
    <w:rsid w:val="001F4927"/>
    <w:rsid w:val="001F71D4"/>
    <w:rsid w:val="001F76E2"/>
    <w:rsid w:val="00201DDB"/>
    <w:rsid w:val="002022CB"/>
    <w:rsid w:val="002022F4"/>
    <w:rsid w:val="00205A21"/>
    <w:rsid w:val="00205BD8"/>
    <w:rsid w:val="002069C8"/>
    <w:rsid w:val="00207590"/>
    <w:rsid w:val="00211148"/>
    <w:rsid w:val="00212D56"/>
    <w:rsid w:val="00213732"/>
    <w:rsid w:val="00217832"/>
    <w:rsid w:val="00220628"/>
    <w:rsid w:val="00222010"/>
    <w:rsid w:val="00222C98"/>
    <w:rsid w:val="00223072"/>
    <w:rsid w:val="00227276"/>
    <w:rsid w:val="00227CCC"/>
    <w:rsid w:val="00227F66"/>
    <w:rsid w:val="002318EA"/>
    <w:rsid w:val="00232E98"/>
    <w:rsid w:val="002363B0"/>
    <w:rsid w:val="00236C1C"/>
    <w:rsid w:val="002372BC"/>
    <w:rsid w:val="00240090"/>
    <w:rsid w:val="002404F8"/>
    <w:rsid w:val="0024381B"/>
    <w:rsid w:val="002439FB"/>
    <w:rsid w:val="002443DD"/>
    <w:rsid w:val="00244958"/>
    <w:rsid w:val="00244F80"/>
    <w:rsid w:val="00246449"/>
    <w:rsid w:val="00250117"/>
    <w:rsid w:val="00250590"/>
    <w:rsid w:val="0025099E"/>
    <w:rsid w:val="00250C8B"/>
    <w:rsid w:val="002535E1"/>
    <w:rsid w:val="0025485A"/>
    <w:rsid w:val="0025515F"/>
    <w:rsid w:val="002555ED"/>
    <w:rsid w:val="00260508"/>
    <w:rsid w:val="00260C18"/>
    <w:rsid w:val="00263CA0"/>
    <w:rsid w:val="002652E2"/>
    <w:rsid w:val="00265D46"/>
    <w:rsid w:val="0027352B"/>
    <w:rsid w:val="00275136"/>
    <w:rsid w:val="00275E96"/>
    <w:rsid w:val="00276629"/>
    <w:rsid w:val="00276B99"/>
    <w:rsid w:val="00277691"/>
    <w:rsid w:val="0028172A"/>
    <w:rsid w:val="00281A5F"/>
    <w:rsid w:val="002825EB"/>
    <w:rsid w:val="00282BEA"/>
    <w:rsid w:val="00283043"/>
    <w:rsid w:val="00283073"/>
    <w:rsid w:val="00283765"/>
    <w:rsid w:val="00284FE9"/>
    <w:rsid w:val="0028579C"/>
    <w:rsid w:val="00286FAD"/>
    <w:rsid w:val="0028767C"/>
    <w:rsid w:val="00287E97"/>
    <w:rsid w:val="0029090C"/>
    <w:rsid w:val="00290E79"/>
    <w:rsid w:val="00290FA1"/>
    <w:rsid w:val="002926B3"/>
    <w:rsid w:val="002946D9"/>
    <w:rsid w:val="002955C9"/>
    <w:rsid w:val="00295857"/>
    <w:rsid w:val="00296384"/>
    <w:rsid w:val="00296522"/>
    <w:rsid w:val="00297F3A"/>
    <w:rsid w:val="002A0497"/>
    <w:rsid w:val="002A22F8"/>
    <w:rsid w:val="002A2DC1"/>
    <w:rsid w:val="002A30DE"/>
    <w:rsid w:val="002A405A"/>
    <w:rsid w:val="002A62A2"/>
    <w:rsid w:val="002A63BC"/>
    <w:rsid w:val="002B051E"/>
    <w:rsid w:val="002B0595"/>
    <w:rsid w:val="002B19A8"/>
    <w:rsid w:val="002B2284"/>
    <w:rsid w:val="002B3AD7"/>
    <w:rsid w:val="002B445A"/>
    <w:rsid w:val="002B73E2"/>
    <w:rsid w:val="002B778B"/>
    <w:rsid w:val="002B798F"/>
    <w:rsid w:val="002B7A5B"/>
    <w:rsid w:val="002C1050"/>
    <w:rsid w:val="002C193B"/>
    <w:rsid w:val="002C1A43"/>
    <w:rsid w:val="002C2A85"/>
    <w:rsid w:val="002C2C4E"/>
    <w:rsid w:val="002C31A3"/>
    <w:rsid w:val="002C3747"/>
    <w:rsid w:val="002C5665"/>
    <w:rsid w:val="002C5CFC"/>
    <w:rsid w:val="002C6450"/>
    <w:rsid w:val="002C673B"/>
    <w:rsid w:val="002C75A9"/>
    <w:rsid w:val="002C7710"/>
    <w:rsid w:val="002C7DD4"/>
    <w:rsid w:val="002D382F"/>
    <w:rsid w:val="002D58F8"/>
    <w:rsid w:val="002D722A"/>
    <w:rsid w:val="002D7890"/>
    <w:rsid w:val="002D7E82"/>
    <w:rsid w:val="002E2278"/>
    <w:rsid w:val="002E2F76"/>
    <w:rsid w:val="002E4AE8"/>
    <w:rsid w:val="002E665A"/>
    <w:rsid w:val="002E6B9E"/>
    <w:rsid w:val="002F0C00"/>
    <w:rsid w:val="002F5A8F"/>
    <w:rsid w:val="002F7E68"/>
    <w:rsid w:val="003041C2"/>
    <w:rsid w:val="00304DBC"/>
    <w:rsid w:val="003053F5"/>
    <w:rsid w:val="0030643B"/>
    <w:rsid w:val="00310307"/>
    <w:rsid w:val="00314391"/>
    <w:rsid w:val="00314961"/>
    <w:rsid w:val="00322983"/>
    <w:rsid w:val="00322D9C"/>
    <w:rsid w:val="00325FBA"/>
    <w:rsid w:val="00326E5F"/>
    <w:rsid w:val="003272C8"/>
    <w:rsid w:val="00331961"/>
    <w:rsid w:val="0033404A"/>
    <w:rsid w:val="00334478"/>
    <w:rsid w:val="00336F88"/>
    <w:rsid w:val="00337766"/>
    <w:rsid w:val="003409C9"/>
    <w:rsid w:val="00342C10"/>
    <w:rsid w:val="00345E8E"/>
    <w:rsid w:val="00346330"/>
    <w:rsid w:val="0035070E"/>
    <w:rsid w:val="00352153"/>
    <w:rsid w:val="00354507"/>
    <w:rsid w:val="00354637"/>
    <w:rsid w:val="003579F5"/>
    <w:rsid w:val="00357FC5"/>
    <w:rsid w:val="003621C2"/>
    <w:rsid w:val="003643E3"/>
    <w:rsid w:val="00364C97"/>
    <w:rsid w:val="0036597C"/>
    <w:rsid w:val="00366D59"/>
    <w:rsid w:val="003726D8"/>
    <w:rsid w:val="0037377A"/>
    <w:rsid w:val="00375B4D"/>
    <w:rsid w:val="003774F8"/>
    <w:rsid w:val="00382AA8"/>
    <w:rsid w:val="00385BA3"/>
    <w:rsid w:val="00387D8C"/>
    <w:rsid w:val="00387DC2"/>
    <w:rsid w:val="00392C36"/>
    <w:rsid w:val="00394037"/>
    <w:rsid w:val="003963C4"/>
    <w:rsid w:val="003971D5"/>
    <w:rsid w:val="00397C26"/>
    <w:rsid w:val="00397DA6"/>
    <w:rsid w:val="003A0693"/>
    <w:rsid w:val="003A0A74"/>
    <w:rsid w:val="003A17C8"/>
    <w:rsid w:val="003A44B8"/>
    <w:rsid w:val="003A60A1"/>
    <w:rsid w:val="003A623C"/>
    <w:rsid w:val="003A6BA5"/>
    <w:rsid w:val="003A7C66"/>
    <w:rsid w:val="003B0BFA"/>
    <w:rsid w:val="003B1C87"/>
    <w:rsid w:val="003B2191"/>
    <w:rsid w:val="003B28FF"/>
    <w:rsid w:val="003B3075"/>
    <w:rsid w:val="003B3168"/>
    <w:rsid w:val="003B33FA"/>
    <w:rsid w:val="003B3688"/>
    <w:rsid w:val="003B44E1"/>
    <w:rsid w:val="003B4A8A"/>
    <w:rsid w:val="003B5A1D"/>
    <w:rsid w:val="003B60DF"/>
    <w:rsid w:val="003B7848"/>
    <w:rsid w:val="003C10EC"/>
    <w:rsid w:val="003C1590"/>
    <w:rsid w:val="003C2614"/>
    <w:rsid w:val="003C2DDA"/>
    <w:rsid w:val="003C2FEC"/>
    <w:rsid w:val="003C518E"/>
    <w:rsid w:val="003D3168"/>
    <w:rsid w:val="003D415C"/>
    <w:rsid w:val="003D51AB"/>
    <w:rsid w:val="003D5EA1"/>
    <w:rsid w:val="003E0A23"/>
    <w:rsid w:val="003E0B2E"/>
    <w:rsid w:val="003E0D72"/>
    <w:rsid w:val="003E1271"/>
    <w:rsid w:val="003E1379"/>
    <w:rsid w:val="003E208F"/>
    <w:rsid w:val="003E24B0"/>
    <w:rsid w:val="003E431F"/>
    <w:rsid w:val="003E4354"/>
    <w:rsid w:val="003E517C"/>
    <w:rsid w:val="003E5BA8"/>
    <w:rsid w:val="003E7851"/>
    <w:rsid w:val="003F082D"/>
    <w:rsid w:val="003F0FDD"/>
    <w:rsid w:val="003F1776"/>
    <w:rsid w:val="003F36EB"/>
    <w:rsid w:val="003F68D5"/>
    <w:rsid w:val="003F6A40"/>
    <w:rsid w:val="003F720D"/>
    <w:rsid w:val="004012B9"/>
    <w:rsid w:val="00401C7A"/>
    <w:rsid w:val="00403178"/>
    <w:rsid w:val="004056EA"/>
    <w:rsid w:val="00406E0F"/>
    <w:rsid w:val="00410953"/>
    <w:rsid w:val="00411581"/>
    <w:rsid w:val="00412DF2"/>
    <w:rsid w:val="00414057"/>
    <w:rsid w:val="00414CD5"/>
    <w:rsid w:val="00415F9E"/>
    <w:rsid w:val="00417325"/>
    <w:rsid w:val="00420EE3"/>
    <w:rsid w:val="004211E1"/>
    <w:rsid w:val="00424BBA"/>
    <w:rsid w:val="00426F73"/>
    <w:rsid w:val="004279FB"/>
    <w:rsid w:val="00434D84"/>
    <w:rsid w:val="004353CE"/>
    <w:rsid w:val="0043551C"/>
    <w:rsid w:val="004428F2"/>
    <w:rsid w:val="004437A2"/>
    <w:rsid w:val="004437DC"/>
    <w:rsid w:val="00443DD8"/>
    <w:rsid w:val="00446DA4"/>
    <w:rsid w:val="0045027A"/>
    <w:rsid w:val="00450C19"/>
    <w:rsid w:val="00452856"/>
    <w:rsid w:val="00452B42"/>
    <w:rsid w:val="0045383D"/>
    <w:rsid w:val="004548A9"/>
    <w:rsid w:val="004558D0"/>
    <w:rsid w:val="00456DED"/>
    <w:rsid w:val="0046025A"/>
    <w:rsid w:val="00463797"/>
    <w:rsid w:val="004641CF"/>
    <w:rsid w:val="00464D43"/>
    <w:rsid w:val="00464F34"/>
    <w:rsid w:val="00465E9C"/>
    <w:rsid w:val="004679AB"/>
    <w:rsid w:val="00470261"/>
    <w:rsid w:val="00470A51"/>
    <w:rsid w:val="004730CE"/>
    <w:rsid w:val="00473F33"/>
    <w:rsid w:val="00474365"/>
    <w:rsid w:val="004746D3"/>
    <w:rsid w:val="00480FFF"/>
    <w:rsid w:val="00482ED6"/>
    <w:rsid w:val="00486B2F"/>
    <w:rsid w:val="004872DB"/>
    <w:rsid w:val="00487B40"/>
    <w:rsid w:val="00494B43"/>
    <w:rsid w:val="00495A58"/>
    <w:rsid w:val="004960F3"/>
    <w:rsid w:val="00497864"/>
    <w:rsid w:val="004A24F8"/>
    <w:rsid w:val="004A27D8"/>
    <w:rsid w:val="004A28B0"/>
    <w:rsid w:val="004A3F41"/>
    <w:rsid w:val="004A4C85"/>
    <w:rsid w:val="004A5663"/>
    <w:rsid w:val="004A5DC4"/>
    <w:rsid w:val="004A749B"/>
    <w:rsid w:val="004B054C"/>
    <w:rsid w:val="004B085C"/>
    <w:rsid w:val="004B4A14"/>
    <w:rsid w:val="004B55E2"/>
    <w:rsid w:val="004B752B"/>
    <w:rsid w:val="004C03A7"/>
    <w:rsid w:val="004C4411"/>
    <w:rsid w:val="004C58E8"/>
    <w:rsid w:val="004C6A65"/>
    <w:rsid w:val="004C796C"/>
    <w:rsid w:val="004D046E"/>
    <w:rsid w:val="004D06A3"/>
    <w:rsid w:val="004D153E"/>
    <w:rsid w:val="004D22CF"/>
    <w:rsid w:val="004D2863"/>
    <w:rsid w:val="004D2CE1"/>
    <w:rsid w:val="004D2F32"/>
    <w:rsid w:val="004D3577"/>
    <w:rsid w:val="004D4D8A"/>
    <w:rsid w:val="004D5998"/>
    <w:rsid w:val="004D7189"/>
    <w:rsid w:val="004D7201"/>
    <w:rsid w:val="004D79F1"/>
    <w:rsid w:val="004E1047"/>
    <w:rsid w:val="004E20F1"/>
    <w:rsid w:val="004F047C"/>
    <w:rsid w:val="004F415C"/>
    <w:rsid w:val="004F474D"/>
    <w:rsid w:val="004F7637"/>
    <w:rsid w:val="005009DF"/>
    <w:rsid w:val="0050349B"/>
    <w:rsid w:val="00503747"/>
    <w:rsid w:val="005040FD"/>
    <w:rsid w:val="00504CD7"/>
    <w:rsid w:val="00507D98"/>
    <w:rsid w:val="00510D4D"/>
    <w:rsid w:val="0051145B"/>
    <w:rsid w:val="0051189A"/>
    <w:rsid w:val="00512095"/>
    <w:rsid w:val="00512FBF"/>
    <w:rsid w:val="0051321F"/>
    <w:rsid w:val="005135AB"/>
    <w:rsid w:val="005167EB"/>
    <w:rsid w:val="005169A6"/>
    <w:rsid w:val="00516A22"/>
    <w:rsid w:val="00520743"/>
    <w:rsid w:val="00521CCF"/>
    <w:rsid w:val="00522046"/>
    <w:rsid w:val="00523850"/>
    <w:rsid w:val="00523DBB"/>
    <w:rsid w:val="00524995"/>
    <w:rsid w:val="00525491"/>
    <w:rsid w:val="00526D97"/>
    <w:rsid w:val="00527A32"/>
    <w:rsid w:val="005336D2"/>
    <w:rsid w:val="00536E0A"/>
    <w:rsid w:val="005373CB"/>
    <w:rsid w:val="00537D00"/>
    <w:rsid w:val="005404AB"/>
    <w:rsid w:val="005413E0"/>
    <w:rsid w:val="00544195"/>
    <w:rsid w:val="00545406"/>
    <w:rsid w:val="00551E2D"/>
    <w:rsid w:val="00551EBD"/>
    <w:rsid w:val="00552C1A"/>
    <w:rsid w:val="005532D1"/>
    <w:rsid w:val="005569A9"/>
    <w:rsid w:val="00562291"/>
    <w:rsid w:val="00562D8E"/>
    <w:rsid w:val="005635A9"/>
    <w:rsid w:val="00563860"/>
    <w:rsid w:val="00563D68"/>
    <w:rsid w:val="005658F9"/>
    <w:rsid w:val="005662E1"/>
    <w:rsid w:val="00570611"/>
    <w:rsid w:val="00570FB1"/>
    <w:rsid w:val="00571CBC"/>
    <w:rsid w:val="00572FAE"/>
    <w:rsid w:val="00573006"/>
    <w:rsid w:val="00575115"/>
    <w:rsid w:val="00575E4F"/>
    <w:rsid w:val="00581883"/>
    <w:rsid w:val="00582B6A"/>
    <w:rsid w:val="00586085"/>
    <w:rsid w:val="00590913"/>
    <w:rsid w:val="00592787"/>
    <w:rsid w:val="005A0363"/>
    <w:rsid w:val="005A1304"/>
    <w:rsid w:val="005A1F75"/>
    <w:rsid w:val="005A2B43"/>
    <w:rsid w:val="005A2BA1"/>
    <w:rsid w:val="005A3E78"/>
    <w:rsid w:val="005B1628"/>
    <w:rsid w:val="005B20DD"/>
    <w:rsid w:val="005C11AB"/>
    <w:rsid w:val="005C2F6C"/>
    <w:rsid w:val="005C3549"/>
    <w:rsid w:val="005C35F8"/>
    <w:rsid w:val="005C397C"/>
    <w:rsid w:val="005C48FA"/>
    <w:rsid w:val="005C664C"/>
    <w:rsid w:val="005C6C39"/>
    <w:rsid w:val="005C7773"/>
    <w:rsid w:val="005C7F7C"/>
    <w:rsid w:val="005D01DD"/>
    <w:rsid w:val="005D14BF"/>
    <w:rsid w:val="005D7ECA"/>
    <w:rsid w:val="005E46E7"/>
    <w:rsid w:val="005E4F7E"/>
    <w:rsid w:val="005E5195"/>
    <w:rsid w:val="005E6819"/>
    <w:rsid w:val="005F1A89"/>
    <w:rsid w:val="005F23C5"/>
    <w:rsid w:val="005F3992"/>
    <w:rsid w:val="005F4D43"/>
    <w:rsid w:val="005F5521"/>
    <w:rsid w:val="005F5B67"/>
    <w:rsid w:val="005F6947"/>
    <w:rsid w:val="005F720B"/>
    <w:rsid w:val="005F7BE9"/>
    <w:rsid w:val="005F7C50"/>
    <w:rsid w:val="006010B5"/>
    <w:rsid w:val="00605CDC"/>
    <w:rsid w:val="0061138D"/>
    <w:rsid w:val="006120B2"/>
    <w:rsid w:val="0061570D"/>
    <w:rsid w:val="00615E30"/>
    <w:rsid w:val="00617831"/>
    <w:rsid w:val="0062020E"/>
    <w:rsid w:val="006208F5"/>
    <w:rsid w:val="00620B88"/>
    <w:rsid w:val="00620F7E"/>
    <w:rsid w:val="00620F7F"/>
    <w:rsid w:val="00621C50"/>
    <w:rsid w:val="006226AD"/>
    <w:rsid w:val="006244B8"/>
    <w:rsid w:val="00624766"/>
    <w:rsid w:val="00624D07"/>
    <w:rsid w:val="0062531C"/>
    <w:rsid w:val="006265BD"/>
    <w:rsid w:val="0063004A"/>
    <w:rsid w:val="0063051C"/>
    <w:rsid w:val="00630AF3"/>
    <w:rsid w:val="00631D8F"/>
    <w:rsid w:val="00635784"/>
    <w:rsid w:val="006422DA"/>
    <w:rsid w:val="006471F8"/>
    <w:rsid w:val="006477BA"/>
    <w:rsid w:val="00647A72"/>
    <w:rsid w:val="006510C3"/>
    <w:rsid w:val="006510D6"/>
    <w:rsid w:val="006522ED"/>
    <w:rsid w:val="00652461"/>
    <w:rsid w:val="00655845"/>
    <w:rsid w:val="00655E13"/>
    <w:rsid w:val="006607B0"/>
    <w:rsid w:val="0066088A"/>
    <w:rsid w:val="00661E68"/>
    <w:rsid w:val="006625F4"/>
    <w:rsid w:val="0066368E"/>
    <w:rsid w:val="00665693"/>
    <w:rsid w:val="0066587B"/>
    <w:rsid w:val="006664F2"/>
    <w:rsid w:val="00667D14"/>
    <w:rsid w:val="00670E79"/>
    <w:rsid w:val="006733F0"/>
    <w:rsid w:val="00675781"/>
    <w:rsid w:val="006819B4"/>
    <w:rsid w:val="00683C6B"/>
    <w:rsid w:val="00684280"/>
    <w:rsid w:val="00684527"/>
    <w:rsid w:val="00685194"/>
    <w:rsid w:val="00686391"/>
    <w:rsid w:val="00686587"/>
    <w:rsid w:val="0068735F"/>
    <w:rsid w:val="00687CDC"/>
    <w:rsid w:val="00687EB1"/>
    <w:rsid w:val="00692938"/>
    <w:rsid w:val="00695F47"/>
    <w:rsid w:val="00696956"/>
    <w:rsid w:val="00696D56"/>
    <w:rsid w:val="006970BE"/>
    <w:rsid w:val="006A11EB"/>
    <w:rsid w:val="006A1D89"/>
    <w:rsid w:val="006A2BBB"/>
    <w:rsid w:val="006A6F45"/>
    <w:rsid w:val="006A702C"/>
    <w:rsid w:val="006A7501"/>
    <w:rsid w:val="006A7E20"/>
    <w:rsid w:val="006B0808"/>
    <w:rsid w:val="006B12DF"/>
    <w:rsid w:val="006B21A2"/>
    <w:rsid w:val="006B2977"/>
    <w:rsid w:val="006B29BB"/>
    <w:rsid w:val="006B4C67"/>
    <w:rsid w:val="006B553E"/>
    <w:rsid w:val="006B5B81"/>
    <w:rsid w:val="006B73ED"/>
    <w:rsid w:val="006B7D95"/>
    <w:rsid w:val="006C08A2"/>
    <w:rsid w:val="006C3048"/>
    <w:rsid w:val="006C3483"/>
    <w:rsid w:val="006C5016"/>
    <w:rsid w:val="006C52BD"/>
    <w:rsid w:val="006C5C87"/>
    <w:rsid w:val="006C5CF0"/>
    <w:rsid w:val="006D047C"/>
    <w:rsid w:val="006D1877"/>
    <w:rsid w:val="006D1B27"/>
    <w:rsid w:val="006D2715"/>
    <w:rsid w:val="006D28FB"/>
    <w:rsid w:val="006D2D2A"/>
    <w:rsid w:val="006D3A5C"/>
    <w:rsid w:val="006D4400"/>
    <w:rsid w:val="006D4819"/>
    <w:rsid w:val="006D57C0"/>
    <w:rsid w:val="006D7E41"/>
    <w:rsid w:val="006D7FE7"/>
    <w:rsid w:val="006E622F"/>
    <w:rsid w:val="006E66CA"/>
    <w:rsid w:val="006E7EAF"/>
    <w:rsid w:val="006F01FE"/>
    <w:rsid w:val="006F2CDC"/>
    <w:rsid w:val="006F4400"/>
    <w:rsid w:val="006F5B92"/>
    <w:rsid w:val="006F6C11"/>
    <w:rsid w:val="006F6DA4"/>
    <w:rsid w:val="0070128F"/>
    <w:rsid w:val="0070161E"/>
    <w:rsid w:val="007047C4"/>
    <w:rsid w:val="00706240"/>
    <w:rsid w:val="00707095"/>
    <w:rsid w:val="007071D3"/>
    <w:rsid w:val="0071131D"/>
    <w:rsid w:val="0071212C"/>
    <w:rsid w:val="00713616"/>
    <w:rsid w:val="00715C7C"/>
    <w:rsid w:val="007217F0"/>
    <w:rsid w:val="007229C1"/>
    <w:rsid w:val="00722A64"/>
    <w:rsid w:val="00726ECB"/>
    <w:rsid w:val="00726F09"/>
    <w:rsid w:val="00726F75"/>
    <w:rsid w:val="00731773"/>
    <w:rsid w:val="00733841"/>
    <w:rsid w:val="00733F53"/>
    <w:rsid w:val="00735A19"/>
    <w:rsid w:val="00736311"/>
    <w:rsid w:val="00737A06"/>
    <w:rsid w:val="00741643"/>
    <w:rsid w:val="007422F4"/>
    <w:rsid w:val="00750AE3"/>
    <w:rsid w:val="0075177C"/>
    <w:rsid w:val="007533A9"/>
    <w:rsid w:val="007554EA"/>
    <w:rsid w:val="007559F4"/>
    <w:rsid w:val="00755AFD"/>
    <w:rsid w:val="00756107"/>
    <w:rsid w:val="00757321"/>
    <w:rsid w:val="00760E2A"/>
    <w:rsid w:val="00761702"/>
    <w:rsid w:val="007619E0"/>
    <w:rsid w:val="00761ED4"/>
    <w:rsid w:val="00761F28"/>
    <w:rsid w:val="00762CAE"/>
    <w:rsid w:val="00763CB4"/>
    <w:rsid w:val="0076551C"/>
    <w:rsid w:val="007657FC"/>
    <w:rsid w:val="00765A7D"/>
    <w:rsid w:val="0076648D"/>
    <w:rsid w:val="007665B1"/>
    <w:rsid w:val="00767248"/>
    <w:rsid w:val="00773E44"/>
    <w:rsid w:val="00774FE7"/>
    <w:rsid w:val="00780E64"/>
    <w:rsid w:val="0078223C"/>
    <w:rsid w:val="00784AD0"/>
    <w:rsid w:val="00786186"/>
    <w:rsid w:val="007871A9"/>
    <w:rsid w:val="00787965"/>
    <w:rsid w:val="00790499"/>
    <w:rsid w:val="007933F8"/>
    <w:rsid w:val="007A07B3"/>
    <w:rsid w:val="007A13D5"/>
    <w:rsid w:val="007A20A5"/>
    <w:rsid w:val="007A22A0"/>
    <w:rsid w:val="007A23E6"/>
    <w:rsid w:val="007A4366"/>
    <w:rsid w:val="007A4AEC"/>
    <w:rsid w:val="007A53AC"/>
    <w:rsid w:val="007A5DA2"/>
    <w:rsid w:val="007A656A"/>
    <w:rsid w:val="007A668A"/>
    <w:rsid w:val="007B014D"/>
    <w:rsid w:val="007B3117"/>
    <w:rsid w:val="007B4DB0"/>
    <w:rsid w:val="007B5370"/>
    <w:rsid w:val="007B53BD"/>
    <w:rsid w:val="007C01AF"/>
    <w:rsid w:val="007C06F6"/>
    <w:rsid w:val="007C0B08"/>
    <w:rsid w:val="007C1357"/>
    <w:rsid w:val="007C1593"/>
    <w:rsid w:val="007C393C"/>
    <w:rsid w:val="007C59E8"/>
    <w:rsid w:val="007C5A38"/>
    <w:rsid w:val="007C6FCE"/>
    <w:rsid w:val="007C7377"/>
    <w:rsid w:val="007D3670"/>
    <w:rsid w:val="007D40FD"/>
    <w:rsid w:val="007D5997"/>
    <w:rsid w:val="007D5F5C"/>
    <w:rsid w:val="007D689B"/>
    <w:rsid w:val="007D6D00"/>
    <w:rsid w:val="007D74C5"/>
    <w:rsid w:val="007E564E"/>
    <w:rsid w:val="007E7AE1"/>
    <w:rsid w:val="007E7C46"/>
    <w:rsid w:val="007F090D"/>
    <w:rsid w:val="007F1332"/>
    <w:rsid w:val="007F21F3"/>
    <w:rsid w:val="007F2368"/>
    <w:rsid w:val="007F4236"/>
    <w:rsid w:val="007F6071"/>
    <w:rsid w:val="007F666A"/>
    <w:rsid w:val="007F6C82"/>
    <w:rsid w:val="00800C42"/>
    <w:rsid w:val="00801398"/>
    <w:rsid w:val="00801481"/>
    <w:rsid w:val="008014A2"/>
    <w:rsid w:val="00801B32"/>
    <w:rsid w:val="00802E09"/>
    <w:rsid w:val="00802F34"/>
    <w:rsid w:val="00803FDA"/>
    <w:rsid w:val="00804837"/>
    <w:rsid w:val="008054CA"/>
    <w:rsid w:val="00806031"/>
    <w:rsid w:val="00807EBB"/>
    <w:rsid w:val="00810CE2"/>
    <w:rsid w:val="00810E20"/>
    <w:rsid w:val="0081122C"/>
    <w:rsid w:val="00811579"/>
    <w:rsid w:val="008126A4"/>
    <w:rsid w:val="00813442"/>
    <w:rsid w:val="00813613"/>
    <w:rsid w:val="00815A93"/>
    <w:rsid w:val="00815B18"/>
    <w:rsid w:val="00817C9A"/>
    <w:rsid w:val="00820047"/>
    <w:rsid w:val="008209B6"/>
    <w:rsid w:val="00820E81"/>
    <w:rsid w:val="00822757"/>
    <w:rsid w:val="008227FB"/>
    <w:rsid w:val="00822865"/>
    <w:rsid w:val="00824A5C"/>
    <w:rsid w:val="008313F0"/>
    <w:rsid w:val="00832116"/>
    <w:rsid w:val="00833465"/>
    <w:rsid w:val="00834201"/>
    <w:rsid w:val="00840291"/>
    <w:rsid w:val="0084040B"/>
    <w:rsid w:val="0084041F"/>
    <w:rsid w:val="00840A85"/>
    <w:rsid w:val="00841B82"/>
    <w:rsid w:val="00845B7C"/>
    <w:rsid w:val="0084627C"/>
    <w:rsid w:val="00850BCC"/>
    <w:rsid w:val="008543E9"/>
    <w:rsid w:val="00855286"/>
    <w:rsid w:val="00856322"/>
    <w:rsid w:val="00860ADE"/>
    <w:rsid w:val="00861788"/>
    <w:rsid w:val="00861E06"/>
    <w:rsid w:val="00863338"/>
    <w:rsid w:val="00867C0E"/>
    <w:rsid w:val="00870F2B"/>
    <w:rsid w:val="00873FD2"/>
    <w:rsid w:val="008744F7"/>
    <w:rsid w:val="00874FA4"/>
    <w:rsid w:val="00875174"/>
    <w:rsid w:val="008779E7"/>
    <w:rsid w:val="00877E90"/>
    <w:rsid w:val="00882190"/>
    <w:rsid w:val="008824CA"/>
    <w:rsid w:val="00882BA2"/>
    <w:rsid w:val="00883BC7"/>
    <w:rsid w:val="00887981"/>
    <w:rsid w:val="00890179"/>
    <w:rsid w:val="00890C10"/>
    <w:rsid w:val="0089175A"/>
    <w:rsid w:val="008933D0"/>
    <w:rsid w:val="008947E6"/>
    <w:rsid w:val="00896529"/>
    <w:rsid w:val="008A1D83"/>
    <w:rsid w:val="008A4AED"/>
    <w:rsid w:val="008A5088"/>
    <w:rsid w:val="008A78ED"/>
    <w:rsid w:val="008B02B9"/>
    <w:rsid w:val="008B02E5"/>
    <w:rsid w:val="008B55D7"/>
    <w:rsid w:val="008B6464"/>
    <w:rsid w:val="008B7D28"/>
    <w:rsid w:val="008C0D4F"/>
    <w:rsid w:val="008C13E7"/>
    <w:rsid w:val="008C2FE2"/>
    <w:rsid w:val="008C33E2"/>
    <w:rsid w:val="008C4DBB"/>
    <w:rsid w:val="008C5BBD"/>
    <w:rsid w:val="008C6F21"/>
    <w:rsid w:val="008D12BD"/>
    <w:rsid w:val="008D3462"/>
    <w:rsid w:val="008D4A59"/>
    <w:rsid w:val="008D6944"/>
    <w:rsid w:val="008E07A6"/>
    <w:rsid w:val="008E124C"/>
    <w:rsid w:val="008E17CD"/>
    <w:rsid w:val="008E1953"/>
    <w:rsid w:val="008E4599"/>
    <w:rsid w:val="008E5458"/>
    <w:rsid w:val="008E5CBE"/>
    <w:rsid w:val="008E7E80"/>
    <w:rsid w:val="008E7EC9"/>
    <w:rsid w:val="008F0081"/>
    <w:rsid w:val="008F0786"/>
    <w:rsid w:val="008F23BD"/>
    <w:rsid w:val="008F4650"/>
    <w:rsid w:val="008F7590"/>
    <w:rsid w:val="00900066"/>
    <w:rsid w:val="00900422"/>
    <w:rsid w:val="0090269C"/>
    <w:rsid w:val="0090351F"/>
    <w:rsid w:val="00903E84"/>
    <w:rsid w:val="00903EA7"/>
    <w:rsid w:val="00904C25"/>
    <w:rsid w:val="00906739"/>
    <w:rsid w:val="00906C84"/>
    <w:rsid w:val="00906F86"/>
    <w:rsid w:val="009074BB"/>
    <w:rsid w:val="00911BC8"/>
    <w:rsid w:val="00911D7E"/>
    <w:rsid w:val="0091413E"/>
    <w:rsid w:val="00914BEC"/>
    <w:rsid w:val="00914DB6"/>
    <w:rsid w:val="00915311"/>
    <w:rsid w:val="009160E4"/>
    <w:rsid w:val="0091721F"/>
    <w:rsid w:val="00917276"/>
    <w:rsid w:val="00920225"/>
    <w:rsid w:val="009204B1"/>
    <w:rsid w:val="00920C8C"/>
    <w:rsid w:val="009219E6"/>
    <w:rsid w:val="009234F8"/>
    <w:rsid w:val="00923643"/>
    <w:rsid w:val="00924562"/>
    <w:rsid w:val="00924846"/>
    <w:rsid w:val="00924D6C"/>
    <w:rsid w:val="00926558"/>
    <w:rsid w:val="009265B4"/>
    <w:rsid w:val="00927143"/>
    <w:rsid w:val="009304AB"/>
    <w:rsid w:val="00930D1B"/>
    <w:rsid w:val="00931333"/>
    <w:rsid w:val="00931879"/>
    <w:rsid w:val="00931B43"/>
    <w:rsid w:val="00932430"/>
    <w:rsid w:val="00933C99"/>
    <w:rsid w:val="00937622"/>
    <w:rsid w:val="00941CB6"/>
    <w:rsid w:val="00943B5A"/>
    <w:rsid w:val="00944340"/>
    <w:rsid w:val="009448FA"/>
    <w:rsid w:val="0094579D"/>
    <w:rsid w:val="00946257"/>
    <w:rsid w:val="00946F29"/>
    <w:rsid w:val="009475BC"/>
    <w:rsid w:val="00950D11"/>
    <w:rsid w:val="009519C2"/>
    <w:rsid w:val="009522AE"/>
    <w:rsid w:val="0095676F"/>
    <w:rsid w:val="009574B8"/>
    <w:rsid w:val="00960057"/>
    <w:rsid w:val="00960C44"/>
    <w:rsid w:val="00961E2E"/>
    <w:rsid w:val="00962DC3"/>
    <w:rsid w:val="009648EA"/>
    <w:rsid w:val="00964BEA"/>
    <w:rsid w:val="00965456"/>
    <w:rsid w:val="0096729E"/>
    <w:rsid w:val="00967604"/>
    <w:rsid w:val="009678C8"/>
    <w:rsid w:val="00972709"/>
    <w:rsid w:val="009733E8"/>
    <w:rsid w:val="00973C96"/>
    <w:rsid w:val="009743E1"/>
    <w:rsid w:val="00976A01"/>
    <w:rsid w:val="009770A4"/>
    <w:rsid w:val="00980D9C"/>
    <w:rsid w:val="0098258D"/>
    <w:rsid w:val="0098369A"/>
    <w:rsid w:val="00985916"/>
    <w:rsid w:val="00986790"/>
    <w:rsid w:val="00986B33"/>
    <w:rsid w:val="009875E0"/>
    <w:rsid w:val="00987AD5"/>
    <w:rsid w:val="00991330"/>
    <w:rsid w:val="00992068"/>
    <w:rsid w:val="009921F0"/>
    <w:rsid w:val="00993E4E"/>
    <w:rsid w:val="0099564D"/>
    <w:rsid w:val="009960A9"/>
    <w:rsid w:val="0099650E"/>
    <w:rsid w:val="00996FCB"/>
    <w:rsid w:val="0099742D"/>
    <w:rsid w:val="009975D7"/>
    <w:rsid w:val="00997C9C"/>
    <w:rsid w:val="009A0555"/>
    <w:rsid w:val="009A233A"/>
    <w:rsid w:val="009A6023"/>
    <w:rsid w:val="009B0093"/>
    <w:rsid w:val="009B00EE"/>
    <w:rsid w:val="009B05A0"/>
    <w:rsid w:val="009B2DE4"/>
    <w:rsid w:val="009B39ED"/>
    <w:rsid w:val="009B4988"/>
    <w:rsid w:val="009B7138"/>
    <w:rsid w:val="009B7A63"/>
    <w:rsid w:val="009C029F"/>
    <w:rsid w:val="009C10D8"/>
    <w:rsid w:val="009C19E7"/>
    <w:rsid w:val="009C3560"/>
    <w:rsid w:val="009C4C63"/>
    <w:rsid w:val="009C51E2"/>
    <w:rsid w:val="009C630D"/>
    <w:rsid w:val="009C6641"/>
    <w:rsid w:val="009D1FC7"/>
    <w:rsid w:val="009D2E1C"/>
    <w:rsid w:val="009D3C30"/>
    <w:rsid w:val="009D4556"/>
    <w:rsid w:val="009D66B9"/>
    <w:rsid w:val="009D6D91"/>
    <w:rsid w:val="009D7571"/>
    <w:rsid w:val="009D77D2"/>
    <w:rsid w:val="009E10D9"/>
    <w:rsid w:val="009E1714"/>
    <w:rsid w:val="009E24EF"/>
    <w:rsid w:val="009E45E2"/>
    <w:rsid w:val="009E4D70"/>
    <w:rsid w:val="009E6391"/>
    <w:rsid w:val="009E7E03"/>
    <w:rsid w:val="009F2401"/>
    <w:rsid w:val="009F2BED"/>
    <w:rsid w:val="009F5D2C"/>
    <w:rsid w:val="009F6339"/>
    <w:rsid w:val="009F635C"/>
    <w:rsid w:val="009F647F"/>
    <w:rsid w:val="009F7F48"/>
    <w:rsid w:val="00A00688"/>
    <w:rsid w:val="00A01716"/>
    <w:rsid w:val="00A061B4"/>
    <w:rsid w:val="00A07480"/>
    <w:rsid w:val="00A10257"/>
    <w:rsid w:val="00A1289F"/>
    <w:rsid w:val="00A137E3"/>
    <w:rsid w:val="00A14716"/>
    <w:rsid w:val="00A14AC6"/>
    <w:rsid w:val="00A15638"/>
    <w:rsid w:val="00A1593A"/>
    <w:rsid w:val="00A15BFC"/>
    <w:rsid w:val="00A15F3A"/>
    <w:rsid w:val="00A162C3"/>
    <w:rsid w:val="00A16738"/>
    <w:rsid w:val="00A20962"/>
    <w:rsid w:val="00A218BA"/>
    <w:rsid w:val="00A2357A"/>
    <w:rsid w:val="00A2475F"/>
    <w:rsid w:val="00A24BC8"/>
    <w:rsid w:val="00A25316"/>
    <w:rsid w:val="00A25877"/>
    <w:rsid w:val="00A27BC7"/>
    <w:rsid w:val="00A303E2"/>
    <w:rsid w:val="00A31003"/>
    <w:rsid w:val="00A310CB"/>
    <w:rsid w:val="00A31C74"/>
    <w:rsid w:val="00A3250F"/>
    <w:rsid w:val="00A33EA3"/>
    <w:rsid w:val="00A36F6D"/>
    <w:rsid w:val="00A370B4"/>
    <w:rsid w:val="00A3772D"/>
    <w:rsid w:val="00A428DB"/>
    <w:rsid w:val="00A431E2"/>
    <w:rsid w:val="00A4343C"/>
    <w:rsid w:val="00A44925"/>
    <w:rsid w:val="00A461BB"/>
    <w:rsid w:val="00A47467"/>
    <w:rsid w:val="00A475D2"/>
    <w:rsid w:val="00A50429"/>
    <w:rsid w:val="00A51802"/>
    <w:rsid w:val="00A52135"/>
    <w:rsid w:val="00A5345A"/>
    <w:rsid w:val="00A56CD3"/>
    <w:rsid w:val="00A6228F"/>
    <w:rsid w:val="00A63312"/>
    <w:rsid w:val="00A63C27"/>
    <w:rsid w:val="00A65310"/>
    <w:rsid w:val="00A67017"/>
    <w:rsid w:val="00A702FD"/>
    <w:rsid w:val="00A70503"/>
    <w:rsid w:val="00A7297B"/>
    <w:rsid w:val="00A7437E"/>
    <w:rsid w:val="00A757B4"/>
    <w:rsid w:val="00A7679E"/>
    <w:rsid w:val="00A76AF7"/>
    <w:rsid w:val="00A77CF1"/>
    <w:rsid w:val="00A77ED6"/>
    <w:rsid w:val="00A82DEA"/>
    <w:rsid w:val="00A84E85"/>
    <w:rsid w:val="00A85B60"/>
    <w:rsid w:val="00A86918"/>
    <w:rsid w:val="00A8732C"/>
    <w:rsid w:val="00A90B55"/>
    <w:rsid w:val="00A91664"/>
    <w:rsid w:val="00A940EB"/>
    <w:rsid w:val="00A95DAF"/>
    <w:rsid w:val="00A95FBA"/>
    <w:rsid w:val="00A97562"/>
    <w:rsid w:val="00AA7363"/>
    <w:rsid w:val="00AB0B04"/>
    <w:rsid w:val="00AB0F14"/>
    <w:rsid w:val="00AB140D"/>
    <w:rsid w:val="00AB36A6"/>
    <w:rsid w:val="00AB53B9"/>
    <w:rsid w:val="00AB610B"/>
    <w:rsid w:val="00AB7B18"/>
    <w:rsid w:val="00AC0AE9"/>
    <w:rsid w:val="00AC0DDE"/>
    <w:rsid w:val="00AC2321"/>
    <w:rsid w:val="00AC2C5C"/>
    <w:rsid w:val="00AC32D8"/>
    <w:rsid w:val="00AC42CA"/>
    <w:rsid w:val="00AC55F8"/>
    <w:rsid w:val="00AC6297"/>
    <w:rsid w:val="00AC6D89"/>
    <w:rsid w:val="00AD0D7C"/>
    <w:rsid w:val="00AD1A66"/>
    <w:rsid w:val="00AD1E22"/>
    <w:rsid w:val="00AD476B"/>
    <w:rsid w:val="00AD6929"/>
    <w:rsid w:val="00AD6ACD"/>
    <w:rsid w:val="00AD6D12"/>
    <w:rsid w:val="00AD732F"/>
    <w:rsid w:val="00AD79C2"/>
    <w:rsid w:val="00AE004A"/>
    <w:rsid w:val="00AE18E7"/>
    <w:rsid w:val="00AE1FFC"/>
    <w:rsid w:val="00AE2CCF"/>
    <w:rsid w:val="00AE303E"/>
    <w:rsid w:val="00AE3692"/>
    <w:rsid w:val="00AE6FB3"/>
    <w:rsid w:val="00AF006F"/>
    <w:rsid w:val="00AF0BC0"/>
    <w:rsid w:val="00AF0F12"/>
    <w:rsid w:val="00AF165A"/>
    <w:rsid w:val="00AF1FD3"/>
    <w:rsid w:val="00AF27EA"/>
    <w:rsid w:val="00AF4E2D"/>
    <w:rsid w:val="00AF59AC"/>
    <w:rsid w:val="00AF6243"/>
    <w:rsid w:val="00B00F45"/>
    <w:rsid w:val="00B022C7"/>
    <w:rsid w:val="00B03C31"/>
    <w:rsid w:val="00B0458E"/>
    <w:rsid w:val="00B04D1C"/>
    <w:rsid w:val="00B073CD"/>
    <w:rsid w:val="00B125C0"/>
    <w:rsid w:val="00B140C7"/>
    <w:rsid w:val="00B14AB7"/>
    <w:rsid w:val="00B15276"/>
    <w:rsid w:val="00B15CE9"/>
    <w:rsid w:val="00B201F8"/>
    <w:rsid w:val="00B20A07"/>
    <w:rsid w:val="00B219F6"/>
    <w:rsid w:val="00B2283C"/>
    <w:rsid w:val="00B22C1B"/>
    <w:rsid w:val="00B22CC1"/>
    <w:rsid w:val="00B2402C"/>
    <w:rsid w:val="00B24548"/>
    <w:rsid w:val="00B26A2A"/>
    <w:rsid w:val="00B26AB9"/>
    <w:rsid w:val="00B30630"/>
    <w:rsid w:val="00B3308F"/>
    <w:rsid w:val="00B341E4"/>
    <w:rsid w:val="00B34A09"/>
    <w:rsid w:val="00B34B4A"/>
    <w:rsid w:val="00B34F56"/>
    <w:rsid w:val="00B374E7"/>
    <w:rsid w:val="00B37C28"/>
    <w:rsid w:val="00B37D99"/>
    <w:rsid w:val="00B44DAF"/>
    <w:rsid w:val="00B45EAA"/>
    <w:rsid w:val="00B51016"/>
    <w:rsid w:val="00B518A0"/>
    <w:rsid w:val="00B524B9"/>
    <w:rsid w:val="00B5350A"/>
    <w:rsid w:val="00B54CF8"/>
    <w:rsid w:val="00B57077"/>
    <w:rsid w:val="00B61289"/>
    <w:rsid w:val="00B61C0A"/>
    <w:rsid w:val="00B62B9C"/>
    <w:rsid w:val="00B62D37"/>
    <w:rsid w:val="00B6351F"/>
    <w:rsid w:val="00B635E6"/>
    <w:rsid w:val="00B65481"/>
    <w:rsid w:val="00B657D7"/>
    <w:rsid w:val="00B65C18"/>
    <w:rsid w:val="00B66551"/>
    <w:rsid w:val="00B666CB"/>
    <w:rsid w:val="00B66C0E"/>
    <w:rsid w:val="00B712D1"/>
    <w:rsid w:val="00B713BB"/>
    <w:rsid w:val="00B718B3"/>
    <w:rsid w:val="00B71DC8"/>
    <w:rsid w:val="00B7488F"/>
    <w:rsid w:val="00B76228"/>
    <w:rsid w:val="00B7652B"/>
    <w:rsid w:val="00B778DB"/>
    <w:rsid w:val="00B77F10"/>
    <w:rsid w:val="00B80A23"/>
    <w:rsid w:val="00B81088"/>
    <w:rsid w:val="00B82643"/>
    <w:rsid w:val="00B838E8"/>
    <w:rsid w:val="00B83EEF"/>
    <w:rsid w:val="00B85B2B"/>
    <w:rsid w:val="00B90DCA"/>
    <w:rsid w:val="00B910F7"/>
    <w:rsid w:val="00B92385"/>
    <w:rsid w:val="00B929F6"/>
    <w:rsid w:val="00B92FEB"/>
    <w:rsid w:val="00B95963"/>
    <w:rsid w:val="00B960FD"/>
    <w:rsid w:val="00B972C2"/>
    <w:rsid w:val="00B97A11"/>
    <w:rsid w:val="00BA174B"/>
    <w:rsid w:val="00BA179D"/>
    <w:rsid w:val="00BA52CB"/>
    <w:rsid w:val="00BA5EA1"/>
    <w:rsid w:val="00BA6517"/>
    <w:rsid w:val="00BA720C"/>
    <w:rsid w:val="00BA72C7"/>
    <w:rsid w:val="00BB07AF"/>
    <w:rsid w:val="00BB4BEF"/>
    <w:rsid w:val="00BB4EED"/>
    <w:rsid w:val="00BB5D70"/>
    <w:rsid w:val="00BC05E8"/>
    <w:rsid w:val="00BC3EB1"/>
    <w:rsid w:val="00BC5AEC"/>
    <w:rsid w:val="00BC689F"/>
    <w:rsid w:val="00BC768E"/>
    <w:rsid w:val="00BD1517"/>
    <w:rsid w:val="00BD2AF2"/>
    <w:rsid w:val="00BD3294"/>
    <w:rsid w:val="00BD68BF"/>
    <w:rsid w:val="00BD6B1E"/>
    <w:rsid w:val="00BD7D74"/>
    <w:rsid w:val="00BD7D76"/>
    <w:rsid w:val="00BE03E3"/>
    <w:rsid w:val="00BE185D"/>
    <w:rsid w:val="00BE246D"/>
    <w:rsid w:val="00BE6DE3"/>
    <w:rsid w:val="00BE73C9"/>
    <w:rsid w:val="00BF10BB"/>
    <w:rsid w:val="00BF17AA"/>
    <w:rsid w:val="00BF2778"/>
    <w:rsid w:val="00BF3976"/>
    <w:rsid w:val="00BF40E4"/>
    <w:rsid w:val="00BF4AAB"/>
    <w:rsid w:val="00BF4D05"/>
    <w:rsid w:val="00BF4FDD"/>
    <w:rsid w:val="00BF6D8B"/>
    <w:rsid w:val="00C01E8E"/>
    <w:rsid w:val="00C02BB7"/>
    <w:rsid w:val="00C045E6"/>
    <w:rsid w:val="00C05462"/>
    <w:rsid w:val="00C05EA7"/>
    <w:rsid w:val="00C06C78"/>
    <w:rsid w:val="00C10DAB"/>
    <w:rsid w:val="00C10E4A"/>
    <w:rsid w:val="00C1264A"/>
    <w:rsid w:val="00C12881"/>
    <w:rsid w:val="00C16DB3"/>
    <w:rsid w:val="00C2424C"/>
    <w:rsid w:val="00C24556"/>
    <w:rsid w:val="00C2456A"/>
    <w:rsid w:val="00C277FC"/>
    <w:rsid w:val="00C30899"/>
    <w:rsid w:val="00C30AE1"/>
    <w:rsid w:val="00C30EE5"/>
    <w:rsid w:val="00C310E6"/>
    <w:rsid w:val="00C3216E"/>
    <w:rsid w:val="00C32694"/>
    <w:rsid w:val="00C32BD4"/>
    <w:rsid w:val="00C32E90"/>
    <w:rsid w:val="00C3394C"/>
    <w:rsid w:val="00C36F2B"/>
    <w:rsid w:val="00C40C5E"/>
    <w:rsid w:val="00C4286E"/>
    <w:rsid w:val="00C433AA"/>
    <w:rsid w:val="00C443DB"/>
    <w:rsid w:val="00C45349"/>
    <w:rsid w:val="00C45863"/>
    <w:rsid w:val="00C47DBE"/>
    <w:rsid w:val="00C52CBA"/>
    <w:rsid w:val="00C5758A"/>
    <w:rsid w:val="00C60D8A"/>
    <w:rsid w:val="00C61AF0"/>
    <w:rsid w:val="00C632EA"/>
    <w:rsid w:val="00C65179"/>
    <w:rsid w:val="00C65A16"/>
    <w:rsid w:val="00C65A93"/>
    <w:rsid w:val="00C7032A"/>
    <w:rsid w:val="00C710A2"/>
    <w:rsid w:val="00C72722"/>
    <w:rsid w:val="00C7559A"/>
    <w:rsid w:val="00C75B52"/>
    <w:rsid w:val="00C75BF7"/>
    <w:rsid w:val="00C7668F"/>
    <w:rsid w:val="00C829B3"/>
    <w:rsid w:val="00C83907"/>
    <w:rsid w:val="00C85016"/>
    <w:rsid w:val="00C870B7"/>
    <w:rsid w:val="00C873EC"/>
    <w:rsid w:val="00C90004"/>
    <w:rsid w:val="00C92EC4"/>
    <w:rsid w:val="00C9309B"/>
    <w:rsid w:val="00C9369D"/>
    <w:rsid w:val="00C9420E"/>
    <w:rsid w:val="00C94C2B"/>
    <w:rsid w:val="00C95704"/>
    <w:rsid w:val="00CA0E32"/>
    <w:rsid w:val="00CA11DA"/>
    <w:rsid w:val="00CA2A72"/>
    <w:rsid w:val="00CA301F"/>
    <w:rsid w:val="00CA745C"/>
    <w:rsid w:val="00CB251C"/>
    <w:rsid w:val="00CB373A"/>
    <w:rsid w:val="00CB4F4F"/>
    <w:rsid w:val="00CB7EBA"/>
    <w:rsid w:val="00CC1858"/>
    <w:rsid w:val="00CC1DA0"/>
    <w:rsid w:val="00CC3A8B"/>
    <w:rsid w:val="00CC3B23"/>
    <w:rsid w:val="00CC4A91"/>
    <w:rsid w:val="00CC54B9"/>
    <w:rsid w:val="00CC6C5D"/>
    <w:rsid w:val="00CC7C28"/>
    <w:rsid w:val="00CD08BB"/>
    <w:rsid w:val="00CD2556"/>
    <w:rsid w:val="00CD4847"/>
    <w:rsid w:val="00CD556F"/>
    <w:rsid w:val="00CD5FB3"/>
    <w:rsid w:val="00CD743D"/>
    <w:rsid w:val="00CD7E2F"/>
    <w:rsid w:val="00CE09DF"/>
    <w:rsid w:val="00CE136A"/>
    <w:rsid w:val="00CE2C1B"/>
    <w:rsid w:val="00CE4289"/>
    <w:rsid w:val="00CE549D"/>
    <w:rsid w:val="00CE7955"/>
    <w:rsid w:val="00CF081B"/>
    <w:rsid w:val="00CF08FB"/>
    <w:rsid w:val="00CF12B1"/>
    <w:rsid w:val="00CF3048"/>
    <w:rsid w:val="00CF39D4"/>
    <w:rsid w:val="00CF45AE"/>
    <w:rsid w:val="00D02587"/>
    <w:rsid w:val="00D03745"/>
    <w:rsid w:val="00D05719"/>
    <w:rsid w:val="00D1033D"/>
    <w:rsid w:val="00D11B12"/>
    <w:rsid w:val="00D12C53"/>
    <w:rsid w:val="00D143B0"/>
    <w:rsid w:val="00D168E5"/>
    <w:rsid w:val="00D206A9"/>
    <w:rsid w:val="00D2280E"/>
    <w:rsid w:val="00D252F0"/>
    <w:rsid w:val="00D261AB"/>
    <w:rsid w:val="00D276D0"/>
    <w:rsid w:val="00D27E7F"/>
    <w:rsid w:val="00D32EC6"/>
    <w:rsid w:val="00D3344F"/>
    <w:rsid w:val="00D344B0"/>
    <w:rsid w:val="00D42BFD"/>
    <w:rsid w:val="00D43BD8"/>
    <w:rsid w:val="00D43DF9"/>
    <w:rsid w:val="00D44274"/>
    <w:rsid w:val="00D4445B"/>
    <w:rsid w:val="00D44905"/>
    <w:rsid w:val="00D45BE5"/>
    <w:rsid w:val="00D47091"/>
    <w:rsid w:val="00D53556"/>
    <w:rsid w:val="00D60C63"/>
    <w:rsid w:val="00D60E7B"/>
    <w:rsid w:val="00D61F41"/>
    <w:rsid w:val="00D634D5"/>
    <w:rsid w:val="00D6709E"/>
    <w:rsid w:val="00D7020A"/>
    <w:rsid w:val="00D71F7E"/>
    <w:rsid w:val="00D7470D"/>
    <w:rsid w:val="00D763DA"/>
    <w:rsid w:val="00D77B52"/>
    <w:rsid w:val="00D8071A"/>
    <w:rsid w:val="00D80E32"/>
    <w:rsid w:val="00D814A0"/>
    <w:rsid w:val="00D814E7"/>
    <w:rsid w:val="00D83F8E"/>
    <w:rsid w:val="00D8654A"/>
    <w:rsid w:val="00D86E91"/>
    <w:rsid w:val="00D86F59"/>
    <w:rsid w:val="00D875EA"/>
    <w:rsid w:val="00D9005C"/>
    <w:rsid w:val="00D90297"/>
    <w:rsid w:val="00D90D66"/>
    <w:rsid w:val="00D92DDA"/>
    <w:rsid w:val="00D93B6A"/>
    <w:rsid w:val="00D94881"/>
    <w:rsid w:val="00D9706F"/>
    <w:rsid w:val="00DA060D"/>
    <w:rsid w:val="00DA0A4F"/>
    <w:rsid w:val="00DA144D"/>
    <w:rsid w:val="00DA1E7A"/>
    <w:rsid w:val="00DA2A47"/>
    <w:rsid w:val="00DA2B51"/>
    <w:rsid w:val="00DA4355"/>
    <w:rsid w:val="00DA6C75"/>
    <w:rsid w:val="00DA7354"/>
    <w:rsid w:val="00DB3BAA"/>
    <w:rsid w:val="00DB7D57"/>
    <w:rsid w:val="00DC2802"/>
    <w:rsid w:val="00DC3579"/>
    <w:rsid w:val="00DC41F5"/>
    <w:rsid w:val="00DC43EF"/>
    <w:rsid w:val="00DC466D"/>
    <w:rsid w:val="00DC5024"/>
    <w:rsid w:val="00DD0956"/>
    <w:rsid w:val="00DD30C9"/>
    <w:rsid w:val="00DD3310"/>
    <w:rsid w:val="00DD36A6"/>
    <w:rsid w:val="00DD6975"/>
    <w:rsid w:val="00DE29A9"/>
    <w:rsid w:val="00DE3330"/>
    <w:rsid w:val="00DE3AD4"/>
    <w:rsid w:val="00DE43B2"/>
    <w:rsid w:val="00DE4809"/>
    <w:rsid w:val="00DF0948"/>
    <w:rsid w:val="00DF0F55"/>
    <w:rsid w:val="00DF127D"/>
    <w:rsid w:val="00DF1C29"/>
    <w:rsid w:val="00DF376B"/>
    <w:rsid w:val="00DF43E4"/>
    <w:rsid w:val="00DF634E"/>
    <w:rsid w:val="00DF7429"/>
    <w:rsid w:val="00DF750D"/>
    <w:rsid w:val="00E02103"/>
    <w:rsid w:val="00E02389"/>
    <w:rsid w:val="00E05096"/>
    <w:rsid w:val="00E060E5"/>
    <w:rsid w:val="00E07559"/>
    <w:rsid w:val="00E12D83"/>
    <w:rsid w:val="00E14276"/>
    <w:rsid w:val="00E160EE"/>
    <w:rsid w:val="00E16DBB"/>
    <w:rsid w:val="00E20869"/>
    <w:rsid w:val="00E209D5"/>
    <w:rsid w:val="00E20FF9"/>
    <w:rsid w:val="00E21661"/>
    <w:rsid w:val="00E21D71"/>
    <w:rsid w:val="00E22D89"/>
    <w:rsid w:val="00E24C22"/>
    <w:rsid w:val="00E252B5"/>
    <w:rsid w:val="00E2558D"/>
    <w:rsid w:val="00E26621"/>
    <w:rsid w:val="00E2671F"/>
    <w:rsid w:val="00E267B0"/>
    <w:rsid w:val="00E30577"/>
    <w:rsid w:val="00E31154"/>
    <w:rsid w:val="00E32A3F"/>
    <w:rsid w:val="00E445EB"/>
    <w:rsid w:val="00E47361"/>
    <w:rsid w:val="00E47C94"/>
    <w:rsid w:val="00E51026"/>
    <w:rsid w:val="00E51C0F"/>
    <w:rsid w:val="00E51E58"/>
    <w:rsid w:val="00E51FC2"/>
    <w:rsid w:val="00E528DC"/>
    <w:rsid w:val="00E52F6D"/>
    <w:rsid w:val="00E53E83"/>
    <w:rsid w:val="00E54E5D"/>
    <w:rsid w:val="00E55EDC"/>
    <w:rsid w:val="00E566C9"/>
    <w:rsid w:val="00E569F0"/>
    <w:rsid w:val="00E572F2"/>
    <w:rsid w:val="00E57EF9"/>
    <w:rsid w:val="00E60C7B"/>
    <w:rsid w:val="00E6304F"/>
    <w:rsid w:val="00E63822"/>
    <w:rsid w:val="00E66472"/>
    <w:rsid w:val="00E6713C"/>
    <w:rsid w:val="00E675B7"/>
    <w:rsid w:val="00E67887"/>
    <w:rsid w:val="00E67FA6"/>
    <w:rsid w:val="00E70ABC"/>
    <w:rsid w:val="00E73CD1"/>
    <w:rsid w:val="00E752C7"/>
    <w:rsid w:val="00E75C1F"/>
    <w:rsid w:val="00E8190E"/>
    <w:rsid w:val="00E8326C"/>
    <w:rsid w:val="00E8358E"/>
    <w:rsid w:val="00E839DD"/>
    <w:rsid w:val="00E85B86"/>
    <w:rsid w:val="00E878EA"/>
    <w:rsid w:val="00E900B9"/>
    <w:rsid w:val="00E91C7C"/>
    <w:rsid w:val="00E92493"/>
    <w:rsid w:val="00E9544A"/>
    <w:rsid w:val="00E96D4E"/>
    <w:rsid w:val="00E96E55"/>
    <w:rsid w:val="00E97AAE"/>
    <w:rsid w:val="00EA0500"/>
    <w:rsid w:val="00EA2665"/>
    <w:rsid w:val="00EA4B18"/>
    <w:rsid w:val="00EA4BF5"/>
    <w:rsid w:val="00EA4CAC"/>
    <w:rsid w:val="00EA5AD3"/>
    <w:rsid w:val="00EA6704"/>
    <w:rsid w:val="00EA696F"/>
    <w:rsid w:val="00EA711B"/>
    <w:rsid w:val="00EA7443"/>
    <w:rsid w:val="00EB0025"/>
    <w:rsid w:val="00EB1E5E"/>
    <w:rsid w:val="00EB4429"/>
    <w:rsid w:val="00EB599A"/>
    <w:rsid w:val="00EC0EA2"/>
    <w:rsid w:val="00EC20C1"/>
    <w:rsid w:val="00EC2BF5"/>
    <w:rsid w:val="00EC4442"/>
    <w:rsid w:val="00EC483E"/>
    <w:rsid w:val="00EC4DAE"/>
    <w:rsid w:val="00EC4F08"/>
    <w:rsid w:val="00EC598F"/>
    <w:rsid w:val="00EC68F5"/>
    <w:rsid w:val="00EC6A79"/>
    <w:rsid w:val="00EC6D07"/>
    <w:rsid w:val="00EC6E6E"/>
    <w:rsid w:val="00EC705A"/>
    <w:rsid w:val="00ED0AC4"/>
    <w:rsid w:val="00ED1ED5"/>
    <w:rsid w:val="00ED3DBB"/>
    <w:rsid w:val="00ED3E78"/>
    <w:rsid w:val="00ED4C49"/>
    <w:rsid w:val="00ED50CE"/>
    <w:rsid w:val="00ED5CB1"/>
    <w:rsid w:val="00ED5DC7"/>
    <w:rsid w:val="00ED5E42"/>
    <w:rsid w:val="00ED6120"/>
    <w:rsid w:val="00ED7DF5"/>
    <w:rsid w:val="00EE2D09"/>
    <w:rsid w:val="00EE346E"/>
    <w:rsid w:val="00EE4F3E"/>
    <w:rsid w:val="00EE6DD4"/>
    <w:rsid w:val="00EE74CC"/>
    <w:rsid w:val="00EF09A2"/>
    <w:rsid w:val="00EF0BFA"/>
    <w:rsid w:val="00EF71C0"/>
    <w:rsid w:val="00EF7FC1"/>
    <w:rsid w:val="00F01EC8"/>
    <w:rsid w:val="00F023E7"/>
    <w:rsid w:val="00F03B65"/>
    <w:rsid w:val="00F045E1"/>
    <w:rsid w:val="00F07732"/>
    <w:rsid w:val="00F10AA4"/>
    <w:rsid w:val="00F10E91"/>
    <w:rsid w:val="00F12426"/>
    <w:rsid w:val="00F12C4E"/>
    <w:rsid w:val="00F12C73"/>
    <w:rsid w:val="00F13A4F"/>
    <w:rsid w:val="00F145A7"/>
    <w:rsid w:val="00F14FFD"/>
    <w:rsid w:val="00F15EFE"/>
    <w:rsid w:val="00F16D06"/>
    <w:rsid w:val="00F20062"/>
    <w:rsid w:val="00F212C3"/>
    <w:rsid w:val="00F21388"/>
    <w:rsid w:val="00F22809"/>
    <w:rsid w:val="00F24D9F"/>
    <w:rsid w:val="00F26332"/>
    <w:rsid w:val="00F2717B"/>
    <w:rsid w:val="00F301BF"/>
    <w:rsid w:val="00F30678"/>
    <w:rsid w:val="00F31683"/>
    <w:rsid w:val="00F34A40"/>
    <w:rsid w:val="00F34FE3"/>
    <w:rsid w:val="00F35EF1"/>
    <w:rsid w:val="00F36197"/>
    <w:rsid w:val="00F40F45"/>
    <w:rsid w:val="00F42A9E"/>
    <w:rsid w:val="00F44E66"/>
    <w:rsid w:val="00F45EF0"/>
    <w:rsid w:val="00F50FCB"/>
    <w:rsid w:val="00F521FF"/>
    <w:rsid w:val="00F5276F"/>
    <w:rsid w:val="00F54DBD"/>
    <w:rsid w:val="00F55B9E"/>
    <w:rsid w:val="00F56F66"/>
    <w:rsid w:val="00F60050"/>
    <w:rsid w:val="00F618BE"/>
    <w:rsid w:val="00F64B46"/>
    <w:rsid w:val="00F66DA8"/>
    <w:rsid w:val="00F67405"/>
    <w:rsid w:val="00F678BC"/>
    <w:rsid w:val="00F709CA"/>
    <w:rsid w:val="00F73974"/>
    <w:rsid w:val="00F73CB5"/>
    <w:rsid w:val="00F7551C"/>
    <w:rsid w:val="00F759CA"/>
    <w:rsid w:val="00F768B6"/>
    <w:rsid w:val="00F77DBC"/>
    <w:rsid w:val="00F77F44"/>
    <w:rsid w:val="00F80F06"/>
    <w:rsid w:val="00F8124E"/>
    <w:rsid w:val="00F84260"/>
    <w:rsid w:val="00F84CE0"/>
    <w:rsid w:val="00F85EFA"/>
    <w:rsid w:val="00F862E1"/>
    <w:rsid w:val="00F87972"/>
    <w:rsid w:val="00F90BC5"/>
    <w:rsid w:val="00F90D5A"/>
    <w:rsid w:val="00F911F6"/>
    <w:rsid w:val="00F91B18"/>
    <w:rsid w:val="00F9288D"/>
    <w:rsid w:val="00F9353B"/>
    <w:rsid w:val="00F939B9"/>
    <w:rsid w:val="00F93E7E"/>
    <w:rsid w:val="00F96265"/>
    <w:rsid w:val="00F96502"/>
    <w:rsid w:val="00F9663E"/>
    <w:rsid w:val="00FA12F9"/>
    <w:rsid w:val="00FA201B"/>
    <w:rsid w:val="00FA6382"/>
    <w:rsid w:val="00FB1679"/>
    <w:rsid w:val="00FB1B5B"/>
    <w:rsid w:val="00FB2547"/>
    <w:rsid w:val="00FB41C1"/>
    <w:rsid w:val="00FB5220"/>
    <w:rsid w:val="00FB55F0"/>
    <w:rsid w:val="00FB66D8"/>
    <w:rsid w:val="00FB704C"/>
    <w:rsid w:val="00FB765A"/>
    <w:rsid w:val="00FC01C2"/>
    <w:rsid w:val="00FC0B33"/>
    <w:rsid w:val="00FC0C23"/>
    <w:rsid w:val="00FC12FA"/>
    <w:rsid w:val="00FC1949"/>
    <w:rsid w:val="00FC28BA"/>
    <w:rsid w:val="00FC2DE7"/>
    <w:rsid w:val="00FC3484"/>
    <w:rsid w:val="00FC3B1B"/>
    <w:rsid w:val="00FC51C3"/>
    <w:rsid w:val="00FC53F4"/>
    <w:rsid w:val="00FD08C8"/>
    <w:rsid w:val="00FD2546"/>
    <w:rsid w:val="00FD4D66"/>
    <w:rsid w:val="00FD62BD"/>
    <w:rsid w:val="00FE001A"/>
    <w:rsid w:val="00FE31DD"/>
    <w:rsid w:val="00FE3406"/>
    <w:rsid w:val="00FE42EE"/>
    <w:rsid w:val="00FE6992"/>
    <w:rsid w:val="00FF081D"/>
    <w:rsid w:val="00FF1DD0"/>
    <w:rsid w:val="00FF2F49"/>
    <w:rsid w:val="00FF58D9"/>
    <w:rsid w:val="00FF5B3F"/>
    <w:rsid w:val="00FF5C1E"/>
    <w:rsid w:val="00FF754F"/>
    <w:rsid w:val="00FF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5:docId w15:val="{DC038FEC-1AF7-4895-A244-FCC10052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rsid w:val="007657FC"/>
    <w:pPr>
      <w:numPr>
        <w:numId w:val="1"/>
      </w:numPr>
      <w:contextualSpacing/>
    </w:pPr>
  </w:style>
  <w:style w:type="paragraph" w:styleId="ListBullet2">
    <w:name w:val="List Bullet 2"/>
    <w:basedOn w:val="Normal"/>
    <w:unhideWhenUsed/>
    <w:rsid w:val="007657FC"/>
    <w:pPr>
      <w:numPr>
        <w:numId w:val="2"/>
      </w:numPr>
      <w:contextualSpacing/>
    </w:pPr>
  </w:style>
  <w:style w:type="paragraph" w:styleId="ListBullet3">
    <w:name w:val="List Bullet 3"/>
    <w:basedOn w:val="Normal"/>
    <w:unhideWhenUsed/>
    <w:rsid w:val="007657FC"/>
    <w:pPr>
      <w:numPr>
        <w:numId w:val="3"/>
      </w:numPr>
      <w:contextualSpacing/>
    </w:pPr>
  </w:style>
  <w:style w:type="paragraph" w:styleId="ListBullet4">
    <w:name w:val="List Bullet 4"/>
    <w:basedOn w:val="Normal"/>
    <w:unhideWhenUsed/>
    <w:rsid w:val="007657FC"/>
    <w:pPr>
      <w:numPr>
        <w:numId w:val="4"/>
      </w:numPr>
      <w:contextualSpacing/>
    </w:pPr>
  </w:style>
  <w:style w:type="character" w:styleId="CommentReference">
    <w:name w:val="annotation reference"/>
    <w:basedOn w:val="DefaultParagraphFont"/>
    <w:unhideWhenUsed/>
    <w:rsid w:val="005009DF"/>
    <w:rPr>
      <w:sz w:val="16"/>
      <w:szCs w:val="16"/>
    </w:rPr>
  </w:style>
  <w:style w:type="paragraph" w:styleId="CommentText">
    <w:name w:val="annotation text"/>
    <w:basedOn w:val="Normal"/>
    <w:link w:val="CommentTextChar"/>
    <w:uiPriority w:val="99"/>
    <w:unhideWhenUsed/>
    <w:rsid w:val="005009DF"/>
    <w:rPr>
      <w:sz w:val="20"/>
      <w:szCs w:val="20"/>
    </w:rPr>
  </w:style>
  <w:style w:type="character" w:customStyle="1" w:styleId="CommentTextChar">
    <w:name w:val="Comment Text Char"/>
    <w:basedOn w:val="DefaultParagraphFont"/>
    <w:link w:val="CommentText"/>
    <w:uiPriority w:val="99"/>
    <w:rsid w:val="005009DF"/>
    <w:rPr>
      <w:rFonts w:ascii="Times New Roman" w:hAnsi="Times New Roman" w:cs="Times New Roman"/>
      <w:sz w:val="20"/>
      <w:szCs w:val="20"/>
      <w:lang w:val="pl-PL"/>
    </w:rPr>
  </w:style>
  <w:style w:type="paragraph" w:styleId="CommentSubject">
    <w:name w:val="annotation subject"/>
    <w:basedOn w:val="CommentText"/>
    <w:next w:val="CommentText"/>
    <w:link w:val="CommentSubjectChar"/>
    <w:unhideWhenUsed/>
    <w:rsid w:val="005009DF"/>
    <w:rPr>
      <w:b/>
      <w:bCs/>
    </w:rPr>
  </w:style>
  <w:style w:type="character" w:customStyle="1" w:styleId="CommentSubjectChar">
    <w:name w:val="Comment Subject Char"/>
    <w:basedOn w:val="CommentTextChar"/>
    <w:link w:val="CommentSubject"/>
    <w:rsid w:val="005009DF"/>
    <w:rPr>
      <w:rFonts w:ascii="Times New Roman" w:hAnsi="Times New Roman" w:cs="Times New Roman"/>
      <w:b/>
      <w:bCs/>
      <w:sz w:val="20"/>
      <w:szCs w:val="20"/>
      <w:lang w:val="pl-PL"/>
    </w:rPr>
  </w:style>
  <w:style w:type="paragraph" w:styleId="BalloonText">
    <w:name w:val="Balloon Text"/>
    <w:basedOn w:val="Normal"/>
    <w:link w:val="BalloonTextChar"/>
    <w:unhideWhenUsed/>
    <w:rsid w:val="005009DF"/>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5009DF"/>
    <w:rPr>
      <w:rFonts w:ascii="Segoe UI" w:hAnsi="Segoe UI" w:cs="Segoe UI"/>
      <w:sz w:val="18"/>
      <w:szCs w:val="18"/>
      <w:lang w:val="pl-PL"/>
    </w:rPr>
  </w:style>
  <w:style w:type="paragraph" w:customStyle="1" w:styleId="Normal1">
    <w:name w:val="Normal1"/>
    <w:basedOn w:val="Normal"/>
    <w:rsid w:val="008B7D28"/>
    <w:pPr>
      <w:spacing w:before="100" w:beforeAutospacing="1" w:after="100" w:afterAutospacing="1"/>
      <w:jc w:val="left"/>
    </w:pPr>
    <w:rPr>
      <w:rFonts w:eastAsia="Times New Roman"/>
      <w:szCs w:val="24"/>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rsid w:val="00EA696F"/>
    <w:pPr>
      <w:ind w:left="720"/>
      <w:contextualSpacing/>
    </w:pPr>
  </w:style>
  <w:style w:type="paragraph" w:customStyle="1" w:styleId="Normal2">
    <w:name w:val="Normal2"/>
    <w:basedOn w:val="Normal"/>
    <w:rsid w:val="00964BEA"/>
    <w:pPr>
      <w:spacing w:before="100" w:beforeAutospacing="1" w:after="100" w:afterAutospacing="1"/>
      <w:jc w:val="left"/>
    </w:pPr>
    <w:rPr>
      <w:rFonts w:eastAsia="Times New Roman"/>
      <w:szCs w:val="24"/>
      <w:lang w:eastAsia="en-IE"/>
    </w:rPr>
  </w:style>
  <w:style w:type="paragraph" w:customStyle="1" w:styleId="Normal3">
    <w:name w:val="Normal3"/>
    <w:basedOn w:val="Normal"/>
    <w:rsid w:val="00B57077"/>
    <w:pPr>
      <w:spacing w:before="100" w:beforeAutospacing="1" w:after="100" w:afterAutospacing="1"/>
      <w:jc w:val="left"/>
    </w:pPr>
    <w:rPr>
      <w:rFonts w:eastAsia="Times New Roman"/>
      <w:szCs w:val="24"/>
    </w:rPr>
  </w:style>
  <w:style w:type="paragraph" w:customStyle="1" w:styleId="Text">
    <w:name w:val="Text"/>
    <w:basedOn w:val="Point0number"/>
    <w:rsid w:val="00620F7E"/>
    <w:pPr>
      <w:numPr>
        <w:numId w:val="0"/>
      </w:numPr>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sid w:val="003D415C"/>
    <w:rPr>
      <w:rFonts w:ascii="Times New Roman" w:hAnsi="Times New Roman" w:cs="Times New Roman"/>
      <w:sz w:val="24"/>
      <w:lang w:val="pl-PL"/>
    </w:rPr>
  </w:style>
  <w:style w:type="paragraph" w:styleId="ListNumber">
    <w:name w:val="List Number"/>
    <w:basedOn w:val="Normal"/>
    <w:rsid w:val="00A7437E"/>
    <w:pPr>
      <w:spacing w:before="0" w:after="240"/>
    </w:pPr>
    <w:rPr>
      <w:rFonts w:eastAsia="Times New Roman"/>
      <w:szCs w:val="20"/>
    </w:rPr>
  </w:style>
  <w:style w:type="character" w:styleId="Hyperlink">
    <w:name w:val="Hyperlink"/>
    <w:basedOn w:val="DefaultParagraphFont"/>
    <w:uiPriority w:val="99"/>
    <w:unhideWhenUsed/>
    <w:rsid w:val="000A4341"/>
    <w:rPr>
      <w:color w:val="0000FF" w:themeColor="hyperlink"/>
      <w:u w:val="single"/>
    </w:rPr>
  </w:style>
  <w:style w:type="paragraph" w:customStyle="1" w:styleId="Default">
    <w:name w:val="Default"/>
    <w:rsid w:val="00CC54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4">
    <w:name w:val="Normal4"/>
    <w:basedOn w:val="Normal"/>
    <w:rsid w:val="00AB0F14"/>
    <w:pPr>
      <w:spacing w:before="100" w:beforeAutospacing="1" w:after="100" w:afterAutospacing="1"/>
      <w:jc w:val="left"/>
    </w:pPr>
    <w:rPr>
      <w:rFonts w:eastAsia="Times New Roman"/>
      <w:szCs w:val="24"/>
      <w:lang w:eastAsia="en-IE"/>
    </w:rPr>
  </w:style>
  <w:style w:type="character" w:customStyle="1" w:styleId="italic">
    <w:name w:val="italic"/>
    <w:basedOn w:val="DefaultParagraphFont"/>
    <w:rsid w:val="00AB0F14"/>
  </w:style>
  <w:style w:type="character" w:customStyle="1" w:styleId="oj-italic">
    <w:name w:val="oj-italic"/>
    <w:basedOn w:val="DefaultParagraphFont"/>
    <w:rsid w:val="001C6E4A"/>
  </w:style>
  <w:style w:type="paragraph" w:styleId="Revision">
    <w:name w:val="Revision"/>
    <w:hidden/>
    <w:uiPriority w:val="99"/>
    <w:semiHidden/>
    <w:rsid w:val="00813613"/>
    <w:pPr>
      <w:spacing w:after="0" w:line="240" w:lineRule="auto"/>
    </w:pPr>
    <w:rPr>
      <w:rFonts w:ascii="Times New Roman" w:hAnsi="Times New Roman" w:cs="Times New Roman"/>
      <w:sz w:val="24"/>
    </w:rPr>
  </w:style>
  <w:style w:type="paragraph" w:customStyle="1" w:styleId="Normal5">
    <w:name w:val="Normal5"/>
    <w:basedOn w:val="Normal"/>
    <w:rsid w:val="000B5538"/>
    <w:pPr>
      <w:spacing w:before="100" w:beforeAutospacing="1" w:after="100" w:afterAutospacing="1"/>
      <w:jc w:val="left"/>
    </w:pPr>
    <w:rPr>
      <w:rFonts w:eastAsia="Times New Roman"/>
      <w:szCs w:val="24"/>
    </w:rPr>
  </w:style>
  <w:style w:type="character" w:customStyle="1" w:styleId="footnotereference">
    <w:name w:val="footnotereference"/>
    <w:basedOn w:val="DefaultParagraphFont"/>
    <w:rsid w:val="000470F2"/>
  </w:style>
  <w:style w:type="paragraph" w:customStyle="1" w:styleId="li">
    <w:name w:val="li"/>
    <w:basedOn w:val="Normal"/>
    <w:rsid w:val="00077A6A"/>
    <w:pPr>
      <w:spacing w:before="100" w:beforeAutospacing="1" w:after="100" w:afterAutospacing="1"/>
      <w:jc w:val="left"/>
    </w:pPr>
    <w:rPr>
      <w:rFonts w:eastAsia="Times New Roman"/>
      <w:szCs w:val="24"/>
    </w:rPr>
  </w:style>
  <w:style w:type="character" w:customStyle="1" w:styleId="num">
    <w:name w:val="num"/>
    <w:basedOn w:val="DefaultParagraphFont"/>
    <w:rsid w:val="00077A6A"/>
  </w:style>
  <w:style w:type="paragraph" w:customStyle="1" w:styleId="text10">
    <w:name w:val="text1"/>
    <w:basedOn w:val="Normal"/>
    <w:rsid w:val="00077A6A"/>
    <w:pPr>
      <w:spacing w:before="100" w:beforeAutospacing="1" w:after="100" w:afterAutospacing="1"/>
      <w:jc w:val="left"/>
    </w:pPr>
    <w:rPr>
      <w:rFonts w:eastAsia="Times New Roman"/>
      <w:szCs w:val="24"/>
    </w:rPr>
  </w:style>
  <w:style w:type="paragraph" w:customStyle="1" w:styleId="ListDash2Level4">
    <w:name w:val="List Dash 2 (Level 4)"/>
    <w:basedOn w:val="Normal"/>
    <w:uiPriority w:val="1"/>
    <w:semiHidden/>
    <w:rsid w:val="00115EFD"/>
    <w:pPr>
      <w:numPr>
        <w:ilvl w:val="3"/>
        <w:numId w:val="5"/>
      </w:numPr>
      <w:spacing w:before="0" w:after="240"/>
    </w:pPr>
    <w:rPr>
      <w:rFonts w:eastAsia="Times New Roman"/>
      <w:szCs w:val="20"/>
    </w:rPr>
  </w:style>
  <w:style w:type="character" w:customStyle="1" w:styleId="UnresolvedMention1">
    <w:name w:val="Unresolved Mention1"/>
    <w:basedOn w:val="DefaultParagraphFont"/>
    <w:uiPriority w:val="99"/>
    <w:semiHidden/>
    <w:unhideWhenUsed/>
    <w:rsid w:val="00C710A2"/>
    <w:rPr>
      <w:color w:val="605E5C"/>
      <w:shd w:val="clear" w:color="auto" w:fill="E1DFDD"/>
    </w:rPr>
  </w:style>
  <w:style w:type="paragraph" w:customStyle="1" w:styleId="ListDash2Level3">
    <w:name w:val="List Dash 2 (Level 3)"/>
    <w:basedOn w:val="Normal"/>
    <w:uiPriority w:val="1"/>
    <w:semiHidden/>
    <w:rsid w:val="00115EFD"/>
    <w:pPr>
      <w:numPr>
        <w:ilvl w:val="2"/>
        <w:numId w:val="5"/>
      </w:numPr>
      <w:spacing w:before="0" w:after="240"/>
    </w:pPr>
    <w:rPr>
      <w:rFonts w:eastAsia="Times New Roman"/>
      <w:szCs w:val="20"/>
    </w:rPr>
  </w:style>
  <w:style w:type="paragraph" w:customStyle="1" w:styleId="ListDash2Level2">
    <w:name w:val="List Dash 2 (Level 2)"/>
    <w:basedOn w:val="Normal"/>
    <w:uiPriority w:val="1"/>
    <w:rsid w:val="00115EFD"/>
    <w:pPr>
      <w:numPr>
        <w:ilvl w:val="1"/>
        <w:numId w:val="5"/>
      </w:numPr>
      <w:spacing w:before="0" w:after="240"/>
    </w:pPr>
    <w:rPr>
      <w:rFonts w:eastAsia="Times New Roman"/>
      <w:szCs w:val="20"/>
    </w:rPr>
  </w:style>
  <w:style w:type="paragraph" w:customStyle="1" w:styleId="ListDash2">
    <w:name w:val="List Dash 2"/>
    <w:basedOn w:val="Normal"/>
    <w:rsid w:val="00115EFD"/>
    <w:pPr>
      <w:numPr>
        <w:numId w:val="5"/>
      </w:numPr>
      <w:spacing w:before="0" w:after="240"/>
    </w:pPr>
    <w:rPr>
      <w:rFonts w:eastAsia="Times New Roman"/>
      <w:szCs w:val="20"/>
    </w:rPr>
  </w:style>
  <w:style w:type="paragraph" w:customStyle="1" w:styleId="Normal6">
    <w:name w:val="Normal6"/>
    <w:basedOn w:val="Normal"/>
    <w:rsid w:val="00FD2546"/>
    <w:pPr>
      <w:spacing w:before="100" w:beforeAutospacing="1" w:after="100" w:afterAutospacing="1"/>
      <w:jc w:val="left"/>
    </w:pPr>
    <w:rPr>
      <w:rFonts w:eastAsia="Times New Roman"/>
      <w:szCs w:val="24"/>
    </w:rPr>
  </w:style>
  <w:style w:type="character" w:styleId="FollowedHyperlink">
    <w:name w:val="FollowedHyperlink"/>
    <w:basedOn w:val="DefaultParagraphFont"/>
    <w:unhideWhenUsed/>
    <w:rsid w:val="00832116"/>
    <w:rPr>
      <w:color w:val="800080" w:themeColor="followedHyperlink"/>
      <w:u w:val="single"/>
    </w:rPr>
  </w:style>
  <w:style w:type="character" w:customStyle="1" w:styleId="UnresolvedMention2">
    <w:name w:val="Unresolved Mention2"/>
    <w:basedOn w:val="DefaultParagraphFont"/>
    <w:uiPriority w:val="99"/>
    <w:semiHidden/>
    <w:unhideWhenUsed/>
    <w:rsid w:val="0091721F"/>
    <w:rPr>
      <w:color w:val="605E5C"/>
      <w:shd w:val="clear" w:color="auto" w:fill="E1DFDD"/>
    </w:rPr>
  </w:style>
  <w:style w:type="paragraph" w:styleId="Caption">
    <w:name w:val="caption"/>
    <w:basedOn w:val="Normal"/>
    <w:next w:val="Normal"/>
    <w:unhideWhenUsed/>
    <w:qFormat/>
    <w:rsid w:val="00A25316"/>
    <w:pPr>
      <w:spacing w:before="0" w:after="200"/>
    </w:pPr>
    <w:rPr>
      <w:i/>
      <w:iCs/>
      <w:color w:val="1F497D" w:themeColor="text2"/>
      <w:sz w:val="18"/>
      <w:szCs w:val="18"/>
    </w:rPr>
  </w:style>
  <w:style w:type="paragraph" w:styleId="TableofFigures">
    <w:name w:val="table of figures"/>
    <w:basedOn w:val="Normal"/>
    <w:next w:val="Normal"/>
    <w:unhideWhenUsed/>
    <w:rsid w:val="00A25316"/>
    <w:pPr>
      <w:spacing w:after="0"/>
    </w:pPr>
  </w:style>
  <w:style w:type="paragraph" w:styleId="ListNumber2">
    <w:name w:val="List Number 2"/>
    <w:basedOn w:val="Normal"/>
    <w:unhideWhenUsed/>
    <w:rsid w:val="00A25316"/>
    <w:pPr>
      <w:numPr>
        <w:numId w:val="6"/>
      </w:numPr>
      <w:contextualSpacing/>
    </w:pPr>
  </w:style>
  <w:style w:type="paragraph" w:styleId="ListNumber3">
    <w:name w:val="List Number 3"/>
    <w:basedOn w:val="Normal"/>
    <w:unhideWhenUsed/>
    <w:rsid w:val="00A25316"/>
    <w:pPr>
      <w:numPr>
        <w:numId w:val="7"/>
      </w:numPr>
      <w:contextualSpacing/>
    </w:pPr>
  </w:style>
  <w:style w:type="paragraph" w:styleId="ListNumber4">
    <w:name w:val="List Number 4"/>
    <w:basedOn w:val="Normal"/>
    <w:unhideWhenUsed/>
    <w:rsid w:val="00A25316"/>
    <w:pPr>
      <w:numPr>
        <w:numId w:val="8"/>
      </w:numPr>
      <w:contextualSpacing/>
    </w:pPr>
  </w:style>
  <w:style w:type="character" w:customStyle="1" w:styleId="UnresolvedMention3">
    <w:name w:val="Unresolved Mention3"/>
    <w:basedOn w:val="DefaultParagraphFont"/>
    <w:uiPriority w:val="99"/>
    <w:semiHidden/>
    <w:unhideWhenUsed/>
    <w:rsid w:val="00F77DBC"/>
    <w:rPr>
      <w:color w:val="605E5C"/>
      <w:shd w:val="clear" w:color="auto" w:fill="E1DFDD"/>
    </w:rPr>
  </w:style>
  <w:style w:type="paragraph" w:customStyle="1" w:styleId="ListBullet1">
    <w:name w:val="List Bullet 1"/>
    <w:basedOn w:val="Normal"/>
    <w:rsid w:val="00CD7E2F"/>
    <w:pPr>
      <w:numPr>
        <w:numId w:val="10"/>
      </w:numPr>
    </w:pPr>
    <w:rPr>
      <w:lang w:eastAsia="en-GB"/>
    </w:rPr>
  </w:style>
  <w:style w:type="paragraph" w:customStyle="1" w:styleId="ListDash">
    <w:name w:val="List Dash"/>
    <w:basedOn w:val="Normal"/>
    <w:rsid w:val="00CD7E2F"/>
    <w:pPr>
      <w:numPr>
        <w:numId w:val="11"/>
      </w:numPr>
    </w:pPr>
    <w:rPr>
      <w:lang w:eastAsia="en-GB"/>
    </w:rPr>
  </w:style>
  <w:style w:type="paragraph" w:customStyle="1" w:styleId="ListDash1">
    <w:name w:val="List Dash 1"/>
    <w:basedOn w:val="Normal"/>
    <w:rsid w:val="00CD7E2F"/>
    <w:pPr>
      <w:numPr>
        <w:numId w:val="12"/>
      </w:numPr>
    </w:pPr>
    <w:rPr>
      <w:lang w:eastAsia="en-GB"/>
    </w:rPr>
  </w:style>
  <w:style w:type="paragraph" w:customStyle="1" w:styleId="ListNumberLevel2">
    <w:name w:val="List Number (Level 2)"/>
    <w:basedOn w:val="Normal"/>
    <w:rsid w:val="00CD7E2F"/>
    <w:pPr>
      <w:tabs>
        <w:tab w:val="num" w:pos="1417"/>
      </w:tabs>
      <w:ind w:left="1417" w:hanging="708"/>
    </w:pPr>
    <w:rPr>
      <w:lang w:eastAsia="en-GB"/>
    </w:rPr>
  </w:style>
  <w:style w:type="paragraph" w:customStyle="1" w:styleId="ListNumberLevel3">
    <w:name w:val="List Number (Level 3)"/>
    <w:basedOn w:val="Normal"/>
    <w:rsid w:val="00CD7E2F"/>
    <w:pPr>
      <w:tabs>
        <w:tab w:val="num" w:pos="2126"/>
      </w:tabs>
      <w:ind w:left="2126" w:hanging="709"/>
    </w:pPr>
    <w:rPr>
      <w:lang w:eastAsia="en-GB"/>
    </w:rPr>
  </w:style>
  <w:style w:type="paragraph" w:customStyle="1" w:styleId="ListNumberLevel4">
    <w:name w:val="List Number (Level 4)"/>
    <w:basedOn w:val="Normal"/>
    <w:rsid w:val="00CD7E2F"/>
    <w:pPr>
      <w:tabs>
        <w:tab w:val="num" w:pos="2835"/>
      </w:tabs>
      <w:ind w:left="2835" w:hanging="709"/>
    </w:pPr>
    <w:rPr>
      <w:lang w:eastAsia="en-GB"/>
    </w:rPr>
  </w:style>
  <w:style w:type="paragraph" w:customStyle="1" w:styleId="Sous-titreobjet">
    <w:name w:val="Sous-titre objet"/>
    <w:basedOn w:val="Normal"/>
    <w:rsid w:val="00CD7E2F"/>
    <w:pPr>
      <w:spacing w:before="0" w:after="0"/>
      <w:jc w:val="center"/>
    </w:pPr>
    <w:rPr>
      <w:b/>
      <w:lang w:eastAsia="en-GB"/>
    </w:rPr>
  </w:style>
  <w:style w:type="paragraph" w:customStyle="1" w:styleId="Sous-titreobjetPagedecouverture">
    <w:name w:val="Sous-titre objet (Page de couverture)"/>
    <w:basedOn w:val="Sous-titreobjet"/>
    <w:rsid w:val="00CD7E2F"/>
  </w:style>
  <w:style w:type="paragraph" w:customStyle="1" w:styleId="FooterCoverPage">
    <w:name w:val="Footer Cover Page"/>
    <w:basedOn w:val="Normal"/>
    <w:link w:val="FooterCoverPageChar"/>
    <w:rsid w:val="00CD7E2F"/>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sid w:val="00CD7E2F"/>
    <w:rPr>
      <w:rFonts w:ascii="Times New Roman" w:hAnsi="Times New Roman" w:cs="Times New Roman"/>
      <w:b/>
      <w:sz w:val="28"/>
      <w:lang w:val="pl-PL"/>
    </w:rPr>
  </w:style>
  <w:style w:type="character" w:customStyle="1" w:styleId="FooterCoverPageChar">
    <w:name w:val="Footer Cover Page Char"/>
    <w:basedOn w:val="TOCHeadingChar"/>
    <w:link w:val="FooterCoverPage"/>
    <w:rsid w:val="00CD7E2F"/>
    <w:rPr>
      <w:rFonts w:ascii="Times New Roman" w:hAnsi="Times New Roman" w:cs="Times New Roman"/>
      <w:b w:val="0"/>
      <w:sz w:val="24"/>
      <w:lang w:val="pl-PL"/>
    </w:rPr>
  </w:style>
  <w:style w:type="paragraph" w:customStyle="1" w:styleId="HeaderCoverPage">
    <w:name w:val="Header Cover Page"/>
    <w:basedOn w:val="Normal"/>
    <w:link w:val="HeaderCoverPageChar"/>
    <w:rsid w:val="00CD7E2F"/>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sid w:val="00CD7E2F"/>
    <w:rPr>
      <w:rFonts w:ascii="Times New Roman" w:hAnsi="Times New Roman" w:cs="Times New Roman"/>
      <w:b w:val="0"/>
      <w:sz w:val="24"/>
      <w:lang w:val="pl-PL" w:eastAsia="en-GB"/>
    </w:rPr>
  </w:style>
  <w:style w:type="paragraph" w:customStyle="1" w:styleId="ListNumber4Level2">
    <w:name w:val="List Number 4 (Level 2)"/>
    <w:basedOn w:val="Text4"/>
    <w:rsid w:val="00CD7E2F"/>
    <w:pPr>
      <w:tabs>
        <w:tab w:val="num" w:pos="2268"/>
      </w:tabs>
      <w:ind w:left="2268" w:hanging="708"/>
    </w:pPr>
    <w:rPr>
      <w:rFonts w:eastAsia="Times New Roman"/>
      <w:lang w:eastAsia="en-GB"/>
    </w:rPr>
  </w:style>
  <w:style w:type="paragraph" w:customStyle="1" w:styleId="ListNumber4Level3">
    <w:name w:val="List Number 4 (Level 3)"/>
    <w:basedOn w:val="Text4"/>
    <w:rsid w:val="00CD7E2F"/>
    <w:pPr>
      <w:tabs>
        <w:tab w:val="num" w:pos="2977"/>
      </w:tabs>
      <w:ind w:left="2977" w:hanging="709"/>
    </w:pPr>
    <w:rPr>
      <w:rFonts w:eastAsia="Times New Roman"/>
      <w:lang w:eastAsia="en-GB"/>
    </w:rPr>
  </w:style>
  <w:style w:type="paragraph" w:customStyle="1" w:styleId="ListNumber4Level4">
    <w:name w:val="List Number 4 (Level 4)"/>
    <w:basedOn w:val="Text4"/>
    <w:rsid w:val="00CD7E2F"/>
    <w:pPr>
      <w:tabs>
        <w:tab w:val="num" w:pos="3686"/>
      </w:tabs>
      <w:ind w:left="3686" w:hanging="709"/>
    </w:pPr>
    <w:rPr>
      <w:rFonts w:eastAsia="Times New Roman"/>
      <w:lang w:eastAsia="en-GB"/>
    </w:rPr>
  </w:style>
  <w:style w:type="paragraph" w:customStyle="1" w:styleId="Text11">
    <w:name w:val="Text 1"/>
    <w:basedOn w:val="Normal"/>
    <w:pPr>
      <w:ind w:left="850"/>
    </w:pPr>
  </w:style>
  <w:style w:type="table" w:styleId="TableGrid">
    <w:name w:val="Table Grid"/>
    <w:basedOn w:val="TableNormal"/>
    <w:rsid w:val="007E564E"/>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rsid w:val="007E564E"/>
    <w:pPr>
      <w:numPr>
        <w:numId w:val="15"/>
      </w:numPr>
    </w:pPr>
    <w:rPr>
      <w:rFonts w:eastAsia="Times New Roman"/>
      <w:lang w:eastAsia="en-GB"/>
    </w:rPr>
  </w:style>
  <w:style w:type="paragraph" w:customStyle="1" w:styleId="ListDash4">
    <w:name w:val="List Dash 4"/>
    <w:basedOn w:val="Normal"/>
    <w:rsid w:val="007E564E"/>
    <w:pPr>
      <w:numPr>
        <w:numId w:val="16"/>
      </w:numPr>
    </w:pPr>
    <w:rPr>
      <w:rFonts w:eastAsia="Times New Roman"/>
      <w:lang w:eastAsia="en-GB"/>
    </w:rPr>
  </w:style>
  <w:style w:type="paragraph" w:customStyle="1" w:styleId="ListNumber1">
    <w:name w:val="List Number 1"/>
    <w:basedOn w:val="Text11"/>
    <w:rsid w:val="007E564E"/>
    <w:pPr>
      <w:numPr>
        <w:numId w:val="17"/>
      </w:numPr>
    </w:pPr>
    <w:rPr>
      <w:rFonts w:eastAsia="Times New Roman"/>
      <w:lang w:eastAsia="en-GB"/>
    </w:rPr>
  </w:style>
  <w:style w:type="paragraph" w:customStyle="1" w:styleId="ListNumber1Level2">
    <w:name w:val="List Number 1 (Level 2)"/>
    <w:basedOn w:val="Text11"/>
    <w:rsid w:val="007E564E"/>
    <w:pPr>
      <w:numPr>
        <w:ilvl w:val="1"/>
        <w:numId w:val="17"/>
      </w:numPr>
    </w:pPr>
    <w:rPr>
      <w:rFonts w:eastAsia="Times New Roman"/>
      <w:lang w:eastAsia="en-GB"/>
    </w:rPr>
  </w:style>
  <w:style w:type="paragraph" w:customStyle="1" w:styleId="ListNumber2Level2">
    <w:name w:val="List Number 2 (Level 2)"/>
    <w:basedOn w:val="Text2"/>
    <w:rsid w:val="007E564E"/>
    <w:pPr>
      <w:tabs>
        <w:tab w:val="num" w:pos="2268"/>
      </w:tabs>
      <w:ind w:left="2268" w:hanging="708"/>
    </w:pPr>
    <w:rPr>
      <w:rFonts w:eastAsia="Times New Roman"/>
      <w:lang w:eastAsia="en-GB"/>
    </w:rPr>
  </w:style>
  <w:style w:type="paragraph" w:customStyle="1" w:styleId="ListNumber3Level2">
    <w:name w:val="List Number 3 (Level 2)"/>
    <w:basedOn w:val="Text3"/>
    <w:rsid w:val="007E564E"/>
    <w:pPr>
      <w:tabs>
        <w:tab w:val="num" w:pos="2268"/>
      </w:tabs>
      <w:ind w:left="2268" w:hanging="708"/>
    </w:pPr>
    <w:rPr>
      <w:rFonts w:eastAsia="Times New Roman"/>
      <w:lang w:eastAsia="en-GB"/>
    </w:rPr>
  </w:style>
  <w:style w:type="paragraph" w:customStyle="1" w:styleId="ListNumber1Level3">
    <w:name w:val="List Number 1 (Level 3)"/>
    <w:basedOn w:val="Text11"/>
    <w:rsid w:val="007E564E"/>
    <w:pPr>
      <w:numPr>
        <w:ilvl w:val="2"/>
        <w:numId w:val="17"/>
      </w:numPr>
    </w:pPr>
    <w:rPr>
      <w:rFonts w:eastAsia="Times New Roman"/>
      <w:lang w:eastAsia="en-GB"/>
    </w:rPr>
  </w:style>
  <w:style w:type="paragraph" w:customStyle="1" w:styleId="ListNumber2Level3">
    <w:name w:val="List Number 2 (Level 3)"/>
    <w:basedOn w:val="Text2"/>
    <w:rsid w:val="007E564E"/>
    <w:pPr>
      <w:tabs>
        <w:tab w:val="num" w:pos="2977"/>
      </w:tabs>
      <w:ind w:left="2977" w:hanging="709"/>
    </w:pPr>
    <w:rPr>
      <w:rFonts w:eastAsia="Times New Roman"/>
      <w:lang w:eastAsia="en-GB"/>
    </w:rPr>
  </w:style>
  <w:style w:type="paragraph" w:customStyle="1" w:styleId="ListNumber3Level3">
    <w:name w:val="List Number 3 (Level 3)"/>
    <w:basedOn w:val="Text3"/>
    <w:rsid w:val="007E564E"/>
    <w:pPr>
      <w:tabs>
        <w:tab w:val="num" w:pos="2977"/>
      </w:tabs>
      <w:ind w:left="2977" w:hanging="709"/>
    </w:pPr>
    <w:rPr>
      <w:rFonts w:eastAsia="Times New Roman"/>
      <w:lang w:eastAsia="en-GB"/>
    </w:rPr>
  </w:style>
  <w:style w:type="paragraph" w:customStyle="1" w:styleId="ListNumber1Level4">
    <w:name w:val="List Number 1 (Level 4)"/>
    <w:basedOn w:val="Text11"/>
    <w:rsid w:val="007E564E"/>
    <w:pPr>
      <w:numPr>
        <w:ilvl w:val="3"/>
        <w:numId w:val="17"/>
      </w:numPr>
    </w:pPr>
    <w:rPr>
      <w:rFonts w:eastAsia="Times New Roman"/>
      <w:lang w:eastAsia="en-GB"/>
    </w:rPr>
  </w:style>
  <w:style w:type="paragraph" w:customStyle="1" w:styleId="ListNumber2Level4">
    <w:name w:val="List Number 2 (Level 4)"/>
    <w:basedOn w:val="Text2"/>
    <w:rsid w:val="007E564E"/>
    <w:pPr>
      <w:tabs>
        <w:tab w:val="num" w:pos="3686"/>
      </w:tabs>
      <w:ind w:left="3686" w:hanging="709"/>
    </w:pPr>
    <w:rPr>
      <w:rFonts w:eastAsia="Times New Roman"/>
      <w:lang w:eastAsia="en-GB"/>
    </w:rPr>
  </w:style>
  <w:style w:type="paragraph" w:customStyle="1" w:styleId="ListNumber3Level4">
    <w:name w:val="List Number 3 (Level 4)"/>
    <w:basedOn w:val="Text3"/>
    <w:rsid w:val="007E564E"/>
    <w:pPr>
      <w:tabs>
        <w:tab w:val="num" w:pos="3686"/>
      </w:tabs>
      <w:ind w:left="3686" w:hanging="709"/>
    </w:pPr>
    <w:rPr>
      <w:rFonts w:eastAsia="Times New Roman"/>
      <w:lang w:eastAsia="en-GB"/>
    </w:rPr>
  </w:style>
  <w:style w:type="paragraph" w:customStyle="1" w:styleId="Annexetitreacte">
    <w:name w:val="Annexe titre (acte)"/>
    <w:basedOn w:val="Normal"/>
    <w:next w:val="Normal"/>
    <w:rsid w:val="007E564E"/>
    <w:pPr>
      <w:jc w:val="center"/>
    </w:pPr>
    <w:rPr>
      <w:rFonts w:eastAsia="Times New Roman"/>
      <w:b/>
      <w:u w:val="single"/>
      <w:lang w:eastAsia="en-GB"/>
    </w:rPr>
  </w:style>
  <w:style w:type="paragraph" w:customStyle="1" w:styleId="Annexetitreexposglobal">
    <w:name w:val="Annexe titre (exposé global)"/>
    <w:basedOn w:val="Normal"/>
    <w:next w:val="Normal"/>
    <w:rsid w:val="007E564E"/>
    <w:pPr>
      <w:jc w:val="center"/>
    </w:pPr>
    <w:rPr>
      <w:rFonts w:eastAsia="Times New Roman"/>
      <w:b/>
      <w:u w:val="single"/>
      <w:lang w:eastAsia="en-GB"/>
    </w:rPr>
  </w:style>
  <w:style w:type="paragraph" w:customStyle="1" w:styleId="Annexetitrefichefinacte">
    <w:name w:val="Annexe titre (fiche fin. acte)"/>
    <w:basedOn w:val="Normal"/>
    <w:next w:val="Normal"/>
    <w:rsid w:val="007E564E"/>
    <w:pPr>
      <w:jc w:val="center"/>
    </w:pPr>
    <w:rPr>
      <w:rFonts w:eastAsia="Times New Roman"/>
      <w:b/>
      <w:u w:val="single"/>
      <w:lang w:eastAsia="en-GB"/>
    </w:rPr>
  </w:style>
  <w:style w:type="paragraph" w:customStyle="1" w:styleId="Annexetitrefichefinglobale">
    <w:name w:val="Annexe titre (fiche fin. globale)"/>
    <w:basedOn w:val="Normal"/>
    <w:next w:val="Normal"/>
    <w:rsid w:val="007E564E"/>
    <w:pPr>
      <w:jc w:val="center"/>
    </w:pPr>
    <w:rPr>
      <w:rFonts w:eastAsia="Times New Roman"/>
      <w:b/>
      <w:u w:val="single"/>
      <w:lang w:eastAsia="en-GB"/>
    </w:rPr>
  </w:style>
  <w:style w:type="paragraph" w:customStyle="1" w:styleId="Annexetitreglobale">
    <w:name w:val="Annexe titre (globale)"/>
    <w:basedOn w:val="Normal"/>
    <w:next w:val="Normal"/>
    <w:rsid w:val="007E564E"/>
    <w:pPr>
      <w:jc w:val="center"/>
    </w:pPr>
    <w:rPr>
      <w:rFonts w:eastAsia="Times New Roman"/>
      <w:b/>
      <w:u w:val="single"/>
      <w:lang w:eastAsia="en-GB"/>
    </w:rPr>
  </w:style>
  <w:style w:type="paragraph" w:customStyle="1" w:styleId="Exposdesmotifstitreglobal">
    <w:name w:val="Exposé des motifs titre (global)"/>
    <w:basedOn w:val="Normal"/>
    <w:next w:val="Normal"/>
    <w:rsid w:val="007E564E"/>
    <w:pPr>
      <w:jc w:val="center"/>
    </w:pPr>
    <w:rPr>
      <w:rFonts w:eastAsia="Times New Roman"/>
      <w:b/>
      <w:u w:val="single"/>
      <w:lang w:eastAsia="en-GB"/>
    </w:rPr>
  </w:style>
  <w:style w:type="paragraph" w:customStyle="1" w:styleId="Langueoriginale">
    <w:name w:val="Langue originale"/>
    <w:basedOn w:val="Normal"/>
    <w:rsid w:val="007E564E"/>
    <w:pPr>
      <w:spacing w:before="360"/>
      <w:jc w:val="center"/>
    </w:pPr>
    <w:rPr>
      <w:rFonts w:eastAsia="Times New Roman"/>
      <w:caps/>
      <w:lang w:eastAsia="en-GB"/>
    </w:rPr>
  </w:style>
  <w:style w:type="paragraph" w:customStyle="1" w:styleId="Phrasefinale">
    <w:name w:val="Phrase finale"/>
    <w:basedOn w:val="Normal"/>
    <w:next w:val="Normal"/>
    <w:rsid w:val="007E564E"/>
    <w:pPr>
      <w:spacing w:before="360" w:after="0"/>
      <w:jc w:val="center"/>
    </w:pPr>
    <w:rPr>
      <w:rFonts w:eastAsia="Times New Roman"/>
      <w:lang w:eastAsia="en-GB"/>
    </w:rPr>
  </w:style>
  <w:style w:type="paragraph" w:customStyle="1" w:styleId="Prliminairetitre">
    <w:name w:val="Préliminaire titre"/>
    <w:basedOn w:val="Normal"/>
    <w:next w:val="Normal"/>
    <w:rsid w:val="007E564E"/>
    <w:pPr>
      <w:spacing w:before="360" w:after="360"/>
      <w:jc w:val="center"/>
    </w:pPr>
    <w:rPr>
      <w:rFonts w:eastAsia="Times New Roman"/>
      <w:b/>
      <w:lang w:eastAsia="en-GB"/>
    </w:rPr>
  </w:style>
  <w:style w:type="paragraph" w:customStyle="1" w:styleId="Prliminairetype">
    <w:name w:val="Préliminaire type"/>
    <w:basedOn w:val="Normal"/>
    <w:next w:val="Normal"/>
    <w:rsid w:val="007E564E"/>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7E564E"/>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7E564E"/>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7E564E"/>
    <w:pPr>
      <w:spacing w:before="0" w:after="0"/>
      <w:ind w:left="5103"/>
      <w:jc w:val="left"/>
    </w:pPr>
    <w:rPr>
      <w:rFonts w:eastAsia="Times New Roman"/>
      <w:lang w:eastAsia="en-GB"/>
    </w:rPr>
  </w:style>
  <w:style w:type="paragraph" w:customStyle="1" w:styleId="Sous-titreobjetprliminaire">
    <w:name w:val="Sous-titre objet (préliminaire)"/>
    <w:basedOn w:val="Normal"/>
    <w:rsid w:val="007E564E"/>
    <w:pPr>
      <w:spacing w:before="0" w:after="0"/>
      <w:jc w:val="center"/>
    </w:pPr>
    <w:rPr>
      <w:rFonts w:eastAsia="Times New Roman"/>
      <w:b/>
      <w:lang w:eastAsia="en-GB"/>
    </w:rPr>
  </w:style>
  <w:style w:type="paragraph" w:customStyle="1" w:styleId="Statutprliminaire">
    <w:name w:val="Statut (préliminaire)"/>
    <w:basedOn w:val="Normal"/>
    <w:next w:val="Normal"/>
    <w:rsid w:val="007E564E"/>
    <w:pPr>
      <w:spacing w:before="360" w:after="0"/>
      <w:jc w:val="center"/>
    </w:pPr>
    <w:rPr>
      <w:rFonts w:eastAsia="Times New Roman"/>
      <w:lang w:eastAsia="en-GB"/>
    </w:rPr>
  </w:style>
  <w:style w:type="paragraph" w:customStyle="1" w:styleId="Titreobjetprliminaire">
    <w:name w:val="Titre objet (préliminaire)"/>
    <w:basedOn w:val="Normal"/>
    <w:next w:val="Normal"/>
    <w:rsid w:val="007E564E"/>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7E564E"/>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7E564E"/>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7E564E"/>
    <w:pPr>
      <w:jc w:val="center"/>
    </w:pPr>
    <w:rPr>
      <w:rFonts w:eastAsia="Times New Roman"/>
      <w:b/>
      <w:u w:val="single"/>
      <w:lang w:eastAsia="en-GB"/>
    </w:rPr>
  </w:style>
  <w:style w:type="paragraph" w:customStyle="1" w:styleId="Fichefinanciretravailtitre">
    <w:name w:val="Fiche financière (travail) titre"/>
    <w:basedOn w:val="Normal"/>
    <w:next w:val="Normal"/>
    <w:rsid w:val="007E564E"/>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7E564E"/>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7E564E"/>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7E564E"/>
    <w:pPr>
      <w:jc w:val="center"/>
    </w:pPr>
    <w:rPr>
      <w:rFonts w:eastAsia="Times New Roman"/>
      <w:b/>
      <w:u w:val="single"/>
      <w:lang w:eastAsia="en-GB"/>
    </w:rPr>
  </w:style>
  <w:style w:type="character" w:styleId="PageNumber">
    <w:name w:val="page number"/>
    <w:rsid w:val="007E564E"/>
  </w:style>
  <w:style w:type="character" w:customStyle="1" w:styleId="tw4winMark">
    <w:name w:val="tw4winMark"/>
    <w:rsid w:val="007E564E"/>
    <w:rPr>
      <w:vanish/>
      <w:color w:val="800080"/>
      <w:vertAlign w:val="subscript"/>
    </w:rPr>
  </w:style>
  <w:style w:type="character" w:customStyle="1" w:styleId="tw4winError">
    <w:name w:val="tw4winError"/>
    <w:rsid w:val="00B341E4"/>
    <w:rPr>
      <w:color w:val="00FF00"/>
      <w:sz w:val="40"/>
      <w:lang w:val="pl-PL" w:eastAsia="en-GB"/>
    </w:rPr>
  </w:style>
  <w:style w:type="character" w:customStyle="1" w:styleId="tw4winTerm">
    <w:name w:val="tw4winTerm"/>
    <w:rsid w:val="00B341E4"/>
    <w:rPr>
      <w:color w:val="0000FF"/>
      <w:lang w:val="pl-PL" w:eastAsia="en-GB"/>
    </w:rPr>
  </w:style>
  <w:style w:type="character" w:customStyle="1" w:styleId="tw4winPopup">
    <w:name w:val="tw4winPopup"/>
    <w:rsid w:val="00B341E4"/>
    <w:rPr>
      <w:noProof/>
      <w:color w:val="008000"/>
      <w:lang w:val="pl-PL" w:eastAsia="en-GB"/>
    </w:rPr>
  </w:style>
  <w:style w:type="character" w:customStyle="1" w:styleId="tw4winJump">
    <w:name w:val="tw4winJump"/>
    <w:rsid w:val="00B341E4"/>
    <w:rPr>
      <w:noProof/>
      <w:color w:val="008080"/>
      <w:lang w:val="pl-PL" w:eastAsia="en-GB"/>
    </w:rPr>
  </w:style>
  <w:style w:type="character" w:customStyle="1" w:styleId="tw4winExternal">
    <w:name w:val="tw4winExternal"/>
    <w:rsid w:val="00B341E4"/>
    <w:rPr>
      <w:noProof/>
      <w:color w:val="808080"/>
      <w:lang w:val="pl-PL" w:eastAsia="en-GB"/>
    </w:rPr>
  </w:style>
  <w:style w:type="character" w:customStyle="1" w:styleId="tw4winInternal">
    <w:name w:val="tw4winInternal"/>
    <w:rsid w:val="00B341E4"/>
    <w:rPr>
      <w:noProof/>
      <w:color w:val="FF0000"/>
      <w:lang w:val="pl-PL" w:eastAsia="en-GB"/>
    </w:rPr>
  </w:style>
  <w:style w:type="character" w:customStyle="1" w:styleId="DONOTTRANSLATE">
    <w:name w:val="DO_NOT_TRANSLATE"/>
    <w:rsid w:val="00B341E4"/>
    <w:rPr>
      <w:noProof/>
      <w:color w:val="800000"/>
      <w:lang w:val="pl-PL" w:eastAsia="en-GB"/>
    </w:rPr>
  </w:style>
  <w:style w:type="paragraph" w:customStyle="1" w:styleId="Text12">
    <w:name w:val="Text 1"/>
    <w:basedOn w:val="Normal"/>
    <w:pPr>
      <w:ind w:left="850"/>
    </w:p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Text110">
    <w:name w:val="Text 11"/>
    <w:basedOn w:val="Normal"/>
    <w:rsid w:val="004E1047"/>
    <w:pPr>
      <w:ind w:left="850"/>
    </w:pPr>
  </w:style>
  <w:style w:type="paragraph" w:customStyle="1" w:styleId="Normal7">
    <w:name w:val="Normal7"/>
    <w:basedOn w:val="Normal"/>
    <w:rsid w:val="000B2C9B"/>
    <w:pPr>
      <w:spacing w:before="100" w:beforeAutospacing="1" w:after="100" w:afterAutospacing="1"/>
      <w:jc w:val="left"/>
    </w:pPr>
    <w:rPr>
      <w:rFonts w:eastAsia="Times New Roman"/>
      <w:szCs w:val="24"/>
      <w:lang w:eastAsia="en-IE"/>
    </w:rPr>
  </w:style>
  <w:style w:type="character" w:customStyle="1" w:styleId="UnresolvedMention4">
    <w:name w:val="Unresolved Mention4"/>
    <w:basedOn w:val="DefaultParagraphFont"/>
    <w:uiPriority w:val="99"/>
    <w:semiHidden/>
    <w:unhideWhenUsed/>
    <w:rsid w:val="00097076"/>
    <w:rPr>
      <w:color w:val="605E5C"/>
      <w:shd w:val="clear" w:color="auto" w:fill="E1DFDD"/>
    </w:rPr>
  </w:style>
  <w:style w:type="character" w:customStyle="1" w:styleId="UnresolvedMention5">
    <w:name w:val="Unresolved Mention5"/>
    <w:basedOn w:val="DefaultParagraphFont"/>
    <w:uiPriority w:val="99"/>
    <w:semiHidden/>
    <w:unhideWhenUsed/>
    <w:rsid w:val="001F4398"/>
    <w:rPr>
      <w:color w:val="605E5C"/>
      <w:shd w:val="clear" w:color="auto" w:fill="E1DFDD"/>
    </w:rPr>
  </w:style>
  <w:style w:type="paragraph" w:styleId="Header">
    <w:name w:val="header"/>
    <w:basedOn w:val="Normal"/>
    <w:link w:val="HeaderChar"/>
    <w:uiPriority w:val="99"/>
    <w:unhideWhenUsed/>
    <w:rsid w:val="00883BC7"/>
    <w:pPr>
      <w:tabs>
        <w:tab w:val="center" w:pos="4535"/>
        <w:tab w:val="right" w:pos="9071"/>
      </w:tabs>
      <w:spacing w:before="0"/>
    </w:pPr>
  </w:style>
  <w:style w:type="character" w:customStyle="1" w:styleId="HeaderChar">
    <w:name w:val="Header Char"/>
    <w:basedOn w:val="DefaultParagraphFont"/>
    <w:link w:val="Header"/>
    <w:uiPriority w:val="99"/>
    <w:rsid w:val="00883BC7"/>
    <w:rPr>
      <w:rFonts w:ascii="Times New Roman" w:hAnsi="Times New Roman" w:cs="Times New Roman"/>
      <w:sz w:val="24"/>
      <w:lang w:val="pl-PL"/>
    </w:rPr>
  </w:style>
  <w:style w:type="paragraph" w:styleId="Footer">
    <w:name w:val="footer"/>
    <w:basedOn w:val="Normal"/>
    <w:link w:val="FooterChar"/>
    <w:uiPriority w:val="99"/>
    <w:unhideWhenUsed/>
    <w:rsid w:val="00883BC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83BC7"/>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883BC7"/>
    <w:pPr>
      <w:tabs>
        <w:tab w:val="center" w:pos="7285"/>
        <w:tab w:val="right" w:pos="14003"/>
      </w:tabs>
      <w:spacing w:before="0"/>
    </w:pPr>
  </w:style>
  <w:style w:type="paragraph" w:customStyle="1" w:styleId="FooterLandscape">
    <w:name w:val="FooterLandscape"/>
    <w:basedOn w:val="Normal"/>
    <w:rsid w:val="00883BC7"/>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883BC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83BC7"/>
    <w:pPr>
      <w:spacing w:before="0"/>
      <w:jc w:val="right"/>
    </w:pPr>
    <w:rPr>
      <w:sz w:val="28"/>
    </w:rPr>
  </w:style>
  <w:style w:type="paragraph" w:customStyle="1" w:styleId="FooterSensitivity">
    <w:name w:val="Footer Sensitivity"/>
    <w:basedOn w:val="Normal"/>
    <w:rsid w:val="00883BC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Tiret5">
    <w:name w:val="Tiret 5"/>
    <w:basedOn w:val="Point5"/>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NumPar5">
    <w:name w:val="NumPar 5"/>
    <w:basedOn w:val="Normal"/>
    <w:next w:val="Text2"/>
    <w:pPr>
      <w:numPr>
        <w:ilvl w:val="4"/>
        <w:numId w:val="39"/>
      </w:numPr>
    </w:pPr>
  </w:style>
  <w:style w:type="paragraph" w:customStyle="1" w:styleId="NumPar6">
    <w:name w:val="NumPar 6"/>
    <w:basedOn w:val="Normal"/>
    <w:next w:val="Text2"/>
    <w:pPr>
      <w:numPr>
        <w:ilvl w:val="5"/>
        <w:numId w:val="39"/>
      </w:numPr>
    </w:pPr>
  </w:style>
  <w:style w:type="paragraph" w:customStyle="1" w:styleId="NumPar7">
    <w:name w:val="NumPar 7"/>
    <w:basedOn w:val="Normal"/>
    <w:next w:val="Text2"/>
    <w:pPr>
      <w:numPr>
        <w:ilvl w:val="6"/>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B34F56"/>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530">
      <w:bodyDiv w:val="1"/>
      <w:marLeft w:val="0"/>
      <w:marRight w:val="0"/>
      <w:marTop w:val="0"/>
      <w:marBottom w:val="0"/>
      <w:divBdr>
        <w:top w:val="none" w:sz="0" w:space="0" w:color="auto"/>
        <w:left w:val="none" w:sz="0" w:space="0" w:color="auto"/>
        <w:bottom w:val="none" w:sz="0" w:space="0" w:color="auto"/>
        <w:right w:val="none" w:sz="0" w:space="0" w:color="auto"/>
      </w:divBdr>
    </w:div>
    <w:div w:id="96488377">
      <w:bodyDiv w:val="1"/>
      <w:marLeft w:val="0"/>
      <w:marRight w:val="0"/>
      <w:marTop w:val="0"/>
      <w:marBottom w:val="0"/>
      <w:divBdr>
        <w:top w:val="none" w:sz="0" w:space="0" w:color="auto"/>
        <w:left w:val="none" w:sz="0" w:space="0" w:color="auto"/>
        <w:bottom w:val="none" w:sz="0" w:space="0" w:color="auto"/>
        <w:right w:val="none" w:sz="0" w:space="0" w:color="auto"/>
      </w:divBdr>
    </w:div>
    <w:div w:id="158666113">
      <w:bodyDiv w:val="1"/>
      <w:marLeft w:val="0"/>
      <w:marRight w:val="0"/>
      <w:marTop w:val="0"/>
      <w:marBottom w:val="0"/>
      <w:divBdr>
        <w:top w:val="none" w:sz="0" w:space="0" w:color="auto"/>
        <w:left w:val="none" w:sz="0" w:space="0" w:color="auto"/>
        <w:bottom w:val="none" w:sz="0" w:space="0" w:color="auto"/>
        <w:right w:val="none" w:sz="0" w:space="0" w:color="auto"/>
      </w:divBdr>
    </w:div>
    <w:div w:id="209537023">
      <w:bodyDiv w:val="1"/>
      <w:marLeft w:val="0"/>
      <w:marRight w:val="0"/>
      <w:marTop w:val="0"/>
      <w:marBottom w:val="0"/>
      <w:divBdr>
        <w:top w:val="none" w:sz="0" w:space="0" w:color="auto"/>
        <w:left w:val="none" w:sz="0" w:space="0" w:color="auto"/>
        <w:bottom w:val="none" w:sz="0" w:space="0" w:color="auto"/>
        <w:right w:val="none" w:sz="0" w:space="0" w:color="auto"/>
      </w:divBdr>
    </w:div>
    <w:div w:id="213935407">
      <w:bodyDiv w:val="1"/>
      <w:marLeft w:val="0"/>
      <w:marRight w:val="0"/>
      <w:marTop w:val="0"/>
      <w:marBottom w:val="0"/>
      <w:divBdr>
        <w:top w:val="none" w:sz="0" w:space="0" w:color="auto"/>
        <w:left w:val="none" w:sz="0" w:space="0" w:color="auto"/>
        <w:bottom w:val="none" w:sz="0" w:space="0" w:color="auto"/>
        <w:right w:val="none" w:sz="0" w:space="0" w:color="auto"/>
      </w:divBdr>
    </w:div>
    <w:div w:id="225650385">
      <w:bodyDiv w:val="1"/>
      <w:marLeft w:val="0"/>
      <w:marRight w:val="0"/>
      <w:marTop w:val="0"/>
      <w:marBottom w:val="0"/>
      <w:divBdr>
        <w:top w:val="none" w:sz="0" w:space="0" w:color="auto"/>
        <w:left w:val="none" w:sz="0" w:space="0" w:color="auto"/>
        <w:bottom w:val="none" w:sz="0" w:space="0" w:color="auto"/>
        <w:right w:val="none" w:sz="0" w:space="0" w:color="auto"/>
      </w:divBdr>
    </w:div>
    <w:div w:id="265313530">
      <w:bodyDiv w:val="1"/>
      <w:marLeft w:val="0"/>
      <w:marRight w:val="0"/>
      <w:marTop w:val="0"/>
      <w:marBottom w:val="0"/>
      <w:divBdr>
        <w:top w:val="none" w:sz="0" w:space="0" w:color="auto"/>
        <w:left w:val="none" w:sz="0" w:space="0" w:color="auto"/>
        <w:bottom w:val="none" w:sz="0" w:space="0" w:color="auto"/>
        <w:right w:val="none" w:sz="0" w:space="0" w:color="auto"/>
      </w:divBdr>
    </w:div>
    <w:div w:id="268318580">
      <w:bodyDiv w:val="1"/>
      <w:marLeft w:val="0"/>
      <w:marRight w:val="0"/>
      <w:marTop w:val="0"/>
      <w:marBottom w:val="0"/>
      <w:divBdr>
        <w:top w:val="none" w:sz="0" w:space="0" w:color="auto"/>
        <w:left w:val="none" w:sz="0" w:space="0" w:color="auto"/>
        <w:bottom w:val="none" w:sz="0" w:space="0" w:color="auto"/>
        <w:right w:val="none" w:sz="0" w:space="0" w:color="auto"/>
      </w:divBdr>
    </w:div>
    <w:div w:id="337315839">
      <w:bodyDiv w:val="1"/>
      <w:marLeft w:val="0"/>
      <w:marRight w:val="0"/>
      <w:marTop w:val="0"/>
      <w:marBottom w:val="0"/>
      <w:divBdr>
        <w:top w:val="none" w:sz="0" w:space="0" w:color="auto"/>
        <w:left w:val="none" w:sz="0" w:space="0" w:color="auto"/>
        <w:bottom w:val="none" w:sz="0" w:space="0" w:color="auto"/>
        <w:right w:val="none" w:sz="0" w:space="0" w:color="auto"/>
      </w:divBdr>
    </w:div>
    <w:div w:id="358361079">
      <w:bodyDiv w:val="1"/>
      <w:marLeft w:val="0"/>
      <w:marRight w:val="0"/>
      <w:marTop w:val="0"/>
      <w:marBottom w:val="0"/>
      <w:divBdr>
        <w:top w:val="none" w:sz="0" w:space="0" w:color="auto"/>
        <w:left w:val="none" w:sz="0" w:space="0" w:color="auto"/>
        <w:bottom w:val="none" w:sz="0" w:space="0" w:color="auto"/>
        <w:right w:val="none" w:sz="0" w:space="0" w:color="auto"/>
      </w:divBdr>
    </w:div>
    <w:div w:id="368846477">
      <w:bodyDiv w:val="1"/>
      <w:marLeft w:val="0"/>
      <w:marRight w:val="0"/>
      <w:marTop w:val="0"/>
      <w:marBottom w:val="0"/>
      <w:divBdr>
        <w:top w:val="none" w:sz="0" w:space="0" w:color="auto"/>
        <w:left w:val="none" w:sz="0" w:space="0" w:color="auto"/>
        <w:bottom w:val="none" w:sz="0" w:space="0" w:color="auto"/>
        <w:right w:val="none" w:sz="0" w:space="0" w:color="auto"/>
      </w:divBdr>
    </w:div>
    <w:div w:id="379591748">
      <w:bodyDiv w:val="1"/>
      <w:marLeft w:val="0"/>
      <w:marRight w:val="0"/>
      <w:marTop w:val="0"/>
      <w:marBottom w:val="0"/>
      <w:divBdr>
        <w:top w:val="none" w:sz="0" w:space="0" w:color="auto"/>
        <w:left w:val="none" w:sz="0" w:space="0" w:color="auto"/>
        <w:bottom w:val="none" w:sz="0" w:space="0" w:color="auto"/>
        <w:right w:val="none" w:sz="0" w:space="0" w:color="auto"/>
      </w:divBdr>
    </w:div>
    <w:div w:id="403381814">
      <w:bodyDiv w:val="1"/>
      <w:marLeft w:val="0"/>
      <w:marRight w:val="0"/>
      <w:marTop w:val="0"/>
      <w:marBottom w:val="0"/>
      <w:divBdr>
        <w:top w:val="none" w:sz="0" w:space="0" w:color="auto"/>
        <w:left w:val="none" w:sz="0" w:space="0" w:color="auto"/>
        <w:bottom w:val="none" w:sz="0" w:space="0" w:color="auto"/>
        <w:right w:val="none" w:sz="0" w:space="0" w:color="auto"/>
      </w:divBdr>
    </w:div>
    <w:div w:id="405957417">
      <w:bodyDiv w:val="1"/>
      <w:marLeft w:val="0"/>
      <w:marRight w:val="0"/>
      <w:marTop w:val="0"/>
      <w:marBottom w:val="0"/>
      <w:divBdr>
        <w:top w:val="none" w:sz="0" w:space="0" w:color="auto"/>
        <w:left w:val="none" w:sz="0" w:space="0" w:color="auto"/>
        <w:bottom w:val="none" w:sz="0" w:space="0" w:color="auto"/>
        <w:right w:val="none" w:sz="0" w:space="0" w:color="auto"/>
      </w:divBdr>
    </w:div>
    <w:div w:id="452477939">
      <w:bodyDiv w:val="1"/>
      <w:marLeft w:val="0"/>
      <w:marRight w:val="0"/>
      <w:marTop w:val="0"/>
      <w:marBottom w:val="0"/>
      <w:divBdr>
        <w:top w:val="none" w:sz="0" w:space="0" w:color="auto"/>
        <w:left w:val="none" w:sz="0" w:space="0" w:color="auto"/>
        <w:bottom w:val="none" w:sz="0" w:space="0" w:color="auto"/>
        <w:right w:val="none" w:sz="0" w:space="0" w:color="auto"/>
      </w:divBdr>
    </w:div>
    <w:div w:id="502477789">
      <w:bodyDiv w:val="1"/>
      <w:marLeft w:val="0"/>
      <w:marRight w:val="0"/>
      <w:marTop w:val="0"/>
      <w:marBottom w:val="0"/>
      <w:divBdr>
        <w:top w:val="none" w:sz="0" w:space="0" w:color="auto"/>
        <w:left w:val="none" w:sz="0" w:space="0" w:color="auto"/>
        <w:bottom w:val="none" w:sz="0" w:space="0" w:color="auto"/>
        <w:right w:val="none" w:sz="0" w:space="0" w:color="auto"/>
      </w:divBdr>
    </w:div>
    <w:div w:id="548954887">
      <w:bodyDiv w:val="1"/>
      <w:marLeft w:val="0"/>
      <w:marRight w:val="0"/>
      <w:marTop w:val="0"/>
      <w:marBottom w:val="0"/>
      <w:divBdr>
        <w:top w:val="none" w:sz="0" w:space="0" w:color="auto"/>
        <w:left w:val="none" w:sz="0" w:space="0" w:color="auto"/>
        <w:bottom w:val="none" w:sz="0" w:space="0" w:color="auto"/>
        <w:right w:val="none" w:sz="0" w:space="0" w:color="auto"/>
      </w:divBdr>
    </w:div>
    <w:div w:id="637878850">
      <w:bodyDiv w:val="1"/>
      <w:marLeft w:val="0"/>
      <w:marRight w:val="0"/>
      <w:marTop w:val="0"/>
      <w:marBottom w:val="0"/>
      <w:divBdr>
        <w:top w:val="none" w:sz="0" w:space="0" w:color="auto"/>
        <w:left w:val="none" w:sz="0" w:space="0" w:color="auto"/>
        <w:bottom w:val="none" w:sz="0" w:space="0" w:color="auto"/>
        <w:right w:val="none" w:sz="0" w:space="0" w:color="auto"/>
      </w:divBdr>
    </w:div>
    <w:div w:id="701173208">
      <w:bodyDiv w:val="1"/>
      <w:marLeft w:val="0"/>
      <w:marRight w:val="0"/>
      <w:marTop w:val="0"/>
      <w:marBottom w:val="0"/>
      <w:divBdr>
        <w:top w:val="none" w:sz="0" w:space="0" w:color="auto"/>
        <w:left w:val="none" w:sz="0" w:space="0" w:color="auto"/>
        <w:bottom w:val="none" w:sz="0" w:space="0" w:color="auto"/>
        <w:right w:val="none" w:sz="0" w:space="0" w:color="auto"/>
      </w:divBdr>
    </w:div>
    <w:div w:id="712383828">
      <w:bodyDiv w:val="1"/>
      <w:marLeft w:val="0"/>
      <w:marRight w:val="0"/>
      <w:marTop w:val="0"/>
      <w:marBottom w:val="0"/>
      <w:divBdr>
        <w:top w:val="none" w:sz="0" w:space="0" w:color="auto"/>
        <w:left w:val="none" w:sz="0" w:space="0" w:color="auto"/>
        <w:bottom w:val="none" w:sz="0" w:space="0" w:color="auto"/>
        <w:right w:val="none" w:sz="0" w:space="0" w:color="auto"/>
      </w:divBdr>
    </w:div>
    <w:div w:id="892233237">
      <w:bodyDiv w:val="1"/>
      <w:marLeft w:val="0"/>
      <w:marRight w:val="0"/>
      <w:marTop w:val="0"/>
      <w:marBottom w:val="0"/>
      <w:divBdr>
        <w:top w:val="none" w:sz="0" w:space="0" w:color="auto"/>
        <w:left w:val="none" w:sz="0" w:space="0" w:color="auto"/>
        <w:bottom w:val="none" w:sz="0" w:space="0" w:color="auto"/>
        <w:right w:val="none" w:sz="0" w:space="0" w:color="auto"/>
      </w:divBdr>
      <w:divsChild>
        <w:div w:id="1047486623">
          <w:marLeft w:val="0"/>
          <w:marRight w:val="0"/>
          <w:marTop w:val="0"/>
          <w:marBottom w:val="0"/>
          <w:divBdr>
            <w:top w:val="none" w:sz="0" w:space="0" w:color="auto"/>
            <w:left w:val="none" w:sz="0" w:space="0" w:color="auto"/>
            <w:bottom w:val="none" w:sz="0" w:space="0" w:color="auto"/>
            <w:right w:val="none" w:sz="0" w:space="0" w:color="auto"/>
          </w:divBdr>
        </w:div>
        <w:div w:id="1604535049">
          <w:marLeft w:val="0"/>
          <w:marRight w:val="0"/>
          <w:marTop w:val="0"/>
          <w:marBottom w:val="0"/>
          <w:divBdr>
            <w:top w:val="none" w:sz="0" w:space="0" w:color="auto"/>
            <w:left w:val="none" w:sz="0" w:space="0" w:color="auto"/>
            <w:bottom w:val="none" w:sz="0" w:space="0" w:color="auto"/>
            <w:right w:val="none" w:sz="0" w:space="0" w:color="auto"/>
          </w:divBdr>
        </w:div>
        <w:div w:id="1580140967">
          <w:marLeft w:val="0"/>
          <w:marRight w:val="0"/>
          <w:marTop w:val="0"/>
          <w:marBottom w:val="0"/>
          <w:divBdr>
            <w:top w:val="none" w:sz="0" w:space="0" w:color="auto"/>
            <w:left w:val="none" w:sz="0" w:space="0" w:color="auto"/>
            <w:bottom w:val="none" w:sz="0" w:space="0" w:color="auto"/>
            <w:right w:val="none" w:sz="0" w:space="0" w:color="auto"/>
          </w:divBdr>
        </w:div>
        <w:div w:id="1731878883">
          <w:marLeft w:val="0"/>
          <w:marRight w:val="0"/>
          <w:marTop w:val="0"/>
          <w:marBottom w:val="0"/>
          <w:divBdr>
            <w:top w:val="none" w:sz="0" w:space="0" w:color="auto"/>
            <w:left w:val="none" w:sz="0" w:space="0" w:color="auto"/>
            <w:bottom w:val="none" w:sz="0" w:space="0" w:color="auto"/>
            <w:right w:val="none" w:sz="0" w:space="0" w:color="auto"/>
          </w:divBdr>
        </w:div>
        <w:div w:id="675159362">
          <w:marLeft w:val="0"/>
          <w:marRight w:val="0"/>
          <w:marTop w:val="0"/>
          <w:marBottom w:val="0"/>
          <w:divBdr>
            <w:top w:val="none" w:sz="0" w:space="0" w:color="auto"/>
            <w:left w:val="none" w:sz="0" w:space="0" w:color="auto"/>
            <w:bottom w:val="none" w:sz="0" w:space="0" w:color="auto"/>
            <w:right w:val="none" w:sz="0" w:space="0" w:color="auto"/>
          </w:divBdr>
        </w:div>
        <w:div w:id="2062316820">
          <w:marLeft w:val="0"/>
          <w:marRight w:val="0"/>
          <w:marTop w:val="0"/>
          <w:marBottom w:val="0"/>
          <w:divBdr>
            <w:top w:val="none" w:sz="0" w:space="0" w:color="auto"/>
            <w:left w:val="none" w:sz="0" w:space="0" w:color="auto"/>
            <w:bottom w:val="none" w:sz="0" w:space="0" w:color="auto"/>
            <w:right w:val="none" w:sz="0" w:space="0" w:color="auto"/>
          </w:divBdr>
        </w:div>
      </w:divsChild>
    </w:div>
    <w:div w:id="906457574">
      <w:bodyDiv w:val="1"/>
      <w:marLeft w:val="0"/>
      <w:marRight w:val="0"/>
      <w:marTop w:val="0"/>
      <w:marBottom w:val="0"/>
      <w:divBdr>
        <w:top w:val="none" w:sz="0" w:space="0" w:color="auto"/>
        <w:left w:val="none" w:sz="0" w:space="0" w:color="auto"/>
        <w:bottom w:val="none" w:sz="0" w:space="0" w:color="auto"/>
        <w:right w:val="none" w:sz="0" w:space="0" w:color="auto"/>
      </w:divBdr>
    </w:div>
    <w:div w:id="912591420">
      <w:bodyDiv w:val="1"/>
      <w:marLeft w:val="0"/>
      <w:marRight w:val="0"/>
      <w:marTop w:val="0"/>
      <w:marBottom w:val="0"/>
      <w:divBdr>
        <w:top w:val="none" w:sz="0" w:space="0" w:color="auto"/>
        <w:left w:val="none" w:sz="0" w:space="0" w:color="auto"/>
        <w:bottom w:val="none" w:sz="0" w:space="0" w:color="auto"/>
        <w:right w:val="none" w:sz="0" w:space="0" w:color="auto"/>
      </w:divBdr>
    </w:div>
    <w:div w:id="970860082">
      <w:bodyDiv w:val="1"/>
      <w:marLeft w:val="0"/>
      <w:marRight w:val="0"/>
      <w:marTop w:val="0"/>
      <w:marBottom w:val="0"/>
      <w:divBdr>
        <w:top w:val="none" w:sz="0" w:space="0" w:color="auto"/>
        <w:left w:val="none" w:sz="0" w:space="0" w:color="auto"/>
        <w:bottom w:val="none" w:sz="0" w:space="0" w:color="auto"/>
        <w:right w:val="none" w:sz="0" w:space="0" w:color="auto"/>
      </w:divBdr>
    </w:div>
    <w:div w:id="1057625189">
      <w:bodyDiv w:val="1"/>
      <w:marLeft w:val="0"/>
      <w:marRight w:val="0"/>
      <w:marTop w:val="0"/>
      <w:marBottom w:val="0"/>
      <w:divBdr>
        <w:top w:val="none" w:sz="0" w:space="0" w:color="auto"/>
        <w:left w:val="none" w:sz="0" w:space="0" w:color="auto"/>
        <w:bottom w:val="none" w:sz="0" w:space="0" w:color="auto"/>
        <w:right w:val="none" w:sz="0" w:space="0" w:color="auto"/>
      </w:divBdr>
    </w:div>
    <w:div w:id="1114397214">
      <w:bodyDiv w:val="1"/>
      <w:marLeft w:val="0"/>
      <w:marRight w:val="0"/>
      <w:marTop w:val="0"/>
      <w:marBottom w:val="0"/>
      <w:divBdr>
        <w:top w:val="none" w:sz="0" w:space="0" w:color="auto"/>
        <w:left w:val="none" w:sz="0" w:space="0" w:color="auto"/>
        <w:bottom w:val="none" w:sz="0" w:space="0" w:color="auto"/>
        <w:right w:val="none" w:sz="0" w:space="0" w:color="auto"/>
      </w:divBdr>
    </w:div>
    <w:div w:id="1198466783">
      <w:bodyDiv w:val="1"/>
      <w:marLeft w:val="0"/>
      <w:marRight w:val="0"/>
      <w:marTop w:val="0"/>
      <w:marBottom w:val="0"/>
      <w:divBdr>
        <w:top w:val="none" w:sz="0" w:space="0" w:color="auto"/>
        <w:left w:val="none" w:sz="0" w:space="0" w:color="auto"/>
        <w:bottom w:val="none" w:sz="0" w:space="0" w:color="auto"/>
        <w:right w:val="none" w:sz="0" w:space="0" w:color="auto"/>
      </w:divBdr>
    </w:div>
    <w:div w:id="1343554240">
      <w:bodyDiv w:val="1"/>
      <w:marLeft w:val="0"/>
      <w:marRight w:val="0"/>
      <w:marTop w:val="0"/>
      <w:marBottom w:val="0"/>
      <w:divBdr>
        <w:top w:val="none" w:sz="0" w:space="0" w:color="auto"/>
        <w:left w:val="none" w:sz="0" w:space="0" w:color="auto"/>
        <w:bottom w:val="none" w:sz="0" w:space="0" w:color="auto"/>
        <w:right w:val="none" w:sz="0" w:space="0" w:color="auto"/>
      </w:divBdr>
    </w:div>
    <w:div w:id="1378704823">
      <w:bodyDiv w:val="1"/>
      <w:marLeft w:val="0"/>
      <w:marRight w:val="0"/>
      <w:marTop w:val="0"/>
      <w:marBottom w:val="0"/>
      <w:divBdr>
        <w:top w:val="none" w:sz="0" w:space="0" w:color="auto"/>
        <w:left w:val="none" w:sz="0" w:space="0" w:color="auto"/>
        <w:bottom w:val="none" w:sz="0" w:space="0" w:color="auto"/>
        <w:right w:val="none" w:sz="0" w:space="0" w:color="auto"/>
      </w:divBdr>
    </w:div>
    <w:div w:id="1490098445">
      <w:bodyDiv w:val="1"/>
      <w:marLeft w:val="0"/>
      <w:marRight w:val="0"/>
      <w:marTop w:val="0"/>
      <w:marBottom w:val="0"/>
      <w:divBdr>
        <w:top w:val="none" w:sz="0" w:space="0" w:color="auto"/>
        <w:left w:val="none" w:sz="0" w:space="0" w:color="auto"/>
        <w:bottom w:val="none" w:sz="0" w:space="0" w:color="auto"/>
        <w:right w:val="none" w:sz="0" w:space="0" w:color="auto"/>
      </w:divBdr>
    </w:div>
    <w:div w:id="1494177961">
      <w:bodyDiv w:val="1"/>
      <w:marLeft w:val="0"/>
      <w:marRight w:val="0"/>
      <w:marTop w:val="0"/>
      <w:marBottom w:val="0"/>
      <w:divBdr>
        <w:top w:val="none" w:sz="0" w:space="0" w:color="auto"/>
        <w:left w:val="none" w:sz="0" w:space="0" w:color="auto"/>
        <w:bottom w:val="none" w:sz="0" w:space="0" w:color="auto"/>
        <w:right w:val="none" w:sz="0" w:space="0" w:color="auto"/>
      </w:divBdr>
    </w:div>
    <w:div w:id="1574008782">
      <w:bodyDiv w:val="1"/>
      <w:marLeft w:val="0"/>
      <w:marRight w:val="0"/>
      <w:marTop w:val="0"/>
      <w:marBottom w:val="0"/>
      <w:divBdr>
        <w:top w:val="none" w:sz="0" w:space="0" w:color="auto"/>
        <w:left w:val="none" w:sz="0" w:space="0" w:color="auto"/>
        <w:bottom w:val="none" w:sz="0" w:space="0" w:color="auto"/>
        <w:right w:val="none" w:sz="0" w:space="0" w:color="auto"/>
      </w:divBdr>
    </w:div>
    <w:div w:id="1667980802">
      <w:bodyDiv w:val="1"/>
      <w:marLeft w:val="0"/>
      <w:marRight w:val="0"/>
      <w:marTop w:val="0"/>
      <w:marBottom w:val="0"/>
      <w:divBdr>
        <w:top w:val="none" w:sz="0" w:space="0" w:color="auto"/>
        <w:left w:val="none" w:sz="0" w:space="0" w:color="auto"/>
        <w:bottom w:val="none" w:sz="0" w:space="0" w:color="auto"/>
        <w:right w:val="none" w:sz="0" w:space="0" w:color="auto"/>
      </w:divBdr>
    </w:div>
    <w:div w:id="1734352384">
      <w:bodyDiv w:val="1"/>
      <w:marLeft w:val="0"/>
      <w:marRight w:val="0"/>
      <w:marTop w:val="0"/>
      <w:marBottom w:val="0"/>
      <w:divBdr>
        <w:top w:val="none" w:sz="0" w:space="0" w:color="auto"/>
        <w:left w:val="none" w:sz="0" w:space="0" w:color="auto"/>
        <w:bottom w:val="none" w:sz="0" w:space="0" w:color="auto"/>
        <w:right w:val="none" w:sz="0" w:space="0" w:color="auto"/>
      </w:divBdr>
      <w:divsChild>
        <w:div w:id="2104295700">
          <w:marLeft w:val="0"/>
          <w:marRight w:val="0"/>
          <w:marTop w:val="0"/>
          <w:marBottom w:val="0"/>
          <w:divBdr>
            <w:top w:val="none" w:sz="0" w:space="0" w:color="auto"/>
            <w:left w:val="none" w:sz="0" w:space="0" w:color="auto"/>
            <w:bottom w:val="none" w:sz="0" w:space="0" w:color="auto"/>
            <w:right w:val="none" w:sz="0" w:space="0" w:color="auto"/>
          </w:divBdr>
        </w:div>
      </w:divsChild>
    </w:div>
    <w:div w:id="1746292904">
      <w:bodyDiv w:val="1"/>
      <w:marLeft w:val="0"/>
      <w:marRight w:val="0"/>
      <w:marTop w:val="0"/>
      <w:marBottom w:val="0"/>
      <w:divBdr>
        <w:top w:val="none" w:sz="0" w:space="0" w:color="auto"/>
        <w:left w:val="none" w:sz="0" w:space="0" w:color="auto"/>
        <w:bottom w:val="none" w:sz="0" w:space="0" w:color="auto"/>
        <w:right w:val="none" w:sz="0" w:space="0" w:color="auto"/>
      </w:divBdr>
    </w:div>
    <w:div w:id="21375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myintracomm.ec.europa.eu/corp/budget/financial-rules/legal-framework/internal-rules/Documents/2021-5-legislative-financial-statement-ann-en.docx" TargetMode="Externa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7.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s://eur-lex.europa.eu/legal-content/PL/TXT/?uri=OJ%3AL%3A2018%3A312%3ATOC" TargetMode="Externa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7.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myintracomm.ec.europa.eu/budgweb/EN/man/budgmanag/Pages/budgmanag.aspx" TargetMode="External"/><Relationship Id="rId3" Type="http://schemas.openxmlformats.org/officeDocument/2006/relationships/hyperlink" Target="https://eur-lex.europa.eu/legal-content/pl/TXT/PDF/?uri=CELEX:52022DC0301" TargetMode="External"/><Relationship Id="rId7" Type="http://schemas.openxmlformats.org/officeDocument/2006/relationships/hyperlink" Target="https://eur-lex.europa.eu/legal-content/PL/AUTO/?uri=OJ:L:2011:160:TOC" TargetMode="External"/><Relationship Id="rId2" Type="http://schemas.openxmlformats.org/officeDocument/2006/relationships/hyperlink" Target="https://data.europa.eu/doi/10.2837/882434" TargetMode="External"/><Relationship Id="rId1" Type="http://schemas.openxmlformats.org/officeDocument/2006/relationships/hyperlink" Target="https://www.icao.int/annual-report-2019/Pages/the-world-of-air-transport-in-2019.aspx" TargetMode="External"/><Relationship Id="rId6" Type="http://schemas.openxmlformats.org/officeDocument/2006/relationships/hyperlink" Target="https://eur-lex.europa.eu/legal-content/PL/AUTO/?uri=OJ:L:2011:160:TOC" TargetMode="External"/><Relationship Id="rId5" Type="http://schemas.openxmlformats.org/officeDocument/2006/relationships/hyperlink" Target="https://ec.europa.eu/info/law/better-regulation/have-your-say/initiatives/12434-Zarzadzanie-granicami-i-egzekwowanie-prawa-dane-pasazera-linii-lotniczych-przekazywane-przed-podroza-API-zmienione-przepisy_pl" TargetMode="External"/><Relationship Id="rId4" Type="http://schemas.openxmlformats.org/officeDocument/2006/relationships/hyperlink" Target="https://www.icao.int/publications/documents/9303_p1_cons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e5f51cd2-38e2-430d-b03f-ad51d1dd8bec">EN</EC_Collab_DocumentLanguage>
    <EC_Collab_Status xmlns="e5f51cd2-38e2-430d-b03f-ad51d1dd8bec">Not Started</EC_Collab_Status>
    <EC_Collab_Reference xmlns="e5f51cd2-38e2-430d-b03f-ad51d1dd8b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A6B6CD88ED896E41B4480A7573DC40D3" ma:contentTypeVersion="2" ma:contentTypeDescription="Create a new document in this library." ma:contentTypeScope="" ma:versionID="3d4f4944961dc0bf07d6919aab4c1ff5">
  <xsd:schema xmlns:xsd="http://www.w3.org/2001/XMLSchema" xmlns:xs="http://www.w3.org/2001/XMLSchema" xmlns:p="http://schemas.microsoft.com/office/2006/metadata/properties" xmlns:ns2="http://schemas.microsoft.com/sharepoint/v3/fields" xmlns:ns3="e5f51cd2-38e2-430d-b03f-ad51d1dd8bec" xmlns:ns4="f03fe63a-5fd2-4ae2-a2d2-608dfbf1d847" targetNamespace="http://schemas.microsoft.com/office/2006/metadata/properties" ma:root="true" ma:fieldsID="a43deb29ec87c1c405474b13b39f0697" ns2:_="" ns3:_="" ns4:_="">
    <xsd:import namespace="http://schemas.microsoft.com/sharepoint/v3/fields"/>
    <xsd:import namespace="e5f51cd2-38e2-430d-b03f-ad51d1dd8bec"/>
    <xsd:import namespace="f03fe63a-5fd2-4ae2-a2d2-608dfbf1d847"/>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f51cd2-38e2-430d-b03f-ad51d1dd8be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f03fe63a-5fd2-4ae2-a2d2-608dfbf1d8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85D3-44DA-41F9-B585-FA6B032938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03fe63a-5fd2-4ae2-a2d2-608dfbf1d847"/>
    <ds:schemaRef ds:uri="e5f51cd2-38e2-430d-b03f-ad51d1dd8bec"/>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7881178D-AF40-4950-9B0A-EACE6DAD1817}">
  <ds:schemaRefs>
    <ds:schemaRef ds:uri="http://schemas.microsoft.com/sharepoint/v3/contenttype/forms"/>
  </ds:schemaRefs>
</ds:datastoreItem>
</file>

<file path=customXml/itemProps3.xml><?xml version="1.0" encoding="utf-8"?>
<ds:datastoreItem xmlns:ds="http://schemas.openxmlformats.org/officeDocument/2006/customXml" ds:itemID="{A5E8F671-CE4D-4B0F-A2F9-55614843F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f51cd2-38e2-430d-b03f-ad51d1dd8bec"/>
    <ds:schemaRef ds:uri="f03fe63a-5fd2-4ae2-a2d2-608dfbf1d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FF1140-93DD-4620-B15F-533E8C4E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83</Pages>
  <Words>24546</Words>
  <Characters>162743</Characters>
  <Application>Microsoft Office Word</Application>
  <DocSecurity>0</DocSecurity>
  <Lines>4649</Lines>
  <Paragraphs>1950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43</cp:revision>
  <cp:lastPrinted>2022-12-08T18:32:00Z</cp:lastPrinted>
  <dcterms:created xsi:type="dcterms:W3CDTF">2023-02-03T14:16:00Z</dcterms:created>
  <dcterms:modified xsi:type="dcterms:W3CDTF">2023-02-06T11:11:00Z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0x010100258AA79CEB83498886A3A0868112325000A6B6CD88ED896E41B4480A7573DC40D3</vt:lpwstr>
  </property>
  <property fmtid="{D5CDD505-2E9C-101B-9397-08002B2CF9AE}" pid="10" name="MSIP_Label_6bd9ddd1-4d20-43f6-abfa-fc3c07406f94_Enabled">
    <vt:lpwstr>true</vt:lpwstr>
  </property>
  <property fmtid="{D5CDD505-2E9C-101B-9397-08002B2CF9AE}" pid="11" name="MSIP_Label_6bd9ddd1-4d20-43f6-abfa-fc3c07406f94_SetDate">
    <vt:lpwstr>2022-09-19T16:15:49Z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34957357-70f2-43ac-a436-8fe45d769e47</vt:lpwstr>
  </property>
  <property fmtid="{D5CDD505-2E9C-101B-9397-08002B2CF9AE}" pid="16" name="MSIP_Label_6bd9ddd1-4d20-43f6-abfa-fc3c07406f94_ContentBits">
    <vt:lpwstr>0</vt:lpwstr>
  </property>
  <property fmtid="{D5CDD505-2E9C-101B-9397-08002B2CF9AE}" pid="17" name="Last edited using">
    <vt:lpwstr>LW 8.1, Build 20220902</vt:lpwstr>
  </property>
  <property fmtid="{D5CDD505-2E9C-101B-9397-08002B2CF9AE}" pid="18" name="DQCStatus">
    <vt:lpwstr>Green (DQC version 03)</vt:lpwstr>
  </property>
</Properties>
</file>