
<file path=[Content_Types].xml><?xml version="1.0" encoding="utf-8"?>
<Types xmlns="http://schemas.openxmlformats.org/package/2006/content-types">
  <Default Extension="png" ContentType="image/png"/>
  <Default Extension="svg" ContentType="image/svg+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69B24" w14:textId="3C5F104D" w:rsidR="005B39A8" w:rsidRDefault="00CB7CA9" w:rsidP="00CB7CA9">
      <w:pPr>
        <w:pStyle w:val="Pagedecouverture"/>
        <w:rPr>
          <w:noProof/>
        </w:rPr>
      </w:pPr>
      <w:bookmarkStart w:id="0" w:name="LW_BM_COVERPAGE"/>
      <w:r>
        <w:rPr>
          <w:noProof/>
        </w:rPr>
        <w:pict w14:anchorId="1299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9236D79-043B-4ACD-97D2-CFBB2332B04C" style="width:455.15pt;height:337.05pt">
            <v:imagedata r:id="rId11" o:title=""/>
          </v:shape>
        </w:pict>
      </w:r>
    </w:p>
    <w:bookmarkEnd w:id="0"/>
    <w:p w14:paraId="7A6A9213" w14:textId="77777777" w:rsidR="005B39A8" w:rsidRDefault="005B39A8" w:rsidP="005B39A8">
      <w:pPr>
        <w:rPr>
          <w:noProof/>
        </w:rPr>
        <w:sectPr w:rsidR="005B39A8" w:rsidSect="00CB7CA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572CAE7" w14:textId="6ADC2444" w:rsidR="005B39A8" w:rsidRPr="008D157D" w:rsidRDefault="001F3593" w:rsidP="005B39A8">
      <w:pPr>
        <w:pStyle w:val="ListParagraph"/>
        <w:numPr>
          <w:ilvl w:val="0"/>
          <w:numId w:val="18"/>
        </w:numPr>
        <w:spacing w:line="240" w:lineRule="auto"/>
        <w:jc w:val="both"/>
        <w:rPr>
          <w:rFonts w:ascii="Times New Roman" w:hAnsi="Times New Roman" w:cs="Times New Roman"/>
          <w:b/>
          <w:bCs/>
          <w:noProof/>
          <w:sz w:val="24"/>
          <w:szCs w:val="24"/>
        </w:rPr>
      </w:pPr>
      <w:bookmarkStart w:id="1" w:name="_GoBack"/>
      <w:bookmarkEnd w:id="1"/>
      <w:r>
        <w:rPr>
          <w:rFonts w:ascii="Times New Roman" w:hAnsi="Times New Roman"/>
          <w:b/>
          <w:noProof/>
          <w:sz w:val="24"/>
        </w:rPr>
        <w:lastRenderedPageBreak/>
        <w:t xml:space="preserve">Η Ευρωπαϊκή Ένωση στο μεταβαλλόμενο τοπίο κινδύνου: προετοιμασία για το άγνωστο </w:t>
      </w:r>
    </w:p>
    <w:p w14:paraId="7FDEDE40" w14:textId="59E54E41" w:rsidR="005B39A8" w:rsidRPr="008D157D" w:rsidRDefault="1C11E985" w:rsidP="005B39A8">
      <w:pPr>
        <w:spacing w:line="240" w:lineRule="auto"/>
        <w:jc w:val="both"/>
        <w:rPr>
          <w:rFonts w:ascii="Times New Roman" w:hAnsi="Times New Roman" w:cs="Times New Roman"/>
          <w:noProof/>
          <w:sz w:val="24"/>
          <w:szCs w:val="24"/>
        </w:rPr>
      </w:pPr>
      <w:r>
        <w:rPr>
          <w:rFonts w:ascii="Times New Roman" w:hAnsi="Times New Roman"/>
          <w:noProof/>
          <w:sz w:val="24"/>
        </w:rPr>
        <w:t xml:space="preserve">Η ΕΕ βρίσκεται αντιμέτωπη με πολλαπλές, ταυτόχρονες προκλήσεις και απειλές, ορισμένες από τις οποίες μέχρι πολύ πρόσφατα θεωρούνταν αδιανόητες. Επομένως, πρέπει να προβλέπει αυτές τις προκλήσεις και να είναι καλύτερα προετοιμασμένη. </w:t>
      </w:r>
      <w:r>
        <w:rPr>
          <w:rFonts w:ascii="Times New Roman" w:hAnsi="Times New Roman"/>
          <w:b/>
          <w:noProof/>
          <w:sz w:val="24"/>
        </w:rPr>
        <w:t>Ο επιθετικός πόλεμος της Ρωσίας κατά της Ουκρανίας</w:t>
      </w:r>
      <w:r>
        <w:rPr>
          <w:rFonts w:ascii="Times New Roman" w:hAnsi="Times New Roman"/>
          <w:noProof/>
          <w:sz w:val="24"/>
        </w:rPr>
        <w:t xml:space="preserve"> ταρακούνησε την ήπειρο και καταδεικνύει την ευθύνη που έχουμε να ενισχύσουμε την ετοιμότητα απέναντι σε μη στρατιωτικές καταστάσεις έκτακτης ανάγκης για την αντιμετώπιση πολλαπλών απειλών, ανθρωπογενών και φυσικών, στο ολοένα και πιο ανησυχητικό παγκόσμιο πλαίσιο ασφάλειας. Ο πυρηνικός κίνδυνος, η διαταραχή του ενεργειακού εφοδιασμού, των μεταφορών και του επισιτιστικού εφοδιασμού, η διακοπή της ιατρικής περίθαλψης, η καταστροφή των υποδομών υγείας, καθώς και οι μαζικές μετακινήσεις πληθυσμών εντός της Ευρώπης αναδεικνύουν τη σημασία της διατήρησης των βασικών υπηρεσιών που στηρίζουν την κοινωνία μας. </w:t>
      </w:r>
    </w:p>
    <w:p w14:paraId="24013164" w14:textId="4CF805BB" w:rsidR="005B39A8" w:rsidRPr="008D157D" w:rsidRDefault="005B39A8" w:rsidP="005B39A8">
      <w:pPr>
        <w:spacing w:line="240" w:lineRule="auto"/>
        <w:jc w:val="both"/>
        <w:rPr>
          <w:rFonts w:ascii="Times New Roman" w:hAnsi="Times New Roman" w:cs="Times New Roman"/>
          <w:noProof/>
          <w:sz w:val="24"/>
          <w:szCs w:val="24"/>
        </w:rPr>
      </w:pPr>
      <w:r>
        <w:rPr>
          <w:rFonts w:ascii="Times New Roman" w:hAnsi="Times New Roman"/>
          <w:noProof/>
          <w:sz w:val="24"/>
        </w:rPr>
        <w:t xml:space="preserve">Όσο μαίνεται ο πόλεμος στα ανατολικά μας σύνορα, η ΕΕ εξακολουθεί να αντιμετωπίζει τις συνέπειες της </w:t>
      </w:r>
      <w:r>
        <w:rPr>
          <w:rFonts w:ascii="Times New Roman" w:hAnsi="Times New Roman"/>
          <w:b/>
          <w:noProof/>
          <w:sz w:val="24"/>
        </w:rPr>
        <w:t>πανδημίας της COVID-19</w:t>
      </w:r>
      <w:r>
        <w:rPr>
          <w:rFonts w:ascii="Times New Roman" w:hAnsi="Times New Roman"/>
          <w:noProof/>
          <w:sz w:val="24"/>
        </w:rPr>
        <w:t>. Οι πανδημίες συγκαταλέγονταν μεταξύ των κορυφαίων κινδύνων που εντοπίζονταν στις εθνικές εκτιμήσεις κινδύνων αρκετών ευρωπαϊκών χωρών πριν από την εμφάνιση της νόσου COVID-19. Ωστόσο, ο εντοπισμός των κινδύνων δεν είχε μετουσιωθεί σε ειδικές προσπάθειες σχεδιασμού για περιπτώσεις έκτακτης ανάγκης και πρόληψης καταστροφών που θα μπορούσαν να προστατεύσουν καλύτερα τους πολίτες μας. Με βάση το δίδαγμα που αντλήθηκε, η Ένωση ενίσχυσε το πλαίσιο υγειονομικής ασφάλειας, ιδίως μέσω της Ένωσης Υγείας της ΕΕ.</w:t>
      </w:r>
    </w:p>
    <w:p w14:paraId="4875984C" w14:textId="04738A1D" w:rsidR="005B39A8" w:rsidRPr="008D157D" w:rsidRDefault="4F47F62E" w:rsidP="005B39A8">
      <w:pPr>
        <w:spacing w:line="240" w:lineRule="auto"/>
        <w:jc w:val="both"/>
        <w:rPr>
          <w:rFonts w:ascii="Times New Roman" w:hAnsi="Times New Roman" w:cs="Times New Roman"/>
          <w:noProof/>
          <w:sz w:val="24"/>
          <w:szCs w:val="24"/>
        </w:rPr>
      </w:pPr>
      <w:r>
        <w:rPr>
          <w:rFonts w:ascii="Times New Roman" w:hAnsi="Times New Roman"/>
          <w:noProof/>
          <w:sz w:val="24"/>
        </w:rPr>
        <w:t xml:space="preserve">Όσο βρισκόμαστε αντιμέτωποι με τις κρίσεις αυτές, ο σοβαρός αντίκτυπος της </w:t>
      </w:r>
      <w:r>
        <w:rPr>
          <w:rFonts w:ascii="Times New Roman" w:hAnsi="Times New Roman"/>
          <w:b/>
          <w:noProof/>
          <w:sz w:val="24"/>
        </w:rPr>
        <w:t>κλιματικής αλλαγής</w:t>
      </w:r>
      <w:r>
        <w:rPr>
          <w:rFonts w:ascii="Times New Roman" w:hAnsi="Times New Roman"/>
          <w:noProof/>
          <w:sz w:val="24"/>
        </w:rPr>
        <w:t xml:space="preserve"> καθίσταται ολοένα και πιο εμφανής στην καθημερινή μας ζωή και επιδεινώνει περαιτέρω την ευπάθεια της Ευρώπης σε κρίσεις</w:t>
      </w:r>
      <w:r>
        <w:rPr>
          <w:rStyle w:val="FootnoteReference"/>
          <w:rFonts w:ascii="Times New Roman" w:hAnsi="Times New Roman" w:cs="Times New Roman"/>
          <w:noProof/>
          <w:sz w:val="24"/>
          <w:szCs w:val="24"/>
        </w:rPr>
        <w:footnoteReference w:id="2"/>
      </w:r>
      <w:r>
        <w:rPr>
          <w:rFonts w:ascii="Times New Roman" w:hAnsi="Times New Roman"/>
          <w:noProof/>
          <w:sz w:val="24"/>
        </w:rPr>
        <w:t>. Οι θερμοκρασίες στην Ευρώπη έχουν αυξηθεί πάνω από το διπλάσιο του παγκόσμιου μέσου όρου τα τελευταία 30 έτη — η υψηλότερη αύξηση από οποιαδήποτε ήπειρο στον κόσμο</w:t>
      </w:r>
      <w:r>
        <w:rPr>
          <w:rStyle w:val="FootnoteReference"/>
          <w:rFonts w:ascii="Times New Roman" w:hAnsi="Times New Roman" w:cs="Times New Roman"/>
          <w:noProof/>
          <w:sz w:val="24"/>
          <w:szCs w:val="24"/>
        </w:rPr>
        <w:footnoteReference w:id="3"/>
      </w:r>
      <w:r>
        <w:rPr>
          <w:rFonts w:ascii="Times New Roman" w:hAnsi="Times New Roman"/>
          <w:noProof/>
          <w:sz w:val="24"/>
        </w:rPr>
        <w:t xml:space="preserve">. Αυτή η τάση ανόδου της θερμοκρασίας έχει σοβαρές συνέπειες. Το 2022, η </w:t>
      </w:r>
      <w:r>
        <w:rPr>
          <w:rFonts w:ascii="Times New Roman" w:hAnsi="Times New Roman"/>
          <w:b/>
          <w:noProof/>
          <w:sz w:val="24"/>
        </w:rPr>
        <w:t>ξηρασία</w:t>
      </w:r>
      <w:r>
        <w:rPr>
          <w:rFonts w:ascii="Times New Roman" w:hAnsi="Times New Roman"/>
          <w:noProof/>
          <w:sz w:val="24"/>
        </w:rPr>
        <w:t xml:space="preserve"> έπληξε σχεδόν τα δύο τρίτα του εδάφους της ΕΕ</w:t>
      </w:r>
      <w:r>
        <w:rPr>
          <w:rStyle w:val="FootnoteReference"/>
          <w:rFonts w:ascii="Times New Roman" w:hAnsi="Times New Roman" w:cs="Times New Roman"/>
          <w:noProof/>
          <w:sz w:val="24"/>
          <w:szCs w:val="24"/>
        </w:rPr>
        <w:footnoteReference w:id="4"/>
      </w:r>
      <w:r>
        <w:rPr>
          <w:rFonts w:ascii="Times New Roman" w:hAnsi="Times New Roman"/>
          <w:noProof/>
          <w:sz w:val="24"/>
        </w:rPr>
        <w:t xml:space="preserve">, γεγονός το οποίο είχε ως αποτέλεσμα τη μείωση της ροής των ποταμών, των υδατοδεξαμενών και των υπόγειων υδάτων και επηρέασε τον τομέα της υγείας και της ενέργειας, τα αποθέματα νερού, τις μεταφορές και τη γεωργική παραγωγή. Οι </w:t>
      </w:r>
      <w:r>
        <w:rPr>
          <w:rFonts w:ascii="Times New Roman" w:hAnsi="Times New Roman"/>
          <w:b/>
          <w:noProof/>
          <w:sz w:val="24"/>
        </w:rPr>
        <w:t>καύσωνες</w:t>
      </w:r>
      <w:r>
        <w:rPr>
          <w:rFonts w:ascii="Times New Roman" w:hAnsi="Times New Roman"/>
          <w:noProof/>
          <w:sz w:val="24"/>
        </w:rPr>
        <w:t xml:space="preserve"> ενέχουν σοβαρό κίνδυνο για τη ζωή και την υγεία του ανθρώπου.</w:t>
      </w:r>
      <w:r>
        <w:rPr>
          <w:rFonts w:ascii="Times New Roman" w:hAnsi="Times New Roman"/>
          <w:b/>
          <w:noProof/>
          <w:sz w:val="24"/>
        </w:rPr>
        <w:t xml:space="preserve"> </w:t>
      </w:r>
      <w:r>
        <w:rPr>
          <w:rFonts w:ascii="Times New Roman" w:hAnsi="Times New Roman"/>
          <w:noProof/>
          <w:sz w:val="24"/>
        </w:rPr>
        <w:t xml:space="preserve">Οι επαναλαμβανόμενες παρατεταμένες περίοδοι ξηρασίας αυξάνουν τη γεωγραφική έκταση, τη συχνότητα και την ένταση των </w:t>
      </w:r>
      <w:r>
        <w:rPr>
          <w:rFonts w:ascii="Times New Roman" w:hAnsi="Times New Roman"/>
          <w:b/>
          <w:noProof/>
          <w:sz w:val="24"/>
        </w:rPr>
        <w:t>δασικών πυρκαγιών</w:t>
      </w:r>
      <w:r>
        <w:rPr>
          <w:rFonts w:ascii="Times New Roman" w:hAnsi="Times New Roman"/>
          <w:noProof/>
          <w:sz w:val="24"/>
        </w:rPr>
        <w:t xml:space="preserve"> σε ολόκληρη την ΕΕ. Η περίοδος πυρκαγιών του 2022 ήταν η δεύτερη χειρότερη στην ΕΕ, καθώς καταγράφηκε αύξηση κατά 250 % σε σχέση με τον μέσο όρο καμένων εκτάσεων τα τελευταία 15 έτη</w:t>
      </w:r>
      <w:r>
        <w:rPr>
          <w:rStyle w:val="FootnoteReference"/>
          <w:rFonts w:ascii="Times New Roman" w:hAnsi="Times New Roman" w:cs="Times New Roman"/>
          <w:noProof/>
          <w:sz w:val="24"/>
          <w:szCs w:val="24"/>
        </w:rPr>
        <w:footnoteReference w:id="5"/>
      </w:r>
      <w:r>
        <w:rPr>
          <w:rFonts w:ascii="Times New Roman" w:hAnsi="Times New Roman"/>
          <w:noProof/>
          <w:sz w:val="24"/>
        </w:rPr>
        <w:t>.</w:t>
      </w:r>
      <w:r>
        <w:rPr>
          <w:rStyle w:val="FootnoteReference"/>
          <w:rFonts w:ascii="Times New Roman" w:hAnsi="Times New Roman"/>
          <w:noProof/>
          <w:sz w:val="24"/>
        </w:rPr>
        <w:t xml:space="preserve"> </w:t>
      </w:r>
      <w:r>
        <w:rPr>
          <w:rFonts w:ascii="Times New Roman" w:hAnsi="Times New Roman"/>
          <w:noProof/>
          <w:sz w:val="24"/>
        </w:rPr>
        <w:t xml:space="preserve">Οι καταστροφικές </w:t>
      </w:r>
      <w:r>
        <w:rPr>
          <w:rFonts w:ascii="Times New Roman" w:hAnsi="Times New Roman"/>
          <w:b/>
          <w:noProof/>
          <w:sz w:val="24"/>
        </w:rPr>
        <w:t>πλημμύρες</w:t>
      </w:r>
      <w:r>
        <w:rPr>
          <w:rFonts w:ascii="Times New Roman" w:hAnsi="Times New Roman"/>
          <w:noProof/>
          <w:sz w:val="24"/>
        </w:rPr>
        <w:t xml:space="preserve"> που έπληξαν αρκετές ευρωπαϊκές χώρες τον Ιούλιο του 2021 αποτελούν εξίσου ισχυρή υπενθύμιση ότι τα ακραία καιρικά φαινόμενα στοιχίζουν ανθρώπινες ζωές, καταστρέφουν κατοικίες και προκαλούν σημαντικές οικονομικές απώλειες. Η </w:t>
      </w:r>
      <w:r>
        <w:rPr>
          <w:rFonts w:ascii="Times New Roman" w:hAnsi="Times New Roman"/>
          <w:b/>
          <w:noProof/>
          <w:sz w:val="24"/>
        </w:rPr>
        <w:t>υποβάθμιση του περιβάλλοντος</w:t>
      </w:r>
      <w:r>
        <w:rPr>
          <w:rFonts w:ascii="Times New Roman" w:hAnsi="Times New Roman"/>
          <w:noProof/>
          <w:sz w:val="24"/>
        </w:rPr>
        <w:t xml:space="preserve"> που προκαλείται από τη ρύπανση, την αποψίλωση των δασών και άλλες ανθρώπινες δραστηριότητες αυξάνει την ευπάθεια των οικοσυστημάτων και τον αντίκτυπο της κλιματικής αλλαγής. Περισσότερα από τα μισά κράτη μέλη της ΕΕ θεωρούν ότι οι </w:t>
      </w:r>
      <w:r>
        <w:rPr>
          <w:rFonts w:ascii="Times New Roman" w:hAnsi="Times New Roman"/>
          <w:b/>
          <w:noProof/>
          <w:sz w:val="24"/>
        </w:rPr>
        <w:t>σεισμοί</w:t>
      </w:r>
      <w:r>
        <w:rPr>
          <w:rFonts w:ascii="Times New Roman" w:hAnsi="Times New Roman"/>
          <w:noProof/>
          <w:sz w:val="24"/>
        </w:rPr>
        <w:t xml:space="preserve"> αποτελούν βασικό κίνδυνο. Τα ακραία καιρικά φαινόμενα επιδεινώνουν τη σεισμική ευπάθεια των απαρχαιωμένων υποδομών της Ευρώπης, συμπεριλαμβανομένων των υποδομών μεταφορών, των νοσοκομείων, των πυροσβεστικών σταθμών και των εγκαταστάσεων παραγωγής και διανομής ενέργειας. </w:t>
      </w:r>
    </w:p>
    <w:p w14:paraId="2CFC1B5F" w14:textId="2127262F" w:rsidR="00467892" w:rsidRPr="008D157D" w:rsidRDefault="32977A16"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Στον απόηχο μιας καταστροφής, η </w:t>
      </w:r>
      <w:r>
        <w:rPr>
          <w:rFonts w:ascii="Times New Roman" w:hAnsi="Times New Roman"/>
          <w:b/>
          <w:noProof/>
          <w:sz w:val="24"/>
        </w:rPr>
        <w:t>πολιτική προστασία</w:t>
      </w:r>
      <w:r>
        <w:rPr>
          <w:rStyle w:val="FootnoteReference"/>
          <w:rFonts w:ascii="Times New Roman" w:hAnsi="Times New Roman" w:cs="Times New Roman"/>
          <w:noProof/>
          <w:sz w:val="24"/>
          <w:szCs w:val="24"/>
          <w:lang w:val="en-IE"/>
        </w:rPr>
        <w:footnoteReference w:id="6"/>
      </w:r>
      <w:r>
        <w:rPr>
          <w:rFonts w:ascii="Times New Roman" w:hAnsi="Times New Roman"/>
          <w:noProof/>
          <w:sz w:val="24"/>
        </w:rPr>
        <w:t xml:space="preserve"> αποτελεί σανίδα σωτηρίας για τους πληγέντες πληθυσμούς. Μέσω του μηχανισμού πολιτικής προστασίας της Ένωσης (στο εξής: μηχανισμός της Ένωσης)</w:t>
      </w:r>
      <w:r>
        <w:rPr>
          <w:rStyle w:val="FootnoteReference"/>
          <w:rFonts w:ascii="Times New Roman" w:hAnsi="Times New Roman" w:cs="Times New Roman"/>
          <w:noProof/>
          <w:sz w:val="24"/>
          <w:szCs w:val="24"/>
          <w:lang w:val="en-IE"/>
        </w:rPr>
        <w:footnoteReference w:id="7"/>
      </w:r>
      <w:r>
        <w:rPr>
          <w:rFonts w:ascii="Times New Roman" w:hAnsi="Times New Roman"/>
          <w:noProof/>
          <w:sz w:val="24"/>
        </w:rPr>
        <w:t>, η ΕΕ ενισχύει την ετοιμότητά της απέναντι σε καταστάσεις έκτακτης ανάγκης σε όλα τα επίπεδα. Όταν οι ικανότητες μιας χώρας αποδεικνύονται ανεπαρκείς σε περίπτωση κρίσης, ο μηχανισμός της Ένωσης παρέχει τη βασική υποδομή λειτουργίας για τη συλλογική αντίδραση της Ευρώπης τόσο εντός της Ένωσης (συμπεριλαμβανομένων των εξόχως απόκεντρων περιοχών της ΕΕ) όσο και εκτός της Ένωσης. Μεταξύ του 2020 και του 2022, ο μηχανισμός της Ένωσης ενεργοποιήθηκε πάνω από 320 φορές</w:t>
      </w:r>
      <w:r>
        <w:rPr>
          <w:rStyle w:val="FootnoteReference"/>
          <w:rFonts w:ascii="Times New Roman" w:hAnsi="Times New Roman" w:cs="Times New Roman"/>
          <w:noProof/>
          <w:sz w:val="24"/>
          <w:szCs w:val="24"/>
          <w:lang w:val="en-IE"/>
        </w:rPr>
        <w:footnoteReference w:id="8"/>
      </w:r>
      <w:r>
        <w:rPr>
          <w:rFonts w:ascii="Times New Roman" w:hAnsi="Times New Roman"/>
          <w:noProof/>
          <w:sz w:val="24"/>
        </w:rPr>
        <w:t xml:space="preserve">, μεταξύ των οποίων πάνω από 100 φορές από τα κράτη μέλη. Ο αριθμός αυτός είναι πενταπλάσιος από τον μέσο όρο των προηγούμενων 10 ετών. </w:t>
      </w:r>
    </w:p>
    <w:p w14:paraId="0B21D867" w14:textId="77777777" w:rsidR="00467892" w:rsidRPr="00285BD6" w:rsidRDefault="00467892" w:rsidP="005B39A8">
      <w:pPr>
        <w:spacing w:after="0" w:line="240" w:lineRule="auto"/>
        <w:jc w:val="both"/>
        <w:rPr>
          <w:rFonts w:ascii="Times New Roman" w:hAnsi="Times New Roman" w:cs="Times New Roman"/>
          <w:noProof/>
          <w:sz w:val="24"/>
          <w:szCs w:val="24"/>
        </w:rPr>
      </w:pPr>
    </w:p>
    <w:p w14:paraId="60EFC903" w14:textId="75F09DEE" w:rsidR="00B222EA" w:rsidRPr="008D157D" w:rsidRDefault="0E5CB377"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Στο πλαίσιο του επιθετικού πολέμου της Ρωσίας κατά της Ουκρανίας, ο μηχανισμός της Ένωσης παρείχε βοήθεια διάσωσης με τη μεγαλύτερη και πιο σύνθετη επιχείρηση πολιτικής προστασίας της ΕΕ από την ίδρυσή της. Παρείχε πάνω από 80 000 τόνους βοήθειας σε είδος στην Ουκρανία και τις γειτονικές της χώρες, αξίας 500 εκατ. EUR περίπου. </w:t>
      </w:r>
    </w:p>
    <w:p w14:paraId="227386EB" w14:textId="32936A86" w:rsidR="0032560C" w:rsidRDefault="00DD3BEB" w:rsidP="005B39A8">
      <w:pPr>
        <w:spacing w:after="0" w:line="240" w:lineRule="auto"/>
        <w:jc w:val="both"/>
        <w:rPr>
          <w:rFonts w:ascii="Times New Roman" w:hAnsi="Times New Roman" w:cs="Times New Roman"/>
          <w:noProof/>
          <w:sz w:val="24"/>
          <w:szCs w:val="24"/>
        </w:rPr>
      </w:pPr>
      <w:r>
        <w:rPr>
          <w:rFonts w:ascii="Times New Roman" w:hAnsi="Times New Roman"/>
          <w:noProof/>
          <w:color w:val="2B579A"/>
          <w:sz w:val="24"/>
          <w:shd w:val="clear" w:color="auto" w:fill="E6E6E6"/>
          <w:lang w:val="en-GB" w:eastAsia="en-GB"/>
        </w:rPr>
        <mc:AlternateContent>
          <mc:Choice Requires="wps">
            <w:drawing>
              <wp:anchor distT="45720" distB="45720" distL="114300" distR="114300" simplePos="0" relativeHeight="251658241" behindDoc="0" locked="0" layoutInCell="1" allowOverlap="1" wp14:anchorId="09095F87" wp14:editId="3C519A0C">
                <wp:simplePos x="0" y="0"/>
                <wp:positionH relativeFrom="column">
                  <wp:posOffset>542290</wp:posOffset>
                </wp:positionH>
                <wp:positionV relativeFrom="paragraph">
                  <wp:posOffset>3427095</wp:posOffset>
                </wp:positionV>
                <wp:extent cx="5188585" cy="403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585" cy="403225"/>
                        </a:xfrm>
                        <a:prstGeom prst="rect">
                          <a:avLst/>
                        </a:prstGeom>
                        <a:solidFill>
                          <a:srgbClr val="FFFFFF"/>
                        </a:solidFill>
                        <a:ln w="9525">
                          <a:noFill/>
                          <a:miter lim="800000"/>
                          <a:headEnd/>
                          <a:tailEnd/>
                        </a:ln>
                      </wps:spPr>
                      <wps:txbx>
                        <w:txbxContent>
                          <w:p w14:paraId="3EA8CE47" w14:textId="77777777" w:rsidR="00DD3BEB" w:rsidRPr="00E30804" w:rsidRDefault="00DD3BEB" w:rsidP="00BB673C">
                            <w:pPr>
                              <w:pStyle w:val="Heading1"/>
                              <w:spacing w:before="0" w:line="240" w:lineRule="auto"/>
                              <w:jc w:val="right"/>
                              <w:rPr>
                                <w:rFonts w:ascii="Times New Roman" w:hAnsi="Times New Roman" w:cs="Times New Roman"/>
                                <w:color w:val="212124"/>
                                <w:sz w:val="18"/>
                                <w:szCs w:val="24"/>
                              </w:rPr>
                            </w:pPr>
                            <w:r>
                              <w:rPr>
                                <w:rFonts w:ascii="Times New Roman" w:hAnsi="Times New Roman"/>
                                <w:color w:val="212124"/>
                                <w:sz w:val="18"/>
                              </w:rPr>
                              <w:t xml:space="preserve">Παράδοση γεννητριών ρεύματος rescEU στην Ουκρανία </w:t>
                            </w:r>
                          </w:p>
                          <w:p w14:paraId="277C7347" w14:textId="77777777" w:rsidR="00DD3BEB" w:rsidRPr="00285BD6" w:rsidRDefault="00DD3BEB" w:rsidP="00BB673C">
                            <w:pPr>
                              <w:pStyle w:val="Heading1"/>
                              <w:spacing w:before="0" w:line="240" w:lineRule="auto"/>
                              <w:jc w:val="right"/>
                              <w:rPr>
                                <w:rFonts w:ascii="Times New Roman" w:hAnsi="Times New Roman" w:cs="Times New Roman"/>
                                <w:color w:val="212124"/>
                                <w:sz w:val="18"/>
                                <w:szCs w:val="24"/>
                                <w:lang w:val="pt-PT"/>
                              </w:rPr>
                            </w:pPr>
                            <w:r w:rsidRPr="00285BD6">
                              <w:rPr>
                                <w:rFonts w:ascii="Times New Roman" w:hAnsi="Times New Roman"/>
                                <w:color w:val="212124"/>
                                <w:sz w:val="18"/>
                                <w:lang w:val="pt-PT"/>
                              </w:rPr>
                              <w:t>© Departamentul pentru Situaţii de Urgenţă, 2022</w:t>
                            </w:r>
                          </w:p>
                          <w:p w14:paraId="3004C185" w14:textId="5323828D" w:rsidR="0032560C" w:rsidRPr="00BB673C" w:rsidRDefault="0032560C">
                            <w:pPr>
                              <w:rPr>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095F87" id="_x0000_t202" coordsize="21600,21600" o:spt="202" path="m,l,21600r21600,l21600,xe">
                <v:stroke joinstyle="miter"/>
                <v:path gradientshapeok="t" o:connecttype="rect"/>
              </v:shapetype>
              <v:shape id="Text Box 2" o:spid="_x0000_s1026" type="#_x0000_t202" style="position:absolute;left:0;text-align:left;margin-left:42.7pt;margin-top:269.85pt;width:408.55pt;height:3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" stroked="f">
                <v:textbox>
                  <w:txbxContent>
                    <w:p w14:paraId="3EA8CE47" w14:textId="77777777" w:rsidR="00DD3BEB" w:rsidRPr="00E30804" w:rsidRDefault="00DD3BEB" w:rsidP="00BB673C">
                      <w:pPr>
                        <w:pStyle w:val="Heading1"/>
                        <w:spacing w:before="0" w:line="240" w:lineRule="auto"/>
                        <w:jc w:val="right"/>
                        <w:rPr>
                          <w:rFonts w:ascii="Times New Roman" w:hAnsi="Times New Roman" w:cs="Times New Roman"/>
                          <w:color w:val="212124"/>
                          <w:sz w:val="18"/>
                          <w:szCs w:val="24"/>
                        </w:rPr>
                      </w:pPr>
                      <w:r>
                        <w:rPr>
                          <w:rFonts w:ascii="Times New Roman" w:hAnsi="Times New Roman"/>
                          <w:color w:val="212124"/>
                          <w:sz w:val="18"/>
                        </w:rPr>
                        <w:t xml:space="preserve">Παράδοση γεννητριών ρεύματος rescEU στην Ουκρανία </w:t>
                      </w:r>
                    </w:p>
                    <w:p w14:paraId="277C7347" w14:textId="77777777" w:rsidR="00DD3BEB" w:rsidRPr="00285BD6" w:rsidRDefault="00DD3BEB" w:rsidP="00BB673C">
                      <w:pPr>
                        <w:pStyle w:val="Heading1"/>
                        <w:spacing w:before="0" w:line="240" w:lineRule="auto"/>
                        <w:jc w:val="right"/>
                        <w:rPr>
                          <w:rFonts w:ascii="Times New Roman" w:hAnsi="Times New Roman" w:cs="Times New Roman"/>
                          <w:color w:val="212124"/>
                          <w:sz w:val="18"/>
                          <w:szCs w:val="24"/>
                          <w:lang w:val="pt-PT"/>
                        </w:rPr>
                      </w:pPr>
                      <w:r w:rsidRPr="00285BD6">
                        <w:rPr>
                          <w:rFonts w:ascii="Times New Roman" w:hAnsi="Times New Roman"/>
                          <w:color w:val="212124"/>
                          <w:sz w:val="18"/>
                          <w:lang w:val="pt-PT"/>
                        </w:rPr>
                        <w:t>© Departamentul pentru Situaţii de Urgenţă, 2022</w:t>
                      </w:r>
                    </w:p>
                    <w:p w14:paraId="3004C185" w14:textId="5323828D" w:rsidR="0032560C" w:rsidRPr="00BB673C" w:rsidRDefault="0032560C">
                      <w:pPr>
                        <w:rPr>
                          <w:lang w:val="it-IT"/>
                        </w:rPr>
                      </w:pPr>
                    </w:p>
                  </w:txbxContent>
                </v:textbox>
                <w10:wrap type="square"/>
              </v:shape>
            </w:pict>
          </mc:Fallback>
        </mc:AlternateContent>
      </w:r>
      <w:r>
        <w:rPr>
          <w:rFonts w:ascii="Times New Roman" w:hAnsi="Times New Roman"/>
          <w:noProof/>
          <w:sz w:val="24"/>
          <w:lang w:val="en-GB" w:eastAsia="en-GB"/>
        </w:rPr>
        <w:drawing>
          <wp:anchor distT="0" distB="0" distL="114300" distR="114300" simplePos="0" relativeHeight="251658267" behindDoc="0" locked="0" layoutInCell="1" allowOverlap="1" wp14:anchorId="3E58AE00" wp14:editId="210D07F7">
            <wp:simplePos x="0" y="0"/>
            <wp:positionH relativeFrom="column">
              <wp:posOffset>0</wp:posOffset>
            </wp:positionH>
            <wp:positionV relativeFrom="paragraph">
              <wp:posOffset>174581</wp:posOffset>
            </wp:positionV>
            <wp:extent cx="5731510" cy="322453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neratos U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3224530"/>
                    </a:xfrm>
                    <a:prstGeom prst="rect">
                      <a:avLst/>
                    </a:prstGeom>
                  </pic:spPr>
                </pic:pic>
              </a:graphicData>
            </a:graphic>
            <wp14:sizeRelH relativeFrom="margin">
              <wp14:pctWidth>0</wp14:pctWidth>
            </wp14:sizeRelH>
            <wp14:sizeRelV relativeFrom="margin">
              <wp14:pctHeight>0</wp14:pctHeight>
            </wp14:sizeRelV>
          </wp:anchor>
        </w:drawing>
      </w:r>
    </w:p>
    <w:p w14:paraId="441117C2" w14:textId="06310278" w:rsidR="0032560C" w:rsidRPr="00285BD6" w:rsidRDefault="0032560C" w:rsidP="005B39A8">
      <w:pPr>
        <w:spacing w:after="0" w:line="240" w:lineRule="auto"/>
        <w:jc w:val="both"/>
        <w:rPr>
          <w:rFonts w:ascii="Times New Roman" w:hAnsi="Times New Roman" w:cs="Times New Roman"/>
          <w:noProof/>
          <w:sz w:val="24"/>
          <w:szCs w:val="24"/>
        </w:rPr>
      </w:pPr>
    </w:p>
    <w:p w14:paraId="05D1084A" w14:textId="57C16D85" w:rsidR="00B222EA" w:rsidRPr="00285BD6" w:rsidRDefault="00B222EA" w:rsidP="005B39A8">
      <w:pPr>
        <w:spacing w:after="0" w:line="240" w:lineRule="auto"/>
        <w:jc w:val="both"/>
        <w:rPr>
          <w:rFonts w:ascii="Times New Roman" w:hAnsi="Times New Roman" w:cs="Times New Roman"/>
          <w:noProof/>
          <w:sz w:val="24"/>
          <w:szCs w:val="24"/>
        </w:rPr>
      </w:pPr>
    </w:p>
    <w:p w14:paraId="550D58C0" w14:textId="37BA309E" w:rsidR="00B222EA" w:rsidRPr="008D157D" w:rsidRDefault="003F2C84"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Στο αρχικό στάδιο της πανδημίας της COVID-19, ο μηχανισμός της Ένωσης θέσπισε το πρώτο στρατηγικό απόθεμα ιατρικών αντιμέτρων rescEU</w:t>
      </w:r>
      <w:r>
        <w:rPr>
          <w:rStyle w:val="FootnoteReference"/>
          <w:rFonts w:ascii="Times New Roman" w:hAnsi="Times New Roman" w:cs="Times New Roman"/>
          <w:noProof/>
          <w:sz w:val="24"/>
          <w:szCs w:val="24"/>
          <w:lang w:val="en-IE"/>
        </w:rPr>
        <w:footnoteReference w:id="9"/>
      </w:r>
      <w:r>
        <w:rPr>
          <w:rFonts w:ascii="Times New Roman" w:hAnsi="Times New Roman"/>
          <w:noProof/>
          <w:sz w:val="24"/>
        </w:rPr>
        <w:t>, το οποίο συνέβαλε ώστε να διασωθούν χιλιάδες ζωές σε ολόκληρη την Ευρώπη. Διευκόλυνε τον επαναπατρισμό περισσότερων από 100 000 πολιτών της ΕΕ που είχαν εγκλωβιστεί στο εξωτερικό κατά τη διάρκεια της πανδημίας καθώς και τη διανομή 40 εκατομμυρίων δόσεων εμβολίων σε 49 χώρες παγκοσμίως σύμφωνα με τη στρατηγική της ΕΕ για τα εμβόλια.</w:t>
      </w:r>
    </w:p>
    <w:p w14:paraId="721FF893" w14:textId="77777777" w:rsidR="00B222EA" w:rsidRPr="00285BD6" w:rsidRDefault="00B222EA" w:rsidP="005B39A8">
      <w:pPr>
        <w:spacing w:after="0" w:line="240" w:lineRule="auto"/>
        <w:jc w:val="both"/>
        <w:rPr>
          <w:rFonts w:ascii="Times New Roman" w:hAnsi="Times New Roman" w:cs="Times New Roman"/>
          <w:noProof/>
          <w:sz w:val="24"/>
          <w:szCs w:val="24"/>
        </w:rPr>
      </w:pPr>
    </w:p>
    <w:p w14:paraId="521E2129" w14:textId="0C9DB4BC" w:rsidR="00F25812" w:rsidRPr="008D157D" w:rsidRDefault="003F2C84"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Ο μηχανισμός της Ένωσης διοχέτευσε συλλογική ευρωπαϊκή αλληλεγγύη που κατέστησε δυνατή την ισχυρή αντίδραση στις εκτεταμένες δασικές πυρκαγιές κατά τη διάρκεια του καλοκαιριού του 2022: κινητοποιήθηκαν αεροσκάφη και ελικόπτερα για 38 πυροσβεστικές επιχειρήσεις της ΕΕ, συν περίπου 400 πυροσβέστες και 100 οχήματα που χρησιμοποιήθηκαν υπό τη σημαία της ΕΕ για τη διάσωση ανθρώπινων ζωών και την αποτροπή δασικών πυρκαγιών στην Ευρώπη. </w:t>
      </w:r>
    </w:p>
    <w:p w14:paraId="61AF8C11" w14:textId="77777777" w:rsidR="00F25812" w:rsidRPr="00285BD6" w:rsidRDefault="00F25812" w:rsidP="005B39A8">
      <w:pPr>
        <w:spacing w:after="0" w:line="240" w:lineRule="auto"/>
        <w:jc w:val="both"/>
        <w:rPr>
          <w:rFonts w:ascii="Times New Roman" w:hAnsi="Times New Roman" w:cs="Times New Roman"/>
          <w:noProof/>
          <w:sz w:val="24"/>
          <w:szCs w:val="24"/>
        </w:rPr>
      </w:pPr>
    </w:p>
    <w:p w14:paraId="434A4BBC" w14:textId="63BD67DB" w:rsidR="005B39A8" w:rsidRDefault="0A0BBFFD" w:rsidP="00B31C80">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Επίσης, για περισσότερες από δύο δεκαετίες, ο μηχανισμός της Ένωσης στηρίζει και συμπληρώνει τις προσπάθειες των κρατών μελών όσον αφορά την πρόληψη καταστροφών και την ετοιμότητα. Ενόψει του μεταβαλλόμενου τοπίου κινδύνων, οι προσπάθειες αυτές πρέπει να ενισχυθούν. Η αποτελεσματική πρόληψη και ετοιμότητα θα πρέπει να βασίζονται σε μελλοντοστραφή σενάρια που υπερβαίνουν το σύστημα πολιτικής προστασίας σε διάφορους κοινωνικοοικονομικούς τομείς και να περιλαμβάνουν την πολιτιστική μας κληρονομιά. Η πολυπλοκότητα και η αλληλεξάρτηση των κινδύνων που αντιμετωπίζει η ΕΕ καταδεικνύει τη σημασία του εντοπισμού των τρωτών σημείων σε κρίσιμους τομείς, της πρόβλεψης των κινδύνων και των απειλών και της ενίσχυσης της συλλογικής δράσης για την </w:t>
      </w:r>
      <w:r>
        <w:rPr>
          <w:rFonts w:ascii="Times New Roman" w:hAnsi="Times New Roman"/>
          <w:b/>
          <w:noProof/>
          <w:sz w:val="24"/>
        </w:rPr>
        <w:t>καλύτερη πρόληψη καταστροφών και την ετοιμότητα</w:t>
      </w:r>
      <w:r>
        <w:rPr>
          <w:rFonts w:ascii="Times New Roman" w:hAnsi="Times New Roman"/>
          <w:noProof/>
          <w:sz w:val="24"/>
        </w:rPr>
        <w:t xml:space="preserve">. </w:t>
      </w:r>
    </w:p>
    <w:p w14:paraId="59B6259E" w14:textId="77777777" w:rsidR="00DD3BEB" w:rsidRPr="008D157D" w:rsidRDefault="00DD3BEB" w:rsidP="00B31C80">
      <w:pPr>
        <w:spacing w:after="0" w:line="240" w:lineRule="auto"/>
        <w:jc w:val="both"/>
        <w:rPr>
          <w:rFonts w:ascii="Times New Roman" w:eastAsia="Times New Roman" w:hAnsi="Times New Roman" w:cs="Times New Roman"/>
          <w:noProof/>
          <w:color w:val="0078D4"/>
          <w:sz w:val="24"/>
          <w:szCs w:val="24"/>
          <w:u w:val="single"/>
        </w:rPr>
      </w:pPr>
    </w:p>
    <w:p w14:paraId="29025466" w14:textId="236165A9" w:rsidR="005B39A8" w:rsidRPr="00285BD6" w:rsidRDefault="005B39A8" w:rsidP="005B39A8">
      <w:pPr>
        <w:spacing w:line="240" w:lineRule="auto"/>
        <w:jc w:val="both"/>
        <w:rPr>
          <w:rFonts w:ascii="Times New Roman" w:hAnsi="Times New Roman" w:cs="Times New Roman"/>
          <w:i/>
          <w:iCs/>
          <w:noProof/>
          <w:sz w:val="24"/>
          <w:szCs w:val="24"/>
        </w:rPr>
      </w:pPr>
    </w:p>
    <w:p w14:paraId="596CA432" w14:textId="773F3F3B" w:rsidR="005B39A8" w:rsidRPr="008D157D" w:rsidRDefault="005B39A8" w:rsidP="005B39A8">
      <w:pPr>
        <w:pStyle w:val="ListParagraph"/>
        <w:numPr>
          <w:ilvl w:val="0"/>
          <w:numId w:val="18"/>
        </w:numPr>
        <w:spacing w:line="240" w:lineRule="auto"/>
        <w:jc w:val="both"/>
        <w:rPr>
          <w:rFonts w:ascii="Times New Roman" w:hAnsi="Times New Roman" w:cs="Times New Roman"/>
          <w:b/>
          <w:noProof/>
          <w:sz w:val="24"/>
          <w:szCs w:val="24"/>
          <w:shd w:val="clear" w:color="auto" w:fill="FFFFFF"/>
        </w:rPr>
      </w:pPr>
      <w:r>
        <w:rPr>
          <w:rFonts w:ascii="Times New Roman" w:hAnsi="Times New Roman"/>
          <w:b/>
          <w:noProof/>
          <w:sz w:val="24"/>
        </w:rPr>
        <w:t>Πέντε στόχοι ανθεκτικότητας στις καταστροφές</w:t>
      </w:r>
      <w:r>
        <w:rPr>
          <w:rFonts w:ascii="Times New Roman" w:hAnsi="Times New Roman"/>
          <w:b/>
          <w:noProof/>
          <w:sz w:val="24"/>
          <w:shd w:val="clear" w:color="auto" w:fill="FFFFFF"/>
        </w:rPr>
        <w:t xml:space="preserve"> </w:t>
      </w:r>
      <w:r>
        <w:rPr>
          <w:rFonts w:ascii="Times New Roman" w:hAnsi="Times New Roman"/>
          <w:b/>
          <w:noProof/>
          <w:sz w:val="24"/>
        </w:rPr>
        <w:t>για την ενίσχυση της συνολικής ανθεκτικότητας της ΕΕ</w:t>
      </w:r>
    </w:p>
    <w:p w14:paraId="37E3F585" w14:textId="4E7A60BE" w:rsidR="005B39A8" w:rsidRPr="008D157D" w:rsidRDefault="005B39A8" w:rsidP="005B39A8">
      <w:pPr>
        <w:spacing w:after="0" w:line="240" w:lineRule="auto"/>
        <w:jc w:val="both"/>
        <w:rPr>
          <w:rFonts w:ascii="Times New Roman" w:hAnsi="Times New Roman" w:cs="Times New Roman"/>
          <w:noProof/>
          <w:sz w:val="24"/>
          <w:szCs w:val="24"/>
        </w:rPr>
      </w:pPr>
      <w:r>
        <w:rPr>
          <w:rFonts w:ascii="Times New Roman" w:hAnsi="Times New Roman"/>
          <w:noProof/>
          <w:sz w:val="24"/>
          <w:shd w:val="clear" w:color="auto" w:fill="FFFFFF"/>
        </w:rPr>
        <w:t xml:space="preserve">Η σύγκλιση πολλαπλών, ταυτόχρονων κινδύνων που υπερβαίνουν τα εθνικά σύνορα απαιτεί </w:t>
      </w:r>
      <w:r>
        <w:rPr>
          <w:rFonts w:ascii="Times New Roman" w:hAnsi="Times New Roman"/>
          <w:b/>
          <w:noProof/>
          <w:sz w:val="24"/>
          <w:shd w:val="clear" w:color="auto" w:fill="FFFFFF"/>
        </w:rPr>
        <w:t>αλλαγή της νοοτροπίας σε όλα τα επίπεδα</w:t>
      </w:r>
      <w:r>
        <w:rPr>
          <w:rFonts w:ascii="Times New Roman" w:hAnsi="Times New Roman"/>
          <w:noProof/>
          <w:sz w:val="24"/>
          <w:shd w:val="clear" w:color="auto" w:fill="FFFFFF"/>
        </w:rPr>
        <w:t xml:space="preserve">. Η ικανότητα εντοπισμού των κινδύνων καταστροφών και ο σχεδιασμός διαχείρισής τους σε εθνικό επίπεδο φθάνουν γρήγορα στα όριά τους όταν οι απειλές, τα τρωτά σημεία και οι αλληλεξαρτήσεις εξελίσσονται σε διασυνοριακό και πανευρωπαϊκό επίπεδο. Αναγνωρίζοντας τα ειδικά τομεακά μέτρα, είναι αναγκαίο να προσαρμοστούν αναλόγως η πρόληψη και η ετοιμότητα και να καταστούν πολυτομεακές, πολυεπίπεδες και πανευρωπαϊκές. </w:t>
      </w:r>
    </w:p>
    <w:p w14:paraId="3F4EC39C" w14:textId="51DA86B2" w:rsidR="005B39A8" w:rsidRPr="008D157D" w:rsidRDefault="005B39A8" w:rsidP="005B39A8">
      <w:pPr>
        <w:spacing w:after="0" w:line="240" w:lineRule="auto"/>
        <w:jc w:val="both"/>
        <w:rPr>
          <w:rFonts w:ascii="Times New Roman" w:hAnsi="Times New Roman" w:cs="Times New Roman"/>
          <w:noProof/>
          <w:sz w:val="24"/>
          <w:szCs w:val="24"/>
        </w:rPr>
      </w:pPr>
      <w:r>
        <w:rPr>
          <w:noProof/>
        </w:rPr>
        <w:t xml:space="preserve"> </w:t>
      </w:r>
      <w:r>
        <w:rPr>
          <w:noProof/>
        </w:rPr>
        <w:br/>
      </w:r>
      <w:r>
        <w:rPr>
          <w:rFonts w:ascii="Times New Roman" w:hAnsi="Times New Roman"/>
          <w:noProof/>
          <w:sz w:val="24"/>
          <w:shd w:val="clear" w:color="auto" w:fill="FFFFFF"/>
        </w:rPr>
        <w:t xml:space="preserve">Ως εκ τούτου, όπως απαιτείται από το νομικό πλαίσιο για τη θέσπιση του </w:t>
      </w:r>
      <w:r>
        <w:rPr>
          <w:rFonts w:ascii="Times New Roman" w:hAnsi="Times New Roman"/>
          <w:noProof/>
          <w:sz w:val="24"/>
        </w:rPr>
        <w:t>μηχανισμού της Ένωσης</w:t>
      </w:r>
      <w:r>
        <w:rPr>
          <w:rStyle w:val="FootnoteReference"/>
          <w:rFonts w:ascii="Times New Roman" w:hAnsi="Times New Roman" w:cs="Times New Roman"/>
          <w:noProof/>
          <w:sz w:val="24"/>
          <w:szCs w:val="24"/>
          <w:shd w:val="clear" w:color="auto" w:fill="FFFFFF"/>
        </w:rPr>
        <w:footnoteReference w:id="10"/>
      </w:r>
      <w:r>
        <w:rPr>
          <w:rFonts w:ascii="Times New Roman" w:hAnsi="Times New Roman"/>
          <w:noProof/>
          <w:sz w:val="24"/>
          <w:shd w:val="clear" w:color="auto" w:fill="FFFFFF"/>
        </w:rPr>
        <w:t xml:space="preserve">, η ΕΕ και τα κράτη μέλη προσδιόρισαν συλλογικά πέντε </w:t>
      </w:r>
      <w:r>
        <w:rPr>
          <w:rFonts w:ascii="Times New Roman" w:hAnsi="Times New Roman"/>
          <w:b/>
          <w:noProof/>
          <w:sz w:val="24"/>
          <w:shd w:val="clear" w:color="auto" w:fill="FFFFFF"/>
        </w:rPr>
        <w:t>στόχους ανθεκτικότητας στις καταστροφές</w:t>
      </w:r>
      <w:r>
        <w:rPr>
          <w:rFonts w:ascii="Times New Roman" w:hAnsi="Times New Roman"/>
          <w:noProof/>
          <w:sz w:val="24"/>
          <w:shd w:val="clear" w:color="auto" w:fill="FFFFFF"/>
        </w:rPr>
        <w:t xml:space="preserve"> οι οποίοι αφορούν τους τομείς στους οποίους είναι μεγαλύτερη η ανάγκη ενίσχυσης της ανθεκτικότητας της Ευρώπης σε καταστροφές και κρίσεις.</w:t>
      </w:r>
      <w:r>
        <w:rPr>
          <w:rFonts w:ascii="Times New Roman" w:hAnsi="Times New Roman"/>
          <w:b/>
          <w:noProof/>
          <w:sz w:val="24"/>
          <w:shd w:val="clear" w:color="auto" w:fill="FFFFFF"/>
        </w:rPr>
        <w:t xml:space="preserve"> </w:t>
      </w:r>
      <w:r>
        <w:rPr>
          <w:rFonts w:ascii="Times New Roman" w:hAnsi="Times New Roman"/>
          <w:noProof/>
          <w:sz w:val="24"/>
          <w:shd w:val="clear" w:color="auto" w:fill="FFFFFF"/>
        </w:rPr>
        <w:t xml:space="preserve">Οι στόχοι αυτοί αποτελούν </w:t>
      </w:r>
      <w:r>
        <w:rPr>
          <w:rFonts w:ascii="Times New Roman" w:hAnsi="Times New Roman"/>
          <w:noProof/>
          <w:sz w:val="24"/>
        </w:rPr>
        <w:t>κοινή βάση αναφοράς για τη στήριξη δράσεων πρόληψης και ετοιμότητας έναντι καταστροφών οι οποίες είναι ικανές να προκαλέσουν πολυκρατικές διασυνοριακές επιπτώσεις. Παρατίθενται</w:t>
      </w:r>
      <w:r>
        <w:rPr>
          <w:rFonts w:ascii="Times New Roman" w:hAnsi="Times New Roman"/>
          <w:noProof/>
          <w:sz w:val="24"/>
          <w:shd w:val="clear" w:color="auto" w:fill="FFFFFF"/>
        </w:rPr>
        <w:t xml:space="preserve"> </w:t>
      </w:r>
      <w:r>
        <w:rPr>
          <w:rFonts w:ascii="Times New Roman" w:hAnsi="Times New Roman"/>
          <w:noProof/>
          <w:sz w:val="24"/>
        </w:rPr>
        <w:t xml:space="preserve">στη </w:t>
      </w:r>
      <w:r>
        <w:rPr>
          <w:rFonts w:ascii="Times New Roman" w:hAnsi="Times New Roman"/>
          <w:b/>
          <w:noProof/>
          <w:sz w:val="24"/>
        </w:rPr>
        <w:t>σύσταση</w:t>
      </w:r>
      <w:r>
        <w:rPr>
          <w:rFonts w:ascii="Times New Roman" w:hAnsi="Times New Roman"/>
          <w:noProof/>
          <w:sz w:val="24"/>
        </w:rPr>
        <w:t xml:space="preserve"> της Επιτροπής</w:t>
      </w:r>
      <w:r>
        <w:rPr>
          <w:rStyle w:val="FootnoteReference"/>
          <w:rFonts w:ascii="Times New Roman" w:hAnsi="Times New Roman" w:cs="Times New Roman"/>
          <w:noProof/>
          <w:sz w:val="24"/>
          <w:szCs w:val="24"/>
        </w:rPr>
        <w:footnoteReference w:id="11"/>
      </w:r>
      <w:r>
        <w:rPr>
          <w:rFonts w:ascii="Times New Roman" w:hAnsi="Times New Roman"/>
          <w:noProof/>
          <w:sz w:val="24"/>
        </w:rPr>
        <w:t xml:space="preserve"> που συνοδεύει την παρούσα ανακοίνωση. Με </w:t>
      </w:r>
      <w:r>
        <w:rPr>
          <w:rFonts w:ascii="Times New Roman" w:hAnsi="Times New Roman"/>
          <w:noProof/>
          <w:sz w:val="24"/>
          <w:shd w:val="clear" w:color="auto" w:fill="FFFFFF"/>
        </w:rPr>
        <w:t>συγκεκριμένες επιδιώξεις, οι στόχοι καθορίζουν ένα κοινό θεματολόγιο</w:t>
      </w:r>
      <w:r>
        <w:rPr>
          <w:rFonts w:ascii="Times New Roman" w:hAnsi="Times New Roman"/>
          <w:noProof/>
          <w:sz w:val="24"/>
        </w:rPr>
        <w:t xml:space="preserve"> για την ενίσχυση της συλλογικής ικανότητας της ΕΕ να ανθίσταται στις επιπτώσεις μελλοντικών καταστροφών και να προστατεύει τους πολίτες, τα μέσα διαβίωσης και το περιβάλλον. </w:t>
      </w:r>
    </w:p>
    <w:p w14:paraId="4BB31EC6" w14:textId="77777777" w:rsidR="005B39A8" w:rsidRPr="00285BD6" w:rsidRDefault="005B39A8" w:rsidP="005B39A8">
      <w:pPr>
        <w:spacing w:after="0" w:line="240" w:lineRule="auto"/>
        <w:jc w:val="both"/>
        <w:rPr>
          <w:rFonts w:ascii="Times New Roman" w:hAnsi="Times New Roman" w:cs="Times New Roman"/>
          <w:noProof/>
          <w:sz w:val="24"/>
          <w:szCs w:val="24"/>
        </w:rPr>
      </w:pPr>
    </w:p>
    <w:p w14:paraId="31B0695F" w14:textId="38D8377E" w:rsidR="005B39A8" w:rsidRPr="008D157D" w:rsidRDefault="00285BD6"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Οι πέντε στόχοι είναι οι εξής:</w:t>
      </w:r>
    </w:p>
    <w:p w14:paraId="57C73A60" w14:textId="5707A58D" w:rsidR="005B39A8" w:rsidRPr="008D157D" w:rsidRDefault="00AE73F6" w:rsidP="005B39A8">
      <w:pPr>
        <w:pStyle w:val="ListParagraph"/>
        <w:numPr>
          <w:ilvl w:val="0"/>
          <w:numId w:val="22"/>
        </w:numPr>
        <w:spacing w:after="0" w:line="240" w:lineRule="auto"/>
        <w:jc w:val="both"/>
        <w:rPr>
          <w:rFonts w:ascii="Times New Roman" w:hAnsi="Times New Roman" w:cs="Times New Roman"/>
          <w:noProof/>
          <w:sz w:val="24"/>
          <w:szCs w:val="24"/>
        </w:rPr>
      </w:pPr>
      <w:r>
        <w:rPr>
          <w:rFonts w:ascii="Times New Roman" w:hAnsi="Times New Roman"/>
          <w:i/>
          <w:noProof/>
          <w:sz w:val="24"/>
        </w:rPr>
        <w:t>Πρόβλεψη</w:t>
      </w:r>
      <w:r>
        <w:rPr>
          <w:rFonts w:ascii="Times New Roman" w:hAnsi="Times New Roman"/>
          <w:noProof/>
          <w:sz w:val="24"/>
        </w:rPr>
        <w:t xml:space="preserve"> — Βελτίωση της εκτίμησης κινδύνων, της πρόβλεψης και του σχεδιασμού της διαχείρισης κινδύνων καταστροφών.</w:t>
      </w:r>
    </w:p>
    <w:p w14:paraId="48A637F6" w14:textId="36A66256" w:rsidR="005B39A8" w:rsidRPr="008D157D" w:rsidRDefault="00AE73F6">
      <w:pPr>
        <w:pStyle w:val="ListParagraph"/>
        <w:numPr>
          <w:ilvl w:val="0"/>
          <w:numId w:val="22"/>
        </w:numPr>
        <w:spacing w:after="0" w:line="240" w:lineRule="auto"/>
        <w:jc w:val="both"/>
        <w:rPr>
          <w:rFonts w:ascii="Times New Roman" w:hAnsi="Times New Roman" w:cs="Times New Roman"/>
          <w:noProof/>
          <w:sz w:val="24"/>
          <w:szCs w:val="24"/>
        </w:rPr>
      </w:pPr>
      <w:r>
        <w:rPr>
          <w:rFonts w:ascii="Times New Roman" w:hAnsi="Times New Roman"/>
          <w:i/>
          <w:noProof/>
          <w:sz w:val="24"/>
        </w:rPr>
        <w:t>Προετοιμασία</w:t>
      </w:r>
      <w:r>
        <w:rPr>
          <w:rFonts w:ascii="Times New Roman" w:hAnsi="Times New Roman"/>
          <w:noProof/>
          <w:sz w:val="24"/>
        </w:rPr>
        <w:t xml:space="preserve"> — Αύξηση της ευαισθητοποίησης του πληθυσμού σχετικά με τους κινδύνους και ενίσχυση της ετοιμότητάς του.</w:t>
      </w:r>
    </w:p>
    <w:p w14:paraId="525517FD" w14:textId="4AD054CF" w:rsidR="00AE73F6" w:rsidRPr="008D157D" w:rsidRDefault="00AE73F6" w:rsidP="00AE73F6">
      <w:pPr>
        <w:pStyle w:val="ListParagraph"/>
        <w:numPr>
          <w:ilvl w:val="0"/>
          <w:numId w:val="22"/>
        </w:numPr>
        <w:spacing w:after="0" w:line="240" w:lineRule="auto"/>
        <w:jc w:val="both"/>
        <w:rPr>
          <w:rFonts w:ascii="Times New Roman" w:hAnsi="Times New Roman" w:cs="Times New Roman"/>
          <w:noProof/>
          <w:sz w:val="24"/>
          <w:szCs w:val="24"/>
        </w:rPr>
      </w:pPr>
      <w:r>
        <w:rPr>
          <w:rFonts w:ascii="Times New Roman" w:hAnsi="Times New Roman"/>
          <w:i/>
          <w:noProof/>
          <w:sz w:val="24"/>
        </w:rPr>
        <w:t>Προειδοποίηση</w:t>
      </w:r>
      <w:r>
        <w:rPr>
          <w:rFonts w:ascii="Times New Roman" w:hAnsi="Times New Roman"/>
          <w:noProof/>
          <w:sz w:val="24"/>
        </w:rPr>
        <w:t xml:space="preserve"> — Ενίσχυση της έγκαιρης προειδοποίησης.</w:t>
      </w:r>
    </w:p>
    <w:p w14:paraId="2BBDA1B9" w14:textId="7F11EA69" w:rsidR="005B39A8" w:rsidRPr="008D157D" w:rsidRDefault="00AE73F6" w:rsidP="00AE73F6">
      <w:pPr>
        <w:pStyle w:val="ListParagraph"/>
        <w:numPr>
          <w:ilvl w:val="0"/>
          <w:numId w:val="22"/>
        </w:numPr>
        <w:spacing w:after="0" w:line="240" w:lineRule="auto"/>
        <w:jc w:val="both"/>
        <w:rPr>
          <w:rFonts w:ascii="Times New Roman" w:hAnsi="Times New Roman" w:cs="Times New Roman"/>
          <w:noProof/>
          <w:sz w:val="24"/>
          <w:szCs w:val="24"/>
        </w:rPr>
      </w:pPr>
      <w:r>
        <w:rPr>
          <w:rFonts w:ascii="Times New Roman" w:hAnsi="Times New Roman"/>
          <w:i/>
          <w:noProof/>
          <w:sz w:val="24"/>
        </w:rPr>
        <w:t>Αντίδραση</w:t>
      </w:r>
      <w:r>
        <w:rPr>
          <w:rFonts w:ascii="Times New Roman" w:hAnsi="Times New Roman"/>
          <w:noProof/>
          <w:sz w:val="24"/>
        </w:rPr>
        <w:t xml:space="preserve"> — Ενίσχυση της ικανότητας αντίδρασης του μηχανισμού πολιτικής προστασίας της Ένωσης.</w:t>
      </w:r>
    </w:p>
    <w:p w14:paraId="33C41959" w14:textId="22C415C9" w:rsidR="00AE73F6" w:rsidRPr="008D157D" w:rsidRDefault="00AE73F6" w:rsidP="00E7578B">
      <w:pPr>
        <w:pStyle w:val="ListParagraph"/>
        <w:numPr>
          <w:ilvl w:val="0"/>
          <w:numId w:val="22"/>
        </w:numPr>
        <w:spacing w:after="0" w:line="240" w:lineRule="auto"/>
        <w:jc w:val="both"/>
        <w:rPr>
          <w:rFonts w:ascii="Times New Roman" w:hAnsi="Times New Roman" w:cs="Times New Roman"/>
          <w:noProof/>
          <w:sz w:val="24"/>
          <w:szCs w:val="24"/>
        </w:rPr>
      </w:pPr>
      <w:r>
        <w:rPr>
          <w:rFonts w:ascii="Times New Roman" w:hAnsi="Times New Roman"/>
          <w:i/>
          <w:noProof/>
          <w:sz w:val="24"/>
        </w:rPr>
        <w:t>Ασφάλεια</w:t>
      </w:r>
      <w:r>
        <w:rPr>
          <w:rFonts w:ascii="Times New Roman" w:hAnsi="Times New Roman"/>
          <w:noProof/>
          <w:sz w:val="24"/>
        </w:rPr>
        <w:t xml:space="preserve"> — Διασφάλιση ενός ισχυρού συστήματος πολιτικής προστασίας.</w:t>
      </w:r>
    </w:p>
    <w:p w14:paraId="25F4761B" w14:textId="77777777" w:rsidR="00424576" w:rsidRPr="00241979" w:rsidRDefault="00424576" w:rsidP="00B31C80">
      <w:pPr>
        <w:pStyle w:val="ListParagraph"/>
        <w:spacing w:after="0" w:line="240" w:lineRule="auto"/>
        <w:jc w:val="both"/>
        <w:rPr>
          <w:noProof/>
          <w:szCs w:val="24"/>
        </w:rPr>
      </w:pPr>
    </w:p>
    <w:p w14:paraId="745E998A" w14:textId="6B1E5667" w:rsidR="00424576" w:rsidRDefault="00424576">
      <w:pPr>
        <w:rPr>
          <w:rFonts w:ascii="Times New Roman" w:hAnsi="Times New Roman" w:cs="Times New Roman"/>
          <w:noProof/>
          <w:sz w:val="24"/>
          <w:szCs w:val="24"/>
        </w:rPr>
      </w:pPr>
      <w:r>
        <w:rPr>
          <w:noProof/>
        </w:rPr>
        <w:br w:type="page"/>
      </w:r>
    </w:p>
    <w:p w14:paraId="6C353206" w14:textId="3A3B9C56" w:rsidR="005B39A8" w:rsidRDefault="00C70753"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Διάγραμμα 1: Οι στόχοι ενισχύουν τον κύκλο διαχείρισης καταστροφών: πρόληψη, ετοιμότητα, αντιμετώπιση</w:t>
      </w:r>
    </w:p>
    <w:p w14:paraId="1BE956A7" w14:textId="089F4CDB" w:rsidR="002908CF" w:rsidRDefault="002908CF" w:rsidP="005B39A8">
      <w:pPr>
        <w:spacing w:after="0" w:line="240" w:lineRule="auto"/>
        <w:jc w:val="both"/>
        <w:rPr>
          <w:rFonts w:ascii="Times New Roman" w:hAnsi="Times New Roman" w:cs="Times New Roman"/>
          <w:noProof/>
          <w:sz w:val="24"/>
          <w:szCs w:val="24"/>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2908CF" w14:paraId="6ACB3F4F" w14:textId="77777777" w:rsidTr="00B845A6">
        <w:trPr>
          <w:trHeight w:val="9779"/>
        </w:trPr>
        <w:tc>
          <w:tcPr>
            <w:tcW w:w="9747" w:type="dxa"/>
          </w:tcPr>
          <w:p w14:paraId="55A30A34" w14:textId="2738FCDF" w:rsidR="002908CF" w:rsidRDefault="00285BD6" w:rsidP="005B39A8">
            <w:pPr>
              <w:jc w:val="both"/>
              <w:rPr>
                <w:rFonts w:ascii="Times New Roman" w:hAnsi="Times New Roman" w:cs="Times New Roman"/>
                <w:noProof/>
                <w:sz w:val="24"/>
                <w:szCs w:val="24"/>
              </w:rPr>
            </w:pPr>
            <w:r>
              <w:rPr>
                <w:rFonts w:ascii="Times New Roman" w:hAnsi="Times New Roman"/>
                <w:noProof/>
                <w:color w:val="2B579A"/>
                <w:sz w:val="24"/>
                <w:shd w:val="clear" w:color="auto" w:fill="E6E6E6"/>
                <w:lang w:val="en-GB" w:eastAsia="en-GB"/>
              </w:rPr>
              <mc:AlternateContent>
                <mc:Choice Requires="wps">
                  <w:drawing>
                    <wp:anchor distT="0" distB="0" distL="114300" distR="114300" simplePos="0" relativeHeight="251645952" behindDoc="0" locked="0" layoutInCell="1" allowOverlap="1" wp14:anchorId="03E031F5" wp14:editId="7DAB2E77">
                      <wp:simplePos x="0" y="0"/>
                      <wp:positionH relativeFrom="column">
                        <wp:posOffset>4783937</wp:posOffset>
                      </wp:positionH>
                      <wp:positionV relativeFrom="paragraph">
                        <wp:posOffset>2589885</wp:posOffset>
                      </wp:positionV>
                      <wp:extent cx="1441095" cy="292100"/>
                      <wp:effectExtent l="0" t="0" r="0" b="0"/>
                      <wp:wrapNone/>
                      <wp:docPr id="13" name="TextBox 12">
                        <a:extLst xmlns:a="http://schemas.openxmlformats.org/drawingml/2006/main">
                          <a:ext uri="{FF2B5EF4-FFF2-40B4-BE49-F238E27FC236}">
                            <a16:creationId xmlns:a16="http://schemas.microsoft.com/office/drawing/2014/main" id="{2BA20A81-59AD-CED9-6D87-A6950295BC06}"/>
                          </a:ext>
                        </a:extLst>
                      </wp:docPr>
                      <wp:cNvGraphicFramePr/>
                      <a:graphic xmlns:a="http://schemas.openxmlformats.org/drawingml/2006/main">
                        <a:graphicData uri="http://schemas.microsoft.com/office/word/2010/wordprocessingShape">
                          <wps:wsp>
                            <wps:cNvSpPr txBox="1"/>
                            <wps:spPr>
                              <a:xfrm>
                                <a:off x="0" y="0"/>
                                <a:ext cx="1441095" cy="292100"/>
                              </a:xfrm>
                              <a:prstGeom prst="rect">
                                <a:avLst/>
                              </a:prstGeom>
                              <a:noFill/>
                            </wps:spPr>
                            <wps:txbx>
                              <w:txbxContent>
                                <w:p w14:paraId="58B20D54" w14:textId="77777777" w:rsidR="00B845A6" w:rsidRPr="00B845A6" w:rsidRDefault="00B845A6" w:rsidP="00B845A6">
                                  <w:pPr>
                                    <w:pStyle w:val="NormalWeb"/>
                                    <w:spacing w:before="0" w:beforeAutospacing="0" w:after="0" w:afterAutospacing="0"/>
                                    <w:jc w:val="center"/>
                                    <w:rPr>
                                      <w:rFonts w:ascii="Arial" w:hAnsi="Arial" w:cs="Arial"/>
                                      <w:sz w:val="28"/>
                                    </w:rPr>
                                  </w:pPr>
                                  <w:r>
                                    <w:rPr>
                                      <w:rFonts w:ascii="Arial" w:hAnsi="Arial"/>
                                      <w:b/>
                                      <w:color w:val="221686"/>
                                      <w:sz w:val="28"/>
                                    </w:rPr>
                                    <w:t>Προετοιμασία</w:t>
                                  </w:r>
                                </w:p>
                              </w:txbxContent>
                            </wps:txbx>
                            <wps:bodyPr wrap="square" rtlCol="0">
                              <a:spAutoFit/>
                            </wps:bodyPr>
                          </wps:wsp>
                        </a:graphicData>
                      </a:graphic>
                      <wp14:sizeRelH relativeFrom="margin">
                        <wp14:pctWidth>0</wp14:pctWidth>
                      </wp14:sizeRelH>
                    </wp:anchor>
                  </w:drawing>
                </mc:Choice>
                <mc:Fallback>
                  <w:pict>
                    <v:shape w14:anchorId="03E031F5" id="TextBox 12" o:spid="_x0000_s1027" type="#_x0000_t202" style="position:absolute;left:0;text-align:left;margin-left:376.7pt;margin-top:203.95pt;width:113.45pt;height:23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" filled="f" stroked="f">
                      <v:textbox style="mso-fit-shape-to-text:t">
                        <w:txbxContent>
                          <w:p w14:paraId="58B20D54" w14:textId="77777777" w:rsidR="00B845A6" w:rsidRPr="00B845A6" w:rsidRDefault="00B845A6" w:rsidP="00B845A6">
                            <w:pPr>
                              <w:pStyle w:val="NormalWeb"/>
                              <w:spacing w:before="0" w:beforeAutospacing="0" w:after="0" w:afterAutospacing="0"/>
                              <w:jc w:val="center"/>
                              <w:rPr>
                                <w:rFonts w:ascii="Arial" w:hAnsi="Arial" w:cs="Arial"/>
                                <w:sz w:val="28"/>
                              </w:rPr>
                            </w:pPr>
                            <w:r>
                              <w:rPr>
                                <w:rFonts w:ascii="Arial" w:hAnsi="Arial"/>
                                <w:b/>
                                <w:color w:val="221686"/>
                                <w:sz w:val="28"/>
                              </w:rPr>
                              <w:t>Προετοιμασία</w:t>
                            </w:r>
                          </w:p>
                        </w:txbxContent>
                      </v:textbox>
                    </v:shape>
                  </w:pict>
                </mc:Fallback>
              </mc:AlternateContent>
            </w:r>
            <w:r>
              <w:rPr>
                <w:rFonts w:ascii="Times New Roman" w:hAnsi="Times New Roman"/>
                <w:noProof/>
                <w:color w:val="2B579A"/>
                <w:sz w:val="24"/>
                <w:shd w:val="clear" w:color="auto" w:fill="E6E6E6"/>
                <w:lang w:val="en-GB" w:eastAsia="en-GB"/>
              </w:rPr>
              <mc:AlternateContent>
                <mc:Choice Requires="wps">
                  <w:drawing>
                    <wp:anchor distT="0" distB="0" distL="114300" distR="114300" simplePos="0" relativeHeight="251649024" behindDoc="0" locked="0" layoutInCell="1" allowOverlap="1" wp14:anchorId="54348E59" wp14:editId="1567B16A">
                      <wp:simplePos x="0" y="0"/>
                      <wp:positionH relativeFrom="column">
                        <wp:posOffset>3437585</wp:posOffset>
                      </wp:positionH>
                      <wp:positionV relativeFrom="paragraph">
                        <wp:posOffset>4982210</wp:posOffset>
                      </wp:positionV>
                      <wp:extent cx="1602029" cy="292100"/>
                      <wp:effectExtent l="0" t="0" r="0" b="0"/>
                      <wp:wrapNone/>
                      <wp:docPr id="15" name="TextBox 14">
                        <a:extLst xmlns:a="http://schemas.openxmlformats.org/drawingml/2006/main">
                          <a:ext uri="{FF2B5EF4-FFF2-40B4-BE49-F238E27FC236}">
                            <a16:creationId xmlns:a16="http://schemas.microsoft.com/office/drawing/2014/main" id="{B1FD3763-6E47-94F8-A598-D7ABBEF38AF3}"/>
                          </a:ext>
                        </a:extLst>
                      </wp:docPr>
                      <wp:cNvGraphicFramePr/>
                      <a:graphic xmlns:a="http://schemas.openxmlformats.org/drawingml/2006/main">
                        <a:graphicData uri="http://schemas.microsoft.com/office/word/2010/wordprocessingShape">
                          <wps:wsp>
                            <wps:cNvSpPr txBox="1"/>
                            <wps:spPr>
                              <a:xfrm>
                                <a:off x="0" y="0"/>
                                <a:ext cx="1602029" cy="292100"/>
                              </a:xfrm>
                              <a:prstGeom prst="rect">
                                <a:avLst/>
                              </a:prstGeom>
                              <a:noFill/>
                            </wps:spPr>
                            <wps:txbx>
                              <w:txbxContent>
                                <w:p w14:paraId="076B368F" w14:textId="77777777" w:rsidR="00B845A6" w:rsidRPr="00B845A6" w:rsidRDefault="00B845A6" w:rsidP="00B845A6">
                                  <w:pPr>
                                    <w:pStyle w:val="NormalWeb"/>
                                    <w:spacing w:before="0" w:beforeAutospacing="0" w:after="0" w:afterAutospacing="0"/>
                                    <w:jc w:val="center"/>
                                    <w:rPr>
                                      <w:rFonts w:ascii="Arial" w:hAnsi="Arial" w:cs="Arial"/>
                                      <w:sz w:val="28"/>
                                    </w:rPr>
                                  </w:pPr>
                                  <w:r>
                                    <w:rPr>
                                      <w:rFonts w:ascii="Arial" w:hAnsi="Arial"/>
                                      <w:b/>
                                      <w:color w:val="221686"/>
                                      <w:sz w:val="28"/>
                                    </w:rPr>
                                    <w:t>Προειδοποίηση</w:t>
                                  </w:r>
                                </w:p>
                              </w:txbxContent>
                            </wps:txbx>
                            <wps:bodyPr wrap="square" rtlCol="0">
                              <a:spAutoFit/>
                            </wps:bodyPr>
                          </wps:wsp>
                        </a:graphicData>
                      </a:graphic>
                      <wp14:sizeRelH relativeFrom="margin">
                        <wp14:pctWidth>0</wp14:pctWidth>
                      </wp14:sizeRelH>
                    </wp:anchor>
                  </w:drawing>
                </mc:Choice>
                <mc:Fallback>
                  <w:pict>
                    <v:shape w14:anchorId="54348E59" id="TextBox 14" o:spid="_x0000_s1028" type="#_x0000_t202" style="position:absolute;left:0;text-align:left;margin-left:270.7pt;margin-top:392.3pt;width:126.15pt;height:23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" filled="f" stroked="f">
                      <v:textbox style="mso-fit-shape-to-text:t">
                        <w:txbxContent>
                          <w:p w14:paraId="076B368F" w14:textId="77777777" w:rsidR="00B845A6" w:rsidRPr="00B845A6" w:rsidRDefault="00B845A6" w:rsidP="00B845A6">
                            <w:pPr>
                              <w:pStyle w:val="NormalWeb"/>
                              <w:spacing w:before="0" w:beforeAutospacing="0" w:after="0" w:afterAutospacing="0"/>
                              <w:jc w:val="center"/>
                              <w:rPr>
                                <w:rFonts w:ascii="Arial" w:hAnsi="Arial" w:cs="Arial"/>
                                <w:sz w:val="28"/>
                              </w:rPr>
                            </w:pPr>
                            <w:r>
                              <w:rPr>
                                <w:rFonts w:ascii="Arial" w:hAnsi="Arial"/>
                                <w:b/>
                                <w:color w:val="221686"/>
                                <w:sz w:val="28"/>
                              </w:rPr>
                              <w:t>Προειδοποίηση</w:t>
                            </w:r>
                          </w:p>
                        </w:txbxContent>
                      </v:textbox>
                    </v:shape>
                  </w:pict>
                </mc:Fallback>
              </mc:AlternateContent>
            </w:r>
            <w:r>
              <w:rPr>
                <w:rFonts w:ascii="Times New Roman" w:hAnsi="Times New Roman"/>
                <w:noProof/>
                <w:color w:val="2B579A"/>
                <w:sz w:val="24"/>
                <w:shd w:val="clear" w:color="auto" w:fill="E6E6E6"/>
                <w:lang w:val="en-GB" w:eastAsia="en-GB"/>
              </w:rPr>
              <w:drawing>
                <wp:anchor distT="0" distB="0" distL="114300" distR="114300" simplePos="0" relativeHeight="251669504" behindDoc="0" locked="0" layoutInCell="1" allowOverlap="1" wp14:anchorId="01E48050" wp14:editId="45266803">
                  <wp:simplePos x="0" y="0"/>
                  <wp:positionH relativeFrom="column">
                    <wp:posOffset>5144440</wp:posOffset>
                  </wp:positionH>
                  <wp:positionV relativeFrom="paragraph">
                    <wp:posOffset>4488408</wp:posOffset>
                  </wp:positionV>
                  <wp:extent cx="584200" cy="584200"/>
                  <wp:effectExtent l="0" t="0" r="6350" b="6350"/>
                  <wp:wrapNone/>
                  <wp:docPr id="24" name="Graphic 23">
                    <a:extLst xmlns:a="http://schemas.openxmlformats.org/drawingml/2006/main">
                      <a:ext uri="{FF2B5EF4-FFF2-40B4-BE49-F238E27FC236}">
                        <a16:creationId xmlns:a16="http://schemas.microsoft.com/office/drawing/2014/main" id="{A16D4CC0-65C3-F667-D9FD-A16A8DC2AB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3">
                            <a:extLst>
                              <a:ext uri="{FF2B5EF4-FFF2-40B4-BE49-F238E27FC236}">
                                <a16:creationId xmlns:a16="http://schemas.microsoft.com/office/drawing/2014/main" id="{A16D4CC0-65C3-F667-D9FD-A16A8DC2ABD7}"/>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0"/>
                              </a:ext>
                            </a:extLst>
                          </a:blip>
                          <a:stretch>
                            <a:fillRect/>
                          </a:stretch>
                        </pic:blipFill>
                        <pic:spPr>
                          <a:xfrm rot="10800000">
                            <a:off x="0" y="0"/>
                            <a:ext cx="584200" cy="584200"/>
                          </a:xfrm>
                          <a:prstGeom prst="rect">
                            <a:avLst/>
                          </a:prstGeom>
                        </pic:spPr>
                      </pic:pic>
                    </a:graphicData>
                  </a:graphic>
                </wp:anchor>
              </w:drawing>
            </w:r>
            <w:r w:rsidR="00096A2B">
              <w:rPr>
                <w:rFonts w:ascii="Times New Roman" w:hAnsi="Times New Roman"/>
                <w:noProof/>
                <w:color w:val="2B579A"/>
                <w:sz w:val="24"/>
                <w:shd w:val="clear" w:color="auto" w:fill="E6E6E6"/>
                <w:lang w:val="en-GB" w:eastAsia="en-GB"/>
              </w:rPr>
              <w:drawing>
                <wp:anchor distT="0" distB="0" distL="114300" distR="114300" simplePos="0" relativeHeight="251666432" behindDoc="0" locked="0" layoutInCell="1" allowOverlap="1" wp14:anchorId="16AC123F" wp14:editId="601CCCBA">
                  <wp:simplePos x="0" y="0"/>
                  <wp:positionH relativeFrom="column">
                    <wp:posOffset>440539</wp:posOffset>
                  </wp:positionH>
                  <wp:positionV relativeFrom="paragraph">
                    <wp:posOffset>3908192</wp:posOffset>
                  </wp:positionV>
                  <wp:extent cx="584200" cy="584200"/>
                  <wp:effectExtent l="0" t="0" r="6350" b="6350"/>
                  <wp:wrapNone/>
                  <wp:docPr id="23" name="Graphic 22">
                    <a:extLst xmlns:a="http://schemas.openxmlformats.org/drawingml/2006/main">
                      <a:ext uri="{FF2B5EF4-FFF2-40B4-BE49-F238E27FC236}">
                        <a16:creationId xmlns:a16="http://schemas.microsoft.com/office/drawing/2014/main" id="{70ED17FC-1DB6-991F-536C-0742FDDE1C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2">
                            <a:extLst>
                              <a:ext uri="{FF2B5EF4-FFF2-40B4-BE49-F238E27FC236}">
                                <a16:creationId xmlns:a16="http://schemas.microsoft.com/office/drawing/2014/main" id="{70ED17FC-1DB6-991F-536C-0742FDDE1C89}"/>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0"/>
                              </a:ext>
                            </a:extLst>
                          </a:blip>
                          <a:stretch>
                            <a:fillRect/>
                          </a:stretch>
                        </pic:blipFill>
                        <pic:spPr>
                          <a:xfrm rot="16200000">
                            <a:off x="0" y="0"/>
                            <a:ext cx="584200" cy="584200"/>
                          </a:xfrm>
                          <a:prstGeom prst="rect">
                            <a:avLst/>
                          </a:prstGeom>
                        </pic:spPr>
                      </pic:pic>
                    </a:graphicData>
                  </a:graphic>
                </wp:anchor>
              </w:drawing>
            </w:r>
            <w:r w:rsidR="00096A2B">
              <w:rPr>
                <w:rFonts w:ascii="Times New Roman" w:hAnsi="Times New Roman"/>
                <w:noProof/>
                <w:color w:val="2B579A"/>
                <w:sz w:val="24"/>
                <w:shd w:val="clear" w:color="auto" w:fill="E6E6E6"/>
                <w:lang w:val="en-GB" w:eastAsia="en-GB"/>
              </w:rPr>
              <w:drawing>
                <wp:anchor distT="0" distB="0" distL="114300" distR="114300" simplePos="0" relativeHeight="251671552" behindDoc="0" locked="0" layoutInCell="1" allowOverlap="1" wp14:anchorId="4AC05FB7" wp14:editId="743C4DE4">
                  <wp:simplePos x="0" y="0"/>
                  <wp:positionH relativeFrom="column">
                    <wp:posOffset>2679065</wp:posOffset>
                  </wp:positionH>
                  <wp:positionV relativeFrom="paragraph">
                    <wp:posOffset>5202555</wp:posOffset>
                  </wp:positionV>
                  <wp:extent cx="584200" cy="584200"/>
                  <wp:effectExtent l="57150" t="76200" r="63500" b="44450"/>
                  <wp:wrapNone/>
                  <wp:docPr id="25" name="Graphic 24">
                    <a:extLst xmlns:a="http://schemas.openxmlformats.org/drawingml/2006/main">
                      <a:ext uri="{FF2B5EF4-FFF2-40B4-BE49-F238E27FC236}">
                        <a16:creationId xmlns:a16="http://schemas.microsoft.com/office/drawing/2014/main" id="{C4598F9B-4EF6-7DD7-4B0D-C9F929489E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4">
                            <a:extLst>
                              <a:ext uri="{FF2B5EF4-FFF2-40B4-BE49-F238E27FC236}">
                                <a16:creationId xmlns:a16="http://schemas.microsoft.com/office/drawing/2014/main" id="{C4598F9B-4EF6-7DD7-4B0D-C9F929489E3E}"/>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0"/>
                              </a:ext>
                            </a:extLst>
                          </a:blip>
                          <a:stretch>
                            <a:fillRect/>
                          </a:stretch>
                        </pic:blipFill>
                        <pic:spPr>
                          <a:xfrm rot="13585833">
                            <a:off x="0" y="0"/>
                            <a:ext cx="584200" cy="584200"/>
                          </a:xfrm>
                          <a:prstGeom prst="rect">
                            <a:avLst/>
                          </a:prstGeom>
                        </pic:spPr>
                      </pic:pic>
                    </a:graphicData>
                  </a:graphic>
                </wp:anchor>
              </w:drawing>
            </w:r>
            <w:r w:rsidR="00096A2B">
              <w:rPr>
                <w:rFonts w:ascii="Times New Roman" w:hAnsi="Times New Roman"/>
                <w:noProof/>
                <w:color w:val="2B579A"/>
                <w:sz w:val="24"/>
                <w:shd w:val="clear" w:color="auto" w:fill="E6E6E6"/>
                <w:lang w:val="en-GB" w:eastAsia="en-GB"/>
              </w:rPr>
              <w:drawing>
                <wp:anchor distT="0" distB="0" distL="114300" distR="114300" simplePos="0" relativeHeight="251663360" behindDoc="0" locked="0" layoutInCell="1" allowOverlap="1" wp14:anchorId="7DEB5FD2" wp14:editId="47E20AB8">
                  <wp:simplePos x="0" y="0"/>
                  <wp:positionH relativeFrom="column">
                    <wp:posOffset>4285615</wp:posOffset>
                  </wp:positionH>
                  <wp:positionV relativeFrom="paragraph">
                    <wp:posOffset>855980</wp:posOffset>
                  </wp:positionV>
                  <wp:extent cx="584200" cy="584200"/>
                  <wp:effectExtent l="0" t="0" r="6350" b="6350"/>
                  <wp:wrapNone/>
                  <wp:docPr id="22" name="Graphic 21">
                    <a:extLst xmlns:a="http://schemas.openxmlformats.org/drawingml/2006/main">
                      <a:ext uri="{FF2B5EF4-FFF2-40B4-BE49-F238E27FC236}">
                        <a16:creationId xmlns:a16="http://schemas.microsoft.com/office/drawing/2014/main" id="{CC2FD250-F13B-365A-0811-717ED9A17E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1">
                            <a:extLst>
                              <a:ext uri="{FF2B5EF4-FFF2-40B4-BE49-F238E27FC236}">
                                <a16:creationId xmlns:a16="http://schemas.microsoft.com/office/drawing/2014/main" id="{CC2FD250-F13B-365A-0811-717ED9A17EAB}"/>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0"/>
                              </a:ext>
                            </a:extLst>
                          </a:blip>
                          <a:stretch>
                            <a:fillRect/>
                          </a:stretch>
                        </pic:blipFill>
                        <pic:spPr>
                          <a:xfrm rot="5400000">
                            <a:off x="0" y="0"/>
                            <a:ext cx="584200" cy="584200"/>
                          </a:xfrm>
                          <a:prstGeom prst="rect">
                            <a:avLst/>
                          </a:prstGeom>
                        </pic:spPr>
                      </pic:pic>
                    </a:graphicData>
                  </a:graphic>
                </wp:anchor>
              </w:drawing>
            </w:r>
            <w:r w:rsidR="00096A2B">
              <w:rPr>
                <w:rFonts w:ascii="Times New Roman" w:hAnsi="Times New Roman"/>
                <w:noProof/>
                <w:color w:val="2B579A"/>
                <w:sz w:val="24"/>
                <w:shd w:val="clear" w:color="auto" w:fill="E6E6E6"/>
                <w:lang w:val="en-GB" w:eastAsia="en-GB"/>
              </w:rPr>
              <w:drawing>
                <wp:anchor distT="0" distB="0" distL="114300" distR="114300" simplePos="0" relativeHeight="251661312" behindDoc="0" locked="0" layoutInCell="1" allowOverlap="1" wp14:anchorId="0C288290" wp14:editId="15B124EB">
                  <wp:simplePos x="0" y="0"/>
                  <wp:positionH relativeFrom="column">
                    <wp:posOffset>935990</wp:posOffset>
                  </wp:positionH>
                  <wp:positionV relativeFrom="paragraph">
                    <wp:posOffset>855980</wp:posOffset>
                  </wp:positionV>
                  <wp:extent cx="584200" cy="584200"/>
                  <wp:effectExtent l="0" t="0" r="6350" b="6350"/>
                  <wp:wrapNone/>
                  <wp:docPr id="21" name="Graphic 20">
                    <a:extLst xmlns:a="http://schemas.openxmlformats.org/drawingml/2006/main">
                      <a:ext uri="{FF2B5EF4-FFF2-40B4-BE49-F238E27FC236}">
                        <a16:creationId xmlns:a16="http://schemas.microsoft.com/office/drawing/2014/main" id="{E619BCBE-F036-B281-FE2A-D398046D67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0">
                            <a:extLst>
                              <a:ext uri="{FF2B5EF4-FFF2-40B4-BE49-F238E27FC236}">
                                <a16:creationId xmlns:a16="http://schemas.microsoft.com/office/drawing/2014/main" id="{E619BCBE-F036-B281-FE2A-D398046D67AF}"/>
                              </a:ext>
                            </a:extLst>
                          </pic:cNvPr>
                          <pic:cNvPicPr>
                            <a:picLocks noChangeAspect="1"/>
                          </pic:cNvPicPr>
                        </pic:nvPicPr>
                        <pic:blipFill>
                          <a:blip r:embed="rId19">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0"/>
                              </a:ext>
                            </a:extLst>
                          </a:blip>
                          <a:stretch>
                            <a:fillRect/>
                          </a:stretch>
                        </pic:blipFill>
                        <pic:spPr>
                          <a:xfrm>
                            <a:off x="0" y="0"/>
                            <a:ext cx="584200" cy="584200"/>
                          </a:xfrm>
                          <a:prstGeom prst="rect">
                            <a:avLst/>
                          </a:prstGeom>
                        </pic:spPr>
                      </pic:pic>
                    </a:graphicData>
                  </a:graphic>
                </wp:anchor>
              </w:drawing>
            </w:r>
            <w:r w:rsidR="00096A2B">
              <w:rPr>
                <w:rFonts w:ascii="Times New Roman" w:hAnsi="Times New Roman"/>
                <w:noProof/>
                <w:color w:val="2B579A"/>
                <w:sz w:val="24"/>
                <w:shd w:val="clear" w:color="auto" w:fill="E6E6E6"/>
                <w:lang w:val="en-GB" w:eastAsia="en-GB"/>
              </w:rPr>
              <mc:AlternateContent>
                <mc:Choice Requires="wps">
                  <w:drawing>
                    <wp:anchor distT="0" distB="0" distL="114300" distR="114300" simplePos="0" relativeHeight="251659264" behindDoc="0" locked="0" layoutInCell="1" allowOverlap="1" wp14:anchorId="29D5D146" wp14:editId="016B8A9C">
                      <wp:simplePos x="0" y="0"/>
                      <wp:positionH relativeFrom="column">
                        <wp:posOffset>-488315</wp:posOffset>
                      </wp:positionH>
                      <wp:positionV relativeFrom="paragraph">
                        <wp:posOffset>2988945</wp:posOffset>
                      </wp:positionV>
                      <wp:extent cx="1771650" cy="584200"/>
                      <wp:effectExtent l="0" t="0" r="0" b="0"/>
                      <wp:wrapNone/>
                      <wp:docPr id="20" name="TextBox 19">
                        <a:extLst xmlns:a="http://schemas.openxmlformats.org/drawingml/2006/main">
                          <a:ext uri="{FF2B5EF4-FFF2-40B4-BE49-F238E27FC236}">
                            <a16:creationId xmlns:a16="http://schemas.microsoft.com/office/drawing/2014/main" id="{978DE5A1-7257-D763-A150-90AF5CD48DBA}"/>
                          </a:ext>
                        </a:extLst>
                      </wp:docPr>
                      <wp:cNvGraphicFramePr/>
                      <a:graphic xmlns:a="http://schemas.openxmlformats.org/drawingml/2006/main">
                        <a:graphicData uri="http://schemas.microsoft.com/office/word/2010/wordprocessingShape">
                          <wps:wsp>
                            <wps:cNvSpPr txBox="1"/>
                            <wps:spPr>
                              <a:xfrm>
                                <a:off x="0" y="0"/>
                                <a:ext cx="1771650" cy="584200"/>
                              </a:xfrm>
                              <a:prstGeom prst="rect">
                                <a:avLst/>
                              </a:prstGeom>
                              <a:noFill/>
                            </wps:spPr>
                            <wps:txbx>
                              <w:txbxContent>
                                <w:p w14:paraId="75D221B1" w14:textId="77777777" w:rsidR="00B845A6" w:rsidRPr="00B845A6" w:rsidRDefault="00B845A6" w:rsidP="00B845A6">
                                  <w:pPr>
                                    <w:pStyle w:val="NormalWeb"/>
                                    <w:spacing w:before="0" w:beforeAutospacing="0" w:after="0" w:afterAutospacing="0"/>
                                    <w:jc w:val="center"/>
                                    <w:rPr>
                                      <w:rFonts w:ascii="Arial" w:hAnsi="Arial" w:cs="Arial"/>
                                      <w:sz w:val="22"/>
                                      <w:szCs w:val="22"/>
                                    </w:rPr>
                                  </w:pPr>
                                  <w:r>
                                    <w:rPr>
                                      <w:rFonts w:ascii="Arial" w:hAnsi="Arial"/>
                                      <w:color w:val="221686"/>
                                      <w:sz w:val="22"/>
                                    </w:rPr>
                                    <w:t xml:space="preserve">Διασφάλιση ενός ισχυρού </w:t>
                                  </w:r>
                                </w:p>
                                <w:p w14:paraId="19638B73" w14:textId="77777777" w:rsidR="00B845A6" w:rsidRPr="00B845A6" w:rsidRDefault="00B845A6" w:rsidP="00B845A6">
                                  <w:pPr>
                                    <w:pStyle w:val="NormalWeb"/>
                                    <w:spacing w:before="0" w:beforeAutospacing="0" w:after="0" w:afterAutospacing="0"/>
                                    <w:jc w:val="center"/>
                                    <w:rPr>
                                      <w:rFonts w:ascii="Arial" w:hAnsi="Arial" w:cs="Arial"/>
                                      <w:sz w:val="22"/>
                                      <w:szCs w:val="22"/>
                                    </w:rPr>
                                  </w:pPr>
                                  <w:r>
                                    <w:rPr>
                                      <w:rFonts w:ascii="Arial" w:hAnsi="Arial"/>
                                      <w:color w:val="221686"/>
                                      <w:sz w:val="22"/>
                                    </w:rPr>
                                    <w:t xml:space="preserve">συστήματος πολιτικής </w:t>
                                  </w:r>
                                </w:p>
                                <w:p w14:paraId="1AE96FE7" w14:textId="77777777" w:rsidR="00B845A6" w:rsidRPr="00B845A6" w:rsidRDefault="00B845A6" w:rsidP="00B845A6">
                                  <w:pPr>
                                    <w:pStyle w:val="NormalWeb"/>
                                    <w:spacing w:before="0" w:beforeAutospacing="0" w:after="0" w:afterAutospacing="0"/>
                                    <w:jc w:val="center"/>
                                    <w:rPr>
                                      <w:rFonts w:ascii="Arial" w:hAnsi="Arial" w:cs="Arial"/>
                                      <w:sz w:val="22"/>
                                      <w:szCs w:val="22"/>
                                    </w:rPr>
                                  </w:pPr>
                                  <w:r>
                                    <w:rPr>
                                      <w:rFonts w:ascii="Arial" w:hAnsi="Arial"/>
                                      <w:color w:val="221686"/>
                                      <w:sz w:val="22"/>
                                    </w:rPr>
                                    <w:t>προστασίας</w:t>
                                  </w:r>
                                </w:p>
                              </w:txbxContent>
                            </wps:txbx>
                            <wps:bodyPr wrap="square" rtlCol="0">
                              <a:spAutoFit/>
                            </wps:bodyPr>
                          </wps:wsp>
                        </a:graphicData>
                      </a:graphic>
                    </wp:anchor>
                  </w:drawing>
                </mc:Choice>
                <mc:Fallback>
                  <w:pict>
                    <v:shape w14:anchorId="29D5D146" id="TextBox 19" o:spid="_x0000_s1029" type="#_x0000_t202" style="position:absolute;left:0;text-align:left;margin-left:-38.45pt;margin-top:235.35pt;width:139.5pt;height: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" filled="f" stroked="f">
                      <v:textbox style="mso-fit-shape-to-text:t">
                        <w:txbxContent>
                          <w:p w14:paraId="75D221B1" w14:textId="77777777" w:rsidR="00B845A6" w:rsidRPr="00B845A6" w:rsidRDefault="00B845A6" w:rsidP="00B845A6">
                            <w:pPr>
                              <w:pStyle w:val="NormalWeb"/>
                              <w:spacing w:before="0" w:beforeAutospacing="0" w:after="0" w:afterAutospacing="0"/>
                              <w:jc w:val="center"/>
                              <w:rPr>
                                <w:rFonts w:ascii="Arial" w:hAnsi="Arial" w:cs="Arial"/>
                                <w:sz w:val="22"/>
                                <w:szCs w:val="22"/>
                              </w:rPr>
                            </w:pPr>
                            <w:r>
                              <w:rPr>
                                <w:rFonts w:ascii="Arial" w:hAnsi="Arial"/>
                                <w:color w:val="221686"/>
                                <w:sz w:val="22"/>
                              </w:rPr>
                              <w:t xml:space="preserve">Διασφάλιση ενός ισχυρού </w:t>
                            </w:r>
                          </w:p>
                          <w:p w14:paraId="19638B73" w14:textId="77777777" w:rsidR="00B845A6" w:rsidRPr="00B845A6" w:rsidRDefault="00B845A6" w:rsidP="00B845A6">
                            <w:pPr>
                              <w:pStyle w:val="NormalWeb"/>
                              <w:spacing w:before="0" w:beforeAutospacing="0" w:after="0" w:afterAutospacing="0"/>
                              <w:jc w:val="center"/>
                              <w:rPr>
                                <w:rFonts w:ascii="Arial" w:hAnsi="Arial" w:cs="Arial"/>
                                <w:sz w:val="22"/>
                                <w:szCs w:val="22"/>
                              </w:rPr>
                            </w:pPr>
                            <w:r>
                              <w:rPr>
                                <w:rFonts w:ascii="Arial" w:hAnsi="Arial"/>
                                <w:color w:val="221686"/>
                                <w:sz w:val="22"/>
                              </w:rPr>
                              <w:t xml:space="preserve">συστήματος πολιτικής </w:t>
                            </w:r>
                          </w:p>
                          <w:p w14:paraId="1AE96FE7" w14:textId="77777777" w:rsidR="00B845A6" w:rsidRPr="00B845A6" w:rsidRDefault="00B845A6" w:rsidP="00B845A6">
                            <w:pPr>
                              <w:pStyle w:val="NormalWeb"/>
                              <w:spacing w:before="0" w:beforeAutospacing="0" w:after="0" w:afterAutospacing="0"/>
                              <w:jc w:val="center"/>
                              <w:rPr>
                                <w:rFonts w:ascii="Arial" w:hAnsi="Arial" w:cs="Arial"/>
                                <w:sz w:val="22"/>
                                <w:szCs w:val="22"/>
                              </w:rPr>
                            </w:pPr>
                            <w:r>
                              <w:rPr>
                                <w:rFonts w:ascii="Arial" w:hAnsi="Arial"/>
                                <w:color w:val="221686"/>
                                <w:sz w:val="22"/>
                              </w:rPr>
                              <w:t>προστασίας</w:t>
                            </w:r>
                          </w:p>
                        </w:txbxContent>
                      </v:textbox>
                    </v:shape>
                  </w:pict>
                </mc:Fallback>
              </mc:AlternateContent>
            </w:r>
            <w:r w:rsidR="00096A2B">
              <w:rPr>
                <w:rFonts w:ascii="Times New Roman" w:hAnsi="Times New Roman"/>
                <w:noProof/>
                <w:color w:val="2B579A"/>
                <w:sz w:val="24"/>
                <w:shd w:val="clear" w:color="auto" w:fill="E6E6E6"/>
                <w:lang w:val="en-GB" w:eastAsia="en-GB"/>
              </w:rPr>
              <mc:AlternateContent>
                <mc:Choice Requires="wps">
                  <w:drawing>
                    <wp:anchor distT="0" distB="0" distL="114300" distR="114300" simplePos="0" relativeHeight="251657216" behindDoc="0" locked="0" layoutInCell="1" allowOverlap="1" wp14:anchorId="73A03414" wp14:editId="00A97EA1">
                      <wp:simplePos x="0" y="0"/>
                      <wp:positionH relativeFrom="column">
                        <wp:posOffset>-229235</wp:posOffset>
                      </wp:positionH>
                      <wp:positionV relativeFrom="paragraph">
                        <wp:posOffset>2593340</wp:posOffset>
                      </wp:positionV>
                      <wp:extent cx="1252855" cy="292100"/>
                      <wp:effectExtent l="0" t="0" r="0" b="0"/>
                      <wp:wrapNone/>
                      <wp:docPr id="19" name="TextBox 18">
                        <a:extLst xmlns:a="http://schemas.openxmlformats.org/drawingml/2006/main">
                          <a:ext uri="{FF2B5EF4-FFF2-40B4-BE49-F238E27FC236}">
                            <a16:creationId xmlns:a16="http://schemas.microsoft.com/office/drawing/2014/main" id="{D2940A67-C847-C937-7712-0C42C2FDC1E1}"/>
                          </a:ext>
                        </a:extLst>
                      </wp:docPr>
                      <wp:cNvGraphicFramePr/>
                      <a:graphic xmlns:a="http://schemas.openxmlformats.org/drawingml/2006/main">
                        <a:graphicData uri="http://schemas.microsoft.com/office/word/2010/wordprocessingShape">
                          <wps:wsp>
                            <wps:cNvSpPr txBox="1"/>
                            <wps:spPr>
                              <a:xfrm>
                                <a:off x="0" y="0"/>
                                <a:ext cx="1252855" cy="292100"/>
                              </a:xfrm>
                              <a:prstGeom prst="rect">
                                <a:avLst/>
                              </a:prstGeom>
                              <a:noFill/>
                            </wps:spPr>
                            <wps:txbx>
                              <w:txbxContent>
                                <w:p w14:paraId="5E8A2C4B" w14:textId="77777777" w:rsidR="00B845A6" w:rsidRPr="00B845A6" w:rsidRDefault="00B845A6" w:rsidP="00B845A6">
                                  <w:pPr>
                                    <w:pStyle w:val="NormalWeb"/>
                                    <w:spacing w:before="0" w:beforeAutospacing="0" w:after="0" w:afterAutospacing="0"/>
                                    <w:jc w:val="center"/>
                                    <w:rPr>
                                      <w:rFonts w:ascii="Arial" w:hAnsi="Arial" w:cs="Arial"/>
                                      <w:sz w:val="28"/>
                                      <w:szCs w:val="28"/>
                                    </w:rPr>
                                  </w:pPr>
                                  <w:r>
                                    <w:rPr>
                                      <w:rFonts w:ascii="Arial" w:hAnsi="Arial"/>
                                      <w:b/>
                                      <w:color w:val="221686"/>
                                      <w:sz w:val="28"/>
                                    </w:rPr>
                                    <w:t>Ασφάλεια</w:t>
                                  </w:r>
                                </w:p>
                              </w:txbxContent>
                            </wps:txbx>
                            <wps:bodyPr wrap="square" rtlCol="0">
                              <a:spAutoFit/>
                            </wps:bodyPr>
                          </wps:wsp>
                        </a:graphicData>
                      </a:graphic>
                    </wp:anchor>
                  </w:drawing>
                </mc:Choice>
                <mc:Fallback>
                  <w:pict>
                    <v:shape w14:anchorId="73A03414" id="TextBox 18" o:spid="_x0000_s1030" type="#_x0000_t202" style="position:absolute;left:0;text-align:left;margin-left:-18.05pt;margin-top:204.2pt;width:98.65pt;height:2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" filled="f" stroked="f">
                      <v:textbox style="mso-fit-shape-to-text:t">
                        <w:txbxContent>
                          <w:p w14:paraId="5E8A2C4B" w14:textId="77777777" w:rsidR="00B845A6" w:rsidRPr="00B845A6" w:rsidRDefault="00B845A6" w:rsidP="00B845A6">
                            <w:pPr>
                              <w:pStyle w:val="NormalWeb"/>
                              <w:spacing w:before="0" w:beforeAutospacing="0" w:after="0" w:afterAutospacing="0"/>
                              <w:jc w:val="center"/>
                              <w:rPr>
                                <w:rFonts w:ascii="Arial" w:hAnsi="Arial" w:cs="Arial"/>
                                <w:sz w:val="28"/>
                                <w:szCs w:val="28"/>
                              </w:rPr>
                            </w:pPr>
                            <w:r>
                              <w:rPr>
                                <w:rFonts w:ascii="Arial" w:hAnsi="Arial"/>
                                <w:b/>
                                <w:color w:val="221686"/>
                                <w:sz w:val="28"/>
                              </w:rPr>
                              <w:t>Ασφάλεια</w:t>
                            </w:r>
                          </w:p>
                        </w:txbxContent>
                      </v:textbox>
                    </v:shape>
                  </w:pict>
                </mc:Fallback>
              </mc:AlternateContent>
            </w:r>
            <w:r w:rsidR="00096A2B">
              <w:rPr>
                <w:rFonts w:ascii="Times New Roman" w:hAnsi="Times New Roman"/>
                <w:noProof/>
                <w:color w:val="2B579A"/>
                <w:sz w:val="24"/>
                <w:shd w:val="clear" w:color="auto" w:fill="E6E6E6"/>
                <w:lang w:val="en-GB" w:eastAsia="en-GB"/>
              </w:rPr>
              <mc:AlternateContent>
                <mc:Choice Requires="wps">
                  <w:drawing>
                    <wp:anchor distT="0" distB="0" distL="114300" distR="114300" simplePos="0" relativeHeight="251655168" behindDoc="0" locked="0" layoutInCell="1" allowOverlap="1" wp14:anchorId="3F2C4874" wp14:editId="4919DFBF">
                      <wp:simplePos x="0" y="0"/>
                      <wp:positionH relativeFrom="column">
                        <wp:posOffset>610235</wp:posOffset>
                      </wp:positionH>
                      <wp:positionV relativeFrom="paragraph">
                        <wp:posOffset>5375910</wp:posOffset>
                      </wp:positionV>
                      <wp:extent cx="1771650" cy="584200"/>
                      <wp:effectExtent l="0" t="0" r="0" b="0"/>
                      <wp:wrapNone/>
                      <wp:docPr id="18" name="TextBox 17">
                        <a:extLst xmlns:a="http://schemas.openxmlformats.org/drawingml/2006/main">
                          <a:ext uri="{FF2B5EF4-FFF2-40B4-BE49-F238E27FC236}">
                            <a16:creationId xmlns:a16="http://schemas.microsoft.com/office/drawing/2014/main" id="{865656C3-7DA0-89CF-C2EC-ECEDAEBABC3E}"/>
                          </a:ext>
                        </a:extLst>
                      </wp:docPr>
                      <wp:cNvGraphicFramePr/>
                      <a:graphic xmlns:a="http://schemas.openxmlformats.org/drawingml/2006/main">
                        <a:graphicData uri="http://schemas.microsoft.com/office/word/2010/wordprocessingShape">
                          <wps:wsp>
                            <wps:cNvSpPr txBox="1"/>
                            <wps:spPr>
                              <a:xfrm>
                                <a:off x="0" y="0"/>
                                <a:ext cx="1771650" cy="584200"/>
                              </a:xfrm>
                              <a:prstGeom prst="rect">
                                <a:avLst/>
                              </a:prstGeom>
                              <a:noFill/>
                            </wps:spPr>
                            <wps:txbx>
                              <w:txbxContent>
                                <w:p w14:paraId="1CE028CE" w14:textId="77777777" w:rsidR="00B845A6" w:rsidRPr="00B845A6" w:rsidRDefault="00B845A6" w:rsidP="00B845A6">
                                  <w:pPr>
                                    <w:pStyle w:val="NormalWeb"/>
                                    <w:spacing w:before="0" w:beforeAutospacing="0" w:after="0" w:afterAutospacing="0"/>
                                    <w:jc w:val="center"/>
                                    <w:rPr>
                                      <w:rFonts w:ascii="Arial" w:hAnsi="Arial" w:cs="Arial"/>
                                      <w:sz w:val="18"/>
                                    </w:rPr>
                                  </w:pPr>
                                  <w:r>
                                    <w:rPr>
                                      <w:rFonts w:ascii="Arial" w:hAnsi="Arial"/>
                                      <w:color w:val="221686"/>
                                      <w:sz w:val="22"/>
                                    </w:rPr>
                                    <w:t>Ενίσχυση της ικανότητας αντίδρασης του μηχανισμού πολιτικής προστασίας της Ένωσης</w:t>
                                  </w:r>
                                </w:p>
                              </w:txbxContent>
                            </wps:txbx>
                            <wps:bodyPr wrap="square" rtlCol="0">
                              <a:spAutoFit/>
                            </wps:bodyPr>
                          </wps:wsp>
                        </a:graphicData>
                      </a:graphic>
                    </wp:anchor>
                  </w:drawing>
                </mc:Choice>
                <mc:Fallback>
                  <w:pict>
                    <v:shape w14:anchorId="3F2C4874" id="TextBox 17" o:spid="_x0000_s1031" type="#_x0000_t202" style="position:absolute;left:0;text-align:left;margin-left:48.05pt;margin-top:423.3pt;width:139.5pt;height:4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" filled="f" stroked="f">
                      <v:textbox style="mso-fit-shape-to-text:t">
                        <w:txbxContent>
                          <w:p w14:paraId="1CE028CE" w14:textId="77777777" w:rsidR="00B845A6" w:rsidRPr="00B845A6" w:rsidRDefault="00B845A6" w:rsidP="00B845A6">
                            <w:pPr>
                              <w:pStyle w:val="NormalWeb"/>
                              <w:spacing w:before="0" w:beforeAutospacing="0" w:after="0" w:afterAutospacing="0"/>
                              <w:jc w:val="center"/>
                              <w:rPr>
                                <w:rFonts w:ascii="Arial" w:hAnsi="Arial" w:cs="Arial"/>
                                <w:sz w:val="18"/>
                              </w:rPr>
                            </w:pPr>
                            <w:r>
                              <w:rPr>
                                <w:rFonts w:ascii="Arial" w:hAnsi="Arial"/>
                                <w:color w:val="221686"/>
                                <w:sz w:val="22"/>
                              </w:rPr>
                              <w:t>Ενίσχυση της ικανότητας αντίδρασης του μηχανισμού πολιτικής προστασίας της Ένωσης</w:t>
                            </w:r>
                          </w:p>
                        </w:txbxContent>
                      </v:textbox>
                    </v:shape>
                  </w:pict>
                </mc:Fallback>
              </mc:AlternateContent>
            </w:r>
            <w:r w:rsidR="00096A2B">
              <w:rPr>
                <w:rFonts w:ascii="Times New Roman" w:hAnsi="Times New Roman"/>
                <w:noProof/>
                <w:color w:val="2B579A"/>
                <w:sz w:val="24"/>
                <w:shd w:val="clear" w:color="auto" w:fill="E6E6E6"/>
                <w:lang w:val="en-GB" w:eastAsia="en-GB"/>
              </w:rPr>
              <mc:AlternateContent>
                <mc:Choice Requires="wps">
                  <w:drawing>
                    <wp:anchor distT="0" distB="0" distL="114300" distR="114300" simplePos="0" relativeHeight="251653120" behindDoc="0" locked="0" layoutInCell="1" allowOverlap="1" wp14:anchorId="0DEBF6BD" wp14:editId="7467B1B8">
                      <wp:simplePos x="0" y="0"/>
                      <wp:positionH relativeFrom="column">
                        <wp:posOffset>869950</wp:posOffset>
                      </wp:positionH>
                      <wp:positionV relativeFrom="paragraph">
                        <wp:posOffset>4980305</wp:posOffset>
                      </wp:positionV>
                      <wp:extent cx="1252855" cy="292100"/>
                      <wp:effectExtent l="0" t="0" r="0" b="0"/>
                      <wp:wrapNone/>
                      <wp:docPr id="17" name="TextBox 16">
                        <a:extLst xmlns:a="http://schemas.openxmlformats.org/drawingml/2006/main">
                          <a:ext uri="{FF2B5EF4-FFF2-40B4-BE49-F238E27FC236}">
                            <a16:creationId xmlns:a16="http://schemas.microsoft.com/office/drawing/2014/main" id="{F61D687A-D689-54DF-DC68-CCDA390709CC}"/>
                          </a:ext>
                        </a:extLst>
                      </wp:docPr>
                      <wp:cNvGraphicFramePr/>
                      <a:graphic xmlns:a="http://schemas.openxmlformats.org/drawingml/2006/main">
                        <a:graphicData uri="http://schemas.microsoft.com/office/word/2010/wordprocessingShape">
                          <wps:wsp>
                            <wps:cNvSpPr txBox="1"/>
                            <wps:spPr>
                              <a:xfrm>
                                <a:off x="0" y="0"/>
                                <a:ext cx="1252855" cy="292100"/>
                              </a:xfrm>
                              <a:prstGeom prst="rect">
                                <a:avLst/>
                              </a:prstGeom>
                              <a:noFill/>
                            </wps:spPr>
                            <wps:txbx>
                              <w:txbxContent>
                                <w:p w14:paraId="7C74835B" w14:textId="77777777" w:rsidR="00B845A6" w:rsidRPr="00B845A6" w:rsidRDefault="00B845A6" w:rsidP="00B845A6">
                                  <w:pPr>
                                    <w:pStyle w:val="NormalWeb"/>
                                    <w:spacing w:before="0" w:beforeAutospacing="0" w:after="0" w:afterAutospacing="0"/>
                                    <w:jc w:val="center"/>
                                    <w:rPr>
                                      <w:rFonts w:ascii="Arial" w:hAnsi="Arial" w:cs="Arial"/>
                                      <w:sz w:val="28"/>
                                      <w:szCs w:val="28"/>
                                    </w:rPr>
                                  </w:pPr>
                                  <w:r>
                                    <w:rPr>
                                      <w:rFonts w:ascii="Arial" w:hAnsi="Arial"/>
                                      <w:b/>
                                      <w:color w:val="221686"/>
                                      <w:sz w:val="28"/>
                                    </w:rPr>
                                    <w:t>Αντίδραση</w:t>
                                  </w:r>
                                </w:p>
                              </w:txbxContent>
                            </wps:txbx>
                            <wps:bodyPr wrap="square" rtlCol="0">
                              <a:spAutoFit/>
                            </wps:bodyPr>
                          </wps:wsp>
                        </a:graphicData>
                      </a:graphic>
                    </wp:anchor>
                  </w:drawing>
                </mc:Choice>
                <mc:Fallback>
                  <w:pict>
                    <v:shape w14:anchorId="0DEBF6BD" id="TextBox 16" o:spid="_x0000_s1032" type="#_x0000_t202" style="position:absolute;left:0;text-align:left;margin-left:68.5pt;margin-top:392.15pt;width:98.65pt;height:23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" filled="f" stroked="f">
                      <v:textbox style="mso-fit-shape-to-text:t">
                        <w:txbxContent>
                          <w:p w14:paraId="7C74835B" w14:textId="77777777" w:rsidR="00B845A6" w:rsidRPr="00B845A6" w:rsidRDefault="00B845A6" w:rsidP="00B845A6">
                            <w:pPr>
                              <w:pStyle w:val="NormalWeb"/>
                              <w:spacing w:before="0" w:beforeAutospacing="0" w:after="0" w:afterAutospacing="0"/>
                              <w:jc w:val="center"/>
                              <w:rPr>
                                <w:rFonts w:ascii="Arial" w:hAnsi="Arial" w:cs="Arial"/>
                                <w:sz w:val="28"/>
                                <w:szCs w:val="28"/>
                              </w:rPr>
                            </w:pPr>
                            <w:r>
                              <w:rPr>
                                <w:rFonts w:ascii="Arial" w:hAnsi="Arial"/>
                                <w:b/>
                                <w:color w:val="221686"/>
                                <w:sz w:val="28"/>
                              </w:rPr>
                              <w:t>Αντίδραση</w:t>
                            </w:r>
                          </w:p>
                        </w:txbxContent>
                      </v:textbox>
                    </v:shape>
                  </w:pict>
                </mc:Fallback>
              </mc:AlternateContent>
            </w:r>
            <w:r w:rsidR="00096A2B">
              <w:rPr>
                <w:rFonts w:ascii="Times New Roman" w:hAnsi="Times New Roman"/>
                <w:noProof/>
                <w:color w:val="2B579A"/>
                <w:sz w:val="24"/>
                <w:shd w:val="clear" w:color="auto" w:fill="E6E6E6"/>
                <w:lang w:val="en-GB" w:eastAsia="en-GB"/>
              </w:rPr>
              <mc:AlternateContent>
                <mc:Choice Requires="wps">
                  <w:drawing>
                    <wp:anchor distT="0" distB="0" distL="114300" distR="114300" simplePos="0" relativeHeight="251651072" behindDoc="0" locked="0" layoutInCell="1" allowOverlap="1" wp14:anchorId="3545DB56" wp14:editId="02033CFD">
                      <wp:simplePos x="0" y="0"/>
                      <wp:positionH relativeFrom="column">
                        <wp:posOffset>3458845</wp:posOffset>
                      </wp:positionH>
                      <wp:positionV relativeFrom="paragraph">
                        <wp:posOffset>5375910</wp:posOffset>
                      </wp:positionV>
                      <wp:extent cx="1569720" cy="420370"/>
                      <wp:effectExtent l="0" t="0" r="0" b="0"/>
                      <wp:wrapNone/>
                      <wp:docPr id="16" name="TextBox 15">
                        <a:extLst xmlns:a="http://schemas.openxmlformats.org/drawingml/2006/main">
                          <a:ext uri="{FF2B5EF4-FFF2-40B4-BE49-F238E27FC236}">
                            <a16:creationId xmlns:a16="http://schemas.microsoft.com/office/drawing/2014/main" id="{F6FBA50B-BCD9-8DBC-B3D6-A48584710065}"/>
                          </a:ext>
                        </a:extLst>
                      </wp:docPr>
                      <wp:cNvGraphicFramePr/>
                      <a:graphic xmlns:a="http://schemas.openxmlformats.org/drawingml/2006/main">
                        <a:graphicData uri="http://schemas.microsoft.com/office/word/2010/wordprocessingShape">
                          <wps:wsp>
                            <wps:cNvSpPr txBox="1"/>
                            <wps:spPr>
                              <a:xfrm>
                                <a:off x="0" y="0"/>
                                <a:ext cx="1569720" cy="420370"/>
                              </a:xfrm>
                              <a:prstGeom prst="rect">
                                <a:avLst/>
                              </a:prstGeom>
                              <a:noFill/>
                            </wps:spPr>
                            <wps:txbx>
                              <w:txbxContent>
                                <w:p w14:paraId="3718B696" w14:textId="77777777" w:rsidR="00B845A6" w:rsidRPr="00B845A6" w:rsidRDefault="00B845A6" w:rsidP="00B845A6">
                                  <w:pPr>
                                    <w:pStyle w:val="NormalWeb"/>
                                    <w:spacing w:before="0" w:beforeAutospacing="0" w:after="0" w:afterAutospacing="0"/>
                                    <w:jc w:val="center"/>
                                    <w:rPr>
                                      <w:rFonts w:ascii="Arial" w:hAnsi="Arial" w:cs="Arial"/>
                                      <w:sz w:val="22"/>
                                      <w:szCs w:val="22"/>
                                    </w:rPr>
                                  </w:pPr>
                                  <w:r>
                                    <w:rPr>
                                      <w:rFonts w:ascii="Arial" w:hAnsi="Arial"/>
                                      <w:color w:val="221686"/>
                                      <w:sz w:val="22"/>
                                    </w:rPr>
                                    <w:t xml:space="preserve">Ενίσχυση της έγκαιρης </w:t>
                                  </w:r>
                                </w:p>
                                <w:p w14:paraId="4A215988" w14:textId="77777777" w:rsidR="00B845A6" w:rsidRPr="00B845A6" w:rsidRDefault="00B845A6" w:rsidP="00B845A6">
                                  <w:pPr>
                                    <w:pStyle w:val="NormalWeb"/>
                                    <w:spacing w:before="0" w:beforeAutospacing="0" w:after="0" w:afterAutospacing="0"/>
                                    <w:jc w:val="center"/>
                                    <w:rPr>
                                      <w:rFonts w:ascii="Arial" w:hAnsi="Arial" w:cs="Arial"/>
                                      <w:sz w:val="22"/>
                                      <w:szCs w:val="22"/>
                                    </w:rPr>
                                  </w:pPr>
                                  <w:r>
                                    <w:rPr>
                                      <w:rFonts w:ascii="Arial" w:hAnsi="Arial"/>
                                      <w:color w:val="221686"/>
                                      <w:sz w:val="22"/>
                                    </w:rPr>
                                    <w:t>προειδοποίησης</w:t>
                                  </w:r>
                                </w:p>
                              </w:txbxContent>
                            </wps:txbx>
                            <wps:bodyPr wrap="square" rtlCol="0">
                              <a:spAutoFit/>
                            </wps:bodyPr>
                          </wps:wsp>
                        </a:graphicData>
                      </a:graphic>
                    </wp:anchor>
                  </w:drawing>
                </mc:Choice>
                <mc:Fallback>
                  <w:pict>
                    <v:shape w14:anchorId="3545DB56" id="TextBox 15" o:spid="_x0000_s1033" type="#_x0000_t202" style="position:absolute;left:0;text-align:left;margin-left:272.35pt;margin-top:423.3pt;width:123.6pt;height:33.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" filled="f" stroked="f">
                      <v:textbox style="mso-fit-shape-to-text:t">
                        <w:txbxContent>
                          <w:p w14:paraId="3718B696" w14:textId="77777777" w:rsidR="00B845A6" w:rsidRPr="00B845A6" w:rsidRDefault="00B845A6" w:rsidP="00B845A6">
                            <w:pPr>
                              <w:pStyle w:val="NormalWeb"/>
                              <w:spacing w:before="0" w:beforeAutospacing="0" w:after="0" w:afterAutospacing="0"/>
                              <w:jc w:val="center"/>
                              <w:rPr>
                                <w:rFonts w:ascii="Arial" w:hAnsi="Arial" w:cs="Arial"/>
                                <w:sz w:val="22"/>
                                <w:szCs w:val="22"/>
                              </w:rPr>
                            </w:pPr>
                            <w:r>
                              <w:rPr>
                                <w:rFonts w:ascii="Arial" w:hAnsi="Arial"/>
                                <w:color w:val="221686"/>
                                <w:sz w:val="22"/>
                              </w:rPr>
                              <w:t xml:space="preserve">Ενίσχυση της έγκαιρης </w:t>
                            </w:r>
                          </w:p>
                          <w:p w14:paraId="4A215988" w14:textId="77777777" w:rsidR="00B845A6" w:rsidRPr="00B845A6" w:rsidRDefault="00B845A6" w:rsidP="00B845A6">
                            <w:pPr>
                              <w:pStyle w:val="NormalWeb"/>
                              <w:spacing w:before="0" w:beforeAutospacing="0" w:after="0" w:afterAutospacing="0"/>
                              <w:jc w:val="center"/>
                              <w:rPr>
                                <w:rFonts w:ascii="Arial" w:hAnsi="Arial" w:cs="Arial"/>
                                <w:sz w:val="22"/>
                                <w:szCs w:val="22"/>
                              </w:rPr>
                            </w:pPr>
                            <w:r>
                              <w:rPr>
                                <w:rFonts w:ascii="Arial" w:hAnsi="Arial"/>
                                <w:color w:val="221686"/>
                                <w:sz w:val="22"/>
                              </w:rPr>
                              <w:t>προειδοποίησης</w:t>
                            </w:r>
                          </w:p>
                        </w:txbxContent>
                      </v:textbox>
                    </v:shape>
                  </w:pict>
                </mc:Fallback>
              </mc:AlternateContent>
            </w:r>
            <w:r w:rsidR="00096A2B">
              <w:rPr>
                <w:rFonts w:ascii="Times New Roman" w:hAnsi="Times New Roman"/>
                <w:noProof/>
                <w:color w:val="2B579A"/>
                <w:sz w:val="24"/>
                <w:shd w:val="clear" w:color="auto" w:fill="E6E6E6"/>
                <w:lang w:val="en-GB" w:eastAsia="en-GB"/>
              </w:rPr>
              <mc:AlternateContent>
                <mc:Choice Requires="wps">
                  <w:drawing>
                    <wp:anchor distT="0" distB="0" distL="114300" distR="114300" simplePos="0" relativeHeight="251646976" behindDoc="0" locked="0" layoutInCell="1" allowOverlap="1" wp14:anchorId="704CF7FE" wp14:editId="20C65833">
                      <wp:simplePos x="0" y="0"/>
                      <wp:positionH relativeFrom="column">
                        <wp:posOffset>4713605</wp:posOffset>
                      </wp:positionH>
                      <wp:positionV relativeFrom="paragraph">
                        <wp:posOffset>2962275</wp:posOffset>
                      </wp:positionV>
                      <wp:extent cx="1569720" cy="748665"/>
                      <wp:effectExtent l="0" t="0" r="0" b="0"/>
                      <wp:wrapNone/>
                      <wp:docPr id="14" name="TextBox 13">
                        <a:extLst xmlns:a="http://schemas.openxmlformats.org/drawingml/2006/main">
                          <a:ext uri="{FF2B5EF4-FFF2-40B4-BE49-F238E27FC236}">
                            <a16:creationId xmlns:a16="http://schemas.microsoft.com/office/drawing/2014/main" id="{3B95E330-EE54-8979-9681-2BA05067FFD9}"/>
                          </a:ext>
                        </a:extLst>
                      </wp:docPr>
                      <wp:cNvGraphicFramePr/>
                      <a:graphic xmlns:a="http://schemas.openxmlformats.org/drawingml/2006/main">
                        <a:graphicData uri="http://schemas.microsoft.com/office/word/2010/wordprocessingShape">
                          <wps:wsp>
                            <wps:cNvSpPr txBox="1"/>
                            <wps:spPr>
                              <a:xfrm>
                                <a:off x="0" y="0"/>
                                <a:ext cx="1569720" cy="748665"/>
                              </a:xfrm>
                              <a:prstGeom prst="rect">
                                <a:avLst/>
                              </a:prstGeom>
                              <a:noFill/>
                            </wps:spPr>
                            <wps:txbx>
                              <w:txbxContent>
                                <w:p w14:paraId="41B63DBC" w14:textId="77777777" w:rsidR="00B845A6" w:rsidRPr="00B845A6" w:rsidRDefault="00B845A6" w:rsidP="00B845A6">
                                  <w:pPr>
                                    <w:pStyle w:val="NormalWeb"/>
                                    <w:spacing w:before="0" w:beforeAutospacing="0" w:after="0" w:afterAutospacing="0"/>
                                    <w:jc w:val="center"/>
                                    <w:rPr>
                                      <w:rFonts w:ascii="Arial" w:hAnsi="Arial" w:cs="Arial"/>
                                      <w:sz w:val="22"/>
                                      <w:szCs w:val="22"/>
                                    </w:rPr>
                                  </w:pPr>
                                  <w:r>
                                    <w:rPr>
                                      <w:rFonts w:ascii="Arial" w:hAnsi="Arial"/>
                                      <w:color w:val="221686"/>
                                      <w:sz w:val="22"/>
                                    </w:rPr>
                                    <w:t>Αύξηση της ευαισθητοποίησης του πληθυσμού σχετικά με τους κινδύνους και ενίσχυση της ετοιμότητάς του</w:t>
                                  </w:r>
                                </w:p>
                              </w:txbxContent>
                            </wps:txbx>
                            <wps:bodyPr wrap="square" rtlCol="0">
                              <a:spAutoFit/>
                            </wps:bodyPr>
                          </wps:wsp>
                        </a:graphicData>
                      </a:graphic>
                    </wp:anchor>
                  </w:drawing>
                </mc:Choice>
                <mc:Fallback>
                  <w:pict>
                    <v:shape w14:anchorId="704CF7FE" id="TextBox 13" o:spid="_x0000_s1034" type="#_x0000_t202" style="position:absolute;left:0;text-align:left;margin-left:371.15pt;margin-top:233.25pt;width:123.6pt;height:58.9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" filled="f" stroked="f">
                      <v:textbox style="mso-fit-shape-to-text:t">
                        <w:txbxContent>
                          <w:p w14:paraId="41B63DBC" w14:textId="77777777" w:rsidR="00B845A6" w:rsidRPr="00B845A6" w:rsidRDefault="00B845A6" w:rsidP="00B845A6">
                            <w:pPr>
                              <w:pStyle w:val="NormalWeb"/>
                              <w:spacing w:before="0" w:beforeAutospacing="0" w:after="0" w:afterAutospacing="0"/>
                              <w:jc w:val="center"/>
                              <w:rPr>
                                <w:rFonts w:ascii="Arial" w:hAnsi="Arial" w:cs="Arial"/>
                                <w:sz w:val="22"/>
                                <w:szCs w:val="22"/>
                              </w:rPr>
                            </w:pPr>
                            <w:r>
                              <w:rPr>
                                <w:rFonts w:ascii="Arial" w:hAnsi="Arial"/>
                                <w:color w:val="221686"/>
                                <w:sz w:val="22"/>
                              </w:rPr>
                              <w:t>Αύξηση της ευαισθητοποίησης του πληθυσμού σχετικά με τους κινδύνους και ενίσχυση της ετοιμότητάς του</w:t>
                            </w:r>
                          </w:p>
                        </w:txbxContent>
                      </v:textbox>
                    </v:shape>
                  </w:pict>
                </mc:Fallback>
              </mc:AlternateContent>
            </w:r>
            <w:r w:rsidR="00096A2B">
              <w:rPr>
                <w:rFonts w:ascii="Times New Roman" w:hAnsi="Times New Roman"/>
                <w:noProof/>
                <w:color w:val="2B579A"/>
                <w:sz w:val="24"/>
                <w:shd w:val="clear" w:color="auto" w:fill="E6E6E6"/>
                <w:lang w:val="en-GB" w:eastAsia="en-GB"/>
              </w:rPr>
              <mc:AlternateContent>
                <mc:Choice Requires="wps">
                  <w:drawing>
                    <wp:anchor distT="0" distB="0" distL="114300" distR="114300" simplePos="0" relativeHeight="251658253" behindDoc="0" locked="0" layoutInCell="1" allowOverlap="1" wp14:anchorId="0E1A7B0D" wp14:editId="41B38B6C">
                      <wp:simplePos x="0" y="0"/>
                      <wp:positionH relativeFrom="column">
                        <wp:posOffset>2120265</wp:posOffset>
                      </wp:positionH>
                      <wp:positionV relativeFrom="paragraph">
                        <wp:posOffset>1129665</wp:posOffset>
                      </wp:positionV>
                      <wp:extent cx="1777365" cy="748665"/>
                      <wp:effectExtent l="0" t="0" r="0" b="0"/>
                      <wp:wrapNone/>
                      <wp:docPr id="12" name="TextBox 11">
                        <a:extLst xmlns:a="http://schemas.openxmlformats.org/drawingml/2006/main">
                          <a:ext uri="{FF2B5EF4-FFF2-40B4-BE49-F238E27FC236}">
                            <a16:creationId xmlns:a16="http://schemas.microsoft.com/office/drawing/2014/main" id="{81CD6ECC-49CE-59C7-60A9-DD7718C2EA7A}"/>
                          </a:ext>
                        </a:extLst>
                      </wp:docPr>
                      <wp:cNvGraphicFramePr/>
                      <a:graphic xmlns:a="http://schemas.openxmlformats.org/drawingml/2006/main">
                        <a:graphicData uri="http://schemas.microsoft.com/office/word/2010/wordprocessingShape">
                          <wps:wsp>
                            <wps:cNvSpPr txBox="1"/>
                            <wps:spPr>
                              <a:xfrm>
                                <a:off x="0" y="0"/>
                                <a:ext cx="1777365" cy="748665"/>
                              </a:xfrm>
                              <a:prstGeom prst="rect">
                                <a:avLst/>
                              </a:prstGeom>
                              <a:noFill/>
                            </wps:spPr>
                            <wps:txbx>
                              <w:txbxContent>
                                <w:p w14:paraId="7381E16D" w14:textId="77777777" w:rsidR="00B845A6" w:rsidRPr="00B845A6" w:rsidRDefault="00B845A6" w:rsidP="00B845A6">
                                  <w:pPr>
                                    <w:pStyle w:val="NormalWeb"/>
                                    <w:spacing w:before="0" w:beforeAutospacing="0" w:after="0" w:afterAutospacing="0"/>
                                    <w:jc w:val="center"/>
                                    <w:rPr>
                                      <w:rFonts w:ascii="Arial" w:hAnsi="Arial" w:cs="Arial"/>
                                      <w:sz w:val="22"/>
                                      <w:szCs w:val="22"/>
                                    </w:rPr>
                                  </w:pPr>
                                  <w:r>
                                    <w:rPr>
                                      <w:rFonts w:ascii="Arial" w:hAnsi="Arial"/>
                                      <w:color w:val="221686"/>
                                      <w:sz w:val="22"/>
                                    </w:rPr>
                                    <w:t>Βελτίωση της εκτίμησης κινδύνων, της πρόβλεψης και του σχεδιασμού της διαχείρισης κινδύνων καταστροφών</w:t>
                                  </w:r>
                                </w:p>
                              </w:txbxContent>
                            </wps:txbx>
                            <wps:bodyPr wrap="square" rtlCol="0">
                              <a:spAutoFit/>
                            </wps:bodyPr>
                          </wps:wsp>
                        </a:graphicData>
                      </a:graphic>
                    </wp:anchor>
                  </w:drawing>
                </mc:Choice>
                <mc:Fallback>
                  <w:pict>
                    <v:shape w14:anchorId="0E1A7B0D" id="TextBox 11" o:spid="_x0000_s1035" type="#_x0000_t202" style="position:absolute;left:0;text-align:left;margin-left:166.95pt;margin-top:88.95pt;width:139.95pt;height:58.9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" filled="f" stroked="f">
                      <v:textbox style="mso-fit-shape-to-text:t">
                        <w:txbxContent>
                          <w:p w14:paraId="7381E16D" w14:textId="77777777" w:rsidR="00B845A6" w:rsidRPr="00B845A6" w:rsidRDefault="00B845A6" w:rsidP="00B845A6">
                            <w:pPr>
                              <w:pStyle w:val="NormalWeb"/>
                              <w:spacing w:before="0" w:beforeAutospacing="0" w:after="0" w:afterAutospacing="0"/>
                              <w:jc w:val="center"/>
                              <w:rPr>
                                <w:rFonts w:ascii="Arial" w:hAnsi="Arial" w:cs="Arial"/>
                                <w:sz w:val="22"/>
                                <w:szCs w:val="22"/>
                              </w:rPr>
                            </w:pPr>
                            <w:r>
                              <w:rPr>
                                <w:rFonts w:ascii="Arial" w:hAnsi="Arial"/>
                                <w:color w:val="221686"/>
                                <w:sz w:val="22"/>
                              </w:rPr>
                              <w:t>Βελτίωση της εκτίμησης κινδύνων, της πρόβλεψης και του σχεδιασμού της διαχείρισης κινδύνων καταστροφών</w:t>
                            </w:r>
                          </w:p>
                        </w:txbxContent>
                      </v:textbox>
                    </v:shape>
                  </w:pict>
                </mc:Fallback>
              </mc:AlternateContent>
            </w:r>
            <w:r w:rsidR="00096A2B">
              <w:rPr>
                <w:rFonts w:ascii="Times New Roman" w:hAnsi="Times New Roman"/>
                <w:noProof/>
                <w:color w:val="2B579A"/>
                <w:sz w:val="24"/>
                <w:shd w:val="clear" w:color="auto" w:fill="E6E6E6"/>
                <w:lang w:val="en-GB" w:eastAsia="en-GB"/>
              </w:rPr>
              <mc:AlternateContent>
                <mc:Choice Requires="wps">
                  <w:drawing>
                    <wp:anchor distT="0" distB="0" distL="114300" distR="114300" simplePos="0" relativeHeight="251658252" behindDoc="0" locked="0" layoutInCell="1" allowOverlap="1" wp14:anchorId="295BEE67" wp14:editId="17E184E2">
                      <wp:simplePos x="0" y="0"/>
                      <wp:positionH relativeFrom="column">
                        <wp:posOffset>2382520</wp:posOffset>
                      </wp:positionH>
                      <wp:positionV relativeFrom="paragraph">
                        <wp:posOffset>734060</wp:posOffset>
                      </wp:positionV>
                      <wp:extent cx="1252855" cy="292100"/>
                      <wp:effectExtent l="0" t="0" r="0" b="0"/>
                      <wp:wrapNone/>
                      <wp:docPr id="11" name="TextBox 10">
                        <a:extLst xmlns:a="http://schemas.openxmlformats.org/drawingml/2006/main">
                          <a:ext uri="{FF2B5EF4-FFF2-40B4-BE49-F238E27FC236}">
                            <a16:creationId xmlns:a16="http://schemas.microsoft.com/office/drawing/2014/main" id="{C4E5E74D-EA74-40B9-AE3F-D73F2B8DA2E9}"/>
                          </a:ext>
                        </a:extLst>
                      </wp:docPr>
                      <wp:cNvGraphicFramePr/>
                      <a:graphic xmlns:a="http://schemas.openxmlformats.org/drawingml/2006/main">
                        <a:graphicData uri="http://schemas.microsoft.com/office/word/2010/wordprocessingShape">
                          <wps:wsp>
                            <wps:cNvSpPr txBox="1"/>
                            <wps:spPr>
                              <a:xfrm>
                                <a:off x="0" y="0"/>
                                <a:ext cx="1252855" cy="292100"/>
                              </a:xfrm>
                              <a:prstGeom prst="rect">
                                <a:avLst/>
                              </a:prstGeom>
                              <a:noFill/>
                            </wps:spPr>
                            <wps:txbx>
                              <w:txbxContent>
                                <w:p w14:paraId="422A801E" w14:textId="77777777" w:rsidR="00B845A6" w:rsidRPr="00B845A6" w:rsidRDefault="00B845A6" w:rsidP="00B845A6">
                                  <w:pPr>
                                    <w:pStyle w:val="NormalWeb"/>
                                    <w:spacing w:before="0" w:beforeAutospacing="0" w:after="0" w:afterAutospacing="0"/>
                                    <w:jc w:val="center"/>
                                    <w:rPr>
                                      <w:rFonts w:ascii="Arial" w:hAnsi="Arial" w:cs="Arial"/>
                                      <w:sz w:val="28"/>
                                    </w:rPr>
                                  </w:pPr>
                                  <w:r>
                                    <w:rPr>
                                      <w:rFonts w:ascii="Arial" w:hAnsi="Arial"/>
                                      <w:b/>
                                      <w:color w:val="221686"/>
                                      <w:sz w:val="28"/>
                                    </w:rPr>
                                    <w:t>Πρόβλεψη</w:t>
                                  </w:r>
                                </w:p>
                              </w:txbxContent>
                            </wps:txbx>
                            <wps:bodyPr wrap="square" rtlCol="0">
                              <a:spAutoFit/>
                            </wps:bodyPr>
                          </wps:wsp>
                        </a:graphicData>
                      </a:graphic>
                    </wp:anchor>
                  </w:drawing>
                </mc:Choice>
                <mc:Fallback>
                  <w:pict>
                    <v:shape w14:anchorId="295BEE67" id="TextBox 10" o:spid="_x0000_s1036" type="#_x0000_t202" style="position:absolute;left:0;text-align:left;margin-left:187.6pt;margin-top:57.8pt;width:98.65pt;height:23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" filled="f" stroked="f">
                      <v:textbox style="mso-fit-shape-to-text:t">
                        <w:txbxContent>
                          <w:p w14:paraId="422A801E" w14:textId="77777777" w:rsidR="00B845A6" w:rsidRPr="00B845A6" w:rsidRDefault="00B845A6" w:rsidP="00B845A6">
                            <w:pPr>
                              <w:pStyle w:val="NormalWeb"/>
                              <w:spacing w:before="0" w:beforeAutospacing="0" w:after="0" w:afterAutospacing="0"/>
                              <w:jc w:val="center"/>
                              <w:rPr>
                                <w:rFonts w:ascii="Arial" w:hAnsi="Arial" w:cs="Arial"/>
                                <w:sz w:val="28"/>
                              </w:rPr>
                            </w:pPr>
                            <w:r>
                              <w:rPr>
                                <w:rFonts w:ascii="Arial" w:hAnsi="Arial"/>
                                <w:b/>
                                <w:color w:val="221686"/>
                                <w:sz w:val="28"/>
                              </w:rPr>
                              <w:t>Πρόβλεψη</w:t>
                            </w:r>
                          </w:p>
                        </w:txbxContent>
                      </v:textbox>
                    </v:shape>
                  </w:pict>
                </mc:Fallback>
              </mc:AlternateContent>
            </w:r>
            <w:r w:rsidR="00096A2B">
              <w:rPr>
                <w:rFonts w:ascii="Times New Roman" w:hAnsi="Times New Roman"/>
                <w:noProof/>
                <w:color w:val="2B579A"/>
                <w:sz w:val="24"/>
                <w:shd w:val="clear" w:color="auto" w:fill="E6E6E6"/>
                <w:lang w:val="en-GB" w:eastAsia="en-GB"/>
              </w:rPr>
              <w:drawing>
                <wp:anchor distT="0" distB="0" distL="114300" distR="114300" simplePos="0" relativeHeight="251658251" behindDoc="0" locked="0" layoutInCell="1" allowOverlap="1" wp14:anchorId="0E71368B" wp14:editId="509C5123">
                  <wp:simplePos x="0" y="0"/>
                  <wp:positionH relativeFrom="column">
                    <wp:posOffset>4064635</wp:posOffset>
                  </wp:positionH>
                  <wp:positionV relativeFrom="paragraph">
                    <wp:posOffset>4283075</wp:posOffset>
                  </wp:positionV>
                  <wp:extent cx="657860" cy="657860"/>
                  <wp:effectExtent l="0" t="0" r="0" b="8890"/>
                  <wp:wrapNone/>
                  <wp:docPr id="10" name="Picture 9">
                    <a:extLst xmlns:a="http://schemas.openxmlformats.org/drawingml/2006/main">
                      <a:ext uri="{FF2B5EF4-FFF2-40B4-BE49-F238E27FC236}">
                        <a16:creationId xmlns:a16="http://schemas.microsoft.com/office/drawing/2014/main" id="{91292AA1-65A4-3F0D-A6AC-E86E55E56F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1292AA1-65A4-3F0D-A6AC-E86E55E56FA4}"/>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2"/>
                              </a:ext>
                            </a:extLst>
                          </a:blip>
                          <a:srcRect/>
                          <a:stretch/>
                        </pic:blipFill>
                        <pic:spPr>
                          <a:xfrm>
                            <a:off x="0" y="0"/>
                            <a:ext cx="657860" cy="657860"/>
                          </a:xfrm>
                          <a:prstGeom prst="rect">
                            <a:avLst/>
                          </a:prstGeom>
                        </pic:spPr>
                      </pic:pic>
                    </a:graphicData>
                  </a:graphic>
                </wp:anchor>
              </w:drawing>
            </w:r>
            <w:r w:rsidR="00096A2B">
              <w:rPr>
                <w:rFonts w:ascii="Times New Roman" w:hAnsi="Times New Roman"/>
                <w:noProof/>
                <w:color w:val="2B579A"/>
                <w:sz w:val="24"/>
                <w:shd w:val="clear" w:color="auto" w:fill="E6E6E6"/>
                <w:lang w:val="en-GB" w:eastAsia="en-GB"/>
              </w:rPr>
              <w:drawing>
                <wp:anchor distT="0" distB="0" distL="114300" distR="114300" simplePos="0" relativeHeight="251658250" behindDoc="0" locked="0" layoutInCell="1" allowOverlap="1" wp14:anchorId="1EC1030F" wp14:editId="5677E516">
                  <wp:simplePos x="0" y="0"/>
                  <wp:positionH relativeFrom="column">
                    <wp:posOffset>1266825</wp:posOffset>
                  </wp:positionH>
                  <wp:positionV relativeFrom="paragraph">
                    <wp:posOffset>4283075</wp:posOffset>
                  </wp:positionV>
                  <wp:extent cx="657860" cy="657860"/>
                  <wp:effectExtent l="0" t="0" r="0" b="8890"/>
                  <wp:wrapNone/>
                  <wp:docPr id="9" name="Picture 8">
                    <a:extLst xmlns:a="http://schemas.openxmlformats.org/drawingml/2006/main">
                      <a:ext uri="{FF2B5EF4-FFF2-40B4-BE49-F238E27FC236}">
                        <a16:creationId xmlns:a16="http://schemas.microsoft.com/office/drawing/2014/main" id="{40577C3A-71A5-B5D6-0405-B7D9F0A19B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0577C3A-71A5-B5D6-0405-B7D9F0A19BE4}"/>
                              </a:ext>
                            </a:extLst>
                          </pic:cNvP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4"/>
                              </a:ext>
                            </a:extLst>
                          </a:blip>
                          <a:srcRect/>
                          <a:stretch/>
                        </pic:blipFill>
                        <pic:spPr>
                          <a:xfrm>
                            <a:off x="0" y="0"/>
                            <a:ext cx="657860" cy="657860"/>
                          </a:xfrm>
                          <a:prstGeom prst="rect">
                            <a:avLst/>
                          </a:prstGeom>
                        </pic:spPr>
                      </pic:pic>
                    </a:graphicData>
                  </a:graphic>
                </wp:anchor>
              </w:drawing>
            </w:r>
            <w:r w:rsidR="00096A2B">
              <w:rPr>
                <w:rFonts w:ascii="Times New Roman" w:hAnsi="Times New Roman"/>
                <w:noProof/>
                <w:color w:val="2B579A"/>
                <w:sz w:val="24"/>
                <w:shd w:val="clear" w:color="auto" w:fill="E6E6E6"/>
                <w:lang w:val="en-GB" w:eastAsia="en-GB"/>
              </w:rPr>
              <w:drawing>
                <wp:anchor distT="0" distB="0" distL="114300" distR="114300" simplePos="0" relativeHeight="251658249" behindDoc="0" locked="0" layoutInCell="1" allowOverlap="1" wp14:anchorId="1DC3FFDD" wp14:editId="7AC44429">
                  <wp:simplePos x="0" y="0"/>
                  <wp:positionH relativeFrom="column">
                    <wp:posOffset>61595</wp:posOffset>
                  </wp:positionH>
                  <wp:positionV relativeFrom="paragraph">
                    <wp:posOffset>1835785</wp:posOffset>
                  </wp:positionV>
                  <wp:extent cx="671195" cy="671195"/>
                  <wp:effectExtent l="0" t="0" r="0" b="0"/>
                  <wp:wrapNone/>
                  <wp:docPr id="8" name="Picture 7">
                    <a:extLst xmlns:a="http://schemas.openxmlformats.org/drawingml/2006/main">
                      <a:ext uri="{FF2B5EF4-FFF2-40B4-BE49-F238E27FC236}">
                        <a16:creationId xmlns:a16="http://schemas.microsoft.com/office/drawing/2014/main" id="{3149B4B8-A742-B52C-B082-142252DA72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3149B4B8-A742-B52C-B082-142252DA723C}"/>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6"/>
                              </a:ext>
                            </a:extLst>
                          </a:blip>
                          <a:srcRect/>
                          <a:stretch/>
                        </pic:blipFill>
                        <pic:spPr>
                          <a:xfrm>
                            <a:off x="0" y="0"/>
                            <a:ext cx="671195" cy="671195"/>
                          </a:xfrm>
                          <a:prstGeom prst="rect">
                            <a:avLst/>
                          </a:prstGeom>
                        </pic:spPr>
                      </pic:pic>
                    </a:graphicData>
                  </a:graphic>
                </wp:anchor>
              </w:drawing>
            </w:r>
            <w:r w:rsidR="00096A2B">
              <w:rPr>
                <w:rFonts w:ascii="Times New Roman" w:hAnsi="Times New Roman"/>
                <w:noProof/>
                <w:color w:val="2B579A"/>
                <w:sz w:val="24"/>
                <w:shd w:val="clear" w:color="auto" w:fill="E6E6E6"/>
                <w:lang w:val="en-GB" w:eastAsia="en-GB"/>
              </w:rPr>
              <w:drawing>
                <wp:anchor distT="0" distB="0" distL="114300" distR="114300" simplePos="0" relativeHeight="251658248" behindDoc="0" locked="0" layoutInCell="1" allowOverlap="1" wp14:anchorId="16B5FAE3" wp14:editId="4057938C">
                  <wp:simplePos x="0" y="0"/>
                  <wp:positionH relativeFrom="column">
                    <wp:posOffset>5160645</wp:posOffset>
                  </wp:positionH>
                  <wp:positionV relativeFrom="paragraph">
                    <wp:posOffset>1831340</wp:posOffset>
                  </wp:positionV>
                  <wp:extent cx="680720" cy="680720"/>
                  <wp:effectExtent l="0" t="0" r="5080" b="5080"/>
                  <wp:wrapNone/>
                  <wp:docPr id="7" name="Graphic 6">
                    <a:extLst xmlns:a="http://schemas.openxmlformats.org/drawingml/2006/main">
                      <a:ext uri="{FF2B5EF4-FFF2-40B4-BE49-F238E27FC236}">
                        <a16:creationId xmlns:a16="http://schemas.microsoft.com/office/drawing/2014/main" id="{05CD4CC3-8F2B-5085-65E7-54893D0804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05CD4CC3-8F2B-5085-65E7-54893D080486}"/>
                              </a:ext>
                            </a:extLst>
                          </pic:cNvPr>
                          <pic:cNvPicPr>
                            <a:picLocks noChangeAspect="1"/>
                          </pic:cNvPicPr>
                        </pic:nvPicPr>
                        <pic:blipFill>
                          <a:blip r:embed="rId2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8"/>
                              </a:ext>
                            </a:extLst>
                          </a:blip>
                          <a:srcRect/>
                          <a:stretch/>
                        </pic:blipFill>
                        <pic:spPr>
                          <a:xfrm>
                            <a:off x="0" y="0"/>
                            <a:ext cx="680720" cy="680720"/>
                          </a:xfrm>
                          <a:prstGeom prst="rect">
                            <a:avLst/>
                          </a:prstGeom>
                        </pic:spPr>
                      </pic:pic>
                    </a:graphicData>
                  </a:graphic>
                </wp:anchor>
              </w:drawing>
            </w:r>
            <w:r w:rsidR="00096A2B">
              <w:rPr>
                <w:rFonts w:ascii="Times New Roman" w:hAnsi="Times New Roman"/>
                <w:noProof/>
                <w:color w:val="2B579A"/>
                <w:sz w:val="24"/>
                <w:shd w:val="clear" w:color="auto" w:fill="E6E6E6"/>
                <w:lang w:val="en-GB" w:eastAsia="en-GB"/>
              </w:rPr>
              <w:drawing>
                <wp:anchor distT="0" distB="0" distL="114300" distR="114300" simplePos="0" relativeHeight="251658247" behindDoc="0" locked="0" layoutInCell="1" allowOverlap="1" wp14:anchorId="4F0E3481" wp14:editId="38ADA577">
                  <wp:simplePos x="0" y="0"/>
                  <wp:positionH relativeFrom="column">
                    <wp:posOffset>2661920</wp:posOffset>
                  </wp:positionH>
                  <wp:positionV relativeFrom="paragraph">
                    <wp:posOffset>12065</wp:posOffset>
                  </wp:positionV>
                  <wp:extent cx="693908" cy="693908"/>
                  <wp:effectExtent l="0" t="0" r="0" b="0"/>
                  <wp:wrapNone/>
                  <wp:docPr id="198" name="Graphic 4">
                    <a:extLst xmlns:a="http://schemas.openxmlformats.org/drawingml/2006/main">
                      <a:ext uri="{FF2B5EF4-FFF2-40B4-BE49-F238E27FC236}">
                        <a16:creationId xmlns:a16="http://schemas.microsoft.com/office/drawing/2014/main" id="{89F74914-9569-8186-1B2D-BB64F7C9FD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89F74914-9569-8186-1B2D-BB64F7C9FDFE}"/>
                              </a:ext>
                            </a:extLst>
                          </pic:cNvPr>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30"/>
                              </a:ext>
                            </a:extLst>
                          </a:blip>
                          <a:stretch>
                            <a:fillRect/>
                          </a:stretch>
                        </pic:blipFill>
                        <pic:spPr>
                          <a:xfrm>
                            <a:off x="0" y="0"/>
                            <a:ext cx="693908" cy="693908"/>
                          </a:xfrm>
                          <a:prstGeom prst="rect">
                            <a:avLst/>
                          </a:prstGeom>
                        </pic:spPr>
                      </pic:pic>
                    </a:graphicData>
                  </a:graphic>
                </wp:anchor>
              </w:drawing>
            </w:r>
          </w:p>
        </w:tc>
      </w:tr>
    </w:tbl>
    <w:p w14:paraId="4FCD09CA" w14:textId="0266FF94" w:rsidR="005B39A8" w:rsidRDefault="005B39A8" w:rsidP="005B39A8">
      <w:pPr>
        <w:spacing w:after="0" w:line="240" w:lineRule="auto"/>
        <w:jc w:val="both"/>
        <w:rPr>
          <w:rFonts w:ascii="Times New Roman" w:hAnsi="Times New Roman" w:cs="Times New Roman"/>
          <w:noProof/>
          <w:sz w:val="24"/>
          <w:szCs w:val="24"/>
        </w:rPr>
      </w:pPr>
    </w:p>
    <w:p w14:paraId="3BF8DFBA" w14:textId="77777777" w:rsidR="0008747F" w:rsidRDefault="0008747F" w:rsidP="0008747F">
      <w:pPr>
        <w:spacing w:after="0" w:line="240" w:lineRule="auto"/>
        <w:jc w:val="both"/>
        <w:rPr>
          <w:noProof/>
        </w:rPr>
      </w:pPr>
    </w:p>
    <w:p w14:paraId="2F7DFE67" w14:textId="00F97FE9" w:rsidR="00EF7CDB" w:rsidRPr="008D157D" w:rsidRDefault="562501D9" w:rsidP="00E26175">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Οι στόχοι ανθεκτικότητας στις καταστροφές ενισχύουν τις προσπάθειες της ΕΕ να καταστήσει την ανθεκτικότητα τη νέα πυξίδα για τη χάραξη πολιτικής της ΕΕ</w:t>
      </w:r>
      <w:r>
        <w:rPr>
          <w:rStyle w:val="FootnoteReference"/>
          <w:rFonts w:ascii="Times New Roman" w:hAnsi="Times New Roman" w:cs="Times New Roman"/>
          <w:noProof/>
          <w:sz w:val="24"/>
          <w:szCs w:val="24"/>
          <w:lang w:val="en-IE"/>
        </w:rPr>
        <w:footnoteReference w:id="12"/>
      </w:r>
      <w:r>
        <w:rPr>
          <w:rFonts w:ascii="Times New Roman" w:hAnsi="Times New Roman"/>
          <w:noProof/>
          <w:sz w:val="24"/>
        </w:rPr>
        <w:t xml:space="preserve">. Το </w:t>
      </w:r>
      <w:r>
        <w:rPr>
          <w:rFonts w:ascii="Times New Roman" w:hAnsi="Times New Roman"/>
          <w:b/>
          <w:noProof/>
          <w:sz w:val="24"/>
        </w:rPr>
        <w:t>θεματολόγιο στρατηγικών προβλέψεων της Επιτροπής</w:t>
      </w:r>
      <w:r>
        <w:rPr>
          <w:rFonts w:ascii="Times New Roman" w:hAnsi="Times New Roman"/>
          <w:noProof/>
          <w:sz w:val="24"/>
        </w:rPr>
        <w:t xml:space="preserve"> και οι στόχοι ανθεκτικότητας στις καταστροφές έχουν κοινό σκοπό, δηλαδή την τοποθέτηση της ανθεκτικότητας στο επίκεντρο της χάραξης πολιτικής της ΕΕ. Εξετάζουν το μέλλον για την τεκμηρίωση των σημερινών αποφάσεων, με βάση την έρευνα, τα σενάρια, την ανάλυση τάσεων και άλλα εργαλεία για την αύξηση της ανθεκτικότητας της Ευρώπης. Ως εκ τούτου, οι στόχοι ανθεκτικότητας στις καταστροφές θα στηρίξουν την υλοποίηση του θεματολογίου στρατηγικών προβλέψεων της Επιτροπής, μετουσιώνοντας την προληπτική προσέγγιση της διαχείρισης καταστάσεων έκτακτης ανάγκης σε συγκεκριμένες δράσεις.</w:t>
      </w:r>
      <w:r>
        <w:rPr>
          <w:rStyle w:val="FootnoteReference"/>
          <w:rFonts w:ascii="Times New Roman" w:hAnsi="Times New Roman"/>
          <w:noProof/>
          <w:sz w:val="24"/>
        </w:rPr>
        <w:t xml:space="preserve"> </w:t>
      </w:r>
      <w:r>
        <w:rPr>
          <w:rFonts w:ascii="Times New Roman" w:hAnsi="Times New Roman"/>
          <w:noProof/>
          <w:sz w:val="24"/>
        </w:rPr>
        <w:t>Παρότι την πρωταρχική ευθύνη φέρουν τα κράτη μέλη, όλα τα επίπεδα λήψης αποφάσεων και η κοινωνία πρέπει να συμμετέχουν στη στήριξη της δράσης για την ανθεκτικότητα.</w:t>
      </w:r>
    </w:p>
    <w:p w14:paraId="787ACEA6" w14:textId="77777777" w:rsidR="00EF7CDB" w:rsidRPr="00285BD6" w:rsidRDefault="00EF7CDB" w:rsidP="00E26175">
      <w:pPr>
        <w:autoSpaceDE w:val="0"/>
        <w:autoSpaceDN w:val="0"/>
        <w:adjustRightInd w:val="0"/>
        <w:spacing w:after="0" w:line="240" w:lineRule="auto"/>
        <w:jc w:val="both"/>
        <w:rPr>
          <w:rFonts w:ascii="Times New Roman" w:hAnsi="Times New Roman" w:cs="Times New Roman"/>
          <w:noProof/>
          <w:sz w:val="24"/>
          <w:szCs w:val="24"/>
        </w:rPr>
      </w:pPr>
    </w:p>
    <w:p w14:paraId="6A0CFB0F" w14:textId="77CEAB75" w:rsidR="0022573C" w:rsidRPr="008D157D" w:rsidRDefault="562501D9" w:rsidP="00E26175">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Η ανθεκτικότητα της κοινωνίας εξαρτάται από τη συνεργασία διαφόρων παραγόντων με την πολιτική προστασία. Σε ορισμένες περιπτώσεις, όπως η τρομοκρατία, ο πόλεμος και άλλες εσκεμμένες απειλές, η εντολή για μέτρα πρόληψης και ετοιμότητας εναπόκειται στο ευρύτερο σύστημα διαχείρισης καταστάσεων έκτακτης ανάγκης κάθε κράτους μέλους. Αυτό περιλαμβάνει τις δυνάμεις ασφαλείας και τις στρατιωτικές δυνάμεις. Παρότι αφορούν συγκεκριμένα τον τομέα της πολιτικής προστασίας, οι στόχοι ανθεκτικότητας στις καταστροφές συμπληρώνουν και ενισχύουν την εργαλειοθήκη της ΕΕ για την ανθεκτικότητα σε διάφορους τομείς.</w:t>
      </w:r>
    </w:p>
    <w:p w14:paraId="113A21F4" w14:textId="01575950" w:rsidR="0012369C" w:rsidRPr="008D157D" w:rsidRDefault="0022573C" w:rsidP="00551E0C">
      <w:pPr>
        <w:autoSpaceDE w:val="0"/>
        <w:autoSpaceDN w:val="0"/>
        <w:adjustRightInd w:val="0"/>
        <w:spacing w:after="0" w:line="240" w:lineRule="auto"/>
        <w:jc w:val="both"/>
        <w:rPr>
          <w:rFonts w:ascii="Times New Roman" w:hAnsi="Times New Roman" w:cs="Times New Roman"/>
          <w:noProof/>
          <w:sz w:val="24"/>
          <w:szCs w:val="24"/>
        </w:rPr>
      </w:pPr>
      <w:r>
        <w:rPr>
          <w:noProof/>
        </w:rPr>
        <w:t xml:space="preserve"> </w:t>
      </w:r>
      <w:r>
        <w:rPr>
          <w:noProof/>
        </w:rPr>
        <w:br/>
      </w:r>
      <w:r>
        <w:rPr>
          <w:rFonts w:ascii="Times New Roman" w:hAnsi="Times New Roman"/>
          <w:noProof/>
          <w:sz w:val="24"/>
        </w:rPr>
        <w:t>Βασικές υπηρεσίες, όπως η παροχή ενέργειας, νερού και υπηρεσιών υγείας, οι μεταφορές</w:t>
      </w:r>
      <w:r>
        <w:rPr>
          <w:rStyle w:val="FootnoteReference"/>
          <w:rFonts w:ascii="Times New Roman" w:eastAsia="Times New Roman" w:hAnsi="Times New Roman" w:cs="Times New Roman"/>
          <w:noProof/>
          <w:sz w:val="24"/>
          <w:szCs w:val="24"/>
        </w:rPr>
        <w:footnoteReference w:id="13"/>
      </w:r>
      <w:r>
        <w:rPr>
          <w:rFonts w:ascii="Times New Roman" w:hAnsi="Times New Roman"/>
          <w:noProof/>
          <w:sz w:val="24"/>
        </w:rPr>
        <w:t xml:space="preserve"> και οι τηλεπικοινωνίες, έχουν καίρια σημασία για τη διασφάλιση της ευημερίας των ανθρώπων, καθώς και για την ίδια την αντιμετώπιση καταστάσεων έκτακτης ανάγκης. Οι υπηρεσίες αυτές πρέπει να παραμείνουν λειτουργικές κατά τη διάρκεια μιας καταστροφής και μετά από αυτήν. Ως εκ τούτου, οι αρχές πολιτικής προστασίας θα πρέπει να συμμετέχουν ενεργά στις προσπάθειες για την ενίσχυση της ανθεκτικότητας των οντοτήτων οι οποίες διαχειρίζονται </w:t>
      </w:r>
      <w:r>
        <w:rPr>
          <w:rFonts w:ascii="Times New Roman" w:hAnsi="Times New Roman"/>
          <w:b/>
          <w:noProof/>
          <w:sz w:val="24"/>
        </w:rPr>
        <w:t>κρίσιμες υποδομές</w:t>
      </w:r>
      <w:r>
        <w:rPr>
          <w:rFonts w:ascii="Times New Roman" w:hAnsi="Times New Roman"/>
          <w:noProof/>
          <w:sz w:val="24"/>
        </w:rPr>
        <w:t xml:space="preserve"> ώστε να παρέχουν βασικές υπηρεσίες</w:t>
      </w:r>
      <w:r>
        <w:rPr>
          <w:rStyle w:val="FootnoteReference"/>
          <w:rFonts w:ascii="Times New Roman" w:hAnsi="Times New Roman" w:cs="Times New Roman"/>
          <w:noProof/>
          <w:sz w:val="24"/>
          <w:szCs w:val="24"/>
          <w:lang w:val="en-US"/>
        </w:rPr>
        <w:footnoteReference w:id="14"/>
      </w:r>
      <w:r>
        <w:rPr>
          <w:noProof/>
        </w:rPr>
        <w:t>.</w:t>
      </w:r>
      <w:r>
        <w:rPr>
          <w:rFonts w:ascii="Times New Roman" w:hAnsi="Times New Roman"/>
          <w:noProof/>
          <w:sz w:val="24"/>
        </w:rPr>
        <w:t xml:space="preserve"> Οι προσπάθειες ετοιμότητας πρέπει επίσης να λαμβάνουν υπόψη την αυξανόμενη συχνότητα </w:t>
      </w:r>
      <w:r>
        <w:rPr>
          <w:rFonts w:ascii="Times New Roman" w:hAnsi="Times New Roman"/>
          <w:b/>
          <w:noProof/>
          <w:sz w:val="24"/>
        </w:rPr>
        <w:t>κυβερνοεπιθέσεων</w:t>
      </w:r>
      <w:r>
        <w:rPr>
          <w:rFonts w:ascii="Times New Roman" w:hAnsi="Times New Roman"/>
          <w:noProof/>
          <w:sz w:val="24"/>
        </w:rPr>
        <w:t xml:space="preserve">, συμπεριλαμβανομένων των σεναρίων έκτακτης ανάγκης όταν οι κυβερνοεπιθέσεις διαταράσσουν βασικές υπηρεσίες. </w:t>
      </w:r>
    </w:p>
    <w:p w14:paraId="527D300F" w14:textId="52526EEE" w:rsidR="00E03BC7" w:rsidRPr="00285BD6" w:rsidRDefault="00E03BC7" w:rsidP="00E26175">
      <w:pPr>
        <w:autoSpaceDE w:val="0"/>
        <w:autoSpaceDN w:val="0"/>
        <w:adjustRightInd w:val="0"/>
        <w:spacing w:after="0" w:line="240" w:lineRule="auto"/>
        <w:jc w:val="both"/>
        <w:rPr>
          <w:rFonts w:ascii="Times New Roman" w:hAnsi="Times New Roman" w:cs="Times New Roman"/>
          <w:noProof/>
          <w:sz w:val="24"/>
          <w:szCs w:val="24"/>
        </w:rPr>
      </w:pPr>
    </w:p>
    <w:p w14:paraId="2776B684" w14:textId="61257A7C" w:rsidR="0018419C" w:rsidRPr="008D157D" w:rsidRDefault="717FBB34" w:rsidP="00E26175">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Η ετοιμότητα για μελλοντικές πανδημίες και άλλες απειλές κατά της </w:t>
      </w:r>
      <w:r>
        <w:rPr>
          <w:rFonts w:ascii="Times New Roman" w:hAnsi="Times New Roman"/>
          <w:b/>
          <w:noProof/>
          <w:sz w:val="24"/>
        </w:rPr>
        <w:t>υγείας</w:t>
      </w:r>
      <w:r>
        <w:rPr>
          <w:rFonts w:ascii="Times New Roman" w:hAnsi="Times New Roman"/>
          <w:noProof/>
          <w:sz w:val="24"/>
        </w:rPr>
        <w:t xml:space="preserve"> που απαιτούν προσοχή σε επίπεδο Ένωσης ενισχύθηκε με την έγκριση της Ένωσης Υγείας της ΕΕ και τη σύσταση της Αρχής Ετοιμότητας και Αντιμετώπισης Καταστάσεων Έκτακτης Υγειονομικής Ανάγκης (HERA). Οι στόχοι ανθεκτικότητας στις καταστροφές θα συμβάλουν στην ενίσχυση του εντοπισμού σοβαρών διασυνοριακών </w:t>
      </w:r>
      <w:r>
        <w:rPr>
          <w:rFonts w:ascii="Times New Roman" w:hAnsi="Times New Roman"/>
          <w:b/>
          <w:noProof/>
          <w:sz w:val="24"/>
        </w:rPr>
        <w:t>απειλών κατά της υγείας</w:t>
      </w:r>
      <w:r>
        <w:rPr>
          <w:rFonts w:ascii="Times New Roman" w:hAnsi="Times New Roman"/>
          <w:noProof/>
          <w:sz w:val="24"/>
        </w:rPr>
        <w:t>. Αυτό περιλαμβάνει μέτρα για την ενίσχυση της επιτήρησης και της έγκαιρης προειδοποίησης, καθώς και τη δημιουργία αποθεμάτων ιατρικών αντιμέτρων</w:t>
      </w:r>
      <w:r>
        <w:rPr>
          <w:rStyle w:val="FootnoteReference"/>
          <w:rFonts w:ascii="Times New Roman" w:hAnsi="Times New Roman" w:cs="Times New Roman"/>
          <w:noProof/>
          <w:sz w:val="24"/>
          <w:szCs w:val="24"/>
        </w:rPr>
        <w:footnoteReference w:id="15"/>
      </w:r>
      <w:r>
        <w:rPr>
          <w:noProof/>
        </w:rPr>
        <w:t>.</w:t>
      </w:r>
      <w:r>
        <w:rPr>
          <w:rFonts w:ascii="Times New Roman" w:hAnsi="Times New Roman"/>
          <w:noProof/>
          <w:sz w:val="24"/>
        </w:rPr>
        <w:t xml:space="preserve"> </w:t>
      </w:r>
    </w:p>
    <w:p w14:paraId="37A14A60" w14:textId="77777777" w:rsidR="0018419C" w:rsidRPr="008D157D" w:rsidRDefault="0018419C" w:rsidP="00E26175">
      <w:pPr>
        <w:autoSpaceDE w:val="0"/>
        <w:autoSpaceDN w:val="0"/>
        <w:adjustRightInd w:val="0"/>
        <w:spacing w:after="0" w:line="240" w:lineRule="auto"/>
        <w:jc w:val="both"/>
        <w:rPr>
          <w:rFonts w:ascii="Times New Roman" w:hAnsi="Times New Roman" w:cs="Times New Roman"/>
          <w:noProof/>
          <w:sz w:val="24"/>
          <w:szCs w:val="24"/>
        </w:rPr>
      </w:pPr>
    </w:p>
    <w:p w14:paraId="28BE3F51" w14:textId="7CE7FCB4" w:rsidR="00E26175" w:rsidRPr="008D157D" w:rsidRDefault="76F346D2" w:rsidP="00E26175">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Σε περίπτωση εμπορικών περιορισμών ή οποιασδήποτε άλλης κρίσης που επηρεάζει την </w:t>
      </w:r>
      <w:r>
        <w:rPr>
          <w:rFonts w:ascii="Times New Roman" w:hAnsi="Times New Roman"/>
          <w:b/>
          <w:noProof/>
          <w:sz w:val="24"/>
        </w:rPr>
        <w:t>ελεύθερη κυκλοφορία των εμπορευμάτων, των υπηρεσιών και των προσώπων</w:t>
      </w:r>
      <w:r>
        <w:rPr>
          <w:rFonts w:ascii="Times New Roman" w:hAnsi="Times New Roman"/>
          <w:noProof/>
          <w:sz w:val="24"/>
        </w:rPr>
        <w:t>, όπως συνέβη κατά τη διάρκεια της πανδημίας της COVID-19, το προτεινόμενο μέσο αντιμετώπισης έκτακτων αναγκών στην ενιαία αγορά (SMEI)</w:t>
      </w:r>
      <w:r>
        <w:rPr>
          <w:rStyle w:val="FootnoteReference"/>
          <w:rFonts w:ascii="Times New Roman" w:hAnsi="Times New Roman" w:cs="Times New Roman"/>
          <w:noProof/>
          <w:sz w:val="24"/>
          <w:szCs w:val="24"/>
          <w:lang w:val="en-IE"/>
        </w:rPr>
        <w:footnoteReference w:id="16"/>
      </w:r>
      <w:r>
        <w:rPr>
          <w:rFonts w:ascii="Times New Roman" w:hAnsi="Times New Roman"/>
          <w:noProof/>
          <w:sz w:val="24"/>
        </w:rPr>
        <w:t xml:space="preserve"> επικεντρώνεται ιδιαίτερα στην ανθεκτικότητα στις καταστροφές. Το νέο μέσο θα διασφαλίσει την ελεύθερη ροή και διαθεσιμότητα αγαθών και υπηρεσιών που σχετίζονται με την κρίση κατά τη διάρκεια μιας κατάστασης έκτακτης ανάγκης που θα έχει αντίκτυπο στην ενιαία αγορά, στηρίζοντας έτσι και τους εργαζομένους στον τομέα της πολιτικής προστασίας.</w:t>
      </w:r>
    </w:p>
    <w:p w14:paraId="7CECC8B8" w14:textId="77777777" w:rsidR="00E26175" w:rsidRPr="00285BD6" w:rsidRDefault="00E26175" w:rsidP="00E26175">
      <w:pPr>
        <w:autoSpaceDE w:val="0"/>
        <w:autoSpaceDN w:val="0"/>
        <w:adjustRightInd w:val="0"/>
        <w:spacing w:after="0" w:line="240" w:lineRule="auto"/>
        <w:jc w:val="both"/>
        <w:rPr>
          <w:rFonts w:ascii="Times New Roman" w:hAnsi="Times New Roman" w:cs="Times New Roman"/>
          <w:noProof/>
          <w:sz w:val="24"/>
          <w:szCs w:val="24"/>
        </w:rPr>
      </w:pPr>
    </w:p>
    <w:p w14:paraId="7E51EF54" w14:textId="7E69DA4D" w:rsidR="005B39A8" w:rsidRPr="008D157D" w:rsidRDefault="5EEA2D26" w:rsidP="427A1C27">
      <w:pPr>
        <w:spacing w:line="240" w:lineRule="auto"/>
        <w:jc w:val="both"/>
        <w:rPr>
          <w:rFonts w:ascii="Times New Roman" w:hAnsi="Times New Roman" w:cs="Times New Roman"/>
          <w:noProof/>
          <w:sz w:val="24"/>
          <w:szCs w:val="24"/>
        </w:rPr>
      </w:pPr>
      <w:r>
        <w:rPr>
          <w:rFonts w:ascii="Times New Roman" w:hAnsi="Times New Roman"/>
          <w:noProof/>
          <w:sz w:val="24"/>
        </w:rPr>
        <w:t xml:space="preserve">Οι </w:t>
      </w:r>
      <w:r>
        <w:rPr>
          <w:rFonts w:ascii="Times New Roman" w:hAnsi="Times New Roman"/>
          <w:b/>
          <w:noProof/>
          <w:color w:val="000000" w:themeColor="text1"/>
          <w:sz w:val="24"/>
        </w:rPr>
        <w:t>επενδύσεις στην ανθεκτικότητα</w:t>
      </w:r>
      <w:r>
        <w:rPr>
          <w:rFonts w:ascii="Times New Roman" w:hAnsi="Times New Roman"/>
          <w:noProof/>
          <w:sz w:val="24"/>
        </w:rPr>
        <w:t xml:space="preserve"> αποφέρουν κοινωνικά, οικονομικά και περιβαλλοντικά οφέλη που αντισταθμίζουν το κόστος, ανεξαρτήτως αν και πότε επέρχεται μια καταστροφή. Όταν οι επενδύσεις ενσωματώνουν </w:t>
      </w:r>
      <w:r>
        <w:rPr>
          <w:rFonts w:ascii="Times New Roman" w:hAnsi="Times New Roman"/>
          <w:b/>
          <w:noProof/>
          <w:sz w:val="24"/>
        </w:rPr>
        <w:t>«έξυπνα» χαρακτηριστικά πρόληψης</w:t>
      </w:r>
      <w:r>
        <w:rPr>
          <w:rFonts w:ascii="Times New Roman" w:hAnsi="Times New Roman"/>
          <w:noProof/>
          <w:sz w:val="24"/>
        </w:rPr>
        <w:t>, η απόδοση των επενδύσεων είναι υψηλότερη. Στα χαρακτηριστικά αυτά περιλαμβάνονται, για παράδειγμα, συστήματα έγκαιρης προειδοποίησης για πολλαπλούς κινδύνους ή λύσεις που βασίζονται στη φύση (πράσινες στέγες, λίμνες, υγρότοποι) για την πρόληψη θερμικών νησίδων, δασικών πυρκαγιών και πλημμυρών. Για παράδειγμα, στην Ευρώπη, τα συστήματα έγκαιρης προειδοποίησης για ακραία υψηλές θερμοκρασίες σώζουν ζωές και έχει αποδειχθεί ότι αποφέρουν περισσότερα από 130 EUR σε οφέλη για κάθε 1 EUR που δαπανάται</w:t>
      </w:r>
      <w:r>
        <w:rPr>
          <w:rStyle w:val="FootnoteReference"/>
          <w:rFonts w:ascii="Times New Roman" w:hAnsi="Times New Roman" w:cs="Times New Roman"/>
          <w:noProof/>
          <w:sz w:val="24"/>
          <w:szCs w:val="24"/>
        </w:rPr>
        <w:footnoteReference w:id="17"/>
      </w:r>
      <w:r>
        <w:rPr>
          <w:rFonts w:ascii="Times New Roman" w:hAnsi="Times New Roman"/>
          <w:noProof/>
          <w:sz w:val="24"/>
        </w:rPr>
        <w:t xml:space="preserve">. Οι ισχυρότερες συνέργειες μεταξύ των κοινοτήτων για το κλίμα, το περιβάλλον και την πολιτική προστασία μπορούν να προωθήσουν την καλύτερη πρόληψη και να αποφέρουν οφέλη για τον πληθυσμό και τον πλανήτη. Οι στόχοι ανθεκτικότητας στις καταστροφές θα διευκολύνουν τις εν λόγω συνέργειες και θα συμβάλουν στην επίτευξη των στόχων της </w:t>
      </w:r>
      <w:r>
        <w:rPr>
          <w:rFonts w:ascii="Times New Roman" w:hAnsi="Times New Roman"/>
          <w:b/>
          <w:noProof/>
          <w:sz w:val="24"/>
        </w:rPr>
        <w:t>Ευρωπαϊκής Πράσινης Συμφωνίας</w:t>
      </w:r>
      <w:r>
        <w:rPr>
          <w:rFonts w:ascii="Times New Roman" w:hAnsi="Times New Roman"/>
          <w:noProof/>
          <w:sz w:val="24"/>
        </w:rPr>
        <w:t>, ιδίως όσον αφορά την προσαρμογή στην κλιματική αλλαγή και την προστασία και αποκατάσταση της βιοποικιλότητας.</w:t>
      </w:r>
    </w:p>
    <w:p w14:paraId="3A9E648A" w14:textId="3488363A" w:rsidR="005B39A8" w:rsidRPr="008D157D" w:rsidRDefault="0B9442A9">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Για την προώθηση των επενδύσεων που στηρίζουν την ανθεκτικότητα, τα κράτη μέλη θα πρέπει να αξιοποιήσουν την ευρεία στήριξη που διατίθεται από τη χρηματοδότηση της ΕΕ, όπως: τον μηχανισμό ανάκαμψης και ανθεκτικότητας, τα ταμεία της πολιτικής συνοχής, το Γεωργικό Ταμείο Αγροτικής Ανάπτυξης, το πρόγραμμα LIFE, το Μέσο Τεχνικής Υποστήριξης (TSI) και την αποστολή της ΕΕ για την προσαρμογή στην κλιματική αλλαγή. Ο μηχανισμός της Ένωσης παρέχει τεχνική βοήθεια για τον σχεδιασμό «έξυπνων» επενδύσεων πρόληψης που θα συμβάλουν στην προστασία των πολιτών από καταστροφές, στην προσαρμογή στην κλιματική αλλαγή, στην αποφυγή της υποβάθμισης του περιβάλλοντος και στην προώθηση της πράσινης μετάβασης. Οι ιδιώτες και οι επιχειρήσεις στην ΕΕ είναι εκτεθειμένοι σε ζημίες από καταστροφές που σ</w:t>
      </w:r>
      <w:r w:rsidR="00285BD6">
        <w:rPr>
          <w:rFonts w:ascii="Times New Roman" w:hAnsi="Times New Roman"/>
          <w:noProof/>
          <w:sz w:val="24"/>
        </w:rPr>
        <w:t xml:space="preserve">υνδέονται με το κλίμα. </w:t>
      </w:r>
      <w:r>
        <w:rPr>
          <w:rFonts w:ascii="Times New Roman" w:hAnsi="Times New Roman"/>
          <w:noProof/>
          <w:sz w:val="24"/>
        </w:rPr>
        <w:t>Ο διάλογος για την ανθεκτικότητα στην κλιματική αλλαγή</w:t>
      </w:r>
      <w:r>
        <w:rPr>
          <w:rStyle w:val="FootnoteReference"/>
          <w:rFonts w:ascii="Times New Roman" w:hAnsi="Times New Roman" w:cs="Times New Roman"/>
          <w:noProof/>
          <w:sz w:val="24"/>
          <w:szCs w:val="24"/>
        </w:rPr>
        <w:footnoteReference w:id="18"/>
      </w:r>
      <w:r>
        <w:rPr>
          <w:rFonts w:ascii="Times New Roman" w:hAnsi="Times New Roman"/>
          <w:noProof/>
          <w:sz w:val="24"/>
        </w:rPr>
        <w:t xml:space="preserve"> προσδιορίζει τρόπους, για παράδειγμα μέσω ασφάλισης, για την κάλυψη των κινδύνων που συνδέονται με το κλίμα. Επιπλέον, το σύστημα ταξινόμησης της ΕΕ για τις βιώσιμες επενδύσεις (ταξινομία της ΕΕ) συμβάλλει στη διοχέτευση ιδιωτικών επενδύσεων σε οικονομικές δραστηριότητες που συμβάλλουν στην προσαρμογή στην κλιματική αλλαγή και θα περιλαμβάνει κριτήρια για τη διαχείριση κινδύνων καταστροφών από υπηρεσίες έκτακτης ανάγκης.</w:t>
      </w:r>
      <w:r>
        <w:rPr>
          <w:noProof/>
        </w:rPr>
        <w:t xml:space="preserve"> </w:t>
      </w:r>
      <w:r>
        <w:rPr>
          <w:noProof/>
        </w:rPr>
        <w:br/>
      </w:r>
      <w:r>
        <w:rPr>
          <w:rFonts w:ascii="Times New Roman" w:hAnsi="Times New Roman"/>
          <w:noProof/>
          <w:sz w:val="24"/>
        </w:rPr>
        <w:t xml:space="preserve"> </w:t>
      </w:r>
    </w:p>
    <w:p w14:paraId="463D1241" w14:textId="2C60E23E" w:rsidR="002908CF" w:rsidRDefault="42AD0681" w:rsidP="00E261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Η ανθεκτικότητα στις καταστροφές εξαρτάται επίσης από την αποτελεσματική </w:t>
      </w:r>
      <w:r>
        <w:rPr>
          <w:rFonts w:ascii="Times New Roman" w:hAnsi="Times New Roman"/>
          <w:b/>
          <w:noProof/>
          <w:sz w:val="24"/>
        </w:rPr>
        <w:t>διαχείριση κρίσεων</w:t>
      </w:r>
      <w:r>
        <w:rPr>
          <w:rFonts w:ascii="Times New Roman" w:hAnsi="Times New Roman"/>
          <w:noProof/>
          <w:sz w:val="24"/>
        </w:rPr>
        <w:t>. Η ΕΕ διαδραμάτισε καθοριστικό ρόλο στη διασφάλιση της αντιμετώπισης των διατομεακών και διασυνοριακών επιπτώσεων της νόσου COVID-19, του επιθετικού πολέμου της Ρωσίας κατά της Ουκρανίας και άλλων κρίσεων και καταστάσεων έκτακτης ανάγκης μεγάλης κλίμακας. Το Κέντρο Συντονισμού Αντιμετώπισης Εκτάκτων Αναγκών (ΚΣΑΕΑ) έχει εξελιχθεί σε επιχειρησιακό κόμβο διαχείρισης κρίσεων της ΕΕ. Λειτουργεί πλέον με ενισχυμένη ικανότητα πρόβλεψης και ανάλυσης, συντονισμό μεταξύ τομέων και σύνδεση της ζήτησης με την αντίδραση των κρατών μελών, τρίτων χωρών και φορέων του ιδιωτικού τομέα. Επιπλέον, εργάζεται σε συντονισμό με την ολοκληρωμένη αντιμετώπιση πολιτικών κρίσεων (IPCR) στο Συμβούλιο και, όταν αντιμετωπίζει κρίσεις ασφάλειας και προξενικές κρίσεις εκτός της ΕΕ, συνεργάζεται επίσης με το κέντρο αντιμετώπισης κρίσεων της Ευρωπαϊκής Υπηρεσίας Εξωτερικής Δράσης (ΕΥΕΔ). Για την αντιμετώπιση πιθανών μελλοντικών κρίσεων, το ΚΣΑΕΑ θα ενισχύσει περαιτέρω τον ρόλο του ως κεντρικού κόμβου σε ένα δίκτυο που θα συνδέει όλους τους φορείς διαχείρισης κρίσεων, με σεβασμό των υφιστάμενων αρμοδιοτήτων και σύμφωνα με τις συστάσεις της «Επιστημονικής γνώμης για τη διαχείριση κρίσεων»</w:t>
      </w:r>
      <w:r>
        <w:rPr>
          <w:rStyle w:val="FootnoteReference"/>
          <w:rFonts w:ascii="Times New Roman" w:eastAsia="Times New Roman" w:hAnsi="Times New Roman" w:cs="Times New Roman"/>
          <w:noProof/>
          <w:sz w:val="24"/>
          <w:szCs w:val="24"/>
        </w:rPr>
        <w:footnoteReference w:id="19"/>
      </w:r>
      <w:r>
        <w:rPr>
          <w:rFonts w:ascii="Times New Roman" w:hAnsi="Times New Roman"/>
          <w:noProof/>
          <w:sz w:val="24"/>
        </w:rPr>
        <w:t>.</w:t>
      </w:r>
    </w:p>
    <w:p w14:paraId="7CA50892" w14:textId="5DAA7089" w:rsidR="008A6486" w:rsidRDefault="008A6486" w:rsidP="00E26175">
      <w:pPr>
        <w:autoSpaceDE w:val="0"/>
        <w:autoSpaceDN w:val="0"/>
        <w:adjustRightInd w:val="0"/>
        <w:spacing w:after="0" w:line="240" w:lineRule="auto"/>
        <w:jc w:val="both"/>
        <w:rPr>
          <w:rFonts w:ascii="Times New Roman" w:eastAsia="Times New Roman" w:hAnsi="Times New Roman" w:cs="Times New Roman"/>
          <w:noProof/>
          <w:sz w:val="24"/>
          <w:szCs w:val="24"/>
        </w:rPr>
      </w:pPr>
    </w:p>
    <w:p w14:paraId="539353B5" w14:textId="4A3DAF78" w:rsidR="00E42E4B" w:rsidRPr="00B31C80" w:rsidRDefault="005F50C6" w:rsidP="00E42E4B">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Οι καταστροφές ενδέχεται να επιβάλλουν τη λήψη έκτακτων μέτρων επείγουσας ανάγκης. Μολονότι αποτελούν νόμιμο μέσο, τα μέτρα πρέπει να είναι δικαιολογημένα, χρονικά περιορισμένα και αναλογικά. Θα πρέπει να έχουν σταθερά νομικά θεμέλια και να επιτρέπουν ελέγχους και ισορροπίες για την προάσπιση του κράτους δικαίου.</w:t>
      </w:r>
    </w:p>
    <w:p w14:paraId="4AE22977" w14:textId="615D9EC8" w:rsidR="008A6486" w:rsidRDefault="008A6486" w:rsidP="00E26175">
      <w:pPr>
        <w:autoSpaceDE w:val="0"/>
        <w:autoSpaceDN w:val="0"/>
        <w:adjustRightInd w:val="0"/>
        <w:spacing w:after="0" w:line="240" w:lineRule="auto"/>
        <w:jc w:val="both"/>
        <w:rPr>
          <w:rFonts w:ascii="Times New Roman" w:eastAsia="Times New Roman" w:hAnsi="Times New Roman" w:cs="Times New Roman"/>
          <w:noProof/>
          <w:sz w:val="24"/>
          <w:szCs w:val="24"/>
        </w:rPr>
      </w:pPr>
    </w:p>
    <w:p w14:paraId="5FA155B7" w14:textId="1733B01F" w:rsidR="008A6486" w:rsidRDefault="008A6486" w:rsidP="00E26175">
      <w:pPr>
        <w:autoSpaceDE w:val="0"/>
        <w:autoSpaceDN w:val="0"/>
        <w:adjustRightInd w:val="0"/>
        <w:spacing w:after="0" w:line="240" w:lineRule="auto"/>
        <w:jc w:val="both"/>
        <w:rPr>
          <w:rFonts w:ascii="Times New Roman" w:eastAsia="Times New Roman" w:hAnsi="Times New Roman" w:cs="Times New Roman"/>
          <w:noProof/>
          <w:sz w:val="24"/>
          <w:szCs w:val="24"/>
        </w:rPr>
      </w:pPr>
    </w:p>
    <w:p w14:paraId="1325FCF3" w14:textId="66321FF4" w:rsidR="008A6486" w:rsidRDefault="00285BD6" w:rsidP="00E26175">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hAnsi="Times New Roman"/>
          <w:noProof/>
          <w:color w:val="2B579A"/>
          <w:sz w:val="24"/>
          <w:shd w:val="clear" w:color="auto" w:fill="E6E6E6"/>
          <w:lang w:val="en-GB" w:eastAsia="en-GB"/>
        </w:rPr>
        <w:drawing>
          <wp:anchor distT="0" distB="0" distL="114300" distR="114300" simplePos="0" relativeHeight="251644928" behindDoc="0" locked="0" layoutInCell="1" allowOverlap="1" wp14:anchorId="6D29F703" wp14:editId="48C9E68F">
            <wp:simplePos x="0" y="0"/>
            <wp:positionH relativeFrom="column">
              <wp:posOffset>623900</wp:posOffset>
            </wp:positionH>
            <wp:positionV relativeFrom="paragraph">
              <wp:posOffset>9550</wp:posOffset>
            </wp:positionV>
            <wp:extent cx="4476115" cy="298386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ndscape_ERCC_movement.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476115" cy="2983865"/>
                    </a:xfrm>
                    <a:prstGeom prst="rect">
                      <a:avLst/>
                    </a:prstGeom>
                  </pic:spPr>
                </pic:pic>
              </a:graphicData>
            </a:graphic>
            <wp14:sizeRelH relativeFrom="margin">
              <wp14:pctWidth>0</wp14:pctWidth>
            </wp14:sizeRelH>
            <wp14:sizeRelV relativeFrom="margin">
              <wp14:pctHeight>0</wp14:pctHeight>
            </wp14:sizeRelV>
          </wp:anchor>
        </w:drawing>
      </w:r>
    </w:p>
    <w:p w14:paraId="6116A14A" w14:textId="193A2D0D" w:rsidR="008A6486" w:rsidRDefault="008A6486" w:rsidP="00E26175">
      <w:pPr>
        <w:autoSpaceDE w:val="0"/>
        <w:autoSpaceDN w:val="0"/>
        <w:adjustRightInd w:val="0"/>
        <w:spacing w:after="0" w:line="240" w:lineRule="auto"/>
        <w:jc w:val="both"/>
        <w:rPr>
          <w:rFonts w:ascii="Times New Roman" w:eastAsia="Times New Roman" w:hAnsi="Times New Roman" w:cs="Times New Roman"/>
          <w:noProof/>
          <w:sz w:val="24"/>
          <w:szCs w:val="24"/>
        </w:rPr>
      </w:pPr>
    </w:p>
    <w:p w14:paraId="7D3077D0" w14:textId="72D811DC" w:rsidR="008D157D" w:rsidRDefault="008D157D" w:rsidP="00E26175">
      <w:pPr>
        <w:autoSpaceDE w:val="0"/>
        <w:autoSpaceDN w:val="0"/>
        <w:adjustRightInd w:val="0"/>
        <w:spacing w:after="0" w:line="240" w:lineRule="auto"/>
        <w:jc w:val="both"/>
        <w:rPr>
          <w:rFonts w:ascii="Times New Roman" w:eastAsia="Times New Roman" w:hAnsi="Times New Roman" w:cs="Times New Roman"/>
          <w:noProof/>
          <w:sz w:val="24"/>
          <w:szCs w:val="24"/>
        </w:rPr>
      </w:pPr>
    </w:p>
    <w:p w14:paraId="1C64C23D" w14:textId="20994C55" w:rsidR="002908CF" w:rsidRDefault="002908CF" w:rsidP="289D2528">
      <w:pPr>
        <w:spacing w:line="240" w:lineRule="auto"/>
        <w:jc w:val="both"/>
        <w:rPr>
          <w:rFonts w:ascii="Times New Roman" w:eastAsia="Times New Roman" w:hAnsi="Times New Roman" w:cs="Times New Roman"/>
          <w:noProof/>
          <w:sz w:val="24"/>
          <w:szCs w:val="24"/>
        </w:rPr>
      </w:pPr>
    </w:p>
    <w:p w14:paraId="0E6ADC58" w14:textId="6B90FF21" w:rsidR="002908CF" w:rsidRDefault="0028341B" w:rsidP="00B31C80">
      <w:pPr>
        <w:spacing w:line="240" w:lineRule="auto"/>
        <w:jc w:val="both"/>
        <w:rPr>
          <w:rFonts w:ascii="Times New Roman" w:eastAsia="Times New Roman" w:hAnsi="Times New Roman" w:cs="Times New Roman"/>
          <w:noProof/>
          <w:sz w:val="24"/>
          <w:szCs w:val="24"/>
        </w:rPr>
      </w:pPr>
      <w:r>
        <w:rPr>
          <w:rFonts w:ascii="Times New Roman" w:hAnsi="Times New Roman"/>
          <w:i/>
          <w:noProof/>
          <w:color w:val="2B579A"/>
          <w:sz w:val="24"/>
          <w:shd w:val="clear" w:color="auto" w:fill="E6E6E6"/>
          <w:lang w:val="en-GB" w:eastAsia="en-GB"/>
        </w:rPr>
        <mc:AlternateContent>
          <mc:Choice Requires="wps">
            <w:drawing>
              <wp:anchor distT="45720" distB="45720" distL="114300" distR="114300" simplePos="0" relativeHeight="251658268" behindDoc="0" locked="0" layoutInCell="1" allowOverlap="1" wp14:anchorId="77FDB49A" wp14:editId="5D30C3A4">
                <wp:simplePos x="0" y="0"/>
                <wp:positionH relativeFrom="column">
                  <wp:posOffset>611658</wp:posOffset>
                </wp:positionH>
                <wp:positionV relativeFrom="paragraph">
                  <wp:posOffset>2194281</wp:posOffset>
                </wp:positionV>
                <wp:extent cx="4493260" cy="438150"/>
                <wp:effectExtent l="0" t="0" r="254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260" cy="438150"/>
                        </a:xfrm>
                        <a:prstGeom prst="rect">
                          <a:avLst/>
                        </a:prstGeom>
                        <a:solidFill>
                          <a:srgbClr val="FFFFFF"/>
                        </a:solidFill>
                        <a:ln w="9525">
                          <a:noFill/>
                          <a:miter lim="800000"/>
                          <a:headEnd/>
                          <a:tailEnd/>
                        </a:ln>
                      </wps:spPr>
                      <wps:txbx>
                        <w:txbxContent>
                          <w:p w14:paraId="76DAB5CD" w14:textId="77777777" w:rsidR="0032560C" w:rsidRPr="00B31C80" w:rsidRDefault="0032560C" w:rsidP="00D3197C">
                            <w:pPr>
                              <w:pStyle w:val="Heading1"/>
                              <w:spacing w:before="0" w:line="270" w:lineRule="atLeast"/>
                              <w:jc w:val="right"/>
                              <w:rPr>
                                <w:rFonts w:ascii="Times New Roman" w:hAnsi="Times New Roman" w:cs="Times New Roman"/>
                                <w:b/>
                                <w:color w:val="212124"/>
                                <w:sz w:val="18"/>
                                <w:szCs w:val="24"/>
                              </w:rPr>
                            </w:pPr>
                            <w:r>
                              <w:rPr>
                                <w:rFonts w:ascii="Times New Roman" w:hAnsi="Times New Roman"/>
                                <w:color w:val="212124"/>
                                <w:sz w:val="18"/>
                              </w:rPr>
                              <w:t>Το Κέντρο Συντονισμού Αντιμετώπισης Εκτάκτων Αναγκών στις Βρυξέλλες</w:t>
                            </w:r>
                          </w:p>
                          <w:p w14:paraId="3F7D6346" w14:textId="35E331B7" w:rsidR="0032560C" w:rsidRPr="00B31C80" w:rsidRDefault="0032560C">
                            <w:pPr>
                              <w:pStyle w:val="Heading1"/>
                              <w:spacing w:before="0" w:line="270" w:lineRule="atLeast"/>
                              <w:jc w:val="right"/>
                              <w:rPr>
                                <w:rFonts w:ascii="Times New Roman" w:hAnsi="Times New Roman" w:cs="Times New Roman"/>
                                <w:b/>
                                <w:color w:val="212124"/>
                                <w:sz w:val="18"/>
                                <w:szCs w:val="24"/>
                              </w:rPr>
                            </w:pPr>
                            <w:r>
                              <w:rPr>
                                <w:rFonts w:ascii="Times New Roman" w:hAnsi="Times New Roman"/>
                                <w:color w:val="212124"/>
                                <w:sz w:val="18"/>
                              </w:rPr>
                              <w:t>© Ευρωπαϊκή Ένωση, 2018</w:t>
                            </w:r>
                          </w:p>
                          <w:p w14:paraId="48563A30" w14:textId="77777777" w:rsidR="0032560C" w:rsidRPr="00D82CA2" w:rsidRDefault="0032560C" w:rsidP="0032560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DB49A" id="_x0000_s1037" type="#_x0000_t202" style="position:absolute;left:0;text-align:left;margin-left:48.15pt;margin-top:172.8pt;width:353.8pt;height:34.5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" stroked="f">
                <v:textbox>
                  <w:txbxContent>
                    <w:p w14:paraId="76DAB5CD" w14:textId="77777777" w:rsidR="0032560C" w:rsidRPr="00B31C80" w:rsidRDefault="0032560C" w:rsidP="00D3197C">
                      <w:pPr>
                        <w:pStyle w:val="Heading1"/>
                        <w:spacing w:before="0" w:line="270" w:lineRule="atLeast"/>
                        <w:jc w:val="right"/>
                        <w:rPr>
                          <w:rFonts w:ascii="Times New Roman" w:hAnsi="Times New Roman" w:cs="Times New Roman"/>
                          <w:b/>
                          <w:color w:val="212124"/>
                          <w:sz w:val="18"/>
                          <w:szCs w:val="24"/>
                        </w:rPr>
                      </w:pPr>
                      <w:r>
                        <w:rPr>
                          <w:rFonts w:ascii="Times New Roman" w:hAnsi="Times New Roman"/>
                          <w:color w:val="212124"/>
                          <w:sz w:val="18"/>
                        </w:rPr>
                        <w:t>Το Κέντρο Συντονισμού Αντιμετώπισης Εκτάκτων Αναγκών στις Βρυξέλλες</w:t>
                      </w:r>
                    </w:p>
                    <w:p w14:paraId="3F7D6346" w14:textId="35E331B7" w:rsidR="0032560C" w:rsidRPr="00B31C80" w:rsidRDefault="0032560C">
                      <w:pPr>
                        <w:pStyle w:val="Heading1"/>
                        <w:spacing w:before="0" w:line="270" w:lineRule="atLeast"/>
                        <w:jc w:val="right"/>
                        <w:rPr>
                          <w:rFonts w:ascii="Times New Roman" w:hAnsi="Times New Roman" w:cs="Times New Roman"/>
                          <w:b/>
                          <w:color w:val="212124"/>
                          <w:sz w:val="18"/>
                          <w:szCs w:val="24"/>
                        </w:rPr>
                      </w:pPr>
                      <w:r>
                        <w:rPr>
                          <w:rFonts w:ascii="Times New Roman" w:hAnsi="Times New Roman"/>
                          <w:color w:val="212124"/>
                          <w:sz w:val="18"/>
                        </w:rPr>
                        <w:t>© Ευρωπαϊκή Ένωση, 2018</w:t>
                      </w:r>
                    </w:p>
                    <w:p w14:paraId="48563A30" w14:textId="77777777" w:rsidR="0032560C" w:rsidRPr="00D82CA2" w:rsidRDefault="0032560C" w:rsidP="0032560C">
                      <w:pPr>
                        <w:rPr>
                          <w:lang w:val="en-US"/>
                        </w:rPr>
                      </w:pPr>
                    </w:p>
                  </w:txbxContent>
                </v:textbox>
                <w10:wrap type="square"/>
              </v:shape>
            </w:pict>
          </mc:Fallback>
        </mc:AlternateContent>
      </w:r>
    </w:p>
    <w:p w14:paraId="01D739ED" w14:textId="6C98048A" w:rsidR="005B39A8" w:rsidRPr="008D157D" w:rsidRDefault="00436887" w:rsidP="00E7578B">
      <w:pPr>
        <w:pStyle w:val="ListParagraph"/>
        <w:numPr>
          <w:ilvl w:val="0"/>
          <w:numId w:val="18"/>
        </w:numPr>
        <w:autoSpaceDE w:val="0"/>
        <w:autoSpaceDN w:val="0"/>
        <w:adjustRightInd w:val="0"/>
        <w:spacing w:after="0" w:line="240" w:lineRule="auto"/>
        <w:jc w:val="both"/>
        <w:rPr>
          <w:rFonts w:ascii="Times New Roman" w:hAnsi="Times New Roman" w:cs="Times New Roman"/>
          <w:b/>
          <w:noProof/>
          <w:sz w:val="24"/>
          <w:szCs w:val="24"/>
        </w:rPr>
      </w:pPr>
      <w:r>
        <w:rPr>
          <w:rFonts w:ascii="Times New Roman" w:hAnsi="Times New Roman"/>
          <w:b/>
          <w:noProof/>
          <w:sz w:val="24"/>
        </w:rPr>
        <w:t xml:space="preserve">Οι ενωσιακοί στόχοι ανθεκτικότητας στις καταστροφές </w:t>
      </w:r>
    </w:p>
    <w:p w14:paraId="5CD4C450" w14:textId="23389342" w:rsidR="00436887" w:rsidRPr="008D157D" w:rsidRDefault="00436887" w:rsidP="00E7578B">
      <w:pPr>
        <w:pStyle w:val="ListParagraph"/>
        <w:autoSpaceDE w:val="0"/>
        <w:autoSpaceDN w:val="0"/>
        <w:adjustRightInd w:val="0"/>
        <w:spacing w:after="0" w:line="240" w:lineRule="auto"/>
        <w:ind w:left="1080"/>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58"/>
      </w:tblGrid>
      <w:tr w:rsidR="00285BD6" w14:paraId="1968DDF1" w14:textId="77777777" w:rsidTr="00F81898">
        <w:trPr>
          <w:trHeight w:val="1205"/>
        </w:trPr>
        <w:tc>
          <w:tcPr>
            <w:tcW w:w="1384" w:type="dxa"/>
          </w:tcPr>
          <w:p w14:paraId="1C10EC8D" w14:textId="0F726FC1" w:rsidR="002908CF" w:rsidRDefault="002908CF" w:rsidP="005B39A8">
            <w:pPr>
              <w:jc w:val="both"/>
              <w:rPr>
                <w:rFonts w:ascii="Times New Roman" w:hAnsi="Times New Roman" w:cs="Times New Roman"/>
                <w:b/>
                <w:bCs/>
                <w:noProof/>
                <w:sz w:val="24"/>
                <w:szCs w:val="24"/>
              </w:rPr>
            </w:pPr>
            <w:r>
              <w:rPr>
                <w:rFonts w:ascii="Times New Roman" w:hAnsi="Times New Roman"/>
                <w:noProof/>
                <w:color w:val="2B579A"/>
                <w:sz w:val="24"/>
                <w:shd w:val="clear" w:color="auto" w:fill="E6E6E6"/>
                <w:lang w:val="en-GB" w:eastAsia="en-GB"/>
              </w:rPr>
              <w:drawing>
                <wp:anchor distT="0" distB="0" distL="114300" distR="114300" simplePos="0" relativeHeight="251658242" behindDoc="0" locked="0" layoutInCell="1" allowOverlap="1" wp14:anchorId="34360B04" wp14:editId="1851725F">
                  <wp:simplePos x="0" y="0"/>
                  <wp:positionH relativeFrom="column">
                    <wp:posOffset>1905</wp:posOffset>
                  </wp:positionH>
                  <wp:positionV relativeFrom="paragraph">
                    <wp:posOffset>8890</wp:posOffset>
                  </wp:positionV>
                  <wp:extent cx="693420" cy="693420"/>
                  <wp:effectExtent l="0" t="0" r="0" b="0"/>
                  <wp:wrapNone/>
                  <wp:docPr id="27" name="Graphic 4">
                    <a:extLst xmlns:a="http://schemas.openxmlformats.org/drawingml/2006/main">
                      <a:ext uri="{FF2B5EF4-FFF2-40B4-BE49-F238E27FC236}">
                        <a16:creationId xmlns:a16="http://schemas.microsoft.com/office/drawing/2014/main" id="{89F74914-9569-8186-1B2D-BB64F7C9FD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89F74914-9569-8186-1B2D-BB64F7C9FDFE}"/>
                              </a:ext>
                            </a:extLst>
                          </pic:cNvPr>
                          <pic:cNvPicPr>
                            <a:picLocks noChangeAspect="1"/>
                          </pic:cNvPicPr>
                        </pic:nvPicPr>
                        <pic:blipFill>
                          <a:blip r:embed="rId2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30"/>
                              </a:ext>
                            </a:extLst>
                          </a:blip>
                          <a:stretch>
                            <a:fillRect/>
                          </a:stretch>
                        </pic:blipFill>
                        <pic:spPr>
                          <a:xfrm>
                            <a:off x="0" y="0"/>
                            <a:ext cx="693420" cy="693420"/>
                          </a:xfrm>
                          <a:prstGeom prst="rect">
                            <a:avLst/>
                          </a:prstGeom>
                        </pic:spPr>
                      </pic:pic>
                    </a:graphicData>
                  </a:graphic>
                </wp:anchor>
              </w:drawing>
            </w:r>
          </w:p>
        </w:tc>
        <w:tc>
          <w:tcPr>
            <w:tcW w:w="7858" w:type="dxa"/>
            <w:vAlign w:val="center"/>
          </w:tcPr>
          <w:p w14:paraId="76741A14" w14:textId="77777777" w:rsidR="002908CF" w:rsidRPr="008D157D" w:rsidRDefault="002908CF" w:rsidP="00F81898">
            <w:pPr>
              <w:rPr>
                <w:rFonts w:ascii="Times New Roman" w:hAnsi="Times New Roman" w:cs="Times New Roman"/>
                <w:noProof/>
                <w:sz w:val="24"/>
                <w:szCs w:val="24"/>
              </w:rPr>
            </w:pPr>
            <w:r>
              <w:rPr>
                <w:rFonts w:ascii="Times New Roman" w:hAnsi="Times New Roman"/>
                <w:b/>
                <w:noProof/>
                <w:sz w:val="24"/>
              </w:rPr>
              <w:t xml:space="preserve">Στόχος 1: </w:t>
            </w:r>
            <w:r>
              <w:rPr>
                <w:rFonts w:ascii="Times New Roman" w:hAnsi="Times New Roman"/>
                <w:b/>
                <w:i/>
                <w:noProof/>
                <w:sz w:val="24"/>
              </w:rPr>
              <w:t>Πρόβλεψη</w:t>
            </w:r>
            <w:r>
              <w:rPr>
                <w:rFonts w:ascii="Times New Roman" w:hAnsi="Times New Roman"/>
                <w:b/>
                <w:noProof/>
                <w:sz w:val="24"/>
              </w:rPr>
              <w:t xml:space="preserve"> — Βελτίωση της εκτίμησης κινδύνων, της πρόβλεψης και του σχεδιασμού της διαχείρισης κινδύνων καταστροφών</w:t>
            </w:r>
          </w:p>
          <w:p w14:paraId="504F9DE3" w14:textId="77777777" w:rsidR="002908CF" w:rsidRPr="002908CF" w:rsidRDefault="002908CF" w:rsidP="00F81898">
            <w:pPr>
              <w:rPr>
                <w:rFonts w:ascii="Times New Roman" w:hAnsi="Times New Roman" w:cs="Times New Roman"/>
                <w:b/>
                <w:bCs/>
                <w:noProof/>
                <w:sz w:val="24"/>
                <w:szCs w:val="24"/>
              </w:rPr>
            </w:pPr>
          </w:p>
        </w:tc>
      </w:tr>
    </w:tbl>
    <w:p w14:paraId="27F615FD" w14:textId="77777777" w:rsidR="00F81898" w:rsidRDefault="00F81898" w:rsidP="005B39A8">
      <w:pPr>
        <w:spacing w:after="0" w:line="240" w:lineRule="auto"/>
        <w:jc w:val="both"/>
        <w:rPr>
          <w:rFonts w:ascii="Times New Roman" w:hAnsi="Times New Roman" w:cs="Times New Roman"/>
          <w:noProof/>
          <w:sz w:val="24"/>
          <w:szCs w:val="24"/>
        </w:rPr>
      </w:pPr>
    </w:p>
    <w:p w14:paraId="5E3E73AE" w14:textId="785572A6" w:rsidR="002908CF" w:rsidRDefault="005B39A8" w:rsidP="005B39A8">
      <w:pPr>
        <w:spacing w:after="0" w:line="240" w:lineRule="auto"/>
        <w:jc w:val="both"/>
        <w:rPr>
          <w:rFonts w:ascii="Times New Roman" w:hAnsi="Times New Roman" w:cs="Times New Roman"/>
          <w:b/>
          <w:bCs/>
          <w:noProof/>
          <w:sz w:val="24"/>
          <w:szCs w:val="24"/>
        </w:rPr>
      </w:pPr>
      <w:r>
        <w:rPr>
          <w:rFonts w:ascii="Times New Roman" w:hAnsi="Times New Roman"/>
          <w:noProof/>
          <w:sz w:val="24"/>
        </w:rPr>
        <w:t xml:space="preserve">Οι ορθές αποφάσεις προϋποθέτουν αξιόπιστες και έγκαιρες πληροφορίες. Τα ισχύοντα μέτρα πρόληψης και ετοιμότητας στο πλαίσιο του μηχανισμού της Ένωσης πρέπει να βασιστούν σε παραδοχές σε επίπεδο Ένωσης που χρησιμοποιούνται για την ιεράρχηση των ικανοτήτων και των επενδύσεων, τόσο σε εθνικό όσο και σε ευρωπαϊκό επίπεδο. Ειδικότερα, αφορούν καταστροφές και κρίσεις διατομεακού και διασυνοριακού χαρακτήρα, οι οποίες εμφανίζονται όλο και πιο συχνά. Τόσο η Ένωση όσο και τα κράτη μέλη πρέπει να παρακολουθούν τις νέες και αναδυόμενες απειλές και να βελτιώσουν την κατανόηση των πιθανών επιπτώσεών τους. Μια περιφερειακή προσέγγιση μπορεί να συμπληρώσει την πρόβλεψη των κινδύνων και των πιθανών διασυνοριακών επιπτώσεών τους σε εθνικό και ευρωπαϊκό επίπεδο. Για τη μετατροπή της εκτίμησης των μελλοντικών κινδύνων σε πληροφορίες που μπορούν να οδηγήσουν στην ανάληψη έγκαιρης δράσης, η Επιτροπή προτίθεται να βελτιώσει περαιτέρω την ικανότητα </w:t>
      </w:r>
      <w:r>
        <w:rPr>
          <w:rFonts w:ascii="Times New Roman" w:hAnsi="Times New Roman"/>
          <w:b/>
          <w:noProof/>
          <w:sz w:val="24"/>
        </w:rPr>
        <w:t>εκπόνησης σεναρίων</w:t>
      </w:r>
      <w:r>
        <w:rPr>
          <w:rFonts w:ascii="Times New Roman" w:hAnsi="Times New Roman"/>
          <w:noProof/>
          <w:sz w:val="24"/>
        </w:rPr>
        <w:t xml:space="preserve"> σε επίπεδο Ένωσης, την </w:t>
      </w:r>
      <w:r>
        <w:rPr>
          <w:rFonts w:ascii="Times New Roman" w:hAnsi="Times New Roman"/>
          <w:b/>
          <w:noProof/>
          <w:sz w:val="24"/>
        </w:rPr>
        <w:t>εκτίμηση κινδύνων</w:t>
      </w:r>
      <w:r>
        <w:rPr>
          <w:rFonts w:ascii="Times New Roman" w:hAnsi="Times New Roman"/>
          <w:noProof/>
          <w:sz w:val="24"/>
        </w:rPr>
        <w:t xml:space="preserve">, την </w:t>
      </w:r>
      <w:r>
        <w:rPr>
          <w:rFonts w:ascii="Times New Roman" w:hAnsi="Times New Roman"/>
          <w:b/>
          <w:noProof/>
          <w:sz w:val="24"/>
        </w:rPr>
        <w:t>ικανότητα πρόβλεψης</w:t>
      </w:r>
      <w:r>
        <w:rPr>
          <w:rFonts w:ascii="Times New Roman" w:hAnsi="Times New Roman"/>
          <w:noProof/>
          <w:sz w:val="24"/>
        </w:rPr>
        <w:t xml:space="preserve"> και τον </w:t>
      </w:r>
      <w:r>
        <w:rPr>
          <w:rFonts w:ascii="Times New Roman" w:hAnsi="Times New Roman"/>
          <w:b/>
          <w:noProof/>
          <w:sz w:val="24"/>
        </w:rPr>
        <w:t>σχεδιασμό διαχείρισης κινδύνων</w:t>
      </w:r>
      <w:r>
        <w:rPr>
          <w:rFonts w:ascii="Times New Roman" w:hAnsi="Times New Roman"/>
          <w:noProof/>
          <w:sz w:val="24"/>
        </w:rPr>
        <w:t xml:space="preserve"> με σκοπό την ανάπτυξη </w:t>
      </w:r>
      <w:r>
        <w:rPr>
          <w:rFonts w:ascii="Times New Roman" w:hAnsi="Times New Roman"/>
          <w:b/>
          <w:noProof/>
          <w:sz w:val="24"/>
        </w:rPr>
        <w:t>προληπτικών δράσεων</w:t>
      </w:r>
      <w:r>
        <w:rPr>
          <w:rFonts w:ascii="Times New Roman" w:hAnsi="Times New Roman"/>
          <w:noProof/>
          <w:sz w:val="24"/>
        </w:rPr>
        <w:t>.</w:t>
      </w:r>
      <w:r>
        <w:rPr>
          <w:rFonts w:ascii="Times New Roman" w:hAnsi="Times New Roman"/>
          <w:b/>
          <w:noProof/>
          <w:sz w:val="24"/>
        </w:rPr>
        <w:t xml:space="preserve"> </w:t>
      </w:r>
    </w:p>
    <w:p w14:paraId="011C50CE" w14:textId="77777777" w:rsidR="0070061E" w:rsidRPr="00285BD6" w:rsidRDefault="0070061E" w:rsidP="005B39A8">
      <w:pPr>
        <w:spacing w:after="0" w:line="240" w:lineRule="auto"/>
        <w:jc w:val="both"/>
        <w:rPr>
          <w:rFonts w:ascii="Times New Roman" w:hAnsi="Times New Roman" w:cs="Times New Roman"/>
          <w:b/>
          <w:bCs/>
          <w:noProof/>
          <w:sz w:val="24"/>
          <w:szCs w:val="24"/>
        </w:rPr>
      </w:pPr>
    </w:p>
    <w:p w14:paraId="6680292E" w14:textId="77777777" w:rsidR="005B39A8" w:rsidRPr="00DC6445" w:rsidRDefault="005B39A8" w:rsidP="005B39A8">
      <w:pPr>
        <w:spacing w:after="0" w:line="240" w:lineRule="auto"/>
        <w:jc w:val="both"/>
        <w:rPr>
          <w:rFonts w:ascii="Times New Roman" w:hAnsi="Times New Roman" w:cs="Times New Roman"/>
          <w:noProof/>
          <w:sz w:val="24"/>
          <w:szCs w:val="24"/>
        </w:rPr>
      </w:pPr>
    </w:p>
    <w:p w14:paraId="5DB8C57E" w14:textId="77777777" w:rsidR="005B39A8" w:rsidRPr="00F73045" w:rsidRDefault="005B39A8" w:rsidP="005B39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noProof/>
          <w:sz w:val="24"/>
          <w:szCs w:val="24"/>
        </w:rPr>
      </w:pPr>
      <w:r>
        <w:rPr>
          <w:rFonts w:ascii="Times New Roman" w:hAnsi="Times New Roman"/>
          <w:b/>
          <w:noProof/>
          <w:sz w:val="24"/>
        </w:rPr>
        <w:t xml:space="preserve">Εμβληματική δράση: σενάρια καταστροφών σε πανευρωπαϊκό επίπεδο </w:t>
      </w:r>
    </w:p>
    <w:p w14:paraId="147D4F50" w14:textId="76AA896A" w:rsidR="005B39A8" w:rsidRDefault="005B39A8" w:rsidP="005B39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noProof/>
          <w:sz w:val="24"/>
        </w:rPr>
        <w:t>Έως το τέλος του 2023, η Επιτροπή προτίθεται να ολοκληρώσει την ανάπτυξη βασικών διασυνοριακών, διατομεακών σεναρίων που καλύπτουν 16 βασικούς κινδύνους και πιθανές αλυσιδωτές επιπτώσεις στις οποίες είναι εκτεθειμένη η Ευρώπη, όπως παρουσιάζεται στο διάγραμμα 2. Η πρωτοβουλία αυτή αποσκοπεί στη βελτίωση της συλλογικής ικανότητας της Ευρώπης να προβλέπει μελλοντικές κρίσεις, να δίνει προτεραιότητα στα μέτρα πρόληψης και να προσαρμόζει αναλόγως τον σχεδιασμό της διαχείρισης κινδύνων.</w:t>
      </w:r>
    </w:p>
    <w:p w14:paraId="07669AAD" w14:textId="77777777" w:rsidR="005732D6" w:rsidRPr="00285BD6" w:rsidRDefault="005732D6" w:rsidP="005B39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14:paraId="72D5DD3E" w14:textId="4AADD314" w:rsidR="00387E19" w:rsidRPr="0028341B" w:rsidRDefault="005B39A8" w:rsidP="002834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noProof/>
          <w:sz w:val="24"/>
          <w:szCs w:val="24"/>
        </w:rPr>
      </w:pPr>
      <w:r>
        <w:rPr>
          <w:rFonts w:ascii="Times New Roman" w:hAnsi="Times New Roman"/>
          <w:noProof/>
          <w:sz w:val="24"/>
        </w:rPr>
        <w:t>Δεδομένου ότι οι επιπτώσεις των καταστροφών μεγάλης κλίμακας υπερβαίνουν τα εθνικά σύνορα, τα κράτη μέλη θα πρέπει να συμβάλουν πλήρως ώστε ο σχεδιασμός σεναρίων σε εθνικό επίπεδο να τροφοδοτεί τα πανευρωπαϊκά σενάρια καταστροφών και να αξιοποιείται για την επακόλουθη ανάπτυξη ετοιμότητας έναντι των καταστροφών. Μετά το 2023 τα σενάρια θα επικαιροποιηθούν και θα επεκταθούν ανάλογα με τις ανάγκες, μετά από συνεχή διάλογο με τα κράτη μέλη.</w:t>
      </w:r>
    </w:p>
    <w:p w14:paraId="4607136D" w14:textId="32F3D31C" w:rsidR="00387E19" w:rsidRDefault="00387E19">
      <w:pPr>
        <w:rPr>
          <w:rFonts w:ascii="Times New Roman" w:hAnsi="Times New Roman" w:cs="Times New Roman"/>
          <w:noProof/>
          <w:sz w:val="24"/>
          <w:szCs w:val="24"/>
        </w:rPr>
      </w:pPr>
    </w:p>
    <w:p w14:paraId="4EF6AE37" w14:textId="78AF28D7" w:rsidR="00285BD6" w:rsidRDefault="00285BD6">
      <w:pPr>
        <w:rPr>
          <w:rFonts w:ascii="Times New Roman" w:hAnsi="Times New Roman" w:cs="Times New Roman"/>
          <w:noProof/>
          <w:sz w:val="24"/>
          <w:szCs w:val="24"/>
        </w:rPr>
      </w:pPr>
    </w:p>
    <w:p w14:paraId="72BEC985" w14:textId="4B902693" w:rsidR="00285BD6" w:rsidRDefault="00285BD6">
      <w:pPr>
        <w:rPr>
          <w:rFonts w:ascii="Times New Roman" w:hAnsi="Times New Roman" w:cs="Times New Roman"/>
          <w:noProof/>
          <w:sz w:val="24"/>
          <w:szCs w:val="24"/>
        </w:rPr>
      </w:pPr>
    </w:p>
    <w:p w14:paraId="7424B023" w14:textId="198B7CB0" w:rsidR="00285BD6" w:rsidRDefault="00285BD6">
      <w:pPr>
        <w:rPr>
          <w:rFonts w:ascii="Times New Roman" w:hAnsi="Times New Roman" w:cs="Times New Roman"/>
          <w:noProof/>
          <w:sz w:val="24"/>
          <w:szCs w:val="24"/>
        </w:rPr>
      </w:pPr>
    </w:p>
    <w:p w14:paraId="173B35E5" w14:textId="660C4A11" w:rsidR="00285BD6" w:rsidRDefault="00285BD6">
      <w:pPr>
        <w:rPr>
          <w:rFonts w:ascii="Times New Roman" w:hAnsi="Times New Roman" w:cs="Times New Roman"/>
          <w:noProof/>
          <w:sz w:val="24"/>
          <w:szCs w:val="24"/>
        </w:rPr>
      </w:pPr>
    </w:p>
    <w:p w14:paraId="008267F0" w14:textId="12F5F523" w:rsidR="00285BD6" w:rsidRDefault="00285BD6">
      <w:pPr>
        <w:rPr>
          <w:rFonts w:ascii="Times New Roman" w:hAnsi="Times New Roman" w:cs="Times New Roman"/>
          <w:noProof/>
          <w:sz w:val="24"/>
          <w:szCs w:val="24"/>
        </w:rPr>
      </w:pPr>
    </w:p>
    <w:p w14:paraId="00C9F49E" w14:textId="6AE455DC" w:rsidR="00285BD6" w:rsidRDefault="00285BD6">
      <w:pPr>
        <w:rPr>
          <w:rFonts w:ascii="Times New Roman" w:hAnsi="Times New Roman" w:cs="Times New Roman"/>
          <w:noProof/>
          <w:sz w:val="24"/>
          <w:szCs w:val="24"/>
        </w:rPr>
      </w:pPr>
    </w:p>
    <w:p w14:paraId="54BEC9FD" w14:textId="77777777" w:rsidR="00285BD6" w:rsidRDefault="00285BD6">
      <w:pPr>
        <w:rPr>
          <w:rFonts w:ascii="Times New Roman" w:hAnsi="Times New Roman" w:cs="Times New Roman"/>
          <w:noProof/>
          <w:sz w:val="24"/>
          <w:szCs w:val="24"/>
        </w:rPr>
      </w:pPr>
    </w:p>
    <w:p w14:paraId="77B696FB" w14:textId="5967FB22" w:rsidR="005B39A8" w:rsidRPr="00291253" w:rsidRDefault="00B41FFD">
      <w:pPr>
        <w:rPr>
          <w:rFonts w:ascii="Times New Roman" w:hAnsi="Times New Roman" w:cs="Times New Roman"/>
          <w:noProof/>
          <w:sz w:val="24"/>
          <w:szCs w:val="24"/>
        </w:rPr>
      </w:pPr>
      <w:r>
        <w:rPr>
          <w:rFonts w:ascii="Times New Roman" w:hAnsi="Times New Roman"/>
          <w:noProof/>
          <w:sz w:val="24"/>
        </w:rPr>
        <w:t>Διάγραμμα 2: Οι 16 κίνδυνοι βάσει των οποίων θα αναπτυχθούν τα σενάρια καταστροφών</w:t>
      </w:r>
    </w:p>
    <w:p w14:paraId="1D6A1B37" w14:textId="06E87D87" w:rsidR="00291253" w:rsidRDefault="00291253" w:rsidP="00E7578B">
      <w:pPr>
        <w:jc w:val="center"/>
        <w:rPr>
          <w:noProof/>
        </w:rPr>
      </w:pPr>
      <w:r>
        <w:rPr>
          <w:noProof/>
          <w:color w:val="2B579A"/>
          <w:shd w:val="clear" w:color="auto" w:fill="E6E6E6"/>
          <w:lang w:val="en-GB" w:eastAsia="en-GB"/>
        </w:rPr>
        <w:drawing>
          <wp:inline distT="0" distB="0" distL="0" distR="0" wp14:anchorId="0AA2E001" wp14:editId="33CDE181">
            <wp:extent cx="4645998" cy="2901766"/>
            <wp:effectExtent l="19050" t="0" r="2159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7D834BBE" w14:textId="77777777" w:rsidR="002908CF" w:rsidRDefault="002908CF" w:rsidP="00E7578B">
      <w:pPr>
        <w:jc w:val="center"/>
        <w:rPr>
          <w:noProof/>
        </w:rPr>
      </w:pPr>
    </w:p>
    <w:p w14:paraId="34903A98" w14:textId="77777777" w:rsidR="005B39A8" w:rsidRDefault="005B39A8" w:rsidP="00E7578B">
      <w:pPr>
        <w:spacing w:after="0" w:line="240" w:lineRule="auto"/>
        <w:jc w:val="center"/>
        <w:rPr>
          <w:rFonts w:ascii="Times New Roman" w:hAnsi="Times New Roman" w:cs="Times New Roman"/>
          <w:b/>
          <w:bCs/>
          <w:noProof/>
          <w:sz w:val="24"/>
          <w:szCs w:val="24"/>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58"/>
      </w:tblGrid>
      <w:tr w:rsidR="002908CF" w14:paraId="3A989624" w14:textId="77777777" w:rsidTr="00F81898">
        <w:trPr>
          <w:trHeight w:val="1205"/>
        </w:trPr>
        <w:tc>
          <w:tcPr>
            <w:tcW w:w="1384" w:type="dxa"/>
          </w:tcPr>
          <w:p w14:paraId="20D9F332" w14:textId="28E20DB7" w:rsidR="002908CF" w:rsidRDefault="002908CF" w:rsidP="008C33F2">
            <w:pPr>
              <w:jc w:val="both"/>
              <w:rPr>
                <w:rFonts w:ascii="Times New Roman" w:hAnsi="Times New Roman" w:cs="Times New Roman"/>
                <w:b/>
                <w:bCs/>
                <w:noProof/>
                <w:sz w:val="24"/>
                <w:szCs w:val="24"/>
              </w:rPr>
            </w:pPr>
            <w:r>
              <w:rPr>
                <w:rFonts w:ascii="Times New Roman" w:hAnsi="Times New Roman"/>
                <w:noProof/>
                <w:color w:val="2B579A"/>
                <w:sz w:val="24"/>
                <w:shd w:val="clear" w:color="auto" w:fill="E6E6E6"/>
                <w:lang w:val="en-GB" w:eastAsia="en-GB"/>
              </w:rPr>
              <w:drawing>
                <wp:anchor distT="0" distB="0" distL="114300" distR="114300" simplePos="0" relativeHeight="251658243" behindDoc="0" locked="0" layoutInCell="1" allowOverlap="1" wp14:anchorId="0334DCB5" wp14:editId="7C0F1886">
                  <wp:simplePos x="0" y="0"/>
                  <wp:positionH relativeFrom="column">
                    <wp:posOffset>1905</wp:posOffset>
                  </wp:positionH>
                  <wp:positionV relativeFrom="paragraph">
                    <wp:posOffset>19636</wp:posOffset>
                  </wp:positionV>
                  <wp:extent cx="680720" cy="680720"/>
                  <wp:effectExtent l="0" t="0" r="5080" b="5080"/>
                  <wp:wrapNone/>
                  <wp:docPr id="29" name="Graphic 6">
                    <a:extLst xmlns:a="http://schemas.openxmlformats.org/drawingml/2006/main">
                      <a:ext uri="{FF2B5EF4-FFF2-40B4-BE49-F238E27FC236}">
                        <a16:creationId xmlns:a16="http://schemas.microsoft.com/office/drawing/2014/main" id="{05CD4CC3-8F2B-5085-65E7-54893D0804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05CD4CC3-8F2B-5085-65E7-54893D080486}"/>
                              </a:ext>
                            </a:extLst>
                          </pic:cNvPr>
                          <pic:cNvPicPr>
                            <a:picLocks noChangeAspect="1"/>
                          </pic:cNvPicPr>
                        </pic:nvPicPr>
                        <pic:blipFill>
                          <a:blip r:embed="rId27"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8"/>
                              </a:ext>
                            </a:extLst>
                          </a:blip>
                          <a:srcRect/>
                          <a:stretch/>
                        </pic:blipFill>
                        <pic:spPr>
                          <a:xfrm>
                            <a:off x="0" y="0"/>
                            <a:ext cx="680720" cy="680720"/>
                          </a:xfrm>
                          <a:prstGeom prst="rect">
                            <a:avLst/>
                          </a:prstGeom>
                        </pic:spPr>
                      </pic:pic>
                    </a:graphicData>
                  </a:graphic>
                </wp:anchor>
              </w:drawing>
            </w:r>
          </w:p>
        </w:tc>
        <w:tc>
          <w:tcPr>
            <w:tcW w:w="7858" w:type="dxa"/>
            <w:vAlign w:val="center"/>
          </w:tcPr>
          <w:p w14:paraId="46C5B417" w14:textId="77777777" w:rsidR="002908CF" w:rsidRPr="008D157D" w:rsidRDefault="002908CF" w:rsidP="00F81898">
            <w:pPr>
              <w:rPr>
                <w:rFonts w:ascii="Times New Roman" w:hAnsi="Times New Roman" w:cs="Times New Roman"/>
                <w:b/>
                <w:bCs/>
                <w:noProof/>
                <w:sz w:val="24"/>
                <w:szCs w:val="24"/>
              </w:rPr>
            </w:pPr>
            <w:r>
              <w:rPr>
                <w:rFonts w:ascii="Times New Roman" w:hAnsi="Times New Roman"/>
                <w:b/>
                <w:noProof/>
                <w:sz w:val="24"/>
              </w:rPr>
              <w:t xml:space="preserve">Στόχος 2: </w:t>
            </w:r>
            <w:r>
              <w:rPr>
                <w:rFonts w:ascii="Times New Roman" w:hAnsi="Times New Roman"/>
                <w:b/>
                <w:i/>
                <w:noProof/>
                <w:sz w:val="24"/>
              </w:rPr>
              <w:t>Προετοιμασία</w:t>
            </w:r>
            <w:r>
              <w:rPr>
                <w:rFonts w:ascii="Times New Roman" w:hAnsi="Times New Roman"/>
                <w:b/>
                <w:noProof/>
                <w:sz w:val="24"/>
              </w:rPr>
              <w:t xml:space="preserve"> — Αύξηση της ευαισθητοποίησης του πληθυσμού σχετικά με τους κινδύνους και ενίσχυση της ετοιμότητάς του</w:t>
            </w:r>
          </w:p>
          <w:p w14:paraId="71A3F91C" w14:textId="77777777" w:rsidR="002908CF" w:rsidRPr="002908CF" w:rsidRDefault="002908CF" w:rsidP="00F81898">
            <w:pPr>
              <w:rPr>
                <w:rFonts w:ascii="Times New Roman" w:hAnsi="Times New Roman" w:cs="Times New Roman"/>
                <w:b/>
                <w:bCs/>
                <w:noProof/>
                <w:sz w:val="24"/>
                <w:szCs w:val="24"/>
              </w:rPr>
            </w:pPr>
          </w:p>
        </w:tc>
      </w:tr>
    </w:tbl>
    <w:p w14:paraId="43782057" w14:textId="0B81A520" w:rsidR="005B39A8" w:rsidRPr="00B31C80" w:rsidRDefault="005B39A8" w:rsidP="005B39A8">
      <w:pPr>
        <w:pStyle w:val="Tiret0"/>
        <w:numPr>
          <w:ilvl w:val="0"/>
          <w:numId w:val="0"/>
        </w:numPr>
        <w:rPr>
          <w:noProof/>
          <w:szCs w:val="24"/>
        </w:rPr>
      </w:pPr>
      <w:r>
        <w:rPr>
          <w:noProof/>
        </w:rPr>
        <w:t>Σε περίπτωση καταστροφής, οι άνθρωποι στην πληγείσα περιοχή θα πρέπει να ξέρουν πώς να αντιδράσουν για να προστατεύσουν τη ζωή και τα περιουσιακά στοιχεία τους, καθώς και τη ζωή και τα περιουσιακά στοιχεία των άλλων μελών της κοινότητας. Δεδομένου ότι αρχικά η αντιμετώπιση των καταστροφών πραγματοποιείται πάντα σε τοπικό επίπεδο, όλα τα τμήματα του πληθυσμού πρέπει να διαθέτουν επαρκή γνώση του τρόπου πρόληψης και αντιμετώπισης των καταστροφών και της ετοιμότητας έναντι αυτών.</w:t>
      </w:r>
    </w:p>
    <w:p w14:paraId="727D92A7" w14:textId="09FB823B" w:rsidR="005B39A8" w:rsidRPr="00B31C80" w:rsidRDefault="5EEA2D26" w:rsidP="005B39A8">
      <w:pPr>
        <w:pStyle w:val="Tiret0"/>
        <w:numPr>
          <w:ilvl w:val="0"/>
          <w:numId w:val="0"/>
        </w:numPr>
        <w:rPr>
          <w:noProof/>
        </w:rPr>
      </w:pPr>
      <w:r>
        <w:rPr>
          <w:noProof/>
        </w:rPr>
        <w:t>Επί του παρόντος, παρότι οι κίνδυνοι καταστροφών και οι επιπτώσεις τους μπορεί να είναι υψηλοί, περίπου το 60 % του πληθυσμού της ΕΕ γνωρίζει τους κινδύνους στην περιοχή του, ενώ παρατηρούνται μεγάλες διαφορές μεταξύ των κρατών μελών</w:t>
      </w:r>
      <w:r>
        <w:rPr>
          <w:rStyle w:val="FootnoteReference"/>
          <w:noProof/>
        </w:rPr>
        <w:footnoteReference w:id="20"/>
      </w:r>
      <w:r>
        <w:rPr>
          <w:noProof/>
        </w:rPr>
        <w:t>. Όλα τα μέλη μιας κοινότητας, συμπεριλαμβανομένων των ατόμων με συγκεκριμένες ευπάθειες, θα πρέπει να συμμετέχουν ενεργά σε προσπάθειες ετοιμότητας και πρόληψης, βοηθώντας τις αρχές να χαρτογραφήσουν τους κινδύνους και να συμπληρώσουν τις επιστημονικές γνώσεις με την καθημερινή εμπειρία τους στις περιοχές στις οποίες ζουν. Η διασφάλιση ότι κανείς δεν θα μείνει στο περιθώριο όσον αφορά την προώθηση της ευαισθητοποίησης σχετικά με τους κινδύνους και των μέτρων πρόληψης καταστροφών είναι καίριας σημασίας για να καταστούν όλοι οι πολίτες ενεργοί παράγοντες σε μια ανθεκτική κοινωνία.</w:t>
      </w:r>
    </w:p>
    <w:p w14:paraId="567003D5" w14:textId="23154D9C" w:rsidR="005B39A8" w:rsidRPr="00B31C80" w:rsidRDefault="1AEEC078" w:rsidP="005B39A8">
      <w:pPr>
        <w:pStyle w:val="Tiret0"/>
        <w:numPr>
          <w:ilvl w:val="0"/>
          <w:numId w:val="0"/>
        </w:numPr>
        <w:rPr>
          <w:noProof/>
          <w:szCs w:val="24"/>
        </w:rPr>
      </w:pPr>
      <w:r>
        <w:rPr>
          <w:noProof/>
        </w:rPr>
        <w:t xml:space="preserve">Για να προετοιμαστούν και να ευαισθητοποιηθούν σχετικά με τους κινδύνους οι πολίτες της ΕΕ, η Επιτροπή θα στηρίξει τα κράτη μέλη στην ενίσχυση του </w:t>
      </w:r>
      <w:r>
        <w:rPr>
          <w:b/>
          <w:noProof/>
        </w:rPr>
        <w:t>συνολικού επιπέδου ευαισθητοποίησης σχετικά με τους κινδύνους</w:t>
      </w:r>
      <w:r>
        <w:rPr>
          <w:noProof/>
        </w:rPr>
        <w:t xml:space="preserve">, στη βελτίωση της </w:t>
      </w:r>
      <w:r>
        <w:rPr>
          <w:b/>
          <w:noProof/>
        </w:rPr>
        <w:t>πρόσβασης του κοινού σε πληροφορίες σχετικά με τον κίνδυνο καταστροφών σε προσβάσιμο μορφότυπο</w:t>
      </w:r>
      <w:r>
        <w:rPr>
          <w:rStyle w:val="FootnoteReference"/>
          <w:noProof/>
        </w:rPr>
        <w:footnoteReference w:id="21"/>
      </w:r>
      <w:r>
        <w:rPr>
          <w:noProof/>
        </w:rPr>
        <w:t xml:space="preserve">, στην αύξηση της </w:t>
      </w:r>
      <w:r>
        <w:rPr>
          <w:b/>
          <w:noProof/>
        </w:rPr>
        <w:t>θέσπισης μέτρων πρόληψης κινδύνων και ετοιμότητας</w:t>
      </w:r>
      <w:r>
        <w:rPr>
          <w:noProof/>
        </w:rPr>
        <w:t xml:space="preserve">, καθώς και στην ενίσχυση της </w:t>
      </w:r>
      <w:r>
        <w:rPr>
          <w:b/>
          <w:noProof/>
        </w:rPr>
        <w:t>νοοτροπίας του πληθυσμού της ΕΕ όσον αφορά την πρόληψη των κινδύνων</w:t>
      </w:r>
      <w:r>
        <w:rPr>
          <w:noProof/>
        </w:rPr>
        <w:t xml:space="preserve">. </w:t>
      </w:r>
    </w:p>
    <w:p w14:paraId="0EE09344" w14:textId="7E0134B3" w:rsidR="00C12C97" w:rsidRDefault="0070061E" w:rsidP="005B39A8">
      <w:pPr>
        <w:pStyle w:val="Tiret0"/>
        <w:numPr>
          <w:ilvl w:val="0"/>
          <w:numId w:val="0"/>
        </w:numPr>
        <w:rPr>
          <w:noProof/>
        </w:rPr>
      </w:pPr>
      <w:r>
        <w:rPr>
          <w:noProof/>
        </w:rPr>
        <w:t xml:space="preserve"> </w:t>
      </w:r>
      <w:r>
        <w:rPr>
          <w:noProof/>
        </w:rPr>
        <w:br/>
      </w:r>
    </w:p>
    <w:p w14:paraId="6DCE55DB" w14:textId="1BD43B98" w:rsidR="005B39A8" w:rsidRPr="008D157D" w:rsidRDefault="005B39A8" w:rsidP="233B19A1">
      <w:pPr>
        <w:pStyle w:val="Tiret0"/>
        <w:numPr>
          <w:ilvl w:val="0"/>
          <w:numId w:val="0"/>
        </w:numPr>
        <w:pBdr>
          <w:top w:val="single" w:sz="4" w:space="1" w:color="auto"/>
          <w:left w:val="single" w:sz="4" w:space="1" w:color="auto"/>
          <w:bottom w:val="single" w:sz="4" w:space="1" w:color="auto"/>
          <w:right w:val="single" w:sz="4" w:space="1" w:color="auto"/>
        </w:pBdr>
        <w:rPr>
          <w:b/>
          <w:bCs/>
          <w:noProof/>
        </w:rPr>
      </w:pPr>
      <w:r>
        <w:rPr>
          <w:b/>
          <w:noProof/>
        </w:rPr>
        <w:t>Εμβληματική δράση: «preparEU», ένα πανευρωπαϊκό πρόγραμμα ευαισθητοποίησης για την ανθεκτικότητα στις καταστροφές</w:t>
      </w:r>
    </w:p>
    <w:p w14:paraId="2A717789" w14:textId="4314E6DD" w:rsidR="005732D6" w:rsidRDefault="1AEEC078" w:rsidP="005B39A8">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noProof/>
          <w:sz w:val="24"/>
          <w:szCs w:val="24"/>
        </w:rPr>
      </w:pPr>
      <w:r>
        <w:rPr>
          <w:rFonts w:ascii="Times New Roman" w:hAnsi="Times New Roman"/>
          <w:noProof/>
          <w:sz w:val="24"/>
        </w:rPr>
        <w:t>Η γνώση των βασικών κινδύνων και των δράσεων που πρέπει να αναληφθούν κατά τη διάρκεια καταστροφών οι οποίες ενδέχεται να προκύψουν σε περιοχές στις οποίες ζουν ή ταξιδεύουν οι άνθρωποι, μπορεί να συμβάλει στη διάσωση ανθρώπινων ζωών. Τα κράτη μέλη, με την υποστήριξη της Επιτροπής, θα πρέπει να ξεκινήσουν μια προσπάθεια επικοινωνίας με το κοινό για την ευαισθητοποίηση σχετικά με την πρόληψη καταστροφών και την ετοιμότητα στην καθημερινή ζωή των πολιτών της ΕΕ, προωθώντας τη συμμετοχή των πολιτών στα κοινά και τις εθελοντικές πρωτοβουλίες για την πρόληψη καταστροφών και την ετοιμότητα, όπως ενθαρρύνει το Ευρωπαϊκό Κοινοβούλιο</w:t>
      </w:r>
      <w:r>
        <w:rPr>
          <w:rStyle w:val="FootnoteReference"/>
          <w:rFonts w:ascii="Times New Roman" w:hAnsi="Times New Roman" w:cs="Times New Roman"/>
          <w:noProof/>
          <w:sz w:val="24"/>
          <w:szCs w:val="24"/>
        </w:rPr>
        <w:footnoteReference w:id="22"/>
      </w:r>
      <w:r>
        <w:rPr>
          <w:noProof/>
        </w:rPr>
        <w:t>.</w:t>
      </w:r>
    </w:p>
    <w:p w14:paraId="1FC0AE91" w14:textId="0AE8713D" w:rsidR="005B39A8" w:rsidRPr="008D157D" w:rsidRDefault="1AEEC078" w:rsidP="005B39A8">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14:paraId="3DF5BBD4" w14:textId="5DF8DFFA" w:rsidR="005B39A8" w:rsidRPr="008D157D" w:rsidRDefault="003D1EAC" w:rsidP="005B39A8">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noProof/>
          <w:sz w:val="24"/>
          <w:szCs w:val="24"/>
        </w:rPr>
      </w:pPr>
      <w:r>
        <w:rPr>
          <w:rFonts w:ascii="Times New Roman" w:hAnsi="Times New Roman"/>
          <w:noProof/>
          <w:sz w:val="24"/>
        </w:rPr>
        <w:t>Τα εργαλεία που θα αναπτυχθούν θα μπορούσαν να περιλαμβάνουν:</w:t>
      </w:r>
    </w:p>
    <w:p w14:paraId="173394FA" w14:textId="2818132B" w:rsidR="005B39A8" w:rsidRPr="008D157D" w:rsidRDefault="005B39A8" w:rsidP="005B39A8">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noProof/>
          <w:sz w:val="24"/>
          <w:szCs w:val="24"/>
        </w:rPr>
      </w:pPr>
      <w:r>
        <w:rPr>
          <w:rFonts w:ascii="Times New Roman" w:hAnsi="Times New Roman"/>
          <w:noProof/>
          <w:sz w:val="24"/>
        </w:rPr>
        <w:t xml:space="preserve">— </w:t>
      </w:r>
      <w:r>
        <w:rPr>
          <w:rFonts w:ascii="Times New Roman" w:hAnsi="Times New Roman"/>
          <w:b/>
          <w:noProof/>
          <w:sz w:val="24"/>
        </w:rPr>
        <w:t>«εικονίδια» κινδύνου καταστροφών και οπτικά στοιχεία</w:t>
      </w:r>
      <w:r>
        <w:rPr>
          <w:rFonts w:ascii="Times New Roman" w:hAnsi="Times New Roman"/>
          <w:noProof/>
          <w:sz w:val="24"/>
        </w:rPr>
        <w:t xml:space="preserve"> για σχολεία, δημόσιους χώρους (συμπεριλαμβανομένων των συγκοινωνιακών κόμβων) και τουριστικά θέρετρα που προωθούν ασφαλείς και ανθεκτικές συμπεριφορές και είναι εύκολα κατανοητά σε όλα τα κράτη μέλη, τις γλώσσες, τους πολιτισμούς και από τα άτομα με αναπηρία·</w:t>
      </w:r>
    </w:p>
    <w:p w14:paraId="30E6EFF2" w14:textId="061925C7" w:rsidR="005B39A8" w:rsidRPr="008D157D" w:rsidRDefault="1AEEC078" w:rsidP="005B39A8">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noProof/>
          <w:sz w:val="24"/>
          <w:szCs w:val="24"/>
        </w:rPr>
      </w:pPr>
      <w:r>
        <w:rPr>
          <w:rFonts w:ascii="Times New Roman" w:hAnsi="Times New Roman"/>
          <w:noProof/>
          <w:sz w:val="24"/>
        </w:rPr>
        <w:t xml:space="preserve">— ο </w:t>
      </w:r>
      <w:r>
        <w:rPr>
          <w:rFonts w:ascii="Times New Roman" w:hAnsi="Times New Roman"/>
          <w:b/>
          <w:noProof/>
          <w:sz w:val="24"/>
        </w:rPr>
        <w:t>«Ευρωπαϊκός Άτλας Κινδύνων»</w:t>
      </w:r>
      <w:r>
        <w:rPr>
          <w:rFonts w:ascii="Times New Roman" w:hAnsi="Times New Roman"/>
          <w:noProof/>
          <w:sz w:val="24"/>
        </w:rPr>
        <w:t xml:space="preserve"> για να ευαισθητοποιηθούν οι πολίτες της ΕΕ σχετικά με τους βασικούς κινδύνους που διατρέχουν, με βάση αξιόπιστα επιστημονικά στοιχεία</w:t>
      </w:r>
      <w:r>
        <w:rPr>
          <w:rStyle w:val="FootnoteReference"/>
          <w:rFonts w:ascii="Times New Roman" w:hAnsi="Times New Roman" w:cs="Times New Roman"/>
          <w:noProof/>
          <w:sz w:val="24"/>
          <w:szCs w:val="24"/>
        </w:rPr>
        <w:footnoteReference w:id="23"/>
      </w:r>
      <w:r>
        <w:rPr>
          <w:rFonts w:ascii="Times New Roman" w:hAnsi="Times New Roman"/>
          <w:noProof/>
          <w:sz w:val="24"/>
        </w:rPr>
        <w:t>, την εξάλειψη των ψευδών ειδήσεων και της παραπληροφόρησης·</w:t>
      </w:r>
    </w:p>
    <w:p w14:paraId="268FE870" w14:textId="24DA2A2F" w:rsidR="005B39A8" w:rsidRPr="008D157D" w:rsidRDefault="005B39A8" w:rsidP="005B39A8">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noProof/>
          <w:sz w:val="24"/>
          <w:szCs w:val="24"/>
        </w:rPr>
      </w:pPr>
      <w:r>
        <w:rPr>
          <w:rFonts w:ascii="Times New Roman" w:hAnsi="Times New Roman"/>
          <w:noProof/>
          <w:sz w:val="24"/>
        </w:rPr>
        <w:t xml:space="preserve">— ο </w:t>
      </w:r>
      <w:r>
        <w:rPr>
          <w:rFonts w:ascii="Times New Roman" w:hAnsi="Times New Roman"/>
          <w:b/>
          <w:noProof/>
          <w:sz w:val="24"/>
        </w:rPr>
        <w:t>«μήνας ετοιμότητας σε περιπτώσεις καταστροφής»</w:t>
      </w:r>
      <w:r>
        <w:rPr>
          <w:rFonts w:ascii="Times New Roman" w:hAnsi="Times New Roman"/>
          <w:noProof/>
          <w:sz w:val="24"/>
        </w:rPr>
        <w:t>, κατά τη διάρκεια του οποίου οι δραστηριότητες σε επίπεδο Ένωσης συνδέονται με παρόμοιες πρωτοβουλίες των κρατών μελών για την ευαισθητοποίηση των πολιτών όσον αφορά την ανθεκτικότητα σε επίπεδο νοικοκυριού και στις καθημερινές αποφάσεις, προωθώντας τη συμπεριφορά με επίγνωση των κινδύνων, τους καταλόγους ελέγχου και τις ασκήσεις ετοιμότητας σε περιπτώσεις καταστροφής.</w:t>
      </w:r>
    </w:p>
    <w:p w14:paraId="79D4DC23" w14:textId="77777777" w:rsidR="005B39A8" w:rsidRPr="008D157D" w:rsidRDefault="005B39A8" w:rsidP="005B39A8">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noProof/>
          <w:sz w:val="24"/>
          <w:szCs w:val="24"/>
        </w:rPr>
      </w:pPr>
    </w:p>
    <w:p w14:paraId="760E278B" w14:textId="4229296C" w:rsidR="005B39A8" w:rsidRPr="008D157D" w:rsidRDefault="005B39A8" w:rsidP="005B39A8">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noProof/>
          <w:sz w:val="24"/>
          <w:szCs w:val="24"/>
        </w:rPr>
      </w:pPr>
      <w:r>
        <w:rPr>
          <w:rFonts w:ascii="Times New Roman" w:hAnsi="Times New Roman"/>
          <w:noProof/>
          <w:sz w:val="24"/>
        </w:rPr>
        <w:t>Η Επιτροπή και τα κράτη μέλη θα πρέπει να αξιοποιήσουν τις δυνατότητες της τεχνητής νοημοσύνης, των νέων τεχνολογιών, των φιλικών προς τον χρήστη εφαρμογών και της επαυξημένης πραγματικότητας για την υποστήριξη της ευαισθητοποίησης, της ετοιμότητας και της κατάρτισης.</w:t>
      </w:r>
    </w:p>
    <w:p w14:paraId="180FF104" w14:textId="77777777" w:rsidR="005B39A8" w:rsidRPr="00783EC8" w:rsidRDefault="005B39A8" w:rsidP="005B39A8">
      <w:pPr>
        <w:pStyle w:val="ListParagraph"/>
        <w:spacing w:after="0" w:line="240" w:lineRule="auto"/>
        <w:jc w:val="both"/>
        <w:rPr>
          <w:rFonts w:ascii="Times New Roman" w:hAnsi="Times New Roman" w:cs="Times New Roman"/>
          <w:b/>
          <w:bCs/>
          <w:noProof/>
          <w:sz w:val="24"/>
          <w:szCs w:val="24"/>
        </w:rPr>
      </w:pPr>
      <w:r>
        <w:rPr>
          <w:rFonts w:ascii="Times New Roman" w:hAnsi="Times New Roman"/>
          <w:noProof/>
          <w:sz w:val="24"/>
        </w:rPr>
        <w:t xml:space="preserve"> </w:t>
      </w:r>
    </w:p>
    <w:p w14:paraId="7D330518" w14:textId="7F58B539" w:rsidR="008D157D" w:rsidRPr="00285BD6" w:rsidRDefault="008D157D" w:rsidP="005B39A8">
      <w:pPr>
        <w:spacing w:after="0" w:line="240" w:lineRule="auto"/>
        <w:jc w:val="both"/>
        <w:rPr>
          <w:rFonts w:ascii="Times New Roman" w:hAnsi="Times New Roman" w:cs="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908CF" w14:paraId="091AF863" w14:textId="77777777" w:rsidTr="00F81898">
        <w:trPr>
          <w:trHeight w:val="1205"/>
        </w:trPr>
        <w:tc>
          <w:tcPr>
            <w:tcW w:w="1242" w:type="dxa"/>
          </w:tcPr>
          <w:p w14:paraId="7A640FEC" w14:textId="70D21356" w:rsidR="002908CF" w:rsidRDefault="002908CF" w:rsidP="008C33F2">
            <w:pPr>
              <w:jc w:val="both"/>
              <w:rPr>
                <w:rFonts w:ascii="Times New Roman" w:hAnsi="Times New Roman" w:cs="Times New Roman"/>
                <w:b/>
                <w:bCs/>
                <w:noProof/>
                <w:sz w:val="24"/>
                <w:szCs w:val="24"/>
              </w:rPr>
            </w:pPr>
            <w:r>
              <w:rPr>
                <w:rFonts w:ascii="Times New Roman" w:hAnsi="Times New Roman"/>
                <w:noProof/>
                <w:color w:val="2B579A"/>
                <w:sz w:val="24"/>
                <w:shd w:val="clear" w:color="auto" w:fill="E6E6E6"/>
                <w:lang w:val="en-GB" w:eastAsia="en-GB"/>
              </w:rPr>
              <w:drawing>
                <wp:anchor distT="0" distB="0" distL="114300" distR="114300" simplePos="0" relativeHeight="251658244" behindDoc="0" locked="0" layoutInCell="1" allowOverlap="1" wp14:anchorId="463CACD9" wp14:editId="05416122">
                  <wp:simplePos x="0" y="0"/>
                  <wp:positionH relativeFrom="column">
                    <wp:posOffset>1270</wp:posOffset>
                  </wp:positionH>
                  <wp:positionV relativeFrom="paragraph">
                    <wp:posOffset>-22107</wp:posOffset>
                  </wp:positionV>
                  <wp:extent cx="657860" cy="657860"/>
                  <wp:effectExtent l="0" t="0" r="0" b="8890"/>
                  <wp:wrapNone/>
                  <wp:docPr id="31" name="Picture 9">
                    <a:extLst xmlns:a="http://schemas.openxmlformats.org/drawingml/2006/main">
                      <a:ext uri="{FF2B5EF4-FFF2-40B4-BE49-F238E27FC236}">
                        <a16:creationId xmlns:a16="http://schemas.microsoft.com/office/drawing/2014/main" id="{91292AA1-65A4-3F0D-A6AC-E86E55E56F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1292AA1-65A4-3F0D-A6AC-E86E55E56FA4}"/>
                              </a:ext>
                            </a:extLst>
                          </pic:cNvP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2"/>
                              </a:ext>
                            </a:extLst>
                          </a:blip>
                          <a:srcRect/>
                          <a:stretch/>
                        </pic:blipFill>
                        <pic:spPr>
                          <a:xfrm>
                            <a:off x="0" y="0"/>
                            <a:ext cx="657860" cy="657860"/>
                          </a:xfrm>
                          <a:prstGeom prst="rect">
                            <a:avLst/>
                          </a:prstGeom>
                        </pic:spPr>
                      </pic:pic>
                    </a:graphicData>
                  </a:graphic>
                </wp:anchor>
              </w:drawing>
            </w:r>
          </w:p>
        </w:tc>
        <w:tc>
          <w:tcPr>
            <w:tcW w:w="8000" w:type="dxa"/>
            <w:vAlign w:val="center"/>
          </w:tcPr>
          <w:p w14:paraId="6D05B252" w14:textId="77777777" w:rsidR="002908CF" w:rsidRPr="00285BD6" w:rsidRDefault="002908CF" w:rsidP="00F81898">
            <w:pPr>
              <w:rPr>
                <w:rFonts w:ascii="Times New Roman" w:hAnsi="Times New Roman" w:cs="Times New Roman"/>
                <w:b/>
                <w:bCs/>
                <w:noProof/>
                <w:sz w:val="24"/>
                <w:szCs w:val="24"/>
              </w:rPr>
            </w:pPr>
          </w:p>
          <w:p w14:paraId="73007FD3" w14:textId="461349DE" w:rsidR="002908CF" w:rsidRPr="008D157D" w:rsidRDefault="002908CF" w:rsidP="00F81898">
            <w:pPr>
              <w:rPr>
                <w:rFonts w:ascii="Times New Roman" w:hAnsi="Times New Roman" w:cs="Times New Roman"/>
                <w:b/>
                <w:bCs/>
                <w:noProof/>
                <w:sz w:val="24"/>
                <w:szCs w:val="24"/>
              </w:rPr>
            </w:pPr>
            <w:r>
              <w:rPr>
                <w:rFonts w:ascii="Times New Roman" w:hAnsi="Times New Roman"/>
                <w:b/>
                <w:noProof/>
                <w:sz w:val="24"/>
              </w:rPr>
              <w:t xml:space="preserve">Στόχος 3: </w:t>
            </w:r>
            <w:r>
              <w:rPr>
                <w:rFonts w:ascii="Times New Roman" w:hAnsi="Times New Roman"/>
                <w:b/>
                <w:i/>
                <w:noProof/>
                <w:sz w:val="24"/>
              </w:rPr>
              <w:t>Προειδοποίηση</w:t>
            </w:r>
            <w:r>
              <w:rPr>
                <w:rFonts w:ascii="Times New Roman" w:hAnsi="Times New Roman"/>
                <w:b/>
                <w:noProof/>
                <w:sz w:val="24"/>
              </w:rPr>
              <w:t xml:space="preserve"> — Ενίσχυση της έγκαιρης προειδοποίησης</w:t>
            </w:r>
          </w:p>
          <w:p w14:paraId="524A57E6" w14:textId="77777777" w:rsidR="002908CF" w:rsidRPr="002908CF" w:rsidRDefault="002908CF" w:rsidP="00F81898">
            <w:pPr>
              <w:rPr>
                <w:rFonts w:ascii="Times New Roman" w:hAnsi="Times New Roman" w:cs="Times New Roman"/>
                <w:b/>
                <w:bCs/>
                <w:noProof/>
                <w:sz w:val="24"/>
                <w:szCs w:val="24"/>
              </w:rPr>
            </w:pPr>
          </w:p>
        </w:tc>
      </w:tr>
    </w:tbl>
    <w:p w14:paraId="61D244B7" w14:textId="7E756631" w:rsidR="005B39A8" w:rsidRPr="008D157D" w:rsidRDefault="005B39A8" w:rsidP="005B39A8">
      <w:pPr>
        <w:autoSpaceDE w:val="0"/>
        <w:autoSpaceDN w:val="0"/>
        <w:adjustRightInd w:val="0"/>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Οι πρόσφατες καταστροφές κατέδειξαν ότι η έγκαιρη προειδοποίηση των τοπικών πληθυσμών εξακολουθεί να αποτελεί πρόκληση. Η θέσπιση αποτελεσματικής θεσμικής διάρθρωσης που διασφαλίζει την έγκαιρη διαβίβαση προειδοποιητικών μηνυμάτων σε εθνικό, περιφερειακό και τοπικό επίπεδο έχει ζωτική σημασία. Η Επιτροπή προτίθεται να στηρίξει τα κράτη μέλη ώστε να εντοπίσουν και να αντιμετωπίσουν τα κενά στα οικεία εθνικά συστήματα έγκαιρης προειδοποίησης. Η ταχεία μετάβαση προς τη λεγόμενη «πρόβλεψη βάσει αντικτύπου», ένα είδος μηνυμάτων πρόγνωσης του καιρού που δείχνουν ήδη τις πιθανές επιπτώσεις ενός σοβαρού καιρικού συμβάντος, θα βοηθήσει επίσης όσους διατρέχουν κίνδυνο να αναλάβουν δράση ταχύτερα. </w:t>
      </w:r>
    </w:p>
    <w:p w14:paraId="5AA3143E" w14:textId="77777777" w:rsidR="005B39A8" w:rsidRPr="008D157D" w:rsidRDefault="005B39A8" w:rsidP="005B39A8">
      <w:pPr>
        <w:autoSpaceDE w:val="0"/>
        <w:autoSpaceDN w:val="0"/>
        <w:adjustRightInd w:val="0"/>
        <w:spacing w:after="0" w:line="240" w:lineRule="auto"/>
        <w:jc w:val="both"/>
        <w:rPr>
          <w:rFonts w:ascii="Times New Roman" w:hAnsi="Times New Roman" w:cs="Times New Roman"/>
          <w:noProof/>
          <w:color w:val="000000" w:themeColor="text1"/>
          <w:sz w:val="24"/>
          <w:szCs w:val="24"/>
        </w:rPr>
      </w:pPr>
    </w:p>
    <w:p w14:paraId="781F83BC" w14:textId="08E4B021" w:rsidR="000F6BF3" w:rsidRPr="008D157D" w:rsidRDefault="5192F9DE" w:rsidP="005B39A8">
      <w:pPr>
        <w:autoSpaceDE w:val="0"/>
        <w:autoSpaceDN w:val="0"/>
        <w:adjustRightInd w:val="0"/>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Κατά τη σύνταξη προειδοποιητικών μηνυμάτων, τα κράτη μέλη θα πρέπει να λαμβάνουν υπόψη τις ειδικές ανάγκες των ατόμων που βρίσκονται σε ευάλωτη κατάσταση, των ατόμων με αναπηρία και των παιδιών. Τα προειδοποιητικά μηνύματα θα πρέπει να είναι προσβάσιμα, σαφή και εφαρμόσιμα και, στο μέτρο του δυνατού, θα πρέπει να παρέχονται σε διάφορες γλώσσες ώστε να διασφαλίζεται ότι απευθύνονται σε όλα τα τμήματα του πληθυσμού, συμπεριλαμβανομένων των τουριστών, των εποχικών κατοίκων και των μεταναστών. Τέλος, οι πολύπλοκες διασυνοριακές καταστροφές αναδεικνύουν την ανάγκη ενός συστήματος έγκαιρης προειδοποίησης ευρέος φάσματος σε επίπεδο Ένωσης. Η Επιτροπή προτίθεται να διερευνήσει από κοινού με τα κράτη μέλη τον τρόπο με τον οποίο τα εθνικά μηνύματα έγκαιρης προειδοποίησης θα μπορούσαν να καταστούν πιο προσβάσιμα σε όλους τους πολίτες της Ένωσης, συμπεριλαμβανομένων των ταξιδιωτών, των τουριστών και των κοινοτήτων σε διασυνοριακές περιοχές, σε ολόκληρη την επικράτεια της Ένωσης. </w:t>
      </w:r>
    </w:p>
    <w:p w14:paraId="3D4C80B7" w14:textId="2D306007" w:rsidR="005B39A8" w:rsidRPr="008D157D" w:rsidRDefault="005B39A8" w:rsidP="005B39A8">
      <w:pPr>
        <w:autoSpaceDE w:val="0"/>
        <w:autoSpaceDN w:val="0"/>
        <w:adjustRightInd w:val="0"/>
        <w:spacing w:after="0" w:line="240" w:lineRule="auto"/>
        <w:jc w:val="both"/>
        <w:rPr>
          <w:rFonts w:ascii="Times New Roman" w:hAnsi="Times New Roman" w:cs="Times New Roman"/>
          <w:noProof/>
          <w:color w:val="000000" w:themeColor="text1"/>
          <w:sz w:val="24"/>
          <w:szCs w:val="24"/>
        </w:rPr>
      </w:pPr>
    </w:p>
    <w:p w14:paraId="3AF2BF6D" w14:textId="3CA0CE62" w:rsidR="005B39A8" w:rsidRDefault="005B39A8" w:rsidP="005B39A8">
      <w:pPr>
        <w:autoSpaceDE w:val="0"/>
        <w:autoSpaceDN w:val="0"/>
        <w:adjustRightInd w:val="0"/>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Για την ενίσχυση των συστημάτων έγκαιρης προειδοποίησης στην ΕΕ, η Επιτροπή προτίθεται να βελτιώσει την ικανότητα </w:t>
      </w:r>
      <w:r>
        <w:rPr>
          <w:rFonts w:ascii="Times New Roman" w:hAnsi="Times New Roman"/>
          <w:b/>
          <w:noProof/>
          <w:color w:val="000000" w:themeColor="text1"/>
          <w:sz w:val="24"/>
        </w:rPr>
        <w:t>πρόβλεψης</w:t>
      </w:r>
      <w:r>
        <w:rPr>
          <w:rFonts w:ascii="Times New Roman" w:hAnsi="Times New Roman"/>
          <w:noProof/>
          <w:color w:val="000000" w:themeColor="text1"/>
          <w:sz w:val="24"/>
        </w:rPr>
        <w:t xml:space="preserve">, </w:t>
      </w:r>
      <w:r>
        <w:rPr>
          <w:rFonts w:ascii="Times New Roman" w:hAnsi="Times New Roman"/>
          <w:b/>
          <w:noProof/>
          <w:color w:val="000000" w:themeColor="text1"/>
          <w:sz w:val="24"/>
        </w:rPr>
        <w:t>ανίχνευσης</w:t>
      </w:r>
      <w:r>
        <w:rPr>
          <w:rFonts w:ascii="Times New Roman" w:hAnsi="Times New Roman"/>
          <w:noProof/>
          <w:color w:val="000000" w:themeColor="text1"/>
          <w:sz w:val="24"/>
        </w:rPr>
        <w:t xml:space="preserve"> και </w:t>
      </w:r>
      <w:r>
        <w:rPr>
          <w:rFonts w:ascii="Times New Roman" w:hAnsi="Times New Roman"/>
          <w:b/>
          <w:noProof/>
          <w:color w:val="000000" w:themeColor="text1"/>
          <w:sz w:val="24"/>
        </w:rPr>
        <w:t>παρακολούθησης</w:t>
      </w:r>
      <w:r>
        <w:rPr>
          <w:rFonts w:ascii="Times New Roman" w:hAnsi="Times New Roman"/>
          <w:noProof/>
          <w:color w:val="000000" w:themeColor="text1"/>
          <w:sz w:val="24"/>
        </w:rPr>
        <w:t xml:space="preserve"> και να ενισχύσει τα συστήματα </w:t>
      </w:r>
      <w:r>
        <w:rPr>
          <w:rFonts w:ascii="Times New Roman" w:hAnsi="Times New Roman"/>
          <w:b/>
          <w:noProof/>
          <w:color w:val="000000" w:themeColor="text1"/>
          <w:sz w:val="24"/>
        </w:rPr>
        <w:t>προειδοποίησης του κοινού</w:t>
      </w:r>
      <w:r>
        <w:rPr>
          <w:rFonts w:ascii="Times New Roman" w:hAnsi="Times New Roman"/>
          <w:noProof/>
          <w:color w:val="000000" w:themeColor="text1"/>
          <w:sz w:val="24"/>
        </w:rPr>
        <w:t>.</w:t>
      </w:r>
    </w:p>
    <w:p w14:paraId="001A4CF0" w14:textId="77777777" w:rsidR="005732D6" w:rsidRPr="008D157D" w:rsidRDefault="005732D6" w:rsidP="005B39A8">
      <w:pPr>
        <w:autoSpaceDE w:val="0"/>
        <w:autoSpaceDN w:val="0"/>
        <w:adjustRightInd w:val="0"/>
        <w:spacing w:after="0" w:line="240" w:lineRule="auto"/>
        <w:jc w:val="both"/>
        <w:rPr>
          <w:rFonts w:ascii="Times New Roman" w:hAnsi="Times New Roman" w:cs="Times New Roman"/>
          <w:noProof/>
          <w:color w:val="000000"/>
          <w:sz w:val="24"/>
          <w:szCs w:val="24"/>
        </w:rPr>
      </w:pPr>
    </w:p>
    <w:p w14:paraId="0DA6955D" w14:textId="77777777" w:rsidR="005B39A8" w:rsidRDefault="005B39A8" w:rsidP="005B39A8">
      <w:pPr>
        <w:autoSpaceDE w:val="0"/>
        <w:autoSpaceDN w:val="0"/>
        <w:adjustRightInd w:val="0"/>
        <w:spacing w:after="0" w:line="240" w:lineRule="auto"/>
        <w:jc w:val="both"/>
        <w:rPr>
          <w:rFonts w:ascii="Times New Roman" w:hAnsi="Times New Roman" w:cs="Times New Roman"/>
          <w:noProof/>
          <w:color w:val="000000"/>
          <w:sz w:val="24"/>
          <w:szCs w:val="24"/>
        </w:rPr>
      </w:pPr>
    </w:p>
    <w:p w14:paraId="4ABCBF51" w14:textId="77777777" w:rsidR="005B39A8" w:rsidRPr="007A14F0" w:rsidRDefault="005B39A8" w:rsidP="005B39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b/>
          <w:noProof/>
          <w:sz w:val="24"/>
        </w:rPr>
        <w:t>Εμβληματική δράση</w:t>
      </w:r>
      <w:r>
        <w:rPr>
          <w:rFonts w:ascii="Times New Roman" w:hAnsi="Times New Roman"/>
          <w:noProof/>
          <w:sz w:val="24"/>
        </w:rPr>
        <w:t>:</w:t>
      </w:r>
      <w:r>
        <w:rPr>
          <w:rFonts w:ascii="Times New Roman" w:hAnsi="Times New Roman"/>
          <w:noProof/>
          <w:color w:val="000000" w:themeColor="text1"/>
          <w:sz w:val="24"/>
        </w:rPr>
        <w:t xml:space="preserve"> </w:t>
      </w:r>
      <w:r>
        <w:rPr>
          <w:rFonts w:ascii="Times New Roman" w:hAnsi="Times New Roman"/>
          <w:b/>
          <w:noProof/>
          <w:sz w:val="24"/>
        </w:rPr>
        <w:t>Σύνδεση του παγκόσμιου συστήματος έγκαιρης προειδοποίησης με την τοπική δράση στην Ευρώπη</w:t>
      </w:r>
    </w:p>
    <w:p w14:paraId="4604588C" w14:textId="77777777" w:rsidR="005B39A8" w:rsidRDefault="005B39A8" w:rsidP="005B39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14:paraId="2FC5CFB2" w14:textId="458BA099" w:rsidR="005B39A8" w:rsidRDefault="1AEEC078" w:rsidP="005B39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noProof/>
          <w:sz w:val="24"/>
        </w:rPr>
        <w:t>Το ΚΣΑΕΑ έχει αναπτύξει μια σειρά αυτοματοποιημένων ευρωπαϊκών και παγκόσμιων συστημάτων έγκαιρης προειδοποίησης και ανίχνευσης, μέσω των οποίων παρακολουθεί συμβάντα εντός και εκτός του εδάφους της Ένωσης. Προκειμένου να μετουσιωθούν οι προειδοποιήσεις και ειδοποιήσεις των εν λόγω συστημάτων σε στοχευμένες για τον χρήστη πληροφορίες με σκοπό την αντιμετώπιση καταστάσεων έκτακτης ανάγκης, ο μηχανισμός της Ένωσης στηρίζει τις ευρωπαϊκές επιστημονικές συμπράξεις</w:t>
      </w:r>
      <w:r>
        <w:rPr>
          <w:rStyle w:val="FootnoteReference"/>
          <w:rFonts w:ascii="Times New Roman" w:hAnsi="Times New Roman" w:cs="Times New Roman"/>
          <w:noProof/>
          <w:sz w:val="24"/>
          <w:szCs w:val="24"/>
        </w:rPr>
        <w:footnoteReference w:id="24"/>
      </w:r>
      <w:r>
        <w:rPr>
          <w:rFonts w:ascii="Times New Roman" w:hAnsi="Times New Roman"/>
          <w:noProof/>
          <w:sz w:val="24"/>
        </w:rPr>
        <w:t xml:space="preserve"> οι οποίες παρέχουν μια εικοσιτετράωρη υπηρεσία ταχείας εκτίμησης επιπτώσεων για εντοπισμένα ή προβλεπόμενα συμβάντα. </w:t>
      </w:r>
    </w:p>
    <w:p w14:paraId="52BDBB86" w14:textId="77777777" w:rsidR="005B39A8" w:rsidRDefault="005B39A8" w:rsidP="005B39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14:paraId="53CFF80B" w14:textId="5B7F5EBF" w:rsidR="005B39A8" w:rsidRPr="00DC6445" w:rsidRDefault="1AEEC078" w:rsidP="005B39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noProof/>
          <w:sz w:val="24"/>
        </w:rPr>
        <w:t>Για την καλύτερη υποστήριξη των κρατών μελών στην ταχεία ερμηνεία των προειδοποιήσεων για τοπικά συμβάντα, το ΚΣΑΕΑ θα επεκτείνει την εν λόγω ικανότητα έγκαιρης προειδοποίησης και ανάλυσης σε ένα ειδικό πρόγραμμα για τις εθνικές αρχές το οποίο θα προσφέρει μια προορατική και κατά παραγγελία υπηρεσία έγκαιρης εκτίμησης. Το ΚΣΑΕΑ θα αναπτύξει επίσης έναν «πίνακα» πολλαπλών κινδύνων, ο οποίος θα παρέχει στους διαχειριστές καταστάσεων έκτακτης ανάγκης επίγνωση της κατάστασης σε ευρωπαϊκό επίπεδο. Θα προωθηθεί η διαλειτουργικότητα με άλλα τομεακά συστήματα και μη στρατιωτικές/στρατιωτικές αρχές, ώστε να ενισχυθεί η επίγνωση της κατάστασης και, συνεπώς, τα προϊόντα του ΚΣΑΕΑ</w:t>
      </w:r>
      <w:r>
        <w:rPr>
          <w:rStyle w:val="FootnoteReference"/>
          <w:rFonts w:ascii="Times New Roman" w:hAnsi="Times New Roman" w:cs="Times New Roman"/>
          <w:noProof/>
          <w:sz w:val="24"/>
          <w:szCs w:val="24"/>
        </w:rPr>
        <w:footnoteReference w:id="25"/>
      </w:r>
      <w:r>
        <w:rPr>
          <w:rFonts w:ascii="Times New Roman" w:hAnsi="Times New Roman"/>
          <w:noProof/>
          <w:sz w:val="24"/>
        </w:rPr>
        <w:t>.</w:t>
      </w:r>
    </w:p>
    <w:p w14:paraId="6C6B9B34" w14:textId="77777777" w:rsidR="005B39A8" w:rsidRDefault="005B39A8" w:rsidP="005B39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color w:val="000000"/>
          <w:sz w:val="24"/>
          <w:szCs w:val="24"/>
        </w:rPr>
      </w:pPr>
    </w:p>
    <w:p w14:paraId="772E1897" w14:textId="5821458A" w:rsidR="005B39A8" w:rsidRPr="00B97CD9" w:rsidRDefault="005B39A8" w:rsidP="005B39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noProof/>
          <w:color w:val="000000"/>
          <w:sz w:val="24"/>
          <w:szCs w:val="24"/>
        </w:rPr>
      </w:pPr>
      <w:r>
        <w:rPr>
          <w:rFonts w:ascii="Times New Roman" w:hAnsi="Times New Roman"/>
          <w:noProof/>
          <w:color w:val="000000"/>
          <w:sz w:val="24"/>
        </w:rPr>
        <w:t>Για να είναι πραγματικά αποτελεσματική η έγκαιρη προειδοποίηση σε ολόκληρη την Ευρώπη, τα κράτη μέλη ενθαρρύνονται να επανεξετάσουν την αλυσίδα έγκαιρης προειδοποίησης, διασφαλίζοντας ότι οι βασικές πληροφορίες φτάνουν σε περιοχές που πλήττονται συχνά από καταστροφές την κατάλληλη στιγμή ώστε να σωθούν ζωές και περιουσιακά στοιχεία. Παρότι τα κράτη μέλη είναι υπεύθυνα για την έγκαιρη προειδοποίηση σε εθνικό επίπεδο</w:t>
      </w:r>
      <w:r>
        <w:rPr>
          <w:noProof/>
        </w:rPr>
        <w:t xml:space="preserve">, </w:t>
      </w:r>
      <w:r>
        <w:rPr>
          <w:rFonts w:ascii="Times New Roman" w:hAnsi="Times New Roman"/>
          <w:noProof/>
          <w:color w:val="000000"/>
          <w:sz w:val="24"/>
        </w:rPr>
        <w:t xml:space="preserve">μπορεί να διατεθεί στοχευμένη τεχνική υποστήριξη στο πλαίσιο του </w:t>
      </w:r>
      <w:r>
        <w:rPr>
          <w:rFonts w:ascii="Times New Roman" w:hAnsi="Times New Roman"/>
          <w:noProof/>
          <w:sz w:val="24"/>
        </w:rPr>
        <w:t xml:space="preserve">μηχανισμού της Ένωσης για </w:t>
      </w:r>
      <w:r>
        <w:rPr>
          <w:rFonts w:ascii="Times New Roman" w:hAnsi="Times New Roman"/>
          <w:noProof/>
          <w:color w:val="000000"/>
          <w:sz w:val="24"/>
        </w:rPr>
        <w:t xml:space="preserve">να συμβάλλει στον εντοπισμό ελλείψεων στα συστήματα έγκαιρης προειδοποίησης των κρατών μελών και στην ανάπτυξη ικανοτήτων για την ενίσχυση της διάδοσης των προειδοποιήσεων σε τοπικό επίπεδο. </w:t>
      </w:r>
    </w:p>
    <w:p w14:paraId="3E725F0D" w14:textId="77777777" w:rsidR="005B39A8" w:rsidRPr="00285BD6" w:rsidRDefault="005B39A8" w:rsidP="005B39A8">
      <w:pPr>
        <w:spacing w:after="0" w:line="240" w:lineRule="auto"/>
        <w:jc w:val="both"/>
        <w:rPr>
          <w:rFonts w:ascii="Times New Roman" w:hAnsi="Times New Roman" w:cs="Times New Roman"/>
          <w:b/>
          <w:bCs/>
          <w:noProof/>
          <w:sz w:val="24"/>
          <w:szCs w:val="24"/>
        </w:rPr>
      </w:pPr>
    </w:p>
    <w:p w14:paraId="5BCA84E4" w14:textId="6EAA134E" w:rsidR="00B31C80" w:rsidRPr="00285BD6" w:rsidRDefault="00B31C80" w:rsidP="005B39A8">
      <w:pPr>
        <w:spacing w:after="0" w:line="240" w:lineRule="auto"/>
        <w:jc w:val="both"/>
        <w:rPr>
          <w:rFonts w:ascii="Times New Roman" w:hAnsi="Times New Roman" w:cs="Times New Roman"/>
          <w:b/>
          <w:bCs/>
          <w:noProof/>
          <w:sz w:val="24"/>
          <w:szCs w:val="24"/>
        </w:rPr>
      </w:pPr>
    </w:p>
    <w:p w14:paraId="2BB0D5B9" w14:textId="77777777" w:rsidR="003A5D70" w:rsidRPr="00285BD6" w:rsidRDefault="003A5D70" w:rsidP="005B39A8">
      <w:pPr>
        <w:spacing w:after="0" w:line="240" w:lineRule="auto"/>
        <w:jc w:val="both"/>
        <w:rPr>
          <w:rFonts w:ascii="Times New Roman" w:hAnsi="Times New Roman" w:cs="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58"/>
      </w:tblGrid>
      <w:tr w:rsidR="002908CF" w14:paraId="0931D709" w14:textId="77777777" w:rsidTr="00F81898">
        <w:trPr>
          <w:trHeight w:val="1205"/>
        </w:trPr>
        <w:tc>
          <w:tcPr>
            <w:tcW w:w="1384" w:type="dxa"/>
          </w:tcPr>
          <w:p w14:paraId="446635E8" w14:textId="38A06B1D" w:rsidR="002908CF" w:rsidRDefault="002908CF" w:rsidP="008C33F2">
            <w:pPr>
              <w:jc w:val="both"/>
              <w:rPr>
                <w:rFonts w:ascii="Times New Roman" w:hAnsi="Times New Roman" w:cs="Times New Roman"/>
                <w:b/>
                <w:bCs/>
                <w:noProof/>
                <w:sz w:val="24"/>
                <w:szCs w:val="24"/>
              </w:rPr>
            </w:pPr>
            <w:r>
              <w:rPr>
                <w:rFonts w:ascii="Times New Roman" w:hAnsi="Times New Roman"/>
                <w:noProof/>
                <w:color w:val="2B579A"/>
                <w:sz w:val="24"/>
                <w:shd w:val="clear" w:color="auto" w:fill="E6E6E6"/>
                <w:lang w:val="en-GB" w:eastAsia="en-GB"/>
              </w:rPr>
              <w:drawing>
                <wp:anchor distT="0" distB="0" distL="114300" distR="114300" simplePos="0" relativeHeight="251658245" behindDoc="0" locked="0" layoutInCell="1" allowOverlap="1" wp14:anchorId="7D39F80C" wp14:editId="33EDCD43">
                  <wp:simplePos x="0" y="0"/>
                  <wp:positionH relativeFrom="column">
                    <wp:posOffset>1905</wp:posOffset>
                  </wp:positionH>
                  <wp:positionV relativeFrom="paragraph">
                    <wp:posOffset>8890</wp:posOffset>
                  </wp:positionV>
                  <wp:extent cx="657860" cy="657860"/>
                  <wp:effectExtent l="0" t="0" r="0" b="8890"/>
                  <wp:wrapNone/>
                  <wp:docPr id="193" name="Picture 8">
                    <a:extLst xmlns:a="http://schemas.openxmlformats.org/drawingml/2006/main">
                      <a:ext uri="{FF2B5EF4-FFF2-40B4-BE49-F238E27FC236}">
                        <a16:creationId xmlns:a16="http://schemas.microsoft.com/office/drawing/2014/main" id="{40577C3A-71A5-B5D6-0405-B7D9F0A19B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0577C3A-71A5-B5D6-0405-B7D9F0A19BE4}"/>
                              </a:ext>
                            </a:extLst>
                          </pic:cNvPr>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4"/>
                              </a:ext>
                            </a:extLst>
                          </a:blip>
                          <a:srcRect/>
                          <a:stretch/>
                        </pic:blipFill>
                        <pic:spPr>
                          <a:xfrm>
                            <a:off x="0" y="0"/>
                            <a:ext cx="657860" cy="657860"/>
                          </a:xfrm>
                          <a:prstGeom prst="rect">
                            <a:avLst/>
                          </a:prstGeom>
                        </pic:spPr>
                      </pic:pic>
                    </a:graphicData>
                  </a:graphic>
                </wp:anchor>
              </w:drawing>
            </w:r>
          </w:p>
        </w:tc>
        <w:tc>
          <w:tcPr>
            <w:tcW w:w="7858" w:type="dxa"/>
            <w:vAlign w:val="center"/>
          </w:tcPr>
          <w:p w14:paraId="3F7B7697" w14:textId="77777777" w:rsidR="002908CF" w:rsidRPr="008D157D" w:rsidRDefault="002908CF" w:rsidP="00F81898">
            <w:pPr>
              <w:rPr>
                <w:rFonts w:ascii="Times New Roman" w:hAnsi="Times New Roman" w:cs="Times New Roman"/>
                <w:b/>
                <w:bCs/>
                <w:noProof/>
                <w:sz w:val="24"/>
                <w:szCs w:val="24"/>
              </w:rPr>
            </w:pPr>
            <w:r>
              <w:rPr>
                <w:rFonts w:ascii="Times New Roman" w:hAnsi="Times New Roman"/>
                <w:b/>
                <w:noProof/>
                <w:sz w:val="24"/>
              </w:rPr>
              <w:t xml:space="preserve">Στόχος 4: </w:t>
            </w:r>
            <w:r>
              <w:rPr>
                <w:rFonts w:ascii="Times New Roman" w:hAnsi="Times New Roman"/>
                <w:b/>
                <w:i/>
                <w:noProof/>
                <w:sz w:val="24"/>
              </w:rPr>
              <w:t>Αντίδραση</w:t>
            </w:r>
            <w:r>
              <w:rPr>
                <w:rFonts w:ascii="Times New Roman" w:hAnsi="Times New Roman"/>
                <w:b/>
                <w:noProof/>
                <w:sz w:val="24"/>
              </w:rPr>
              <w:t xml:space="preserve"> — Ενίσχυση της ικανότητας αντίδρασης του μηχανισμού πολιτικής προστασίας της Ένωσης</w:t>
            </w:r>
          </w:p>
          <w:p w14:paraId="42DBE6CB" w14:textId="77777777" w:rsidR="002908CF" w:rsidRPr="002908CF" w:rsidRDefault="002908CF" w:rsidP="00F81898">
            <w:pPr>
              <w:rPr>
                <w:rFonts w:ascii="Times New Roman" w:hAnsi="Times New Roman" w:cs="Times New Roman"/>
                <w:b/>
                <w:bCs/>
                <w:noProof/>
                <w:sz w:val="24"/>
                <w:szCs w:val="24"/>
              </w:rPr>
            </w:pPr>
          </w:p>
        </w:tc>
      </w:tr>
    </w:tbl>
    <w:p w14:paraId="7C9183C6" w14:textId="77777777" w:rsidR="005B39A8" w:rsidRPr="00285BD6" w:rsidRDefault="005B39A8" w:rsidP="005B39A8">
      <w:pPr>
        <w:spacing w:after="0" w:line="240" w:lineRule="auto"/>
        <w:jc w:val="both"/>
        <w:rPr>
          <w:rFonts w:ascii="Times New Roman" w:hAnsi="Times New Roman" w:cs="Times New Roman"/>
          <w:noProof/>
          <w:sz w:val="24"/>
          <w:szCs w:val="24"/>
        </w:rPr>
      </w:pPr>
    </w:p>
    <w:p w14:paraId="75792B01" w14:textId="22132ACA" w:rsidR="005B39A8" w:rsidRPr="008D157D" w:rsidRDefault="5EEA2D26"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Σε καταστάσεις κρίσης, οι υπηρεσίες έκτακτης ανάγκης των κρατών μελών πρέπει να είναι έτοιμες να ανταποκριθούν στις ανάγκες του πληθυσμού. Όταν η ικανότητα μιας χώρας δεν επαρκεί, μπορούν να παρεμβαίνουν τα μέσα και οι ομάδες αντίδρασης της ΕΕ για την κάλυψη κρίσιμων κενών και την αποφυγή περαιτέρω επιδείνωσης της κατάστασης. Οι καταστάσεις έκτακτης ανάγκης γίνονται όλο και πιο συχνές, πιο σύνθετες και πιο έντονες. Αυτό με τη σειρά του σημαίνει ότι η Επιτροπή θα πρέπει να κινητοποιεί συχνότερα τις ικανότητες της ΕΕ από το στρατηγικό απόθεμα rescEU. Ως εκ τούτου, ο παρών στόχος της ανθεκτικότητας στις καταστροφές θέτει συγκεκριμένους στόχους για την ενίσχυση της ικανότητας της ΕΕ να ανταποκρίνεται σε αιτήματα παροχής βοήθειας στο πλαίσιο του μηχανισμού της Ένωσης και να βοηθά τα κράτη μέλη να ανταποκρίνονται σε μελλοντικές καταστάσεις έκτακτης ανάγκης. Οι ανάγκες της ΕΕ όσον αφορά την ικανότητα αντίδρασης θα επανεξετάζονται τακτικά μέσω εκθέσεων σχετικά με τις ελλείψεις σε επίπεδο ικανοτήτων.</w:t>
      </w:r>
    </w:p>
    <w:p w14:paraId="4473AABE" w14:textId="77777777" w:rsidR="005B39A8" w:rsidRPr="008D157D" w:rsidRDefault="005B39A8" w:rsidP="005B39A8">
      <w:pPr>
        <w:spacing w:after="0" w:line="240" w:lineRule="auto"/>
        <w:jc w:val="both"/>
        <w:rPr>
          <w:rFonts w:ascii="Times New Roman" w:hAnsi="Times New Roman" w:cs="Times New Roman"/>
          <w:bCs/>
          <w:noProof/>
          <w:sz w:val="24"/>
          <w:szCs w:val="24"/>
        </w:rPr>
      </w:pPr>
    </w:p>
    <w:p w14:paraId="246A0BB9" w14:textId="4E985709" w:rsidR="005B39A8" w:rsidRPr="008D157D" w:rsidRDefault="005B39A8"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Το είδος και ο αριθμός των ικανοτήτων αντίδρασης θα βασίζονται σε στοιχεία και σενάρια, που προέρχονται από τον στόχο 1 — </w:t>
      </w:r>
      <w:r>
        <w:rPr>
          <w:rFonts w:ascii="Times New Roman" w:hAnsi="Times New Roman"/>
          <w:i/>
          <w:noProof/>
          <w:sz w:val="24"/>
        </w:rPr>
        <w:t>Πρόβλεψη</w:t>
      </w:r>
      <w:r>
        <w:rPr>
          <w:rFonts w:ascii="Times New Roman" w:hAnsi="Times New Roman"/>
          <w:noProof/>
          <w:sz w:val="24"/>
        </w:rPr>
        <w:t xml:space="preserve">, τα οποία θα επιτρέπουν στην ΕΕ να καθορίζει τις συλλογικές ελάχιστες ανάγκες σχετικά με τις ικανότητες αντίδρασης. Ο στόχος 4 — </w:t>
      </w:r>
      <w:r>
        <w:rPr>
          <w:rFonts w:ascii="Times New Roman" w:hAnsi="Times New Roman"/>
          <w:i/>
          <w:noProof/>
          <w:sz w:val="24"/>
        </w:rPr>
        <w:t>Αντίδραση</w:t>
      </w:r>
      <w:r>
        <w:rPr>
          <w:rFonts w:ascii="Times New Roman" w:hAnsi="Times New Roman"/>
          <w:noProof/>
          <w:sz w:val="24"/>
        </w:rPr>
        <w:t xml:space="preserve"> καθορίζει μια πρώτη δέσμη συγκεκριμένων, ποιοτικών και ποσοτικών στόχων επιδόσεων για τις ικανότητες —συμπεριλαμβανομένων των ικανοτήτων μεταφορών και εφοδιαστικής— στο πλαίσιο του μηχανισμού της Ένωσης για την αντιμετώπιση καταστροφών και κρίσεων που περιλαμβάνουν πλημμύρες, επιχειρήσεις έρευνας και διάσωσης, δασικές πυρκαγιές, έκτακτες ανάγκες στον τομέα της υγείας, καθώς και ραδιολογικά και πυρηνικά συμβάντα. Με τη σειρά τους, τα κράτη μέλη ενθαρρύνονται να παρέχουν επικαιροποιημένες πληροφορίες σχετικά με τα οικεία εθνικά σχέδια έκτακτης ανάγκης, οι οποίες θα πρέπει να ενσωματώνουν ειδικές διατάξεις για την αντιμετώπιση εντοπισμένων κινδύνων σε επίπεδο ΕΕ. Ο παρών στόχος ανθεκτικότητας στις καταστροφές θέτει συγκεκριμένες επιδιώξεις όσον αφορά τη διασφάλιση της ικανότητας της Ευρώπης να ανταποκρίνεται σε αιτήματα παροχής βοήθειας στο πλαίσιο του μηχανισμού της Ένωσης στις ακόλουθες καταστάσεις έκτακτης ανάγκης: </w:t>
      </w:r>
      <w:r>
        <w:rPr>
          <w:rFonts w:ascii="Times New Roman" w:hAnsi="Times New Roman"/>
          <w:b/>
          <w:noProof/>
          <w:sz w:val="24"/>
        </w:rPr>
        <w:t>δασική πυρκαγιά</w:t>
      </w:r>
      <w:r>
        <w:rPr>
          <w:rFonts w:ascii="Times New Roman" w:hAnsi="Times New Roman"/>
          <w:noProof/>
          <w:sz w:val="24"/>
        </w:rPr>
        <w:t xml:space="preserve">, </w:t>
      </w:r>
      <w:r>
        <w:rPr>
          <w:rFonts w:ascii="Times New Roman" w:hAnsi="Times New Roman"/>
          <w:b/>
          <w:noProof/>
          <w:sz w:val="24"/>
        </w:rPr>
        <w:t>πλημμύρα</w:t>
      </w:r>
      <w:r>
        <w:rPr>
          <w:rFonts w:ascii="Times New Roman" w:hAnsi="Times New Roman"/>
          <w:noProof/>
          <w:sz w:val="24"/>
        </w:rPr>
        <w:t xml:space="preserve">, </w:t>
      </w:r>
      <w:r>
        <w:rPr>
          <w:rFonts w:ascii="Times New Roman" w:hAnsi="Times New Roman"/>
          <w:b/>
          <w:noProof/>
          <w:sz w:val="24"/>
        </w:rPr>
        <w:t>έρευνα και διάσωση</w:t>
      </w:r>
      <w:r>
        <w:rPr>
          <w:rFonts w:ascii="Times New Roman" w:hAnsi="Times New Roman"/>
          <w:noProof/>
          <w:sz w:val="24"/>
        </w:rPr>
        <w:t xml:space="preserve">, </w:t>
      </w:r>
      <w:r>
        <w:rPr>
          <w:rFonts w:ascii="Times New Roman" w:hAnsi="Times New Roman"/>
          <w:b/>
          <w:noProof/>
          <w:sz w:val="24"/>
        </w:rPr>
        <w:t>χημικές, βιολογικές, ραδιολογικές και πυρηνικές (ΧΒΡΠ)</w:t>
      </w:r>
      <w:r>
        <w:rPr>
          <w:rFonts w:ascii="Times New Roman" w:hAnsi="Times New Roman"/>
          <w:noProof/>
          <w:sz w:val="24"/>
        </w:rPr>
        <w:t xml:space="preserve"> απειλές, και </w:t>
      </w:r>
      <w:r>
        <w:rPr>
          <w:rFonts w:ascii="Times New Roman" w:hAnsi="Times New Roman"/>
          <w:b/>
          <w:noProof/>
          <w:sz w:val="24"/>
        </w:rPr>
        <w:t>υγεία</w:t>
      </w:r>
      <w:r>
        <w:rPr>
          <w:rFonts w:ascii="Times New Roman" w:hAnsi="Times New Roman"/>
          <w:noProof/>
          <w:sz w:val="24"/>
        </w:rPr>
        <w:t xml:space="preserve">. </w:t>
      </w:r>
    </w:p>
    <w:p w14:paraId="135083BD" w14:textId="25B6F5D9" w:rsidR="005B39A8" w:rsidRPr="009C0A7B" w:rsidRDefault="0070061E" w:rsidP="005B39A8">
      <w:pPr>
        <w:spacing w:after="0" w:line="240" w:lineRule="auto"/>
        <w:jc w:val="both"/>
        <w:rPr>
          <w:rFonts w:ascii="Times New Roman" w:hAnsi="Times New Roman" w:cs="Times New Roman"/>
          <w:bCs/>
          <w:noProof/>
          <w:sz w:val="24"/>
          <w:szCs w:val="24"/>
        </w:rPr>
      </w:pPr>
      <w:r>
        <w:rPr>
          <w:noProof/>
        </w:rPr>
        <w:t xml:space="preserve"> </w:t>
      </w:r>
      <w:r>
        <w:rPr>
          <w:noProof/>
        </w:rPr>
        <w:br/>
      </w:r>
    </w:p>
    <w:p w14:paraId="12DAA0BC" w14:textId="77777777" w:rsidR="005B39A8" w:rsidRPr="00371EAD" w:rsidRDefault="005B39A8" w:rsidP="005B39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noProof/>
          <w:sz w:val="24"/>
          <w:szCs w:val="24"/>
        </w:rPr>
      </w:pPr>
      <w:r>
        <w:rPr>
          <w:rFonts w:ascii="Times New Roman" w:hAnsi="Times New Roman"/>
          <w:b/>
          <w:noProof/>
          <w:sz w:val="24"/>
        </w:rPr>
        <w:t xml:space="preserve">Εμβληματική δράση: Επέκταση του στρατηγικού αποθεματικού rescEU </w:t>
      </w:r>
    </w:p>
    <w:p w14:paraId="6855132D" w14:textId="77777777" w:rsidR="005B39A8" w:rsidRDefault="005B39A8" w:rsidP="005B39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14:paraId="22CD9F1C" w14:textId="79F1BB55" w:rsidR="005B39A8" w:rsidRDefault="005B39A8" w:rsidP="005B39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noProof/>
          <w:sz w:val="24"/>
        </w:rPr>
        <w:t xml:space="preserve">Το rescEU έχει καταστεί ακρογωνιαίος λίθος της αντίδρασης της ΕΕ σε καταστάσεις έκτακτης ανάγκης μεγάλης κλίμακας στις οποίες δεν μπορούν να ανταποκριθούν τα κράτη μέλη και οι άμεσοι γείτονές τους. Οι δασικές πυρκαγιές της Ευρώπης, η πανδημία της COVID-19 και οι επιπτώσεις του επιθετικού πολέμου της Ρωσίας κατά της Ουκρανίας έχουν οδηγήσει στην ταχεία ανάπτυξη και κινητοποίηση των ικανοτήτων έκτακτης ανάγκης rescEU στον τομέα της εναέριας πυρόσβεσης, της ιατρικής βοήθειας, της στέγασης, του ενεργειακού εφοδιασμού και των αντιμέτρων σε καταστάσεις έκτακτης ανάγκης στον ΧΒΡΠ τομέα. Οι τρέχουσες κρίσεις καταδεικνύουν τη σημασία της ενίσχυσης του εν λόγω στρατηγικού αποθεματικού, μεταξύ άλλων μέσω πολιτικών της ΕΕ που αντιμετωπίζουν το ευρύτερο ζήτημα της ανοικτής στρατηγικής αυτονομίας της ΕΕ για βασικές προμήθειες που χρησιμοποιούνται για την αντιμετώπιση καταστάσεων έκτακτης ανάγκης, ώστε να διασφαλιστεί η ασφάλεια της ΕΕ και των πολιτών της. Ως εκ τούτου, στο πλαίσιο του μηχανισμού της Ένωσης, η Επιτροπή προτίθεται να συνεχίσει να αναπτύσσει το αποθεματικό rescEU με τα κράτη μέλη και να επανεξετάζει τακτικά τη συνολική ικανότητα σε ευρωπαϊκό επίπεδο. Για παράδειγμα, οι συνέπειες του επιθετικού πολέμου της Ρωσίας κατά της Ουκρανίας και άλλων κρίσεων έχουν αποδείξει ότι το στρατηγικό αποθεματικό ιατρικών ικανοτήτων δεν είναι απαραίτητο μόνο για την αντιμετώπιση μιας πανδημίας. </w:t>
      </w:r>
    </w:p>
    <w:p w14:paraId="455DAF04" w14:textId="77777777" w:rsidR="005B39A8" w:rsidRDefault="005B39A8" w:rsidP="005B39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14:paraId="36100EFC" w14:textId="081451B8" w:rsidR="005B39A8" w:rsidRPr="0050423E" w:rsidRDefault="5EEA2D26" w:rsidP="201AF92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noProof/>
          <w:sz w:val="24"/>
          <w:szCs w:val="24"/>
        </w:rPr>
      </w:pPr>
      <w:r>
        <w:rPr>
          <w:rFonts w:ascii="Times New Roman" w:hAnsi="Times New Roman"/>
          <w:noProof/>
          <w:sz w:val="24"/>
        </w:rPr>
        <w:t>Σύμφωνα με την ομιλία της προέδρου της Επιτροπής για την κατάσταση της Ένωσης το 2022</w:t>
      </w:r>
      <w:r>
        <w:rPr>
          <w:rStyle w:val="FootnoteReference"/>
          <w:rFonts w:ascii="Times New Roman" w:hAnsi="Times New Roman" w:cs="Times New Roman"/>
          <w:noProof/>
          <w:sz w:val="24"/>
          <w:szCs w:val="24"/>
        </w:rPr>
        <w:footnoteReference w:id="26"/>
      </w:r>
      <w:r>
        <w:rPr>
          <w:rFonts w:ascii="Times New Roman" w:hAnsi="Times New Roman"/>
          <w:noProof/>
          <w:sz w:val="24"/>
        </w:rPr>
        <w:t xml:space="preserve">, η Επιτροπή προτίθεται να διπλασιάσει τον εναέριο πυροσβεστικό στόλο rescEU έως το 2023 με έως και 3 ελικόπτερα και 12 ελαφρά αεροσκάφη επιπλέον για την κάλυψη του εντοπισθέντος κενού. Σε συνδυασμό με ενισχυμένα μέτρα πρόληψης και προεγκατάσταση πυροσβεστών, η αύξηση αυτή αναμένεται να συμβάλει στην αντιμετώπιση της επόμενης περιόδου δασικών πυρκαγιών στην Ευρώπη, μεταξύ άλλων στις περιοχές στα κεντρικά και βόρεια εδάφη της Ένωσης που αντιμετωπίζουν πλέον συχνότερα μεγάλες δασικές πυρκαγιές. Οι ικανότητες αντιμετώπισης των δασικών πυρκαγιών αναμένεται να αυξηθούν σημαντικά με την προμήθεια 9 ελικοπτέρων μεταξύ 2023-2026 και 12 αεροσκαφών από το 2026 στο πλαίσιο του μόνιμου στόλου του rescEU. Παρότι το rescEU παρέχει ένα μεγαλύτερο δίχτυ ασφαλείας, τα κράτη μέλη πρέπει επίσης να συνεχίσουν να επενδύουν σε εθνικό επίπεδο στις οικείες ικανότητες αντιμετώπισης, σε εκπαιδευμένο προσωπικό και σε μέτρα πρόληψης των δασικών πυρκαγιών. </w:t>
      </w:r>
    </w:p>
    <w:p w14:paraId="211BADEB" w14:textId="21732B66" w:rsidR="005B39A8" w:rsidRPr="00285BD6" w:rsidRDefault="005B39A8" w:rsidP="005B39A8">
      <w:pPr>
        <w:spacing w:after="0" w:line="240" w:lineRule="auto"/>
        <w:jc w:val="both"/>
        <w:rPr>
          <w:rFonts w:ascii="Times New Roman" w:hAnsi="Times New Roman" w:cs="Times New Roman"/>
          <w:b/>
          <w:bCs/>
          <w:noProof/>
          <w:sz w:val="24"/>
          <w:szCs w:val="24"/>
        </w:rPr>
      </w:pPr>
    </w:p>
    <w:p w14:paraId="76D0305F" w14:textId="2720400E" w:rsidR="00C547EC" w:rsidRPr="00285BD6" w:rsidRDefault="00C547EC" w:rsidP="005B39A8">
      <w:pPr>
        <w:spacing w:after="0" w:line="240" w:lineRule="auto"/>
        <w:jc w:val="both"/>
        <w:rPr>
          <w:rFonts w:ascii="Times New Roman" w:hAnsi="Times New Roman" w:cs="Times New Roman"/>
          <w:b/>
          <w:bCs/>
          <w:noProof/>
          <w:sz w:val="24"/>
          <w:szCs w:val="24"/>
        </w:rPr>
      </w:pPr>
    </w:p>
    <w:p w14:paraId="1B462DD5" w14:textId="77777777" w:rsidR="00C547EC" w:rsidRPr="00285BD6" w:rsidRDefault="00C547EC" w:rsidP="005B39A8">
      <w:pPr>
        <w:spacing w:after="0" w:line="240" w:lineRule="auto"/>
        <w:jc w:val="both"/>
        <w:rPr>
          <w:rFonts w:ascii="Times New Roman" w:hAnsi="Times New Roman" w:cs="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58"/>
      </w:tblGrid>
      <w:tr w:rsidR="002908CF" w14:paraId="7BD17A69" w14:textId="77777777" w:rsidTr="00F81898">
        <w:trPr>
          <w:trHeight w:val="1205"/>
        </w:trPr>
        <w:tc>
          <w:tcPr>
            <w:tcW w:w="1384" w:type="dxa"/>
          </w:tcPr>
          <w:p w14:paraId="63AEC2AB" w14:textId="1D05DA15" w:rsidR="002908CF" w:rsidRDefault="002908CF" w:rsidP="008C33F2">
            <w:pPr>
              <w:jc w:val="both"/>
              <w:rPr>
                <w:rFonts w:ascii="Times New Roman" w:hAnsi="Times New Roman" w:cs="Times New Roman"/>
                <w:b/>
                <w:bCs/>
                <w:noProof/>
                <w:sz w:val="24"/>
                <w:szCs w:val="24"/>
              </w:rPr>
            </w:pPr>
            <w:r>
              <w:rPr>
                <w:rFonts w:ascii="Times New Roman" w:hAnsi="Times New Roman"/>
                <w:noProof/>
                <w:color w:val="2B579A"/>
                <w:sz w:val="24"/>
                <w:shd w:val="clear" w:color="auto" w:fill="E6E6E6"/>
                <w:lang w:val="en-GB" w:eastAsia="en-GB"/>
              </w:rPr>
              <w:drawing>
                <wp:anchor distT="0" distB="0" distL="114300" distR="114300" simplePos="0" relativeHeight="251658246" behindDoc="0" locked="0" layoutInCell="1" allowOverlap="1" wp14:anchorId="048C2303" wp14:editId="0F27D33B">
                  <wp:simplePos x="0" y="0"/>
                  <wp:positionH relativeFrom="column">
                    <wp:posOffset>1905</wp:posOffset>
                  </wp:positionH>
                  <wp:positionV relativeFrom="paragraph">
                    <wp:posOffset>8890</wp:posOffset>
                  </wp:positionV>
                  <wp:extent cx="671195" cy="671195"/>
                  <wp:effectExtent l="0" t="0" r="0" b="0"/>
                  <wp:wrapNone/>
                  <wp:docPr id="195" name="Picture 7">
                    <a:extLst xmlns:a="http://schemas.openxmlformats.org/drawingml/2006/main">
                      <a:ext uri="{FF2B5EF4-FFF2-40B4-BE49-F238E27FC236}">
                        <a16:creationId xmlns:a16="http://schemas.microsoft.com/office/drawing/2014/main" id="{3149B4B8-A742-B52C-B082-142252DA72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3149B4B8-A742-B52C-B082-142252DA723C}"/>
                              </a:ext>
                            </a:extLst>
                          </pic:cNvPr>
                          <pic:cNvPicPr>
                            <a:picLocks noChangeAspect="1"/>
                          </pic:cNvPicPr>
                        </pic:nvPicPr>
                        <pic:blipFill>
                          <a:blip r:embed="rId25"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6"/>
                              </a:ext>
                            </a:extLst>
                          </a:blip>
                          <a:srcRect/>
                          <a:stretch/>
                        </pic:blipFill>
                        <pic:spPr>
                          <a:xfrm>
                            <a:off x="0" y="0"/>
                            <a:ext cx="671195" cy="671195"/>
                          </a:xfrm>
                          <a:prstGeom prst="rect">
                            <a:avLst/>
                          </a:prstGeom>
                        </pic:spPr>
                      </pic:pic>
                    </a:graphicData>
                  </a:graphic>
                </wp:anchor>
              </w:drawing>
            </w:r>
          </w:p>
        </w:tc>
        <w:tc>
          <w:tcPr>
            <w:tcW w:w="7858" w:type="dxa"/>
            <w:vAlign w:val="center"/>
          </w:tcPr>
          <w:p w14:paraId="4E13F813" w14:textId="77777777" w:rsidR="002908CF" w:rsidRPr="00783EC8" w:rsidRDefault="002908CF" w:rsidP="00F81898">
            <w:pPr>
              <w:rPr>
                <w:rFonts w:ascii="Times New Roman" w:hAnsi="Times New Roman" w:cs="Times New Roman"/>
                <w:b/>
                <w:bCs/>
                <w:noProof/>
                <w:sz w:val="24"/>
                <w:szCs w:val="24"/>
              </w:rPr>
            </w:pPr>
            <w:r>
              <w:rPr>
                <w:rFonts w:ascii="Times New Roman" w:hAnsi="Times New Roman"/>
                <w:b/>
                <w:noProof/>
                <w:sz w:val="24"/>
              </w:rPr>
              <w:t xml:space="preserve">Στόχος 5: </w:t>
            </w:r>
            <w:r>
              <w:rPr>
                <w:rFonts w:ascii="Times New Roman" w:hAnsi="Times New Roman"/>
                <w:b/>
                <w:i/>
                <w:noProof/>
                <w:sz w:val="24"/>
              </w:rPr>
              <w:t>Ασφάλεια</w:t>
            </w:r>
            <w:r>
              <w:rPr>
                <w:rFonts w:ascii="Times New Roman" w:hAnsi="Times New Roman"/>
                <w:b/>
                <w:noProof/>
                <w:sz w:val="24"/>
              </w:rPr>
              <w:t xml:space="preserve"> — Διασφάλιση ενός ισχυρού συστήματος πολιτικής προστασίας</w:t>
            </w:r>
          </w:p>
          <w:p w14:paraId="3A26C146" w14:textId="77777777" w:rsidR="002908CF" w:rsidRPr="002908CF" w:rsidRDefault="002908CF" w:rsidP="00F81898">
            <w:pPr>
              <w:rPr>
                <w:rFonts w:ascii="Times New Roman" w:hAnsi="Times New Roman" w:cs="Times New Roman"/>
                <w:b/>
                <w:bCs/>
                <w:noProof/>
                <w:sz w:val="24"/>
                <w:szCs w:val="24"/>
              </w:rPr>
            </w:pPr>
          </w:p>
        </w:tc>
      </w:tr>
    </w:tbl>
    <w:p w14:paraId="6145CAD4" w14:textId="77777777" w:rsidR="00F81898" w:rsidRDefault="00F81898" w:rsidP="005B39A8">
      <w:pPr>
        <w:spacing w:after="0" w:line="240" w:lineRule="auto"/>
        <w:jc w:val="both"/>
        <w:rPr>
          <w:rFonts w:ascii="Times New Roman" w:hAnsi="Times New Roman" w:cs="Times New Roman"/>
          <w:noProof/>
          <w:sz w:val="24"/>
          <w:szCs w:val="24"/>
        </w:rPr>
      </w:pPr>
    </w:p>
    <w:p w14:paraId="2DB335BC" w14:textId="150CCE1E" w:rsidR="005B39A8" w:rsidRDefault="005B39A8"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Οι αρχές πολιτικής προστασίας θα πρέπει να συνεχίσουν να λειτουργούν κατά τη διάρκεια μιας καταστροφής και μετά από αυτήν, όταν η κοινωνία τις έχει μεγαλύτερη ανάγκη. Ο στόχος αυτός επιδιώκει να διασφαλίσει ότι το ΚΣΑΕΑ και τα επιχειρησιακά κέντρα έκτακτης ανάγκης των αρχών πολιτικής προστασίας των κρατών μελών συνεχίζουν να λειτουργούν πάντοτε. Τα μέτρα που πρέπει να ληφθούν περιλαμβάνουν την τακτική αναθεώρηση των σχεδίων και διαδικασιών για τη συνέχιση των δραστηριοτήτων, καθώς και τον συστηματικό εντοπισμό και την εφαρμογή των διδαγμάτων που αντλούνται μετά από καταστροφές. </w:t>
      </w:r>
    </w:p>
    <w:p w14:paraId="4F212D96" w14:textId="77777777" w:rsidR="005B39A8" w:rsidRDefault="005B39A8" w:rsidP="005B39A8">
      <w:pPr>
        <w:spacing w:after="0" w:line="240" w:lineRule="auto"/>
        <w:jc w:val="both"/>
        <w:rPr>
          <w:rFonts w:ascii="Times New Roman" w:hAnsi="Times New Roman" w:cs="Times New Roman"/>
          <w:noProof/>
          <w:sz w:val="24"/>
          <w:szCs w:val="24"/>
        </w:rPr>
      </w:pPr>
    </w:p>
    <w:p w14:paraId="46DEA77D" w14:textId="3DA477FF" w:rsidR="005B39A8" w:rsidRDefault="005B39A8"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Στο τρέχον τοπίο κινδύνων, οι αρχές πολιτικής προστασίας δεν μπορούν να εργάζονται μεμονωμένα. Η Επιτροπή και τα κράτη μέλη αυξάνουν τη συνεργασία τους σε διασυνοριακό επίπεδο και με πολλά ενδιαφερόμενα μέρη στη διαχείριση καταστάσεων έκτακτης ανάγκης, συμπεριλαμβανομένων των φορέων εκμετάλλευσης βασικών υπηρεσιών. Για να διασφαλιστεί η συνέχιση των δραστηριοτήτων των επιχειρησιακών κέντρων έκτακτης ανάγκης στα κράτη μέλη και σε επίπεδο ΕΕ, η Επιτροπή προτίθεται να βελτιώσει </w:t>
      </w:r>
      <w:r>
        <w:rPr>
          <w:rFonts w:ascii="Times New Roman" w:hAnsi="Times New Roman"/>
          <w:b/>
          <w:noProof/>
          <w:sz w:val="24"/>
        </w:rPr>
        <w:t>τα σχέδια και τις διαδικασίες</w:t>
      </w:r>
      <w:r>
        <w:rPr>
          <w:rFonts w:ascii="Times New Roman" w:hAnsi="Times New Roman"/>
          <w:noProof/>
          <w:sz w:val="24"/>
        </w:rPr>
        <w:t xml:space="preserve">, τον διατομεακό και διασυνοριακό </w:t>
      </w:r>
      <w:r>
        <w:rPr>
          <w:rFonts w:ascii="Times New Roman" w:hAnsi="Times New Roman"/>
          <w:b/>
          <w:noProof/>
          <w:sz w:val="24"/>
        </w:rPr>
        <w:t>συντονισμό</w:t>
      </w:r>
      <w:r>
        <w:rPr>
          <w:rFonts w:ascii="Times New Roman" w:hAnsi="Times New Roman"/>
          <w:noProof/>
          <w:sz w:val="24"/>
        </w:rPr>
        <w:t xml:space="preserve">, τη διαχείριση της </w:t>
      </w:r>
      <w:r>
        <w:rPr>
          <w:rFonts w:ascii="Times New Roman" w:hAnsi="Times New Roman"/>
          <w:b/>
          <w:noProof/>
          <w:sz w:val="24"/>
        </w:rPr>
        <w:t>επικοινωνίας και των πληροφοριών</w:t>
      </w:r>
      <w:r>
        <w:rPr>
          <w:rFonts w:ascii="Times New Roman" w:hAnsi="Times New Roman"/>
          <w:noProof/>
          <w:sz w:val="24"/>
        </w:rPr>
        <w:t xml:space="preserve"> και την εφαρμογή των </w:t>
      </w:r>
      <w:r>
        <w:rPr>
          <w:rFonts w:ascii="Times New Roman" w:hAnsi="Times New Roman"/>
          <w:b/>
          <w:noProof/>
          <w:sz w:val="24"/>
        </w:rPr>
        <w:t>διδαγμάτων που αντλούνται</w:t>
      </w:r>
      <w:r>
        <w:rPr>
          <w:rFonts w:ascii="Times New Roman" w:hAnsi="Times New Roman"/>
          <w:noProof/>
          <w:sz w:val="24"/>
        </w:rPr>
        <w:t>.</w:t>
      </w:r>
      <w:r>
        <w:rPr>
          <w:rStyle w:val="FootnoteReference"/>
          <w:noProof/>
          <w:sz w:val="24"/>
        </w:rPr>
        <w:t xml:space="preserve"> </w:t>
      </w:r>
    </w:p>
    <w:p w14:paraId="66CC31A3" w14:textId="10BA5514" w:rsidR="005B39A8" w:rsidRDefault="0070061E" w:rsidP="005B39A8">
      <w:pPr>
        <w:spacing w:after="0" w:line="240" w:lineRule="auto"/>
        <w:jc w:val="both"/>
        <w:rPr>
          <w:rFonts w:ascii="Times New Roman" w:hAnsi="Times New Roman" w:cs="Times New Roman"/>
          <w:noProof/>
          <w:sz w:val="24"/>
          <w:szCs w:val="24"/>
        </w:rPr>
      </w:pPr>
      <w:r>
        <w:rPr>
          <w:noProof/>
        </w:rPr>
        <w:t xml:space="preserve"> </w:t>
      </w:r>
      <w:r>
        <w:rPr>
          <w:noProof/>
        </w:rPr>
        <w:br/>
      </w:r>
    </w:p>
    <w:p w14:paraId="42992224" w14:textId="77777777" w:rsidR="005B39A8" w:rsidRPr="00813108" w:rsidRDefault="005B39A8" w:rsidP="00A76D7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Pr>
          <w:rFonts w:ascii="Times New Roman" w:hAnsi="Times New Roman"/>
          <w:b/>
          <w:noProof/>
          <w:sz w:val="24"/>
        </w:rPr>
        <w:t>Εμβληματική δράση</w:t>
      </w:r>
      <w:r>
        <w:rPr>
          <w:rFonts w:ascii="Times New Roman" w:hAnsi="Times New Roman"/>
          <w:noProof/>
          <w:sz w:val="24"/>
        </w:rPr>
        <w:t xml:space="preserve">: </w:t>
      </w:r>
      <w:r>
        <w:rPr>
          <w:rFonts w:ascii="Times New Roman" w:hAnsi="Times New Roman"/>
          <w:b/>
          <w:noProof/>
          <w:sz w:val="24"/>
        </w:rPr>
        <w:t xml:space="preserve">Ασκήσεις προσομοίωσης ακραίων καταστάσεων για τα επιχειρησιακά κέντρα έκτακτης ανάγκης σε ολόκληρη την Ευρώπη </w:t>
      </w:r>
    </w:p>
    <w:p w14:paraId="07BF9673" w14:textId="62EC46F7" w:rsidR="005B39A8" w:rsidRPr="00B97CD9" w:rsidRDefault="005B39A8" w:rsidP="00A76D7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noProof/>
          <w:color w:val="000000"/>
          <w:sz w:val="24"/>
          <w:szCs w:val="24"/>
        </w:rPr>
      </w:pPr>
      <w:r>
        <w:rPr>
          <w:rFonts w:ascii="Times New Roman" w:hAnsi="Times New Roman"/>
          <w:noProof/>
          <w:sz w:val="24"/>
        </w:rPr>
        <w:t>Η πιλοτική πανευρωπαϊκή «προσομοίωση ακραίων καταστάσεων» για την ετοιμότητα της πολιτικής προστασίας σε περιπτώσεις καταστροφής θα ελέγχει τη συνέχιση των δραστηριοτήτων των επιχειρησιακών κέντρων έκτακτης ανάγκης σε ένα προσομοιωμένο σενάριο γενικής διακοπής που θα μπορούσε να επηρεάσει ταυτόχρονα διάφορες υποπεριφέρειες της Ευρώπης. Μια τέτοια προσομοίωση θα πρέπει να συνάδει με τις δραστηριότητες προσομοίωσης ακραίων καταστάσεων των κρίσιμων υποδομών που πραγματοποιούνται επί του παρόντος σε επίπεδο ΕΕ. Όλα τα κράτη μέλη θα πρέπει να δεσμευτούν να συμμετάσχουν στην προσομοίωση ακραίων καταστάσεων για την ετοιμότητα της πολιτικής προστασίας σε περιπτώσεις καταστροφής και να διασφαλίσουν ότι θα δοθεί συνέχεια στις συστάσεις της. Αυτό το πρώτο πιλοτικό πρόγραμμα, το οποίο θα προγραμματιστεί κατά τη διάρκεια του 2023, θα παρέχει αποτελέσματα και διδάγματα τα οποία θα τροφοδοτήσουν τις μελλοντικές εκδόσεις.</w:t>
      </w:r>
    </w:p>
    <w:p w14:paraId="5BFB654F" w14:textId="77777777" w:rsidR="005B39A8" w:rsidRDefault="005B39A8" w:rsidP="005B39A8">
      <w:pPr>
        <w:spacing w:after="0" w:line="240" w:lineRule="auto"/>
        <w:jc w:val="both"/>
        <w:rPr>
          <w:rFonts w:ascii="Times New Roman" w:hAnsi="Times New Roman" w:cs="Times New Roman"/>
          <w:noProof/>
          <w:sz w:val="24"/>
          <w:szCs w:val="24"/>
        </w:rPr>
      </w:pPr>
    </w:p>
    <w:p w14:paraId="1E60106F" w14:textId="0C337290" w:rsidR="0070061E" w:rsidRDefault="0070061E" w:rsidP="00D07171">
      <w:pPr>
        <w:pStyle w:val="ListParagraph"/>
        <w:spacing w:line="240" w:lineRule="auto"/>
        <w:ind w:left="1080"/>
        <w:jc w:val="both"/>
        <w:rPr>
          <w:rFonts w:ascii="Times New Roman" w:hAnsi="Times New Roman" w:cs="Times New Roman"/>
          <w:b/>
          <w:bCs/>
          <w:noProof/>
          <w:sz w:val="24"/>
          <w:szCs w:val="24"/>
        </w:rPr>
      </w:pPr>
    </w:p>
    <w:p w14:paraId="2CBEAB0C" w14:textId="4BD69968" w:rsidR="0070061E" w:rsidRDefault="0070061E" w:rsidP="00D07171">
      <w:pPr>
        <w:pStyle w:val="ListParagraph"/>
        <w:spacing w:line="240" w:lineRule="auto"/>
        <w:ind w:left="1080"/>
        <w:jc w:val="both"/>
        <w:rPr>
          <w:rFonts w:ascii="Times New Roman" w:hAnsi="Times New Roman" w:cs="Times New Roman"/>
          <w:b/>
          <w:bCs/>
          <w:noProof/>
          <w:sz w:val="24"/>
          <w:szCs w:val="24"/>
        </w:rPr>
      </w:pPr>
    </w:p>
    <w:p w14:paraId="02C7F81C" w14:textId="77777777" w:rsidR="0070061E" w:rsidRDefault="0070061E" w:rsidP="00D07171">
      <w:pPr>
        <w:pStyle w:val="ListParagraph"/>
        <w:spacing w:line="240" w:lineRule="auto"/>
        <w:ind w:left="1080"/>
        <w:jc w:val="both"/>
        <w:rPr>
          <w:rFonts w:ascii="Times New Roman" w:hAnsi="Times New Roman" w:cs="Times New Roman"/>
          <w:b/>
          <w:bCs/>
          <w:noProof/>
          <w:sz w:val="24"/>
          <w:szCs w:val="24"/>
        </w:rPr>
      </w:pPr>
    </w:p>
    <w:p w14:paraId="566A75FE" w14:textId="46EA1CCF" w:rsidR="005B39A8" w:rsidRDefault="005B39A8" w:rsidP="005B39A8">
      <w:pPr>
        <w:pStyle w:val="ListParagraph"/>
        <w:numPr>
          <w:ilvl w:val="0"/>
          <w:numId w:val="18"/>
        </w:numPr>
        <w:spacing w:line="240" w:lineRule="auto"/>
        <w:jc w:val="both"/>
        <w:rPr>
          <w:rFonts w:ascii="Times New Roman" w:hAnsi="Times New Roman" w:cs="Times New Roman"/>
          <w:b/>
          <w:bCs/>
          <w:noProof/>
          <w:sz w:val="24"/>
          <w:szCs w:val="24"/>
        </w:rPr>
      </w:pPr>
      <w:r>
        <w:rPr>
          <w:rFonts w:ascii="Times New Roman" w:hAnsi="Times New Roman"/>
          <w:b/>
          <w:noProof/>
          <w:sz w:val="24"/>
        </w:rPr>
        <w:t>Στόχοι ανθεκτικότητας στις καταστροφές στο πλαίσιο της παγκόσμιας ανθεκτικότητας</w:t>
      </w:r>
    </w:p>
    <w:p w14:paraId="4D3D7980" w14:textId="26E76D26" w:rsidR="005B39A8" w:rsidRPr="008D157D" w:rsidRDefault="5EEA2D26" w:rsidP="00250E06">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Οι καταστροφές δεν σταματούν στα σύνορα της ΕΕ. Η επίτευξη ανθεκτικότητας στις καταστροφές επιβάλλει επίσης ευρείες εταιρικές σχέσεις με τους φορείς λήψης αποφάσεων και τα ενδιαφερόμενα μέρη σε παγκόσμιο επίπεδο. Ως εκ τούτου, η ενισχυμένη συνεργασία για την ανθεκτικότητα με βασικούς εταίρους, γειτονικές και άλλες τρίτες χώρες έχει ουσιαστική σημασία. Η ανθεκτικότητα των οντοτήτων που διαχειρίζονται κρίσιμες υποδομές, καθώς και η ικανότητα αντιμετώπισης υβριδικών απειλών και κυβερνοεπιθέσεων, μεταξύ άλλων με την προώθηση συνεργειών με τις </w:t>
      </w:r>
      <w:r>
        <w:rPr>
          <w:rFonts w:ascii="Times New Roman" w:hAnsi="Times New Roman"/>
          <w:b/>
          <w:noProof/>
          <w:sz w:val="24"/>
        </w:rPr>
        <w:t>επτά βασικές απαιτήσεις του ΝΑΤΟ για την πολιτική ετοιμότητα</w:t>
      </w:r>
      <w:r>
        <w:rPr>
          <w:rStyle w:val="FootnoteReference"/>
          <w:rFonts w:ascii="Times New Roman" w:hAnsi="Times New Roman" w:cs="Times New Roman"/>
          <w:noProof/>
          <w:sz w:val="24"/>
          <w:szCs w:val="24"/>
          <w:lang w:val="en-IE"/>
        </w:rPr>
        <w:footnoteReference w:id="27"/>
      </w:r>
      <w:r>
        <w:rPr>
          <w:rFonts w:ascii="Times New Roman" w:hAnsi="Times New Roman"/>
          <w:noProof/>
          <w:sz w:val="24"/>
        </w:rPr>
        <w:t xml:space="preserve">, θα συμβάλουν στη διατήρηση των ευρωπαϊκών βασικών αξιών. Επιπλέον, οι στόχοι ανθεκτικότητας στις καταστροφές συμπληρώνουν τη δέσμευση της ΕΕ στο πλαίσιο της </w:t>
      </w:r>
      <w:r>
        <w:rPr>
          <w:rFonts w:ascii="Times New Roman" w:hAnsi="Times New Roman"/>
          <w:b/>
          <w:noProof/>
          <w:sz w:val="24"/>
        </w:rPr>
        <w:t>στρατηγικής πυξίδας για την ασφάλεια και την άμυνα</w:t>
      </w:r>
      <w:r>
        <w:rPr>
          <w:rStyle w:val="FootnoteReference"/>
          <w:rFonts w:ascii="Times New Roman" w:hAnsi="Times New Roman" w:cs="Times New Roman"/>
          <w:noProof/>
          <w:sz w:val="24"/>
          <w:szCs w:val="24"/>
          <w:lang w:val="en-IE"/>
        </w:rPr>
        <w:footnoteReference w:id="28"/>
      </w:r>
      <w:r>
        <w:rPr>
          <w:rFonts w:ascii="Times New Roman" w:hAnsi="Times New Roman"/>
          <w:noProof/>
          <w:sz w:val="24"/>
        </w:rPr>
        <w:t xml:space="preserve"> όσον αφορά τη βελτίωση της στρατιωτικής και μη στρατιωτικής συνεργασίας για τη στήριξη των προσπαθειών αντιμετώπισης πολιτικών καταστροφών.</w:t>
      </w:r>
    </w:p>
    <w:p w14:paraId="4A6AF060" w14:textId="77777777" w:rsidR="005B39A8" w:rsidRPr="00285BD6" w:rsidRDefault="005B39A8" w:rsidP="005B39A8">
      <w:pPr>
        <w:autoSpaceDE w:val="0"/>
        <w:autoSpaceDN w:val="0"/>
        <w:adjustRightInd w:val="0"/>
        <w:spacing w:after="0" w:line="240" w:lineRule="auto"/>
        <w:jc w:val="both"/>
        <w:rPr>
          <w:rFonts w:ascii="Times New Roman" w:hAnsi="Times New Roman" w:cs="Times New Roman"/>
          <w:noProof/>
          <w:sz w:val="24"/>
          <w:szCs w:val="24"/>
        </w:rPr>
      </w:pPr>
    </w:p>
    <w:p w14:paraId="2F2DFD2E" w14:textId="274C08AD" w:rsidR="00F119F7" w:rsidRPr="008D157D" w:rsidRDefault="00FB197E"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Η περιφερειακή συνεργασία μπορεί να προωθήσει τους </w:t>
      </w:r>
      <w:r>
        <w:rPr>
          <w:rFonts w:ascii="Times New Roman" w:hAnsi="Times New Roman"/>
          <w:noProof/>
          <w:sz w:val="24"/>
          <w:shd w:val="clear" w:color="auto" w:fill="FFFFFF"/>
        </w:rPr>
        <w:t xml:space="preserve">στόχους ανθεκτικότητας στις καταστροφές </w:t>
      </w:r>
      <w:r>
        <w:rPr>
          <w:rFonts w:ascii="Times New Roman" w:hAnsi="Times New Roman"/>
          <w:noProof/>
          <w:sz w:val="24"/>
        </w:rPr>
        <w:t xml:space="preserve">ως </w:t>
      </w:r>
      <w:r>
        <w:rPr>
          <w:rFonts w:ascii="Times New Roman" w:hAnsi="Times New Roman"/>
          <w:noProof/>
          <w:sz w:val="24"/>
          <w:shd w:val="clear" w:color="auto" w:fill="FFFFFF"/>
        </w:rPr>
        <w:t xml:space="preserve">το </w:t>
      </w:r>
      <w:r>
        <w:rPr>
          <w:rFonts w:ascii="Times New Roman" w:hAnsi="Times New Roman"/>
          <w:b/>
          <w:noProof/>
          <w:sz w:val="24"/>
          <w:shd w:val="clear" w:color="auto" w:fill="FFFFFF"/>
        </w:rPr>
        <w:t>«μοντέλο της ΕΕ»</w:t>
      </w:r>
      <w:r>
        <w:rPr>
          <w:rFonts w:ascii="Times New Roman" w:hAnsi="Times New Roman"/>
          <w:noProof/>
          <w:sz w:val="24"/>
          <w:shd w:val="clear" w:color="auto" w:fill="FFFFFF"/>
        </w:rPr>
        <w:t xml:space="preserve"> για τη διασυνοριακή διαχείριση κινδύνων, την ετοιμότητα σε περιπτώσεις καταστροφής και τη συλλογική αντίδραση σε άλλα μέρη του κόσμου. Με την επέκταση της συμμετοχής στον μηχανισμό της Ένωσης στα Δυτικά Βαλκάνια και τις γειτονικές χώρες, οι στόχοι ανθεκτικότητας στις καταστροφές θα πρέπει να αποτελέσουν </w:t>
      </w:r>
      <w:r>
        <w:rPr>
          <w:rFonts w:ascii="Times New Roman" w:hAnsi="Times New Roman"/>
          <w:noProof/>
          <w:sz w:val="24"/>
        </w:rPr>
        <w:t xml:space="preserve">σημείο αναφοράς </w:t>
      </w:r>
      <w:r>
        <w:rPr>
          <w:rFonts w:ascii="Times New Roman" w:hAnsi="Times New Roman"/>
          <w:noProof/>
          <w:sz w:val="24"/>
          <w:shd w:val="clear" w:color="auto" w:fill="FFFFFF"/>
        </w:rPr>
        <w:t>για την καθοδήγηση και την προώθηση του πολιτικού διαλόγου σχετικά με τη διαχείριση του κινδύνου καταστροφών, την προσαρμογή στην κλιματική αλλαγή και την προστασία του περιβάλλοντος.</w:t>
      </w:r>
      <w:r>
        <w:rPr>
          <w:rFonts w:ascii="Times New Roman" w:hAnsi="Times New Roman"/>
          <w:noProof/>
          <w:sz w:val="24"/>
        </w:rPr>
        <w:t xml:space="preserve"> Η επέκταση των συστημάτων έγκαιρης προειδοποίησης σε παγκόσμιο επίπεδο</w:t>
      </w:r>
      <w:r>
        <w:rPr>
          <w:rStyle w:val="FootnoteReference"/>
          <w:rFonts w:ascii="Times New Roman" w:hAnsi="Times New Roman" w:cs="Times New Roman"/>
          <w:noProof/>
          <w:sz w:val="24"/>
          <w:szCs w:val="24"/>
          <w:lang w:val="en-IE"/>
        </w:rPr>
        <w:footnoteReference w:id="29"/>
      </w:r>
      <w:r>
        <w:rPr>
          <w:rFonts w:ascii="Times New Roman" w:hAnsi="Times New Roman"/>
          <w:noProof/>
          <w:sz w:val="24"/>
        </w:rPr>
        <w:t xml:space="preserve"> και η προώθηση στρατηγικών χρηματοδότησης κινδύνων καταστροφών, παράλληλα με την παροχή χρηματοδοτικής και τεχνικής βοήθειας για την ενίσχυση των συστημάτων πολιτικής προστασίας στις χώρες εταίρους, θα ενισχύσουν την ανθεκτικότητα πέραν της ΕΕ.</w:t>
      </w:r>
    </w:p>
    <w:p w14:paraId="03947AA8" w14:textId="501C82F2" w:rsidR="005B39A8" w:rsidRPr="008D157D" w:rsidRDefault="005B39A8"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14:paraId="72322218" w14:textId="1B9FE6A2" w:rsidR="005B39A8" w:rsidRPr="008D157D" w:rsidRDefault="00966888" w:rsidP="00E7578B">
      <w:pPr>
        <w:spacing w:line="240" w:lineRule="auto"/>
        <w:jc w:val="both"/>
        <w:rPr>
          <w:rFonts w:ascii="Times New Roman" w:hAnsi="Times New Roman" w:cs="Times New Roman"/>
          <w:noProof/>
          <w:sz w:val="24"/>
          <w:szCs w:val="24"/>
        </w:rPr>
      </w:pPr>
      <w:r>
        <w:rPr>
          <w:rFonts w:ascii="Times New Roman" w:hAnsi="Times New Roman"/>
          <w:noProof/>
          <w:sz w:val="24"/>
        </w:rPr>
        <w:t xml:space="preserve">Οι στόχοι ανθεκτικότητας στις καταστροφές μπορούν επίσης να ενισχύσουν τον ρόλο της ΕΕ ως </w:t>
      </w:r>
      <w:r>
        <w:rPr>
          <w:rFonts w:ascii="Times New Roman" w:hAnsi="Times New Roman"/>
          <w:b/>
          <w:noProof/>
          <w:sz w:val="24"/>
        </w:rPr>
        <w:t>αξιόπιστου και παγκόσμιου υπεύθυνου παράγοντα</w:t>
      </w:r>
      <w:r>
        <w:rPr>
          <w:rFonts w:ascii="Times New Roman" w:hAnsi="Times New Roman"/>
          <w:noProof/>
          <w:sz w:val="24"/>
        </w:rPr>
        <w:t xml:space="preserve">. Θα </w:t>
      </w:r>
      <w:r>
        <w:rPr>
          <w:rFonts w:ascii="Times New Roman" w:hAnsi="Times New Roman"/>
          <w:noProof/>
          <w:sz w:val="24"/>
          <w:shd w:val="clear" w:color="auto" w:fill="FFFFFF"/>
        </w:rPr>
        <w:t xml:space="preserve">συμβάλουν </w:t>
      </w:r>
      <w:r>
        <w:rPr>
          <w:rFonts w:ascii="Times New Roman" w:hAnsi="Times New Roman"/>
          <w:noProof/>
          <w:sz w:val="24"/>
        </w:rPr>
        <w:t>στην επίτευξη των</w:t>
      </w:r>
      <w:r>
        <w:rPr>
          <w:rFonts w:ascii="Times New Roman" w:hAnsi="Times New Roman"/>
          <w:noProof/>
          <w:sz w:val="24"/>
          <w:shd w:val="clear" w:color="auto" w:fill="FFFFFF"/>
        </w:rPr>
        <w:t xml:space="preserve"> </w:t>
      </w:r>
      <w:r>
        <w:rPr>
          <w:rFonts w:ascii="Times New Roman" w:hAnsi="Times New Roman"/>
          <w:noProof/>
          <w:sz w:val="24"/>
        </w:rPr>
        <w:t>προτεραιοτήτων</w:t>
      </w:r>
      <w:r>
        <w:rPr>
          <w:rFonts w:ascii="Times New Roman" w:hAnsi="Times New Roman"/>
          <w:noProof/>
          <w:sz w:val="24"/>
          <w:shd w:val="clear" w:color="auto" w:fill="FFFFFF"/>
        </w:rPr>
        <w:t xml:space="preserve"> και των στόχων του πλαισίου Σεντάι</w:t>
      </w:r>
      <w:r>
        <w:rPr>
          <w:rFonts w:ascii="Times New Roman" w:hAnsi="Times New Roman"/>
          <w:noProof/>
          <w:sz w:val="24"/>
        </w:rPr>
        <w:t xml:space="preserve"> για τη μείωση του κινδύνου καταστροφών την περίοδο </w:t>
      </w:r>
      <w:r>
        <w:rPr>
          <w:rFonts w:ascii="Times New Roman" w:hAnsi="Times New Roman"/>
          <w:noProof/>
          <w:sz w:val="24"/>
          <w:shd w:val="clear" w:color="auto" w:fill="FFFFFF"/>
        </w:rPr>
        <w:t>2015-2030.</w:t>
      </w:r>
      <w:r>
        <w:rPr>
          <w:rFonts w:ascii="Times New Roman" w:hAnsi="Times New Roman"/>
          <w:noProof/>
          <w:sz w:val="24"/>
        </w:rPr>
        <w:t xml:space="preserve"> Η συνεδρίαση υψηλού επιπέδου της Γενικής Συνέλευσης στη Νέα Υόρκη στις 18-19 Μαΐου 2023 σχετικά με την ενδιάμεση επανεξέταση του πλαισίου Σεντάι αποτελεί ευκαιρία για την παρουσίαση των στόχων και την προώθησή τους σε παγκόσμιο επίπεδο. Οι στόχοι θα συμβάλουν επίσης στην επίτευξη των στόχων βιώσιμης ανάπτυξης και στην εφαρμογή της συμφωνίας του Παρισιού. </w:t>
      </w:r>
    </w:p>
    <w:p w14:paraId="0852F339" w14:textId="14E1C326" w:rsidR="005B39A8" w:rsidRPr="00B31C80" w:rsidRDefault="0070061E" w:rsidP="005B39A8">
      <w:pPr>
        <w:spacing w:after="0" w:line="240" w:lineRule="auto"/>
        <w:jc w:val="both"/>
        <w:rPr>
          <w:rFonts w:ascii="Times New Roman" w:hAnsi="Times New Roman" w:cs="Times New Roman"/>
          <w:iCs/>
          <w:noProof/>
          <w:sz w:val="24"/>
          <w:szCs w:val="24"/>
          <w:highlight w:val="green"/>
        </w:rPr>
      </w:pPr>
      <w:r>
        <w:rPr>
          <w:noProof/>
        </w:rPr>
        <w:t xml:space="preserve"> </w:t>
      </w:r>
      <w:r>
        <w:rPr>
          <w:noProof/>
        </w:rPr>
        <w:br/>
      </w:r>
    </w:p>
    <w:p w14:paraId="714998F6" w14:textId="77777777" w:rsidR="005B39A8" w:rsidRPr="00E269DD" w:rsidRDefault="005B39A8" w:rsidP="005B39A8">
      <w:pPr>
        <w:pStyle w:val="ListParagraph"/>
        <w:numPr>
          <w:ilvl w:val="0"/>
          <w:numId w:val="18"/>
        </w:numPr>
        <w:spacing w:line="240" w:lineRule="auto"/>
        <w:jc w:val="both"/>
        <w:rPr>
          <w:rFonts w:ascii="Times New Roman" w:hAnsi="Times New Roman" w:cs="Times New Roman"/>
          <w:b/>
          <w:bCs/>
          <w:noProof/>
          <w:sz w:val="24"/>
          <w:szCs w:val="24"/>
        </w:rPr>
      </w:pPr>
      <w:r>
        <w:rPr>
          <w:rFonts w:ascii="Times New Roman" w:hAnsi="Times New Roman"/>
          <w:b/>
          <w:noProof/>
          <w:sz w:val="24"/>
        </w:rPr>
        <w:t>Μια εξελισσόμενη προσέγγιση — συμπεράσματα και επόμενα βήματα</w:t>
      </w:r>
    </w:p>
    <w:p w14:paraId="2F7E0B9B" w14:textId="605F9104" w:rsidR="005B39A8" w:rsidRPr="008D157D" w:rsidRDefault="6BA5F124"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Το τοπίο του κινδύνου καταστροφών θα συνεχίσει να εξελίσσεται, δεδομένου ότι οι συνιστώσες του διαμορφώνονται από ανθρώπινες δραστηριότητες, παγκόσμιες τάσεις και πολλαπλούς κλυδωνισμούς. Ως εκ τούτου, </w:t>
      </w:r>
      <w:r>
        <w:rPr>
          <w:rFonts w:ascii="Times New Roman" w:hAnsi="Times New Roman"/>
          <w:b/>
          <w:noProof/>
          <w:sz w:val="24"/>
          <w:shd w:val="clear" w:color="auto" w:fill="FFFFFF"/>
        </w:rPr>
        <w:t>οι στόχοι ανθεκτικότητας στις καταστροφές θα πρέπει επίσης να παραμείνουν δυναμικοί, να υποβάλλονται σε περιοδικό έλεγχο καταλληλότητας και να εξελίσσονται με την πάροδο του χρόνου</w:t>
      </w:r>
      <w:r>
        <w:rPr>
          <w:rFonts w:ascii="Times New Roman" w:hAnsi="Times New Roman"/>
          <w:noProof/>
          <w:sz w:val="24"/>
        </w:rPr>
        <w:t xml:space="preserve">. Οι στόχοι αυτοί απαιτούν επίσης τη σημαντική σταθερή δέσμευση των κρατών μελών, προκειμένου να διασφαλιστεί η προσέλκυση των αναγκαίων επενδύσεων για την ενίσχυση της πρόληψης καταστροφών και της ετοιμότητας. Ως εκ τούτου, είναι ζωτικής σημασίας η Επιτροπή και τα κράτη μέλη να επανεξετάζουν τακτικά από κοινού τους στόχους ανθεκτικότητας στις καταστροφές και να αξιολογούν την πρόοδο που σημειώνεται. </w:t>
      </w:r>
    </w:p>
    <w:p w14:paraId="11900510" w14:textId="77777777" w:rsidR="005B39A8" w:rsidRPr="008D157D" w:rsidRDefault="005B39A8" w:rsidP="005B39A8">
      <w:pPr>
        <w:spacing w:after="0" w:line="240" w:lineRule="auto"/>
        <w:jc w:val="both"/>
        <w:rPr>
          <w:rFonts w:ascii="Times New Roman" w:hAnsi="Times New Roman" w:cs="Times New Roman"/>
          <w:noProof/>
          <w:sz w:val="24"/>
          <w:szCs w:val="24"/>
        </w:rPr>
      </w:pPr>
    </w:p>
    <w:p w14:paraId="5D1F02CA" w14:textId="44C86EDF" w:rsidR="005B39A8" w:rsidRPr="008D157D" w:rsidRDefault="005B39A8"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Το 2023, οι εργασίες για την εφαρμογή των συστάσεων θα πρέπει να ξεκινήσουν τόσο σε ενωσιακό όσο και σε εθνικό επίπεδο. Αυτό θα περιλαμβάνει τη λήψη συγκεκριμένων μέτρων για την υλοποίηση των προτεινόμενων εμβληματικών δράσεων, αλλά και τη διάδοση των στόχων ανθεκτικότητας στις καταστροφές, με προσέγγιση των βασικών ενδιαφερόμενων μερών στα κράτη μέλη, και την ανάπτυξη αποτελεσματικών δεσμών με ενωσιακές και παγκόσμιες πρωτοβουλίες ανθεκτικότητας. </w:t>
      </w:r>
    </w:p>
    <w:p w14:paraId="09BAE045" w14:textId="77777777" w:rsidR="005B39A8" w:rsidRPr="008D157D" w:rsidRDefault="005B39A8" w:rsidP="005B39A8">
      <w:pPr>
        <w:spacing w:after="0" w:line="240" w:lineRule="auto"/>
        <w:jc w:val="both"/>
        <w:rPr>
          <w:rFonts w:ascii="Times New Roman" w:hAnsi="Times New Roman" w:cs="Times New Roman"/>
          <w:noProof/>
          <w:sz w:val="24"/>
          <w:szCs w:val="24"/>
        </w:rPr>
      </w:pPr>
    </w:p>
    <w:p w14:paraId="613A6538" w14:textId="57288D2A" w:rsidR="005B39A8" w:rsidRPr="008D157D" w:rsidRDefault="005B39A8"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Κατά τη διάρκεια του 2024, τα στοιχεία που παρέχουν τα νέα σενάρια καταστροφών και οι προσανατολισμοί που παρέχει η επικείμενη ευρωπαϊκή εκτίμηση των κλιματικών κινδύνων</w:t>
      </w:r>
      <w:r>
        <w:rPr>
          <w:rStyle w:val="FootnoteReference"/>
          <w:rFonts w:ascii="Times New Roman" w:hAnsi="Times New Roman" w:cs="Times New Roman"/>
          <w:noProof/>
          <w:sz w:val="24"/>
          <w:szCs w:val="24"/>
        </w:rPr>
        <w:footnoteReference w:id="30"/>
      </w:r>
      <w:r>
        <w:rPr>
          <w:rFonts w:ascii="Times New Roman" w:hAnsi="Times New Roman"/>
          <w:noProof/>
          <w:sz w:val="24"/>
        </w:rPr>
        <w:t xml:space="preserve"> θα αποτυπωθούν σε σύσταση σχετικά με τους στόχους ανθεκτικότητας στις καταστροφές. Θα πρέπει να δρομολογηθεί μια </w:t>
      </w:r>
      <w:r>
        <w:rPr>
          <w:rFonts w:ascii="Times New Roman" w:hAnsi="Times New Roman"/>
          <w:b/>
          <w:noProof/>
          <w:sz w:val="24"/>
          <w:shd w:val="clear" w:color="auto" w:fill="FFFFFF"/>
        </w:rPr>
        <w:t>ολοκληρωμένη διαδικασία αξιολόγησης από ομοτίμους της υλοποίησης των στόχων ανθεκτικότητας στις καταστροφές</w:t>
      </w:r>
      <w:r>
        <w:rPr>
          <w:rFonts w:ascii="Times New Roman" w:hAnsi="Times New Roman"/>
          <w:noProof/>
          <w:sz w:val="24"/>
        </w:rPr>
        <w:t xml:space="preserve"> σε επίπεδο χώρας. Τέλος, η πρόοδος της υλοποίησης των στόχων θα επανεξεταστεί επίσης κατά το επόμενο φόρουμ πολιτικής προστασίας το 2024.</w:t>
      </w:r>
    </w:p>
    <w:p w14:paraId="184A115A" w14:textId="77777777" w:rsidR="005B39A8" w:rsidRPr="008D157D" w:rsidRDefault="005B39A8" w:rsidP="005B39A8">
      <w:pPr>
        <w:spacing w:after="0" w:line="240" w:lineRule="auto"/>
        <w:jc w:val="both"/>
        <w:rPr>
          <w:rFonts w:ascii="Times New Roman" w:hAnsi="Times New Roman" w:cs="Times New Roman"/>
          <w:noProof/>
          <w:sz w:val="24"/>
          <w:szCs w:val="24"/>
        </w:rPr>
      </w:pPr>
    </w:p>
    <w:p w14:paraId="6C8874C5" w14:textId="21F128EE" w:rsidR="005B39A8" w:rsidRPr="008D157D" w:rsidRDefault="4F340BBC" w:rsidP="005B39A8">
      <w:pPr>
        <w:spacing w:after="0" w:line="240" w:lineRule="auto"/>
        <w:jc w:val="both"/>
        <w:rPr>
          <w:rFonts w:ascii="Times New Roman" w:hAnsi="Times New Roman" w:cs="Times New Roman"/>
          <w:noProof/>
          <w:sz w:val="24"/>
          <w:szCs w:val="24"/>
        </w:rPr>
      </w:pPr>
      <w:r>
        <w:rPr>
          <w:rFonts w:ascii="Times New Roman" w:hAnsi="Times New Roman"/>
          <w:noProof/>
          <w:sz w:val="24"/>
        </w:rPr>
        <w:t>Στις ευρύτερες προσπάθειές της για την ενίσχυση της ανθεκτικότητας, η Επιτροπή προτίθεται να στηρίξει την ανάπτυξη ικανοτήτων και την ανταλλαγή ορθών πρακτικών μεταξύ των κρατών μελών στους τομείς που καλύπτονται από τους στόχους ανθεκτικότητας στις καταστροφές, μεταξύ άλλων μέσω αξιολογήσεων από ομοτίμους, χρηματοδοτικής και τεχνικής βοήθειας και με τη στήριξη ευρωπαϊκών και παγκόσμιων εταίρων. Το δίκτυο γνώσεων για την πολιτική προστασία της Ένωσης</w:t>
      </w:r>
      <w:r>
        <w:rPr>
          <w:rStyle w:val="FootnoteReference"/>
          <w:rFonts w:ascii="Times New Roman" w:hAnsi="Times New Roman" w:cs="Times New Roman"/>
          <w:noProof/>
          <w:sz w:val="24"/>
          <w:szCs w:val="24"/>
        </w:rPr>
        <w:footnoteReference w:id="31"/>
      </w:r>
      <w:r>
        <w:rPr>
          <w:rFonts w:ascii="Times New Roman" w:hAnsi="Times New Roman"/>
          <w:noProof/>
          <w:sz w:val="24"/>
        </w:rPr>
        <w:t xml:space="preserve"> θα παρέχει την υπηρεσία μίας στάσης στους επαγγελματίες, τους ερευνητές και τους φορείς της κοινωνίας των πολιτών, ώστε να επικοινωνούν, να ανταλλάσσουν γνώσεις και να συμμετέχουν από κοινού στους στόχους ανθεκτικότητας στις καταστροφές.</w:t>
      </w:r>
    </w:p>
    <w:p w14:paraId="49F4A9EB" w14:textId="77777777" w:rsidR="005B39A8" w:rsidRPr="00E269DD" w:rsidRDefault="005B39A8" w:rsidP="005B39A8">
      <w:pPr>
        <w:spacing w:after="0" w:line="240" w:lineRule="auto"/>
        <w:jc w:val="both"/>
        <w:rPr>
          <w:rFonts w:ascii="Times New Roman" w:hAnsi="Times New Roman" w:cs="Times New Roman"/>
          <w:noProof/>
          <w:sz w:val="24"/>
          <w:szCs w:val="24"/>
        </w:rPr>
      </w:pPr>
    </w:p>
    <w:sectPr w:rsidR="005B39A8" w:rsidRPr="00E269DD" w:rsidSect="007F6E8A">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74FA7" w14:textId="77777777" w:rsidR="001B409E" w:rsidRDefault="001B409E" w:rsidP="005B39A8">
      <w:pPr>
        <w:spacing w:after="0" w:line="240" w:lineRule="auto"/>
      </w:pPr>
      <w:r>
        <w:separator/>
      </w:r>
    </w:p>
  </w:endnote>
  <w:endnote w:type="continuationSeparator" w:id="0">
    <w:p w14:paraId="0B2D61E3" w14:textId="77777777" w:rsidR="001B409E" w:rsidRDefault="001B409E" w:rsidP="005B39A8">
      <w:pPr>
        <w:spacing w:after="0" w:line="240" w:lineRule="auto"/>
      </w:pPr>
      <w:r>
        <w:continuationSeparator/>
      </w:r>
    </w:p>
  </w:endnote>
  <w:endnote w:type="continuationNotice" w:id="1">
    <w:p w14:paraId="0F35C2E0" w14:textId="77777777" w:rsidR="001B409E" w:rsidRDefault="001B4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C Square Sans Pro">
    <w:charset w:val="00"/>
    <w:family w:val="swiss"/>
    <w:pitch w:val="variable"/>
    <w:sig w:usb0="A00002BF" w:usb1="5000E0FB" w:usb2="00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CFEA" w14:textId="77777777" w:rsidR="00CB7CA9" w:rsidRPr="00CB7CA9" w:rsidRDefault="00CB7CA9" w:rsidP="00CB7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BF0E9" w14:textId="534FC0DC" w:rsidR="00285BD6" w:rsidRPr="00CB7CA9" w:rsidRDefault="00CB7CA9" w:rsidP="00CB7CA9">
    <w:pPr>
      <w:pStyle w:val="FooterCoverPage"/>
      <w:rPr>
        <w:rFonts w:ascii="Arial" w:hAnsi="Arial" w:cs="Arial"/>
        <w:b/>
        <w:sz w:val="48"/>
      </w:rPr>
    </w:pPr>
    <w:r w:rsidRPr="00CB7CA9">
      <w:rPr>
        <w:rFonts w:ascii="Arial" w:hAnsi="Arial" w:cs="Arial"/>
        <w:b/>
        <w:sz w:val="48"/>
      </w:rPr>
      <w:t>EL</w:t>
    </w:r>
    <w:r w:rsidRPr="00CB7CA9">
      <w:rPr>
        <w:rFonts w:ascii="Arial" w:hAnsi="Arial" w:cs="Arial"/>
        <w:b/>
        <w:sz w:val="48"/>
      </w:rPr>
      <w:tab/>
    </w:r>
    <w:r w:rsidRPr="00CB7CA9">
      <w:rPr>
        <w:rFonts w:ascii="Arial" w:hAnsi="Arial" w:cs="Arial"/>
        <w:b/>
        <w:sz w:val="48"/>
      </w:rPr>
      <w:tab/>
    </w:r>
    <w:r w:rsidRPr="00CB7CA9">
      <w:tab/>
    </w:r>
    <w:r w:rsidRPr="00CB7CA9">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92358" w14:textId="77777777" w:rsidR="00CB7CA9" w:rsidRPr="00CB7CA9" w:rsidRDefault="00CB7CA9" w:rsidP="00CB7CA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A52A" w14:textId="77777777" w:rsidR="003A0E7E" w:rsidRDefault="003A0E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699142"/>
      <w:docPartObj>
        <w:docPartGallery w:val="Page Numbers (Bottom of Page)"/>
        <w:docPartUnique/>
      </w:docPartObj>
    </w:sdtPr>
    <w:sdtEndPr>
      <w:rPr>
        <w:rFonts w:ascii="Times New Roman" w:hAnsi="Times New Roman" w:cs="Times New Roman"/>
        <w:noProof/>
      </w:rPr>
    </w:sdtEndPr>
    <w:sdtContent>
      <w:p w14:paraId="2EA6CC19" w14:textId="285DC146" w:rsidR="003A0E7E" w:rsidRPr="00B74228" w:rsidRDefault="005B39A8">
        <w:pPr>
          <w:pStyle w:val="Footer"/>
          <w:jc w:val="center"/>
          <w:rPr>
            <w:rFonts w:ascii="Times New Roman" w:hAnsi="Times New Roman" w:cs="Times New Roman"/>
          </w:rPr>
        </w:pPr>
        <w:r>
          <w:rPr>
            <w:rFonts w:ascii="Times New Roman" w:hAnsi="Times New Roman" w:cs="Times New Roman"/>
            <w:color w:val="2B579A"/>
            <w:shd w:val="clear" w:color="auto" w:fill="E6E6E6"/>
          </w:rPr>
          <w:fldChar w:fldCharType="begin"/>
        </w:r>
        <w:r>
          <w:rPr>
            <w:rFonts w:ascii="Times New Roman" w:hAnsi="Times New Roman" w:cs="Times New Roman"/>
          </w:rPr>
          <w:instrText xml:space="preserve"> PAGE   \* MERGEFORMAT </w:instrText>
        </w:r>
        <w:r>
          <w:rPr>
            <w:rFonts w:ascii="Times New Roman" w:hAnsi="Times New Roman" w:cs="Times New Roman"/>
            <w:color w:val="2B579A"/>
            <w:shd w:val="clear" w:color="auto" w:fill="E6E6E6"/>
          </w:rPr>
          <w:fldChar w:fldCharType="separate"/>
        </w:r>
        <w:r w:rsidR="00CB7CA9">
          <w:rPr>
            <w:rFonts w:ascii="Times New Roman" w:hAnsi="Times New Roman" w:cs="Times New Roman"/>
            <w:noProof/>
          </w:rPr>
          <w:t>1</w:t>
        </w:r>
        <w:r>
          <w:rPr>
            <w:rFonts w:ascii="Times New Roman" w:hAnsi="Times New Roman" w:cs="Times New Roman"/>
            <w:color w:val="2B579A"/>
            <w:shd w:val="clear" w:color="auto" w:fill="E6E6E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3134A" w14:textId="77777777" w:rsidR="003A0E7E" w:rsidRDefault="003A0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DD606" w14:textId="77777777" w:rsidR="001B409E" w:rsidRDefault="001B409E" w:rsidP="005B39A8">
      <w:pPr>
        <w:spacing w:after="0" w:line="240" w:lineRule="auto"/>
      </w:pPr>
      <w:r>
        <w:separator/>
      </w:r>
    </w:p>
  </w:footnote>
  <w:footnote w:type="continuationSeparator" w:id="0">
    <w:p w14:paraId="2E58AD6B" w14:textId="77777777" w:rsidR="001B409E" w:rsidRDefault="001B409E" w:rsidP="005B39A8">
      <w:pPr>
        <w:spacing w:after="0" w:line="240" w:lineRule="auto"/>
      </w:pPr>
      <w:r>
        <w:continuationSeparator/>
      </w:r>
    </w:p>
  </w:footnote>
  <w:footnote w:type="continuationNotice" w:id="1">
    <w:p w14:paraId="2B4BF525" w14:textId="77777777" w:rsidR="001B409E" w:rsidRDefault="001B409E">
      <w:pPr>
        <w:spacing w:after="0" w:line="240" w:lineRule="auto"/>
      </w:pPr>
    </w:p>
  </w:footnote>
  <w:footnote w:id="2">
    <w:p w14:paraId="13B8B2F1" w14:textId="77777777" w:rsidR="00D768BC" w:rsidRPr="00E125F4" w:rsidRDefault="00D768BC" w:rsidP="00D768B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hd w:val="clear" w:color="auto" w:fill="FFFFFF"/>
        </w:rPr>
        <w:t>The State of the Climate in Europe report (Η κατάσταση του κλίματος στην Ευρώπη), Παγκόσμιος Μετεωρολογικός Οργανισμός/WMO, 2022.</w:t>
      </w:r>
    </w:p>
  </w:footnote>
  <w:footnote w:id="3">
    <w:p w14:paraId="3FC819D1" w14:textId="77777777" w:rsidR="00D768BC" w:rsidRPr="00B31C80" w:rsidRDefault="00D768BC" w:rsidP="00D768BC">
      <w:pPr>
        <w:spacing w:after="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Ευρωπαϊκός Οργανισμός Περιβάλλοντος, </w:t>
      </w:r>
      <w:r>
        <w:rPr>
          <w:rFonts w:ascii="Times New Roman" w:hAnsi="Times New Roman"/>
          <w:i/>
          <w:sz w:val="20"/>
        </w:rPr>
        <w:t>Global and European temperatures</w:t>
      </w:r>
      <w:r>
        <w:rPr>
          <w:rFonts w:ascii="Times New Roman" w:hAnsi="Times New Roman"/>
          <w:sz w:val="20"/>
        </w:rPr>
        <w:t xml:space="preserve"> (Παγκόσμιες και ευρωπαϊκές θερμοκρασίες), 2022,</w:t>
      </w:r>
      <w:r>
        <w:t xml:space="preserve"> </w:t>
      </w:r>
      <w:hyperlink r:id="rId1" w:history="1">
        <w:r>
          <w:rPr>
            <w:rStyle w:val="Hyperlink"/>
            <w:rFonts w:ascii="Times New Roman" w:hAnsi="Times New Roman"/>
            <w:sz w:val="20"/>
          </w:rPr>
          <w:t>https://www.eea.europa.eu/ims/global-and-european-temperatures</w:t>
        </w:r>
      </w:hyperlink>
      <w:r>
        <w:t>.</w:t>
      </w:r>
    </w:p>
  </w:footnote>
  <w:footnote w:id="4">
    <w:p w14:paraId="7CB1A30F" w14:textId="38B2925A" w:rsidR="006D518F" w:rsidRPr="00B31C80" w:rsidRDefault="006D518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hd w:val="clear" w:color="auto" w:fill="FFFFFF"/>
        </w:rPr>
        <w:t xml:space="preserve">JRC, </w:t>
      </w:r>
      <w:r>
        <w:rPr>
          <w:rFonts w:ascii="Times New Roman" w:hAnsi="Times New Roman"/>
          <w:i/>
          <w:shd w:val="clear" w:color="auto" w:fill="FFFFFF"/>
        </w:rPr>
        <w:t>Drought in Europe (Ξηρασία στην Ευρώπη), Αύγουστος 2022</w:t>
      </w:r>
      <w:r>
        <w:rPr>
          <w:rFonts w:ascii="Times New Roman" w:hAnsi="Times New Roman"/>
          <w:shd w:val="clear" w:color="auto" w:fill="FFFFFF"/>
        </w:rPr>
        <w:t xml:space="preserve">, </w:t>
      </w:r>
      <w:hyperlink r:id="rId2" w:history="1">
        <w:r>
          <w:rPr>
            <w:rStyle w:val="Hyperlink"/>
            <w:rFonts w:ascii="Times New Roman" w:hAnsi="Times New Roman"/>
            <w:shd w:val="clear" w:color="auto" w:fill="FFFFFF"/>
          </w:rPr>
          <w:t>https://edo.jrc.ec.europa.eu/documents/news/GDO-EDODroughtNews202208_Europe.pdf</w:t>
        </w:r>
      </w:hyperlink>
      <w:r>
        <w:t>.</w:t>
      </w:r>
      <w:r>
        <w:rPr>
          <w:rFonts w:ascii="Times New Roman" w:hAnsi="Times New Roman"/>
          <w:shd w:val="clear" w:color="auto" w:fill="FFFFFF"/>
        </w:rPr>
        <w:t xml:space="preserve"> </w:t>
      </w:r>
    </w:p>
  </w:footnote>
  <w:footnote w:id="5">
    <w:p w14:paraId="13BE33E8" w14:textId="77777777" w:rsidR="005B39A8" w:rsidRPr="00B31C80" w:rsidRDefault="005B39A8" w:rsidP="005B39A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Από το 2006 που ξεκίνησε η καταγραφή των πυρκαγιών σε επίπεδο ΕΕ μέσω δορυφόρου.</w:t>
      </w:r>
    </w:p>
  </w:footnote>
  <w:footnote w:id="6">
    <w:p w14:paraId="5E820077" w14:textId="0903B2F5" w:rsidR="00D178D1" w:rsidRPr="00B31C80" w:rsidRDefault="00D178D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Η πολιτική προστασία συνίσταται στην παροχή βοήθειας έκτακτης ανάγκης υπό την αιγίδα των κυβερνητικών αρχών όσον αφορά την προετοιμασία για μια καταστροφή ή αμέσως μετά από αυτήν στην Ευρώπη και παγκοσμίως.</w:t>
      </w:r>
    </w:p>
  </w:footnote>
  <w:footnote w:id="7">
    <w:p w14:paraId="2EB01852" w14:textId="2AF59C08" w:rsidR="00094926" w:rsidRDefault="00094926" w:rsidP="0009492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Στον μηχανισμό πολιτικής προστασίας της Ένωσης συμμετέχουν τα 27 κράτη μέλη και 8 τρίτες χώρες (Αλβανία, Βόρεια Μακεδονία, Βοσνία και Ερζεγοβίνη, Ισλανδία, Μαυροβούνιο, Νορβηγία, Σερβία και Τουρκία). Το 2022, η Ουκρανία και η Μολδαβία ζήτησαν επίσημα να συμπεριληφθούν ως συμμετέχοντα κράτη στον μηχανισμό της Ένωσης.</w:t>
      </w:r>
    </w:p>
  </w:footnote>
  <w:footnote w:id="8">
    <w:p w14:paraId="601B20E7" w14:textId="5344A726" w:rsidR="00266A74" w:rsidRPr="00E93515" w:rsidRDefault="00266A7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Παρότι η ενεργοποίηση από την Ουκρανία το 2022 σχετικά με τον πόλεμο καταγράφηκε μόνο μία φορά, περιλαμβάνει περισσότερα από 120 επικαιροποιημένα αιτήματα παροχής βοήθειας.</w:t>
      </w:r>
    </w:p>
  </w:footnote>
  <w:footnote w:id="9">
    <w:p w14:paraId="1BECC4B5" w14:textId="2D31AAD7" w:rsidR="00E42E4B" w:rsidRDefault="00E42E4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Ευρωπαϊκή Πολιτική Προστασία και Επιχειρήσεις Ανθρωπιστικής Βοήθειας, </w:t>
      </w:r>
      <w:r>
        <w:rPr>
          <w:rFonts w:ascii="Times New Roman" w:hAnsi="Times New Roman"/>
          <w:i/>
        </w:rPr>
        <w:t>Ενημερωτικό δελτίο rescEU</w:t>
      </w:r>
      <w:r>
        <w:rPr>
          <w:rFonts w:ascii="Times New Roman" w:hAnsi="Times New Roman"/>
        </w:rPr>
        <w:t>,</w:t>
      </w:r>
      <w:r>
        <w:rPr>
          <w:i/>
        </w:rPr>
        <w:t xml:space="preserve"> </w:t>
      </w:r>
      <w:hyperlink r:id="rId3" w:history="1">
        <w:r>
          <w:rPr>
            <w:rStyle w:val="Hyperlink"/>
            <w:rFonts w:ascii="Times New Roman" w:hAnsi="Times New Roman"/>
          </w:rPr>
          <w:t>https://civil-protection-humanitarian-aid.ec.europa.eu/what/civil-protection/resceu_en</w:t>
        </w:r>
      </w:hyperlink>
    </w:p>
    <w:p w14:paraId="6FD9953E" w14:textId="77777777" w:rsidR="00E93515" w:rsidRPr="00E42E4B" w:rsidRDefault="00E93515">
      <w:pPr>
        <w:pStyle w:val="FootnoteText"/>
      </w:pPr>
    </w:p>
  </w:footnote>
  <w:footnote w:id="10">
    <w:p w14:paraId="5E7EEE32" w14:textId="428592EC" w:rsidR="005B39A8" w:rsidRPr="00B31C80" w:rsidRDefault="005B39A8" w:rsidP="005B39A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Άρθρο 6 παράγραφος 5 της απόφασης αριθ. 1313/2013/ΕΕ. </w:t>
      </w:r>
    </w:p>
  </w:footnote>
  <w:footnote w:id="11">
    <w:p w14:paraId="4684ED8C" w14:textId="4544A57F" w:rsidR="005B39A8" w:rsidRPr="00783EC8" w:rsidRDefault="005B39A8" w:rsidP="005B39A8">
      <w:pPr>
        <w:pStyle w:val="FootnoteText"/>
      </w:pPr>
      <w:r>
        <w:rPr>
          <w:rStyle w:val="FootnoteReference"/>
          <w:rFonts w:ascii="Times New Roman" w:hAnsi="Times New Roman" w:cs="Times New Roman"/>
        </w:rPr>
        <w:footnoteRef/>
      </w:r>
      <w:r>
        <w:rPr>
          <w:rFonts w:ascii="Times New Roman" w:hAnsi="Times New Roman"/>
        </w:rPr>
        <w:t xml:space="preserve"> Σύσταση της Επιτροπής σχετικά με τους ενωσιακούς στόχους ανθεκτικότητας στις καταστροφές, C(2023) 400.</w:t>
      </w:r>
    </w:p>
  </w:footnote>
  <w:footnote w:id="12">
    <w:p w14:paraId="29B7179B" w14:textId="0D02504E" w:rsidR="00840DC2" w:rsidRPr="00B31C80" w:rsidRDefault="00840DC2" w:rsidP="00840DC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Η Επιτροπή ανέπτυξε πίνακες ανθεκτικότητας με σκοπό την ολιστική αξιολόγηση της ανθεκτικότητας της ΕΕ και των κρατών μελών της. Οι δείκτες στους πίνακες ανθεκτικότητας καλύπτουν τέσσερις διαστάσεις: την κοινωνική και οικονομική, την πράσινη, την ψηφιακή και τη γεωπολιτική. </w:t>
      </w:r>
      <w:hyperlink r:id="rId4" w:history="1">
        <w:r>
          <w:rPr>
            <w:rStyle w:val="Hyperlink"/>
            <w:rFonts w:ascii="Times New Roman" w:hAnsi="Times New Roman"/>
          </w:rPr>
          <w:t>https://commission.europa.eu/strategy-and-policy/strategic-planning/strategic-foresight/2020-strategic-foresight-report/resilience-dashboards_el</w:t>
        </w:r>
      </w:hyperlink>
      <w:r>
        <w:t>.</w:t>
      </w:r>
      <w:r>
        <w:rPr>
          <w:rFonts w:ascii="Times New Roman" w:hAnsi="Times New Roman"/>
        </w:rPr>
        <w:t xml:space="preserve"> </w:t>
      </w:r>
    </w:p>
  </w:footnote>
  <w:footnote w:id="13">
    <w:p w14:paraId="27A0F8E6" w14:textId="01868A29" w:rsidR="004A698C" w:rsidRPr="003D38C6" w:rsidRDefault="004A698C" w:rsidP="004A698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Προκειμένου να ενισχυθεί η ανθεκτικότητα των μεταφορών της ΕΕ σε περιόδους κρίσεων, η Επιτροπή εξέδωσε ανακοίνωση σχετικά με το σχέδιο έκτακτης ανάγκης για τις μεταφορές [COM(2022) 211 final]. Βλ. επίσης το σχέδιο δράσης για τη στρατιωτική κινητικότητα 2.0: </w:t>
      </w:r>
      <w:hyperlink r:id="rId5" w:history="1">
        <w:r>
          <w:rPr>
            <w:rStyle w:val="Hyperlink"/>
            <w:rFonts w:ascii="Times New Roman" w:hAnsi="Times New Roman"/>
          </w:rPr>
          <w:t>https://defence-industry-space.ec.europa.eu/action-plan-military-mobility-20_en</w:t>
        </w:r>
      </w:hyperlink>
      <w:r>
        <w:t>.</w:t>
      </w:r>
    </w:p>
  </w:footnote>
  <w:footnote w:id="14">
    <w:p w14:paraId="4EF9AFA6" w14:textId="0F43BA1D" w:rsidR="0022573C" w:rsidRPr="00B31C80" w:rsidRDefault="0022573C" w:rsidP="005455D4">
      <w:pPr>
        <w:spacing w:after="0"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rPr>
        <w:t xml:space="preserve"> Σύμφωνα με την οδηγία (ΕΕ) 2022/2557 του Ευρωπαϊκού Κοινοβουλίου και του Συμβουλίου, της 14ης Δεκεμβρίου 2022, για την ανθεκτικότητα των κρίσιμων οντοτήτων και την κατάργηση της οδηγίας 2008/114/ΕΚ του Συμβουλίου (ΕΕ L 333 της 27.12.2022, σ. 164), την οδηγία (ΕΕ) 2022/2555 του Ευρωπαϊκού Κοινοβουλίου και του Συμβουλίου, της 14ης Δεκεμβρίου 2022, σχετικά με μέτρα για υψηλό κοινό επίπεδο κυβερνοασφάλειας σε ολόκληρη την Ένωση, την τροποποίηση του κανονισμού (ΕΕ) αριθ. 910/2014 και της οδηγίας (ΕΕ) 2018/1972</w:t>
      </w:r>
      <w:r>
        <w:t xml:space="preserve"> </w:t>
      </w:r>
      <w:r>
        <w:rPr>
          <w:rFonts w:ascii="Times New Roman" w:hAnsi="Times New Roman"/>
          <w:sz w:val="20"/>
        </w:rPr>
        <w:t>και για την κατάργηση της οδηγίας (ΕΕ) 2016/1148 (ΕΕ L 333 της 27.12.2022, σ. 80), και τη σύσταση του Συμβουλίου σχετικά με την εφαρμογή συντονισμένης προσέγγισης από την Ένωση για την ενίσχυση της ανθεκτικότητας των υποδομών ζωτικής σημασίας (ΕΕ C 20 της 20.1.2023, σ. 1).</w:t>
      </w:r>
    </w:p>
  </w:footnote>
  <w:footnote w:id="15">
    <w:p w14:paraId="42352A06" w14:textId="5673430A" w:rsidR="00CF79AB" w:rsidRPr="00B31C80" w:rsidRDefault="00CF79AB">
      <w:pPr>
        <w:pStyle w:val="FootnoteText"/>
      </w:pPr>
      <w:r>
        <w:rPr>
          <w:rStyle w:val="FootnoteReference"/>
          <w:rFonts w:ascii="Times New Roman" w:hAnsi="Times New Roman" w:cs="Times New Roman"/>
        </w:rPr>
        <w:footnoteRef/>
      </w:r>
      <w:r>
        <w:rPr>
          <w:rFonts w:ascii="Times New Roman" w:hAnsi="Times New Roman"/>
        </w:rPr>
        <w:t xml:space="preserve"> Για επισκόπηση της ετοιμότητας της ΕΕ απέναντι σε καταστάσεις έκτακτης ανάγκης στον τομέα της υγείας, βλ. </w:t>
      </w:r>
      <w:hyperlink r:id="rId6" w:history="1">
        <w:r>
          <w:rPr>
            <w:rStyle w:val="Hyperlink"/>
            <w:rFonts w:ascii="Times New Roman" w:hAnsi="Times New Roman"/>
          </w:rPr>
          <w:t>https://health.ec.europa.eu/publications/state-health-preparedness-report_en</w:t>
        </w:r>
      </w:hyperlink>
    </w:p>
  </w:footnote>
  <w:footnote w:id="16">
    <w:p w14:paraId="258FC405" w14:textId="5EF6A2B9" w:rsidR="00E26175" w:rsidRPr="00285BD6" w:rsidRDefault="00E26175" w:rsidP="00E26175">
      <w:pPr>
        <w:pStyle w:val="FootnoteText"/>
        <w:rPr>
          <w:rFonts w:ascii="Times New Roman" w:hAnsi="Times New Roman" w:cs="Times New Roman"/>
          <w:lang w:val="pt-PT"/>
        </w:rPr>
      </w:pPr>
      <w:r>
        <w:rPr>
          <w:rStyle w:val="FootnoteReference"/>
          <w:rFonts w:ascii="Times New Roman" w:hAnsi="Times New Roman" w:cs="Times New Roman"/>
        </w:rPr>
        <w:footnoteRef/>
      </w:r>
      <w:r w:rsidRPr="00285BD6">
        <w:rPr>
          <w:rFonts w:ascii="Times New Roman" w:hAnsi="Times New Roman"/>
          <w:lang w:val="pt-PT"/>
        </w:rPr>
        <w:t xml:space="preserve"> COM (2022) 459 final, COM (2022) 461 final, COM (2022) 462 final. </w:t>
      </w:r>
    </w:p>
  </w:footnote>
  <w:footnote w:id="17">
    <w:p w14:paraId="7499F796" w14:textId="1BA5781D" w:rsidR="005B39A8" w:rsidRPr="00391655" w:rsidRDefault="005B39A8" w:rsidP="005B39A8">
      <w:pPr>
        <w:pStyle w:val="FootnoteText"/>
      </w:pPr>
      <w:r>
        <w:rPr>
          <w:rStyle w:val="FootnoteReference"/>
          <w:rFonts w:ascii="Times New Roman" w:hAnsi="Times New Roman" w:cs="Times New Roman"/>
        </w:rPr>
        <w:footnoteRef/>
      </w:r>
      <w:r w:rsidRPr="00285BD6">
        <w:rPr>
          <w:rFonts w:ascii="Times New Roman" w:hAnsi="Times New Roman"/>
          <w:lang w:val="en-US"/>
        </w:rPr>
        <w:t xml:space="preserve"> </w:t>
      </w:r>
      <w:r>
        <w:rPr>
          <w:rFonts w:ascii="Times New Roman" w:hAnsi="Times New Roman"/>
        </w:rPr>
        <w:t>Παγκόσμια</w:t>
      </w:r>
      <w:r w:rsidRPr="00285BD6">
        <w:rPr>
          <w:rFonts w:ascii="Times New Roman" w:hAnsi="Times New Roman"/>
          <w:lang w:val="en-US"/>
        </w:rPr>
        <w:t xml:space="preserve"> </w:t>
      </w:r>
      <w:r>
        <w:rPr>
          <w:rFonts w:ascii="Times New Roman" w:hAnsi="Times New Roman"/>
        </w:rPr>
        <w:t>Τράπεζα</w:t>
      </w:r>
      <w:r w:rsidRPr="00285BD6">
        <w:rPr>
          <w:rFonts w:ascii="Times New Roman" w:hAnsi="Times New Roman"/>
          <w:lang w:val="en-US"/>
        </w:rPr>
        <w:t xml:space="preserve">, </w:t>
      </w:r>
      <w:r w:rsidRPr="00285BD6">
        <w:rPr>
          <w:rFonts w:ascii="Times New Roman" w:hAnsi="Times New Roman"/>
          <w:i/>
          <w:lang w:val="en-US"/>
        </w:rPr>
        <w:t>Economics for Disaster Prevention and Preparedness. Investments in Disaster Risk Management in Europe Makes Economic Sense</w:t>
      </w:r>
      <w:r w:rsidRPr="00285BD6">
        <w:rPr>
          <w:rFonts w:ascii="Times New Roman" w:hAnsi="Times New Roman"/>
          <w:lang w:val="en-US"/>
        </w:rPr>
        <w:t xml:space="preserve"> (</w:t>
      </w:r>
      <w:r>
        <w:rPr>
          <w:rFonts w:ascii="Times New Roman" w:hAnsi="Times New Roman"/>
        </w:rPr>
        <w:t>Οικονομία</w:t>
      </w:r>
      <w:r w:rsidRPr="00285BD6">
        <w:rPr>
          <w:rFonts w:ascii="Times New Roman" w:hAnsi="Times New Roman"/>
          <w:lang w:val="en-US"/>
        </w:rPr>
        <w:t xml:space="preserve"> </w:t>
      </w:r>
      <w:r>
        <w:rPr>
          <w:rFonts w:ascii="Times New Roman" w:hAnsi="Times New Roman"/>
        </w:rPr>
        <w:t>για</w:t>
      </w:r>
      <w:r w:rsidRPr="00285BD6">
        <w:rPr>
          <w:rFonts w:ascii="Times New Roman" w:hAnsi="Times New Roman"/>
          <w:lang w:val="en-US"/>
        </w:rPr>
        <w:t xml:space="preserve"> </w:t>
      </w:r>
      <w:r>
        <w:rPr>
          <w:rFonts w:ascii="Times New Roman" w:hAnsi="Times New Roman"/>
        </w:rPr>
        <w:t>την</w:t>
      </w:r>
      <w:r w:rsidRPr="00285BD6">
        <w:rPr>
          <w:rFonts w:ascii="Times New Roman" w:hAnsi="Times New Roman"/>
          <w:lang w:val="en-US"/>
        </w:rPr>
        <w:t xml:space="preserve"> </w:t>
      </w:r>
      <w:r>
        <w:rPr>
          <w:rFonts w:ascii="Times New Roman" w:hAnsi="Times New Roman"/>
        </w:rPr>
        <w:t>πρόληψη</w:t>
      </w:r>
      <w:r w:rsidRPr="00285BD6">
        <w:rPr>
          <w:rFonts w:ascii="Times New Roman" w:hAnsi="Times New Roman"/>
          <w:lang w:val="en-US"/>
        </w:rPr>
        <w:t xml:space="preserve"> </w:t>
      </w:r>
      <w:r>
        <w:rPr>
          <w:rFonts w:ascii="Times New Roman" w:hAnsi="Times New Roman"/>
        </w:rPr>
        <w:t>καταστροφών</w:t>
      </w:r>
      <w:r w:rsidRPr="00285BD6">
        <w:rPr>
          <w:rFonts w:ascii="Times New Roman" w:hAnsi="Times New Roman"/>
          <w:lang w:val="en-US"/>
        </w:rPr>
        <w:t xml:space="preserve"> </w:t>
      </w:r>
      <w:r>
        <w:rPr>
          <w:rFonts w:ascii="Times New Roman" w:hAnsi="Times New Roman"/>
        </w:rPr>
        <w:t>και</w:t>
      </w:r>
      <w:r w:rsidRPr="00285BD6">
        <w:rPr>
          <w:rFonts w:ascii="Times New Roman" w:hAnsi="Times New Roman"/>
          <w:lang w:val="en-US"/>
        </w:rPr>
        <w:t xml:space="preserve"> </w:t>
      </w:r>
      <w:r>
        <w:rPr>
          <w:rFonts w:ascii="Times New Roman" w:hAnsi="Times New Roman"/>
        </w:rPr>
        <w:t>την</w:t>
      </w:r>
      <w:r w:rsidRPr="00285BD6">
        <w:rPr>
          <w:rFonts w:ascii="Times New Roman" w:hAnsi="Times New Roman"/>
          <w:lang w:val="en-US"/>
        </w:rPr>
        <w:t xml:space="preserve"> </w:t>
      </w:r>
      <w:r>
        <w:rPr>
          <w:rFonts w:ascii="Times New Roman" w:hAnsi="Times New Roman"/>
        </w:rPr>
        <w:t>ετοιμότητα</w:t>
      </w:r>
      <w:r w:rsidRPr="00285BD6">
        <w:rPr>
          <w:rFonts w:ascii="Times New Roman" w:hAnsi="Times New Roman"/>
          <w:lang w:val="en-US"/>
        </w:rPr>
        <w:t xml:space="preserve">. </w:t>
      </w:r>
      <w:r>
        <w:rPr>
          <w:rFonts w:ascii="Times New Roman" w:hAnsi="Times New Roman"/>
        </w:rPr>
        <w:t xml:space="preserve">Οι επενδύσεις στη διαχείριση του κινδύνου καταστροφών στην Ευρώπη είναι συμφέρουσες από οικονομική άποψη), 2021, </w:t>
      </w:r>
      <w:hyperlink r:id="rId7" w:history="1">
        <w:r>
          <w:rPr>
            <w:rStyle w:val="Hyperlink"/>
            <w:rFonts w:ascii="Times New Roman" w:hAnsi="Times New Roman"/>
          </w:rPr>
          <w:t>https://www.worldbank.org/en/news/feature/2021/06/04/economics-for-disaster-prevention-and-preparedness-in-europe</w:t>
        </w:r>
      </w:hyperlink>
    </w:p>
  </w:footnote>
  <w:footnote w:id="18">
    <w:p w14:paraId="5B5F1129" w14:textId="73A527DC" w:rsidR="00844861" w:rsidRPr="00D07171" w:rsidRDefault="00844861">
      <w:pPr>
        <w:pStyle w:val="FootnoteText"/>
        <w:rPr>
          <w:rFonts w:ascii="Times New Roman" w:hAnsi="Times New Roman" w:cs="Times New Roman"/>
        </w:rPr>
      </w:pPr>
      <w:r>
        <w:rPr>
          <w:rStyle w:val="FootnoteReference"/>
          <w:rFonts w:ascii="Times New Roman" w:hAnsi="Times New Roman" w:cs="Times New Roman"/>
        </w:rPr>
        <w:footnoteRef/>
      </w:r>
      <w:r>
        <w:t xml:space="preserve"> </w:t>
      </w:r>
      <w:hyperlink r:id="rId8" w:history="1">
        <w:r>
          <w:rPr>
            <w:rStyle w:val="Hyperlink"/>
            <w:rFonts w:ascii="Times New Roman" w:hAnsi="Times New Roman"/>
          </w:rPr>
          <w:t>https://climate.ec.europa.eu/eu-action/adaptation-climate-change/climate-resilience-dialogue_el</w:t>
        </w:r>
      </w:hyperlink>
    </w:p>
  </w:footnote>
  <w:footnote w:id="19">
    <w:p w14:paraId="7AE5BB2F" w14:textId="43B77280" w:rsidR="003242E0" w:rsidRDefault="00407527" w:rsidP="0040752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Μηχανισμός επιστημονικών συμβουλών, ομάδα κύριων επιστημονικών συμβούλων, στρατηγική διαχείριση κρίσεων στην ΕΕ: βελτίωση της πρόληψης κρίσεων, της ετοιμότητας, της αντίδρασης και της ανθεκτικότητας της ΕΕ απέναντι στις κρίσεις, Υπηρεσία Εκδόσεων της Ευρωπαϊκής Ένωσης, 2022, </w:t>
      </w:r>
      <w:hyperlink r:id="rId9" w:history="1">
        <w:r>
          <w:rPr>
            <w:rStyle w:val="Hyperlink"/>
            <w:rFonts w:ascii="Times New Roman" w:hAnsi="Times New Roman"/>
          </w:rPr>
          <w:t>https://op.europa.eu/el/publication-detail/-/publication/dffc8b4b-801d-11ed-9887-01aa75ed71a1</w:t>
        </w:r>
      </w:hyperlink>
    </w:p>
    <w:p w14:paraId="1A8075D0" w14:textId="386ADB76" w:rsidR="00407527" w:rsidRDefault="00407527" w:rsidP="00407527">
      <w:pPr>
        <w:pStyle w:val="FootnoteText"/>
        <w:rPr>
          <w:rFonts w:ascii="Times New Roman" w:hAnsi="Times New Roman" w:cs="Times New Roman"/>
        </w:rPr>
      </w:pPr>
    </w:p>
    <w:p w14:paraId="6DAAB882" w14:textId="77777777" w:rsidR="005E7F97" w:rsidRPr="00B31C80" w:rsidRDefault="005E7F97" w:rsidP="00407527">
      <w:pPr>
        <w:pStyle w:val="FootnoteText"/>
        <w:rPr>
          <w:rFonts w:ascii="Times New Roman" w:hAnsi="Times New Roman" w:cs="Times New Roman"/>
        </w:rPr>
      </w:pPr>
    </w:p>
  </w:footnote>
  <w:footnote w:id="20">
    <w:p w14:paraId="79B3479E" w14:textId="59C67822" w:rsidR="005B39A8" w:rsidRPr="00B31C80" w:rsidRDefault="005B39A8" w:rsidP="005B39A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Ευρωπαϊκή Ένωση, </w:t>
      </w:r>
      <w:r>
        <w:rPr>
          <w:rFonts w:ascii="Times New Roman" w:hAnsi="Times New Roman"/>
          <w:i/>
        </w:rPr>
        <w:t>Ειδικό Ευρωβαρόμετρο 511β</w:t>
      </w:r>
      <w:r>
        <w:rPr>
          <w:rFonts w:ascii="Times New Roman" w:hAnsi="Times New Roman"/>
        </w:rPr>
        <w:t>:</w:t>
      </w:r>
      <w:r>
        <w:rPr>
          <w:rFonts w:ascii="Times New Roman" w:hAnsi="Times New Roman"/>
          <w:i/>
        </w:rPr>
        <w:t xml:space="preserve"> Πολιτική προστασία της ΕΕ</w:t>
      </w:r>
      <w:r>
        <w:rPr>
          <w:rFonts w:ascii="Times New Roman" w:hAnsi="Times New Roman"/>
        </w:rPr>
        <w:t>, 2021,</w:t>
      </w:r>
      <w:r>
        <w:t xml:space="preserve"> </w:t>
      </w:r>
      <w:hyperlink r:id="rId10" w:history="1">
        <w:r>
          <w:rPr>
            <w:rStyle w:val="Hyperlink"/>
            <w:rFonts w:ascii="Times New Roman" w:hAnsi="Times New Roman"/>
          </w:rPr>
          <w:t>https://europa.eu/eurobarometer/surveys/detail/2264</w:t>
        </w:r>
      </w:hyperlink>
      <w:r>
        <w:t>.</w:t>
      </w:r>
    </w:p>
  </w:footnote>
  <w:footnote w:id="21">
    <w:p w14:paraId="6DCF75AD" w14:textId="096486A3" w:rsidR="005B39A8" w:rsidRPr="00B31C80" w:rsidRDefault="005B39A8" w:rsidP="00DD17EB">
      <w:pPr>
        <w:autoSpaceDE w:val="0"/>
        <w:autoSpaceDN w:val="0"/>
        <w:spacing w:before="40" w:after="40" w:line="240" w:lineRule="auto"/>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Τα κράτη μέλη θα πρέπει να παρέχουν προσβάσιμες πληροφορίες σχετικά με τον κίνδυνο καταστροφών σύμφωνα με τις υποχρεώσεις της Ένωσης και των κρατών μελών βάσει της σύμβασης των Ηνωμένων Εθνών για τα δικαιώματα των ατόμων με αναπηρία. Απόφαση του Συμβουλίου, της 26ης Νοεμβρίου 2009, σχετικά με τη σύναψη, από την Ευρωπαϊκή Κοινότητα, της σύμβασης των Ηνωμένων Εθνών για τα δικαιώματα των ατόμων με αναπηρία (ΕΕ L 23 της 27.1.2010, σ. 35).</w:t>
      </w:r>
    </w:p>
  </w:footnote>
  <w:footnote w:id="22">
    <w:p w14:paraId="7B894E56" w14:textId="77777777" w:rsidR="005732D6" w:rsidRPr="00B31C80" w:rsidRDefault="005732D6" w:rsidP="005732D6">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Ψήφισμα του Ευρωπαϊκού Κοινοβουλίου της 15ης Σεπτεμβρίου 2022 σχετικά με τις συνέπειες της ξηρασίας, των πυρκαγιών και άλλων ακραίων καιρικών φαινομένων: αύξηση των προσπαθειών της ΕΕ για την καταπολέμηση της κλιματικής αλλαγής [2022/2829(RSP)].</w:t>
      </w:r>
    </w:p>
  </w:footnote>
  <w:footnote w:id="23">
    <w:p w14:paraId="0DCAFD11" w14:textId="1E188E91" w:rsidR="00135B3B" w:rsidRPr="00F64101" w:rsidRDefault="00135B3B">
      <w:pPr>
        <w:pStyle w:val="FootnoteText"/>
      </w:pPr>
      <w:r>
        <w:rPr>
          <w:rStyle w:val="FootnoteReference"/>
          <w:rFonts w:ascii="Times New Roman" w:hAnsi="Times New Roman" w:cs="Times New Roman"/>
        </w:rPr>
        <w:footnoteRef/>
      </w:r>
      <w:r>
        <w:rPr>
          <w:rFonts w:ascii="Times New Roman" w:hAnsi="Times New Roman"/>
        </w:rPr>
        <w:t xml:space="preserve"> Μεταξύ άλλων, από τον επικείμενο «Άτλαντα κινδύνου ξηρασίας» που αναμένεται να δημοσιευθεί το 2023 από το ευρωπαϊκό παρατηρητήριο για την ανθεκτικότητα και την προσαρμογή στην ξηρασία (EDORA).</w:t>
      </w:r>
      <w:r>
        <w:t xml:space="preserve"> </w:t>
      </w:r>
    </w:p>
  </w:footnote>
  <w:footnote w:id="24">
    <w:p w14:paraId="3E0F36D5" w14:textId="55E50434" w:rsidR="00EC49AD" w:rsidRPr="00B31C80" w:rsidRDefault="00EC49A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Συμπεριλαμβανομένης της ευρωπαϊκής επιστημονικής σύμπραξης για τους φυσικούς κινδύνους. Βλέπε: </w:t>
      </w:r>
      <w:hyperlink r:id="rId11" w:history="1">
        <w:r>
          <w:rPr>
            <w:rStyle w:val="Hyperlink"/>
            <w:rFonts w:ascii="Times New Roman" w:hAnsi="Times New Roman"/>
          </w:rPr>
          <w:t>https://civil-protection-humanitarian-aid.ec.europa.eu/what/civil-protection/early-warning-and-information-systems_en</w:t>
        </w:r>
      </w:hyperlink>
      <w:r>
        <w:t>.</w:t>
      </w:r>
      <w:r>
        <w:rPr>
          <w:rFonts w:ascii="Times New Roman" w:hAnsi="Times New Roman"/>
        </w:rPr>
        <w:t xml:space="preserve"> </w:t>
      </w:r>
    </w:p>
  </w:footnote>
  <w:footnote w:id="25">
    <w:p w14:paraId="78859173" w14:textId="03517F9D" w:rsidR="00B55049" w:rsidRPr="00B31C80" w:rsidRDefault="00B5504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Ένα τέτοιο παράδειγμα είναι, στον θαλάσσιο τομέα, το κοινό περιβάλλον ανταλλαγής πληροφοριών (ΚΠΑΠ), το οποίο βρίσκεται επί του παρόντος στο στάδιο της ανάπτυξης.</w:t>
      </w:r>
    </w:p>
  </w:footnote>
  <w:footnote w:id="26">
    <w:p w14:paraId="3A999FE7" w14:textId="6E3E0F8B" w:rsidR="00596F22" w:rsidRPr="00596F22" w:rsidRDefault="00596F22">
      <w:pPr>
        <w:pStyle w:val="FootnoteText"/>
      </w:pPr>
      <w:r>
        <w:rPr>
          <w:rStyle w:val="FootnoteReference"/>
          <w:rFonts w:ascii="Times New Roman" w:hAnsi="Times New Roman" w:cs="Times New Roman"/>
        </w:rPr>
        <w:footnoteRef/>
      </w:r>
      <w:r>
        <w:rPr>
          <w:rFonts w:ascii="Times New Roman" w:hAnsi="Times New Roman"/>
        </w:rPr>
        <w:t xml:space="preserve"> Ευρωπαϊκή Επιτροπή, </w:t>
      </w:r>
      <w:r>
        <w:rPr>
          <w:rFonts w:ascii="Times New Roman" w:hAnsi="Times New Roman"/>
          <w:i/>
        </w:rPr>
        <w:t>Ομιλία της προέδρου von der Leyen για την κατάσταση της Ένωσης το 2022</w:t>
      </w:r>
      <w:r>
        <w:rPr>
          <w:rFonts w:ascii="Times New Roman" w:hAnsi="Times New Roman"/>
        </w:rPr>
        <w:t xml:space="preserve">, 2022, </w:t>
      </w:r>
      <w:hyperlink r:id="rId12" w:history="1">
        <w:r>
          <w:rPr>
            <w:rStyle w:val="Hyperlink"/>
            <w:rFonts w:ascii="Times New Roman" w:hAnsi="Times New Roman"/>
          </w:rPr>
          <w:t>https://ec.europa.eu/commission/presscorner/detail/el/speech_22_5493</w:t>
        </w:r>
      </w:hyperlink>
      <w:r>
        <w:t xml:space="preserve"> </w:t>
      </w:r>
    </w:p>
  </w:footnote>
  <w:footnote w:id="27">
    <w:p w14:paraId="1D8C80A2" w14:textId="68158C68" w:rsidR="005B39A8" w:rsidRPr="00285BD6" w:rsidRDefault="005B39A8" w:rsidP="005B39A8">
      <w:pPr>
        <w:pStyle w:val="FootnoteText"/>
        <w:rPr>
          <w:rFonts w:ascii="Times New Roman" w:hAnsi="Times New Roman" w:cs="Times New Roman"/>
          <w:lang w:val="en-US"/>
        </w:rPr>
      </w:pPr>
      <w:r>
        <w:rPr>
          <w:rStyle w:val="FootnoteReference"/>
          <w:rFonts w:ascii="Times New Roman" w:hAnsi="Times New Roman" w:cs="Times New Roman"/>
        </w:rPr>
        <w:footnoteRef/>
      </w:r>
      <w:r w:rsidRPr="00285BD6">
        <w:rPr>
          <w:rFonts w:ascii="Times New Roman" w:hAnsi="Times New Roman"/>
          <w:lang w:val="en-US"/>
        </w:rPr>
        <w:t xml:space="preserve"> Roepke, W-D., Thankey, H., </w:t>
      </w:r>
      <w:r w:rsidRPr="00285BD6">
        <w:rPr>
          <w:rFonts w:ascii="Times New Roman" w:hAnsi="Times New Roman"/>
          <w:i/>
          <w:lang w:val="en-US"/>
        </w:rPr>
        <w:t>Resilience, the first line of defence</w:t>
      </w:r>
      <w:r w:rsidRPr="00285BD6">
        <w:rPr>
          <w:rFonts w:ascii="Times New Roman" w:hAnsi="Times New Roman"/>
          <w:lang w:val="en-US"/>
        </w:rPr>
        <w:t xml:space="preserve">, NATO Review, 2019, </w:t>
      </w:r>
      <w:hyperlink r:id="rId13" w:history="1">
        <w:r w:rsidRPr="00285BD6">
          <w:rPr>
            <w:rStyle w:val="Hyperlink"/>
            <w:rFonts w:ascii="Times New Roman" w:hAnsi="Times New Roman"/>
            <w:lang w:val="en-US"/>
          </w:rPr>
          <w:t>https://www.nato.int/docu/review/articles/2019/02/27/resilience-the-first-line-of-defence/index.html</w:t>
        </w:r>
      </w:hyperlink>
    </w:p>
  </w:footnote>
  <w:footnote w:id="28">
    <w:p w14:paraId="14ECBDBF" w14:textId="4D1CCFFC" w:rsidR="00250E06" w:rsidRPr="00250E06" w:rsidRDefault="00250E06">
      <w:pPr>
        <w:pStyle w:val="FootnoteText"/>
      </w:pPr>
      <w:r>
        <w:rPr>
          <w:rStyle w:val="FootnoteReference"/>
          <w:rFonts w:ascii="Times New Roman" w:hAnsi="Times New Roman" w:cs="Times New Roman"/>
        </w:rPr>
        <w:footnoteRef/>
      </w:r>
      <w:r>
        <w:rPr>
          <w:rFonts w:ascii="Times New Roman" w:hAnsi="Times New Roman"/>
        </w:rPr>
        <w:t xml:space="preserve"> Η στρατηγική πυξίδα για την ασφάλεια και την άμυνα — Για μια Ευρωπαϊκή Ένωση που προστατεύει τους πολίτες, τις αξίες και τα συμφέροντά της και συμβάλλει στη διεθνή ειρήνη και ασφάλεια, εγκρίθηκε από το Συμβούλιο Γενικών Υποθέσεων στις 21 Μαρτίου 2022 (7371/22).</w:t>
      </w:r>
    </w:p>
  </w:footnote>
  <w:footnote w:id="29">
    <w:p w14:paraId="775443E8" w14:textId="00B70AB7" w:rsidR="005C1018" w:rsidRPr="005C1018" w:rsidRDefault="005C1018">
      <w:pPr>
        <w:pStyle w:val="FootnoteText"/>
      </w:pPr>
      <w:r>
        <w:rPr>
          <w:rStyle w:val="FootnoteReference"/>
          <w:rFonts w:ascii="Times New Roman" w:hAnsi="Times New Roman" w:cs="Times New Roman"/>
        </w:rPr>
        <w:footnoteRef/>
      </w:r>
      <w:r>
        <w:t xml:space="preserve"> </w:t>
      </w:r>
      <w:r>
        <w:rPr>
          <w:rFonts w:ascii="Times New Roman" w:hAnsi="Times New Roman"/>
        </w:rPr>
        <w:t>Σύμφωνα με τους στόχους της πρωτοβουλίας «Έγκαιρες προειδοποιήσεις για όλους» του Γενικού Γραμματέα των Ηνωμένων Εθνών.</w:t>
      </w:r>
    </w:p>
  </w:footnote>
  <w:footnote w:id="30">
    <w:p w14:paraId="5ECBE54B" w14:textId="3AC15976" w:rsidR="005732D6" w:rsidRPr="0081757E" w:rsidRDefault="0081757E">
      <w:pPr>
        <w:pStyle w:val="FootnoteText"/>
      </w:pPr>
      <w:r>
        <w:rPr>
          <w:rStyle w:val="FootnoteReference"/>
          <w:rFonts w:ascii="Times New Roman" w:hAnsi="Times New Roman" w:cs="Times New Roman"/>
        </w:rPr>
        <w:footnoteRef/>
      </w:r>
      <w:r>
        <w:rPr>
          <w:rFonts w:ascii="Times New Roman" w:hAnsi="Times New Roman"/>
        </w:rPr>
        <w:t xml:space="preserve"> </w:t>
      </w:r>
      <w:hyperlink r:id="rId14" w:history="1">
        <w:r>
          <w:rPr>
            <w:rStyle w:val="Hyperlink"/>
            <w:rFonts w:ascii="Times New Roman" w:hAnsi="Times New Roman"/>
          </w:rPr>
          <w:t>https://climate-adapt.eea.europa.eu/en/eu-adaptation-policy/key-eu-actions/climate_risk_assessment</w:t>
        </w:r>
      </w:hyperlink>
    </w:p>
  </w:footnote>
  <w:footnote w:id="31">
    <w:p w14:paraId="63C22B2F" w14:textId="388737E3" w:rsidR="005B39A8" w:rsidRPr="00E07A10" w:rsidRDefault="005B39A8" w:rsidP="005B39A8">
      <w:pPr>
        <w:pStyle w:val="FootnoteText"/>
        <w:rPr>
          <w:rFonts w:ascii="Times New Roman" w:hAnsi="Times New Roman" w:cs="Times New Roman"/>
          <w:sz w:val="22"/>
          <w:szCs w:val="22"/>
        </w:rPr>
      </w:pPr>
      <w:r>
        <w:rPr>
          <w:rStyle w:val="FootnoteReference"/>
          <w:rFonts w:ascii="Times New Roman" w:hAnsi="Times New Roman" w:cs="Times New Roman"/>
        </w:rPr>
        <w:footnoteRef/>
      </w:r>
      <w:r>
        <w:rPr>
          <w:rFonts w:ascii="Times New Roman" w:hAnsi="Times New Roman"/>
        </w:rPr>
        <w:t xml:space="preserve"> Ευρωπαϊκή Ένωση, </w:t>
      </w:r>
      <w:r>
        <w:rPr>
          <w:rFonts w:ascii="Times New Roman" w:hAnsi="Times New Roman"/>
          <w:i/>
        </w:rPr>
        <w:t>Δίκτυο γνώσεων για την πολιτική προστασία της Ένωσης</w:t>
      </w:r>
      <w:r>
        <w:rPr>
          <w:rFonts w:ascii="Times New Roman" w:hAnsi="Times New Roman"/>
        </w:rPr>
        <w:t>,</w:t>
      </w:r>
      <w:r>
        <w:t xml:space="preserve"> </w:t>
      </w:r>
      <w:hyperlink r:id="rId15" w:history="1">
        <w:r>
          <w:rPr>
            <w:rStyle w:val="Hyperlink"/>
            <w:rFonts w:ascii="Times New Roman" w:hAnsi="Times New Roman"/>
          </w:rPr>
          <w:t>https://civil-protection-knowledge-network.europa.eu/</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61972" w14:textId="77777777" w:rsidR="00CB7CA9" w:rsidRPr="00CB7CA9" w:rsidRDefault="00CB7CA9" w:rsidP="00CB7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5D68" w14:textId="77777777" w:rsidR="00CB7CA9" w:rsidRPr="00CB7CA9" w:rsidRDefault="00CB7CA9" w:rsidP="00CB7CA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D614" w14:textId="77777777" w:rsidR="00CB7CA9" w:rsidRPr="00CB7CA9" w:rsidRDefault="00CB7CA9" w:rsidP="00CB7CA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63E71" w14:textId="77777777" w:rsidR="003A0E7E" w:rsidRDefault="003A0E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57BE2" w14:textId="77777777" w:rsidR="003A0E7E" w:rsidRDefault="003A0E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3D2B7" w14:textId="77777777" w:rsidR="003A0E7E" w:rsidRDefault="003A0E7E">
    <w:pPr>
      <w:pStyle w:val="Header"/>
    </w:pPr>
  </w:p>
</w:hdr>
</file>

<file path=word/intelligence2.xml><?xml version="1.0" encoding="utf-8"?>
<int2:intelligence xmlns:int2="http://schemas.microsoft.com/office/intelligence/2020/intelligence" xmlns:oel="http://schemas.microsoft.com/office/2019/extlst">
  <int2:observations>
    <int2:textHash int2:hashCode="aG+z44WpgrTp0l" int2:id="1YkigWr3">
      <int2:state int2:value="Rejected" int2:type="LegacyProofing"/>
    </int2:textHash>
    <int2:textHash int2:hashCode="9/+Zr4wMTTMDGD" int2:id="m7i5GoL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3F39"/>
    <w:multiLevelType w:val="hybridMultilevel"/>
    <w:tmpl w:val="7B7EF22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D729F"/>
    <w:multiLevelType w:val="hybridMultilevel"/>
    <w:tmpl w:val="1F60EEC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8800D5E"/>
    <w:multiLevelType w:val="hybridMultilevel"/>
    <w:tmpl w:val="65A4C5D0"/>
    <w:lvl w:ilvl="0" w:tplc="44945E7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C429C"/>
    <w:multiLevelType w:val="hybridMultilevel"/>
    <w:tmpl w:val="E632B204"/>
    <w:lvl w:ilvl="0" w:tplc="DBD897CA">
      <w:start w:val="1"/>
      <w:numFmt w:val="bullet"/>
      <w:lvlText w:val=""/>
      <w:lvlJc w:val="left"/>
      <w:pPr>
        <w:ind w:left="720" w:hanging="360"/>
      </w:pPr>
      <w:rPr>
        <w:rFonts w:ascii="Symbol" w:hAnsi="Symbol" w:hint="default"/>
      </w:rPr>
    </w:lvl>
    <w:lvl w:ilvl="1" w:tplc="C9A8B420">
      <w:start w:val="1"/>
      <w:numFmt w:val="bullet"/>
      <w:lvlText w:val="o"/>
      <w:lvlJc w:val="left"/>
      <w:pPr>
        <w:ind w:left="1440" w:hanging="360"/>
      </w:pPr>
      <w:rPr>
        <w:rFonts w:ascii="Courier New" w:hAnsi="Courier New" w:hint="default"/>
      </w:rPr>
    </w:lvl>
    <w:lvl w:ilvl="2" w:tplc="C7F22696">
      <w:start w:val="1"/>
      <w:numFmt w:val="bullet"/>
      <w:lvlText w:val=""/>
      <w:lvlJc w:val="left"/>
      <w:pPr>
        <w:ind w:left="2160" w:hanging="360"/>
      </w:pPr>
      <w:rPr>
        <w:rFonts w:ascii="Wingdings" w:hAnsi="Wingdings" w:hint="default"/>
      </w:rPr>
    </w:lvl>
    <w:lvl w:ilvl="3" w:tplc="C7D6FD10">
      <w:start w:val="1"/>
      <w:numFmt w:val="bullet"/>
      <w:lvlText w:val=""/>
      <w:lvlJc w:val="left"/>
      <w:pPr>
        <w:ind w:left="2880" w:hanging="360"/>
      </w:pPr>
      <w:rPr>
        <w:rFonts w:ascii="Symbol" w:hAnsi="Symbol" w:hint="default"/>
      </w:rPr>
    </w:lvl>
    <w:lvl w:ilvl="4" w:tplc="F94ECD86">
      <w:start w:val="1"/>
      <w:numFmt w:val="bullet"/>
      <w:lvlText w:val="o"/>
      <w:lvlJc w:val="left"/>
      <w:pPr>
        <w:ind w:left="3600" w:hanging="360"/>
      </w:pPr>
      <w:rPr>
        <w:rFonts w:ascii="Courier New" w:hAnsi="Courier New" w:hint="default"/>
      </w:rPr>
    </w:lvl>
    <w:lvl w:ilvl="5" w:tplc="309AC9D0">
      <w:start w:val="1"/>
      <w:numFmt w:val="bullet"/>
      <w:lvlText w:val=""/>
      <w:lvlJc w:val="left"/>
      <w:pPr>
        <w:ind w:left="4320" w:hanging="360"/>
      </w:pPr>
      <w:rPr>
        <w:rFonts w:ascii="Wingdings" w:hAnsi="Wingdings" w:hint="default"/>
      </w:rPr>
    </w:lvl>
    <w:lvl w:ilvl="6" w:tplc="BC885666">
      <w:start w:val="1"/>
      <w:numFmt w:val="bullet"/>
      <w:lvlText w:val=""/>
      <w:lvlJc w:val="left"/>
      <w:pPr>
        <w:ind w:left="5040" w:hanging="360"/>
      </w:pPr>
      <w:rPr>
        <w:rFonts w:ascii="Symbol" w:hAnsi="Symbol" w:hint="default"/>
      </w:rPr>
    </w:lvl>
    <w:lvl w:ilvl="7" w:tplc="EC3C71AC">
      <w:start w:val="1"/>
      <w:numFmt w:val="bullet"/>
      <w:lvlText w:val="o"/>
      <w:lvlJc w:val="left"/>
      <w:pPr>
        <w:ind w:left="5760" w:hanging="360"/>
      </w:pPr>
      <w:rPr>
        <w:rFonts w:ascii="Courier New" w:hAnsi="Courier New" w:hint="default"/>
      </w:rPr>
    </w:lvl>
    <w:lvl w:ilvl="8" w:tplc="374A6A9E">
      <w:start w:val="1"/>
      <w:numFmt w:val="bullet"/>
      <w:lvlText w:val=""/>
      <w:lvlJc w:val="left"/>
      <w:pPr>
        <w:ind w:left="6480" w:hanging="360"/>
      </w:pPr>
      <w:rPr>
        <w:rFonts w:ascii="Wingdings" w:hAnsi="Wingdings" w:hint="default"/>
      </w:rPr>
    </w:lvl>
  </w:abstractNum>
  <w:abstractNum w:abstractNumId="4" w15:restartNumberingAfterBreak="0">
    <w:nsid w:val="19E6519D"/>
    <w:multiLevelType w:val="hybridMultilevel"/>
    <w:tmpl w:val="115A2008"/>
    <w:lvl w:ilvl="0" w:tplc="7C18160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D371F"/>
    <w:multiLevelType w:val="hybridMultilevel"/>
    <w:tmpl w:val="A726DFC6"/>
    <w:lvl w:ilvl="0" w:tplc="BD38AF46">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CBAAE"/>
    <w:multiLevelType w:val="hybridMultilevel"/>
    <w:tmpl w:val="1DE2AAB4"/>
    <w:lvl w:ilvl="0" w:tplc="2A66F5EA">
      <w:start w:val="1"/>
      <w:numFmt w:val="bullet"/>
      <w:lvlText w:val=""/>
      <w:lvlJc w:val="left"/>
      <w:pPr>
        <w:ind w:left="720" w:hanging="360"/>
      </w:pPr>
      <w:rPr>
        <w:rFonts w:ascii="Symbol" w:hAnsi="Symbol" w:hint="default"/>
      </w:rPr>
    </w:lvl>
    <w:lvl w:ilvl="1" w:tplc="AA0062AE">
      <w:start w:val="1"/>
      <w:numFmt w:val="bullet"/>
      <w:lvlText w:val="o"/>
      <w:lvlJc w:val="left"/>
      <w:pPr>
        <w:ind w:left="1440" w:hanging="360"/>
      </w:pPr>
      <w:rPr>
        <w:rFonts w:ascii="Courier New" w:hAnsi="Courier New" w:hint="default"/>
      </w:rPr>
    </w:lvl>
    <w:lvl w:ilvl="2" w:tplc="42C4C40A">
      <w:start w:val="1"/>
      <w:numFmt w:val="bullet"/>
      <w:lvlText w:val=""/>
      <w:lvlJc w:val="left"/>
      <w:pPr>
        <w:ind w:left="2160" w:hanging="360"/>
      </w:pPr>
      <w:rPr>
        <w:rFonts w:ascii="Wingdings" w:hAnsi="Wingdings" w:hint="default"/>
      </w:rPr>
    </w:lvl>
    <w:lvl w:ilvl="3" w:tplc="3D6A55B6">
      <w:start w:val="1"/>
      <w:numFmt w:val="bullet"/>
      <w:lvlText w:val=""/>
      <w:lvlJc w:val="left"/>
      <w:pPr>
        <w:ind w:left="2880" w:hanging="360"/>
      </w:pPr>
      <w:rPr>
        <w:rFonts w:ascii="Symbol" w:hAnsi="Symbol" w:hint="default"/>
      </w:rPr>
    </w:lvl>
    <w:lvl w:ilvl="4" w:tplc="8F10EF3C">
      <w:start w:val="1"/>
      <w:numFmt w:val="bullet"/>
      <w:lvlText w:val="o"/>
      <w:lvlJc w:val="left"/>
      <w:pPr>
        <w:ind w:left="3600" w:hanging="360"/>
      </w:pPr>
      <w:rPr>
        <w:rFonts w:ascii="Courier New" w:hAnsi="Courier New" w:hint="default"/>
      </w:rPr>
    </w:lvl>
    <w:lvl w:ilvl="5" w:tplc="516283E0">
      <w:start w:val="1"/>
      <w:numFmt w:val="bullet"/>
      <w:lvlText w:val=""/>
      <w:lvlJc w:val="left"/>
      <w:pPr>
        <w:ind w:left="4320" w:hanging="360"/>
      </w:pPr>
      <w:rPr>
        <w:rFonts w:ascii="Wingdings" w:hAnsi="Wingdings" w:hint="default"/>
      </w:rPr>
    </w:lvl>
    <w:lvl w:ilvl="6" w:tplc="AAA4FD96">
      <w:start w:val="1"/>
      <w:numFmt w:val="bullet"/>
      <w:lvlText w:val=""/>
      <w:lvlJc w:val="left"/>
      <w:pPr>
        <w:ind w:left="5040" w:hanging="360"/>
      </w:pPr>
      <w:rPr>
        <w:rFonts w:ascii="Symbol" w:hAnsi="Symbol" w:hint="default"/>
      </w:rPr>
    </w:lvl>
    <w:lvl w:ilvl="7" w:tplc="2EF6157E">
      <w:start w:val="1"/>
      <w:numFmt w:val="bullet"/>
      <w:lvlText w:val="o"/>
      <w:lvlJc w:val="left"/>
      <w:pPr>
        <w:ind w:left="5760" w:hanging="360"/>
      </w:pPr>
      <w:rPr>
        <w:rFonts w:ascii="Courier New" w:hAnsi="Courier New" w:hint="default"/>
      </w:rPr>
    </w:lvl>
    <w:lvl w:ilvl="8" w:tplc="0388E9CC">
      <w:start w:val="1"/>
      <w:numFmt w:val="bullet"/>
      <w:lvlText w:val=""/>
      <w:lvlJc w:val="left"/>
      <w:pPr>
        <w:ind w:left="6480" w:hanging="360"/>
      </w:pPr>
      <w:rPr>
        <w:rFonts w:ascii="Wingdings" w:hAnsi="Wingdings" w:hint="default"/>
      </w:rPr>
    </w:lvl>
  </w:abstractNum>
  <w:abstractNum w:abstractNumId="7" w15:restartNumberingAfterBreak="0">
    <w:nsid w:val="28B3228C"/>
    <w:multiLevelType w:val="hybridMultilevel"/>
    <w:tmpl w:val="F89C1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745D01"/>
    <w:multiLevelType w:val="hybridMultilevel"/>
    <w:tmpl w:val="3CB8D36E"/>
    <w:lvl w:ilvl="0" w:tplc="A546056A">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F756EA"/>
    <w:multiLevelType w:val="hybridMultilevel"/>
    <w:tmpl w:val="3A263FB6"/>
    <w:lvl w:ilvl="0" w:tplc="92A09EF8">
      <w:start w:val="1"/>
      <w:numFmt w:val="bullet"/>
      <w:lvlText w:val="–"/>
      <w:lvlJc w:val="left"/>
      <w:pPr>
        <w:ind w:left="720" w:hanging="360"/>
      </w:pPr>
      <w:rPr>
        <w:rFonts w:ascii="Symbol" w:hAnsi="Symbol" w:hint="default"/>
      </w:rPr>
    </w:lvl>
    <w:lvl w:ilvl="1" w:tplc="168C5312">
      <w:start w:val="1"/>
      <w:numFmt w:val="bullet"/>
      <w:lvlText w:val="o"/>
      <w:lvlJc w:val="left"/>
      <w:pPr>
        <w:ind w:left="1440" w:hanging="360"/>
      </w:pPr>
      <w:rPr>
        <w:rFonts w:ascii="Courier New" w:hAnsi="Courier New" w:hint="default"/>
      </w:rPr>
    </w:lvl>
    <w:lvl w:ilvl="2" w:tplc="314C87BA">
      <w:start w:val="1"/>
      <w:numFmt w:val="bullet"/>
      <w:lvlText w:val=""/>
      <w:lvlJc w:val="left"/>
      <w:pPr>
        <w:ind w:left="2160" w:hanging="360"/>
      </w:pPr>
      <w:rPr>
        <w:rFonts w:ascii="Wingdings" w:hAnsi="Wingdings" w:hint="default"/>
      </w:rPr>
    </w:lvl>
    <w:lvl w:ilvl="3" w:tplc="49825DAE">
      <w:start w:val="1"/>
      <w:numFmt w:val="bullet"/>
      <w:lvlText w:val=""/>
      <w:lvlJc w:val="left"/>
      <w:pPr>
        <w:ind w:left="2880" w:hanging="360"/>
      </w:pPr>
      <w:rPr>
        <w:rFonts w:ascii="Symbol" w:hAnsi="Symbol" w:hint="default"/>
      </w:rPr>
    </w:lvl>
    <w:lvl w:ilvl="4" w:tplc="5B32FD8E">
      <w:start w:val="1"/>
      <w:numFmt w:val="bullet"/>
      <w:lvlText w:val="o"/>
      <w:lvlJc w:val="left"/>
      <w:pPr>
        <w:ind w:left="3600" w:hanging="360"/>
      </w:pPr>
      <w:rPr>
        <w:rFonts w:ascii="Courier New" w:hAnsi="Courier New" w:hint="default"/>
      </w:rPr>
    </w:lvl>
    <w:lvl w:ilvl="5" w:tplc="C5E8E708">
      <w:start w:val="1"/>
      <w:numFmt w:val="bullet"/>
      <w:lvlText w:val=""/>
      <w:lvlJc w:val="left"/>
      <w:pPr>
        <w:ind w:left="4320" w:hanging="360"/>
      </w:pPr>
      <w:rPr>
        <w:rFonts w:ascii="Wingdings" w:hAnsi="Wingdings" w:hint="default"/>
      </w:rPr>
    </w:lvl>
    <w:lvl w:ilvl="6" w:tplc="D0526948">
      <w:start w:val="1"/>
      <w:numFmt w:val="bullet"/>
      <w:lvlText w:val=""/>
      <w:lvlJc w:val="left"/>
      <w:pPr>
        <w:ind w:left="5040" w:hanging="360"/>
      </w:pPr>
      <w:rPr>
        <w:rFonts w:ascii="Symbol" w:hAnsi="Symbol" w:hint="default"/>
      </w:rPr>
    </w:lvl>
    <w:lvl w:ilvl="7" w:tplc="808C0E9E">
      <w:start w:val="1"/>
      <w:numFmt w:val="bullet"/>
      <w:lvlText w:val="o"/>
      <w:lvlJc w:val="left"/>
      <w:pPr>
        <w:ind w:left="5760" w:hanging="360"/>
      </w:pPr>
      <w:rPr>
        <w:rFonts w:ascii="Courier New" w:hAnsi="Courier New" w:hint="default"/>
      </w:rPr>
    </w:lvl>
    <w:lvl w:ilvl="8" w:tplc="1652C944">
      <w:start w:val="1"/>
      <w:numFmt w:val="bullet"/>
      <w:lvlText w:val=""/>
      <w:lvlJc w:val="left"/>
      <w:pPr>
        <w:ind w:left="6480" w:hanging="360"/>
      </w:pPr>
      <w:rPr>
        <w:rFonts w:ascii="Wingdings" w:hAnsi="Wingdings" w:hint="default"/>
      </w:rPr>
    </w:lvl>
  </w:abstractNum>
  <w:abstractNum w:abstractNumId="10" w15:restartNumberingAfterBreak="0">
    <w:nsid w:val="3A017093"/>
    <w:multiLevelType w:val="hybridMultilevel"/>
    <w:tmpl w:val="7C765B50"/>
    <w:lvl w:ilvl="0" w:tplc="0A1AF58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2EFC68"/>
    <w:multiLevelType w:val="hybridMultilevel"/>
    <w:tmpl w:val="F6BE6874"/>
    <w:lvl w:ilvl="0" w:tplc="B4C6ABC6">
      <w:start w:val="1"/>
      <w:numFmt w:val="bullet"/>
      <w:lvlText w:val=""/>
      <w:lvlJc w:val="left"/>
      <w:pPr>
        <w:ind w:left="720" w:hanging="360"/>
      </w:pPr>
      <w:rPr>
        <w:rFonts w:ascii="Symbol" w:hAnsi="Symbol" w:hint="default"/>
      </w:rPr>
    </w:lvl>
    <w:lvl w:ilvl="1" w:tplc="51F222E6">
      <w:start w:val="1"/>
      <w:numFmt w:val="bullet"/>
      <w:lvlText w:val="o"/>
      <w:lvlJc w:val="left"/>
      <w:pPr>
        <w:ind w:left="1440" w:hanging="360"/>
      </w:pPr>
      <w:rPr>
        <w:rFonts w:ascii="Courier New" w:hAnsi="Courier New" w:hint="default"/>
      </w:rPr>
    </w:lvl>
    <w:lvl w:ilvl="2" w:tplc="4B568EE8">
      <w:start w:val="1"/>
      <w:numFmt w:val="bullet"/>
      <w:lvlText w:val=""/>
      <w:lvlJc w:val="left"/>
      <w:pPr>
        <w:ind w:left="2160" w:hanging="360"/>
      </w:pPr>
      <w:rPr>
        <w:rFonts w:ascii="Wingdings" w:hAnsi="Wingdings" w:hint="default"/>
      </w:rPr>
    </w:lvl>
    <w:lvl w:ilvl="3" w:tplc="BD7CDD64">
      <w:start w:val="1"/>
      <w:numFmt w:val="bullet"/>
      <w:lvlText w:val=""/>
      <w:lvlJc w:val="left"/>
      <w:pPr>
        <w:ind w:left="2880" w:hanging="360"/>
      </w:pPr>
      <w:rPr>
        <w:rFonts w:ascii="Symbol" w:hAnsi="Symbol" w:hint="default"/>
      </w:rPr>
    </w:lvl>
    <w:lvl w:ilvl="4" w:tplc="E1063E82">
      <w:start w:val="1"/>
      <w:numFmt w:val="bullet"/>
      <w:lvlText w:val="o"/>
      <w:lvlJc w:val="left"/>
      <w:pPr>
        <w:ind w:left="3600" w:hanging="360"/>
      </w:pPr>
      <w:rPr>
        <w:rFonts w:ascii="Courier New" w:hAnsi="Courier New" w:hint="default"/>
      </w:rPr>
    </w:lvl>
    <w:lvl w:ilvl="5" w:tplc="5D248DB2">
      <w:start w:val="1"/>
      <w:numFmt w:val="bullet"/>
      <w:lvlText w:val=""/>
      <w:lvlJc w:val="left"/>
      <w:pPr>
        <w:ind w:left="4320" w:hanging="360"/>
      </w:pPr>
      <w:rPr>
        <w:rFonts w:ascii="Wingdings" w:hAnsi="Wingdings" w:hint="default"/>
      </w:rPr>
    </w:lvl>
    <w:lvl w:ilvl="6" w:tplc="5DDC354E">
      <w:start w:val="1"/>
      <w:numFmt w:val="bullet"/>
      <w:lvlText w:val=""/>
      <w:lvlJc w:val="left"/>
      <w:pPr>
        <w:ind w:left="5040" w:hanging="360"/>
      </w:pPr>
      <w:rPr>
        <w:rFonts w:ascii="Symbol" w:hAnsi="Symbol" w:hint="default"/>
      </w:rPr>
    </w:lvl>
    <w:lvl w:ilvl="7" w:tplc="77543244">
      <w:start w:val="1"/>
      <w:numFmt w:val="bullet"/>
      <w:lvlText w:val="o"/>
      <w:lvlJc w:val="left"/>
      <w:pPr>
        <w:ind w:left="5760" w:hanging="360"/>
      </w:pPr>
      <w:rPr>
        <w:rFonts w:ascii="Courier New" w:hAnsi="Courier New" w:hint="default"/>
      </w:rPr>
    </w:lvl>
    <w:lvl w:ilvl="8" w:tplc="E7206684">
      <w:start w:val="1"/>
      <w:numFmt w:val="bullet"/>
      <w:lvlText w:val=""/>
      <w:lvlJc w:val="left"/>
      <w:pPr>
        <w:ind w:left="6480" w:hanging="360"/>
      </w:pPr>
      <w:rPr>
        <w:rFonts w:ascii="Wingdings" w:hAnsi="Wingdings" w:hint="default"/>
      </w:rPr>
    </w:lvl>
  </w:abstractNum>
  <w:abstractNum w:abstractNumId="12" w15:restartNumberingAfterBreak="0">
    <w:nsid w:val="444FB1BE"/>
    <w:multiLevelType w:val="hybridMultilevel"/>
    <w:tmpl w:val="FFFFFFFF"/>
    <w:lvl w:ilvl="0" w:tplc="8D1AA444">
      <w:start w:val="1"/>
      <w:numFmt w:val="bullet"/>
      <w:lvlText w:val=""/>
      <w:lvlJc w:val="left"/>
      <w:pPr>
        <w:ind w:left="720" w:hanging="360"/>
      </w:pPr>
      <w:rPr>
        <w:rFonts w:ascii="Symbol" w:hAnsi="Symbol" w:hint="default"/>
      </w:rPr>
    </w:lvl>
    <w:lvl w:ilvl="1" w:tplc="5C7A491E">
      <w:start w:val="1"/>
      <w:numFmt w:val="bullet"/>
      <w:lvlText w:val="o"/>
      <w:lvlJc w:val="left"/>
      <w:pPr>
        <w:ind w:left="1440" w:hanging="360"/>
      </w:pPr>
      <w:rPr>
        <w:rFonts w:ascii="Courier New" w:hAnsi="Courier New" w:hint="default"/>
      </w:rPr>
    </w:lvl>
    <w:lvl w:ilvl="2" w:tplc="8D8EE254">
      <w:start w:val="1"/>
      <w:numFmt w:val="bullet"/>
      <w:lvlText w:val=""/>
      <w:lvlJc w:val="left"/>
      <w:pPr>
        <w:ind w:left="2160" w:hanging="360"/>
      </w:pPr>
      <w:rPr>
        <w:rFonts w:ascii="Wingdings" w:hAnsi="Wingdings" w:hint="default"/>
      </w:rPr>
    </w:lvl>
    <w:lvl w:ilvl="3" w:tplc="75641C3E">
      <w:start w:val="1"/>
      <w:numFmt w:val="bullet"/>
      <w:lvlText w:val=""/>
      <w:lvlJc w:val="left"/>
      <w:pPr>
        <w:ind w:left="2880" w:hanging="360"/>
      </w:pPr>
      <w:rPr>
        <w:rFonts w:ascii="Symbol" w:hAnsi="Symbol" w:hint="default"/>
      </w:rPr>
    </w:lvl>
    <w:lvl w:ilvl="4" w:tplc="BB44BBDA">
      <w:start w:val="1"/>
      <w:numFmt w:val="bullet"/>
      <w:lvlText w:val="o"/>
      <w:lvlJc w:val="left"/>
      <w:pPr>
        <w:ind w:left="3600" w:hanging="360"/>
      </w:pPr>
      <w:rPr>
        <w:rFonts w:ascii="Courier New" w:hAnsi="Courier New" w:hint="default"/>
      </w:rPr>
    </w:lvl>
    <w:lvl w:ilvl="5" w:tplc="3DC40724">
      <w:start w:val="1"/>
      <w:numFmt w:val="bullet"/>
      <w:lvlText w:val=""/>
      <w:lvlJc w:val="left"/>
      <w:pPr>
        <w:ind w:left="4320" w:hanging="360"/>
      </w:pPr>
      <w:rPr>
        <w:rFonts w:ascii="Wingdings" w:hAnsi="Wingdings" w:hint="default"/>
      </w:rPr>
    </w:lvl>
    <w:lvl w:ilvl="6" w:tplc="5C1CF66E">
      <w:start w:val="1"/>
      <w:numFmt w:val="bullet"/>
      <w:lvlText w:val=""/>
      <w:lvlJc w:val="left"/>
      <w:pPr>
        <w:ind w:left="5040" w:hanging="360"/>
      </w:pPr>
      <w:rPr>
        <w:rFonts w:ascii="Symbol" w:hAnsi="Symbol" w:hint="default"/>
      </w:rPr>
    </w:lvl>
    <w:lvl w:ilvl="7" w:tplc="7D48D126">
      <w:start w:val="1"/>
      <w:numFmt w:val="bullet"/>
      <w:lvlText w:val="o"/>
      <w:lvlJc w:val="left"/>
      <w:pPr>
        <w:ind w:left="5760" w:hanging="360"/>
      </w:pPr>
      <w:rPr>
        <w:rFonts w:ascii="Courier New" w:hAnsi="Courier New" w:hint="default"/>
      </w:rPr>
    </w:lvl>
    <w:lvl w:ilvl="8" w:tplc="5A18E6EC">
      <w:start w:val="1"/>
      <w:numFmt w:val="bullet"/>
      <w:lvlText w:val=""/>
      <w:lvlJc w:val="left"/>
      <w:pPr>
        <w:ind w:left="6480" w:hanging="360"/>
      </w:pPr>
      <w:rPr>
        <w:rFonts w:ascii="Wingdings" w:hAnsi="Wingdings" w:hint="default"/>
      </w:rPr>
    </w:lvl>
  </w:abstractNum>
  <w:abstractNum w:abstractNumId="13" w15:restartNumberingAfterBreak="0">
    <w:nsid w:val="466B4873"/>
    <w:multiLevelType w:val="hybridMultilevel"/>
    <w:tmpl w:val="4DB6A27A"/>
    <w:lvl w:ilvl="0" w:tplc="EBCEC3B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A4CFC1"/>
    <w:multiLevelType w:val="hybridMultilevel"/>
    <w:tmpl w:val="1FF442EA"/>
    <w:lvl w:ilvl="0" w:tplc="5F84CB78">
      <w:start w:val="1"/>
      <w:numFmt w:val="bullet"/>
      <w:lvlText w:val=""/>
      <w:lvlJc w:val="left"/>
      <w:pPr>
        <w:ind w:left="720" w:hanging="360"/>
      </w:pPr>
      <w:rPr>
        <w:rFonts w:ascii="Symbol" w:hAnsi="Symbol" w:hint="default"/>
      </w:rPr>
    </w:lvl>
    <w:lvl w:ilvl="1" w:tplc="596AA932">
      <w:start w:val="1"/>
      <w:numFmt w:val="bullet"/>
      <w:lvlText w:val="o"/>
      <w:lvlJc w:val="left"/>
      <w:pPr>
        <w:ind w:left="1440" w:hanging="360"/>
      </w:pPr>
      <w:rPr>
        <w:rFonts w:ascii="Courier New" w:hAnsi="Courier New" w:hint="default"/>
      </w:rPr>
    </w:lvl>
    <w:lvl w:ilvl="2" w:tplc="5532B994">
      <w:start w:val="1"/>
      <w:numFmt w:val="bullet"/>
      <w:lvlText w:val=""/>
      <w:lvlJc w:val="left"/>
      <w:pPr>
        <w:ind w:left="2160" w:hanging="360"/>
      </w:pPr>
      <w:rPr>
        <w:rFonts w:ascii="Wingdings" w:hAnsi="Wingdings" w:hint="default"/>
      </w:rPr>
    </w:lvl>
    <w:lvl w:ilvl="3" w:tplc="F3D6EFE6">
      <w:start w:val="1"/>
      <w:numFmt w:val="bullet"/>
      <w:lvlText w:val=""/>
      <w:lvlJc w:val="left"/>
      <w:pPr>
        <w:ind w:left="2880" w:hanging="360"/>
      </w:pPr>
      <w:rPr>
        <w:rFonts w:ascii="Symbol" w:hAnsi="Symbol" w:hint="default"/>
      </w:rPr>
    </w:lvl>
    <w:lvl w:ilvl="4" w:tplc="DBF273FC">
      <w:start w:val="1"/>
      <w:numFmt w:val="bullet"/>
      <w:lvlText w:val="o"/>
      <w:lvlJc w:val="left"/>
      <w:pPr>
        <w:ind w:left="3600" w:hanging="360"/>
      </w:pPr>
      <w:rPr>
        <w:rFonts w:ascii="Courier New" w:hAnsi="Courier New" w:hint="default"/>
      </w:rPr>
    </w:lvl>
    <w:lvl w:ilvl="5" w:tplc="09A66662">
      <w:start w:val="1"/>
      <w:numFmt w:val="bullet"/>
      <w:lvlText w:val=""/>
      <w:lvlJc w:val="left"/>
      <w:pPr>
        <w:ind w:left="4320" w:hanging="360"/>
      </w:pPr>
      <w:rPr>
        <w:rFonts w:ascii="Wingdings" w:hAnsi="Wingdings" w:hint="default"/>
      </w:rPr>
    </w:lvl>
    <w:lvl w:ilvl="6" w:tplc="26C4B50E">
      <w:start w:val="1"/>
      <w:numFmt w:val="bullet"/>
      <w:lvlText w:val=""/>
      <w:lvlJc w:val="left"/>
      <w:pPr>
        <w:ind w:left="5040" w:hanging="360"/>
      </w:pPr>
      <w:rPr>
        <w:rFonts w:ascii="Symbol" w:hAnsi="Symbol" w:hint="default"/>
      </w:rPr>
    </w:lvl>
    <w:lvl w:ilvl="7" w:tplc="7D00D6B8">
      <w:start w:val="1"/>
      <w:numFmt w:val="bullet"/>
      <w:lvlText w:val="o"/>
      <w:lvlJc w:val="left"/>
      <w:pPr>
        <w:ind w:left="5760" w:hanging="360"/>
      </w:pPr>
      <w:rPr>
        <w:rFonts w:ascii="Courier New" w:hAnsi="Courier New" w:hint="default"/>
      </w:rPr>
    </w:lvl>
    <w:lvl w:ilvl="8" w:tplc="E2EAC578">
      <w:start w:val="1"/>
      <w:numFmt w:val="bullet"/>
      <w:lvlText w:val=""/>
      <w:lvlJc w:val="left"/>
      <w:pPr>
        <w:ind w:left="6480" w:hanging="360"/>
      </w:pPr>
      <w:rPr>
        <w:rFonts w:ascii="Wingdings" w:hAnsi="Wingdings" w:hint="default"/>
      </w:rPr>
    </w:lvl>
  </w:abstractNum>
  <w:abstractNum w:abstractNumId="15" w15:restartNumberingAfterBreak="0">
    <w:nsid w:val="4A35200C"/>
    <w:multiLevelType w:val="hybridMultilevel"/>
    <w:tmpl w:val="B5F289EC"/>
    <w:lvl w:ilvl="0" w:tplc="1FD6AE9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20D261"/>
    <w:multiLevelType w:val="hybridMultilevel"/>
    <w:tmpl w:val="4B0460F0"/>
    <w:lvl w:ilvl="0" w:tplc="3428519E">
      <w:start w:val="1"/>
      <w:numFmt w:val="bullet"/>
      <w:lvlText w:val="-"/>
      <w:lvlJc w:val="left"/>
      <w:pPr>
        <w:ind w:left="720" w:hanging="360"/>
      </w:pPr>
      <w:rPr>
        <w:rFonts w:ascii="Calibri" w:hAnsi="Calibri" w:hint="default"/>
      </w:rPr>
    </w:lvl>
    <w:lvl w:ilvl="1" w:tplc="B0B6D8AA">
      <w:start w:val="1"/>
      <w:numFmt w:val="bullet"/>
      <w:lvlText w:val="o"/>
      <w:lvlJc w:val="left"/>
      <w:pPr>
        <w:ind w:left="1440" w:hanging="360"/>
      </w:pPr>
      <w:rPr>
        <w:rFonts w:ascii="Courier New" w:hAnsi="Courier New" w:hint="default"/>
      </w:rPr>
    </w:lvl>
    <w:lvl w:ilvl="2" w:tplc="77B622A8">
      <w:start w:val="1"/>
      <w:numFmt w:val="bullet"/>
      <w:lvlText w:val=""/>
      <w:lvlJc w:val="left"/>
      <w:pPr>
        <w:ind w:left="2160" w:hanging="360"/>
      </w:pPr>
      <w:rPr>
        <w:rFonts w:ascii="Wingdings" w:hAnsi="Wingdings" w:hint="default"/>
      </w:rPr>
    </w:lvl>
    <w:lvl w:ilvl="3" w:tplc="0D8AD05C">
      <w:start w:val="1"/>
      <w:numFmt w:val="bullet"/>
      <w:lvlText w:val=""/>
      <w:lvlJc w:val="left"/>
      <w:pPr>
        <w:ind w:left="2880" w:hanging="360"/>
      </w:pPr>
      <w:rPr>
        <w:rFonts w:ascii="Symbol" w:hAnsi="Symbol" w:hint="default"/>
      </w:rPr>
    </w:lvl>
    <w:lvl w:ilvl="4" w:tplc="D41851EE">
      <w:start w:val="1"/>
      <w:numFmt w:val="bullet"/>
      <w:lvlText w:val="o"/>
      <w:lvlJc w:val="left"/>
      <w:pPr>
        <w:ind w:left="3600" w:hanging="360"/>
      </w:pPr>
      <w:rPr>
        <w:rFonts w:ascii="Courier New" w:hAnsi="Courier New" w:hint="default"/>
      </w:rPr>
    </w:lvl>
    <w:lvl w:ilvl="5" w:tplc="8C46033E">
      <w:start w:val="1"/>
      <w:numFmt w:val="bullet"/>
      <w:lvlText w:val=""/>
      <w:lvlJc w:val="left"/>
      <w:pPr>
        <w:ind w:left="4320" w:hanging="360"/>
      </w:pPr>
      <w:rPr>
        <w:rFonts w:ascii="Wingdings" w:hAnsi="Wingdings" w:hint="default"/>
      </w:rPr>
    </w:lvl>
    <w:lvl w:ilvl="6" w:tplc="B034580A">
      <w:start w:val="1"/>
      <w:numFmt w:val="bullet"/>
      <w:lvlText w:val=""/>
      <w:lvlJc w:val="left"/>
      <w:pPr>
        <w:ind w:left="5040" w:hanging="360"/>
      </w:pPr>
      <w:rPr>
        <w:rFonts w:ascii="Symbol" w:hAnsi="Symbol" w:hint="default"/>
      </w:rPr>
    </w:lvl>
    <w:lvl w:ilvl="7" w:tplc="F5B85C78">
      <w:start w:val="1"/>
      <w:numFmt w:val="bullet"/>
      <w:lvlText w:val="o"/>
      <w:lvlJc w:val="left"/>
      <w:pPr>
        <w:ind w:left="5760" w:hanging="360"/>
      </w:pPr>
      <w:rPr>
        <w:rFonts w:ascii="Courier New" w:hAnsi="Courier New" w:hint="default"/>
      </w:rPr>
    </w:lvl>
    <w:lvl w:ilvl="8" w:tplc="FD44B334">
      <w:start w:val="1"/>
      <w:numFmt w:val="bullet"/>
      <w:lvlText w:val=""/>
      <w:lvlJc w:val="left"/>
      <w:pPr>
        <w:ind w:left="6480" w:hanging="360"/>
      </w:pPr>
      <w:rPr>
        <w:rFonts w:ascii="Wingdings" w:hAnsi="Wingdings" w:hint="default"/>
      </w:rPr>
    </w:lvl>
  </w:abstractNum>
  <w:abstractNum w:abstractNumId="1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15:restartNumberingAfterBreak="0">
    <w:nsid w:val="6AC37C9F"/>
    <w:multiLevelType w:val="hybridMultilevel"/>
    <w:tmpl w:val="4DE607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DBD3991"/>
    <w:multiLevelType w:val="hybridMultilevel"/>
    <w:tmpl w:val="5290C9F6"/>
    <w:lvl w:ilvl="0" w:tplc="692C1F3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1A2966"/>
    <w:multiLevelType w:val="hybridMultilevel"/>
    <w:tmpl w:val="5290C9F6"/>
    <w:lvl w:ilvl="0" w:tplc="692C1F3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96358E"/>
    <w:multiLevelType w:val="hybridMultilevel"/>
    <w:tmpl w:val="03B823AE"/>
    <w:lvl w:ilvl="0" w:tplc="47F02806">
      <w:start w:val="1"/>
      <w:numFmt w:val="decimal"/>
      <w:lvlText w:val="%1."/>
      <w:lvlJc w:val="left"/>
      <w:pPr>
        <w:ind w:left="720" w:hanging="360"/>
      </w:pPr>
      <w:rPr>
        <w:rFonts w:ascii="Times New Roman" w:hAnsi="Times New Roman" w:cs="Times New Roman" w:hint="default"/>
      </w:rPr>
    </w:lvl>
    <w:lvl w:ilvl="1" w:tplc="E2BA92BA">
      <w:start w:val="1"/>
      <w:numFmt w:val="lowerLetter"/>
      <w:lvlText w:val="%2."/>
      <w:lvlJc w:val="left"/>
      <w:pPr>
        <w:ind w:left="1440" w:hanging="360"/>
      </w:pPr>
    </w:lvl>
    <w:lvl w:ilvl="2" w:tplc="6E6C7DA0">
      <w:start w:val="1"/>
      <w:numFmt w:val="lowerRoman"/>
      <w:lvlText w:val="%3."/>
      <w:lvlJc w:val="right"/>
      <w:pPr>
        <w:ind w:left="2160" w:hanging="180"/>
      </w:pPr>
    </w:lvl>
    <w:lvl w:ilvl="3" w:tplc="D742A43A">
      <w:start w:val="1"/>
      <w:numFmt w:val="decimal"/>
      <w:lvlText w:val="%4."/>
      <w:lvlJc w:val="left"/>
      <w:pPr>
        <w:ind w:left="2880" w:hanging="360"/>
      </w:pPr>
    </w:lvl>
    <w:lvl w:ilvl="4" w:tplc="EB247F2C">
      <w:start w:val="1"/>
      <w:numFmt w:val="lowerLetter"/>
      <w:lvlText w:val="%5."/>
      <w:lvlJc w:val="left"/>
      <w:pPr>
        <w:ind w:left="3600" w:hanging="360"/>
      </w:pPr>
    </w:lvl>
    <w:lvl w:ilvl="5" w:tplc="49C80A0E">
      <w:start w:val="1"/>
      <w:numFmt w:val="lowerRoman"/>
      <w:lvlText w:val="%6."/>
      <w:lvlJc w:val="right"/>
      <w:pPr>
        <w:ind w:left="4320" w:hanging="180"/>
      </w:pPr>
    </w:lvl>
    <w:lvl w:ilvl="6" w:tplc="1376D55E">
      <w:start w:val="1"/>
      <w:numFmt w:val="decimal"/>
      <w:lvlText w:val="%7."/>
      <w:lvlJc w:val="left"/>
      <w:pPr>
        <w:ind w:left="5040" w:hanging="360"/>
      </w:pPr>
    </w:lvl>
    <w:lvl w:ilvl="7" w:tplc="0A12B318">
      <w:start w:val="1"/>
      <w:numFmt w:val="lowerLetter"/>
      <w:lvlText w:val="%8."/>
      <w:lvlJc w:val="left"/>
      <w:pPr>
        <w:ind w:left="5760" w:hanging="360"/>
      </w:pPr>
    </w:lvl>
    <w:lvl w:ilvl="8" w:tplc="549668F2">
      <w:start w:val="1"/>
      <w:numFmt w:val="lowerRoman"/>
      <w:lvlText w:val="%9."/>
      <w:lvlJc w:val="right"/>
      <w:pPr>
        <w:ind w:left="6480" w:hanging="180"/>
      </w:pPr>
    </w:lvl>
  </w:abstractNum>
  <w:abstractNum w:abstractNumId="22" w15:restartNumberingAfterBreak="0">
    <w:nsid w:val="77C48DD6"/>
    <w:multiLevelType w:val="hybridMultilevel"/>
    <w:tmpl w:val="8ABA9C0C"/>
    <w:lvl w:ilvl="0" w:tplc="ED5C9408">
      <w:start w:val="1"/>
      <w:numFmt w:val="bullet"/>
      <w:lvlText w:val=""/>
      <w:lvlJc w:val="left"/>
      <w:pPr>
        <w:ind w:left="720" w:hanging="360"/>
      </w:pPr>
      <w:rPr>
        <w:rFonts w:ascii="Symbol" w:hAnsi="Symbol" w:hint="default"/>
      </w:rPr>
    </w:lvl>
    <w:lvl w:ilvl="1" w:tplc="9DDCAF0A">
      <w:start w:val="1"/>
      <w:numFmt w:val="bullet"/>
      <w:lvlText w:val="o"/>
      <w:lvlJc w:val="left"/>
      <w:pPr>
        <w:ind w:left="1440" w:hanging="360"/>
      </w:pPr>
      <w:rPr>
        <w:rFonts w:ascii="Courier New" w:hAnsi="Courier New" w:hint="default"/>
      </w:rPr>
    </w:lvl>
    <w:lvl w:ilvl="2" w:tplc="A1C6982A">
      <w:start w:val="1"/>
      <w:numFmt w:val="bullet"/>
      <w:lvlText w:val=""/>
      <w:lvlJc w:val="left"/>
      <w:pPr>
        <w:ind w:left="2160" w:hanging="360"/>
      </w:pPr>
      <w:rPr>
        <w:rFonts w:ascii="Wingdings" w:hAnsi="Wingdings" w:hint="default"/>
      </w:rPr>
    </w:lvl>
    <w:lvl w:ilvl="3" w:tplc="12444022">
      <w:start w:val="1"/>
      <w:numFmt w:val="bullet"/>
      <w:lvlText w:val=""/>
      <w:lvlJc w:val="left"/>
      <w:pPr>
        <w:ind w:left="2880" w:hanging="360"/>
      </w:pPr>
      <w:rPr>
        <w:rFonts w:ascii="Symbol" w:hAnsi="Symbol" w:hint="default"/>
      </w:rPr>
    </w:lvl>
    <w:lvl w:ilvl="4" w:tplc="C81C57F4">
      <w:start w:val="1"/>
      <w:numFmt w:val="bullet"/>
      <w:lvlText w:val="o"/>
      <w:lvlJc w:val="left"/>
      <w:pPr>
        <w:ind w:left="3600" w:hanging="360"/>
      </w:pPr>
      <w:rPr>
        <w:rFonts w:ascii="Courier New" w:hAnsi="Courier New" w:hint="default"/>
      </w:rPr>
    </w:lvl>
    <w:lvl w:ilvl="5" w:tplc="93FC8EB8">
      <w:start w:val="1"/>
      <w:numFmt w:val="bullet"/>
      <w:lvlText w:val=""/>
      <w:lvlJc w:val="left"/>
      <w:pPr>
        <w:ind w:left="4320" w:hanging="360"/>
      </w:pPr>
      <w:rPr>
        <w:rFonts w:ascii="Wingdings" w:hAnsi="Wingdings" w:hint="default"/>
      </w:rPr>
    </w:lvl>
    <w:lvl w:ilvl="6" w:tplc="A7DC57D8">
      <w:start w:val="1"/>
      <w:numFmt w:val="bullet"/>
      <w:lvlText w:val=""/>
      <w:lvlJc w:val="left"/>
      <w:pPr>
        <w:ind w:left="5040" w:hanging="360"/>
      </w:pPr>
      <w:rPr>
        <w:rFonts w:ascii="Symbol" w:hAnsi="Symbol" w:hint="default"/>
      </w:rPr>
    </w:lvl>
    <w:lvl w:ilvl="7" w:tplc="7FC8B96E">
      <w:start w:val="1"/>
      <w:numFmt w:val="bullet"/>
      <w:lvlText w:val="o"/>
      <w:lvlJc w:val="left"/>
      <w:pPr>
        <w:ind w:left="5760" w:hanging="360"/>
      </w:pPr>
      <w:rPr>
        <w:rFonts w:ascii="Courier New" w:hAnsi="Courier New" w:hint="default"/>
      </w:rPr>
    </w:lvl>
    <w:lvl w:ilvl="8" w:tplc="45F08300">
      <w:start w:val="1"/>
      <w:numFmt w:val="bullet"/>
      <w:lvlText w:val=""/>
      <w:lvlJc w:val="left"/>
      <w:pPr>
        <w:ind w:left="6480" w:hanging="360"/>
      </w:pPr>
      <w:rPr>
        <w:rFonts w:ascii="Wingdings" w:hAnsi="Wingdings" w:hint="default"/>
      </w:rPr>
    </w:lvl>
  </w:abstractNum>
  <w:abstractNum w:abstractNumId="23" w15:restartNumberingAfterBreak="0">
    <w:nsid w:val="7E2F3604"/>
    <w:multiLevelType w:val="hybridMultilevel"/>
    <w:tmpl w:val="BEBA616E"/>
    <w:lvl w:ilvl="0" w:tplc="EB9072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6"/>
  </w:num>
  <w:num w:numId="4">
    <w:abstractNumId w:val="11"/>
  </w:num>
  <w:num w:numId="5">
    <w:abstractNumId w:val="9"/>
  </w:num>
  <w:num w:numId="6">
    <w:abstractNumId w:val="3"/>
  </w:num>
  <w:num w:numId="7">
    <w:abstractNumId w:val="16"/>
  </w:num>
  <w:num w:numId="8">
    <w:abstractNumId w:val="15"/>
  </w:num>
  <w:num w:numId="9">
    <w:abstractNumId w:val="4"/>
  </w:num>
  <w:num w:numId="10">
    <w:abstractNumId w:val="13"/>
  </w:num>
  <w:num w:numId="11">
    <w:abstractNumId w:val="19"/>
  </w:num>
  <w:num w:numId="12">
    <w:abstractNumId w:val="0"/>
  </w:num>
  <w:num w:numId="13">
    <w:abstractNumId w:val="7"/>
  </w:num>
  <w:num w:numId="14">
    <w:abstractNumId w:val="17"/>
  </w:num>
  <w:num w:numId="15">
    <w:abstractNumId w:val="2"/>
  </w:num>
  <w:num w:numId="16">
    <w:abstractNumId w:val="23"/>
  </w:num>
  <w:num w:numId="17">
    <w:abstractNumId w:val="8"/>
  </w:num>
  <w:num w:numId="18">
    <w:abstractNumId w:val="20"/>
  </w:num>
  <w:num w:numId="19">
    <w:abstractNumId w:val="10"/>
  </w:num>
  <w:num w:numId="20">
    <w:abstractNumId w:val="5"/>
  </w:num>
  <w:num w:numId="21">
    <w:abstractNumId w:val="12"/>
  </w:num>
  <w:num w:numId="22">
    <w:abstractNumId w:val="21"/>
  </w:num>
  <w:num w:numId="23">
    <w:abstractNumId w:val="18"/>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it-IT" w:vendorID="64" w:dllVersion="0"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19236D79-043B-4ACD-97D2-CFBB2332B04C"/>
    <w:docVar w:name="LW_COVERPAGE_TYPE" w:val="1"/>
    <w:docVar w:name="LW_CROSSREFERENCE" w:val="&lt;UNUSED&gt;"/>
    <w:docVar w:name="LW_DocType" w:val="NORMAL"/>
    <w:docVar w:name="LW_EMISSION" w:val="8.2.2023"/>
    <w:docVar w:name="LW_EMISSION_ISODATE" w:val="2023-02-08"/>
    <w:docVar w:name="LW_EMISSION_LOCATION" w:val="BRX"/>
    <w:docVar w:name="LW_EMISSION_PREFIX" w:val="\u914?\u961?\u965?\u958?\u941?\u955?\u955?\u949?\u962?, "/>
    <w:docVar w:name="LW_EMISSION_SUFFIX" w:val=" "/>
    <w:docVar w:name="LW_ID_DOCTYPE_NONLW" w:val="CP-014"/>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3) 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Στόχοι της Ευρωπαϊκής Ένωσης για την ανθεκτικότητα στις καταστροφές: από κοινού δράση για την αντιμετώπιση μελλοντικών καταστάσεων έκτακτης ανάγκης"/>
    <w:docVar w:name="LW_TYPE.DOC.CP" w:val="ΑΝΑΚΟΙΝΩΣΗ ΤΗΣ ΕΠΙΤΡΟΠΗΣ ΠΡΟΣ ΤΟ ΕΥΡΩΠΑΪΚΟ ΚΟΙΝΟΒΟΥΛΙΟ, ΤΟ ΣΥΜΒΟΥΛΙΟ, ΤΗΝ ΕΥΡΩΠΑΪΚΗ ΟΙΚΟΝΟΜΙΚΗ ΚΑΙ ΚΟΙΝΩΝΙΚΗ ΕΠΙΤΡΟΠΗ ΚΑΙ ΤΗΝ ΕΠΙΤΡΟΠΗ ΤΩΝ ΠΕΡΙΦΕΡΕΙΩΝ"/>
    <w:docVar w:name="LW_TYPE.DOC.CP.USERTEXT" w:val="&lt;EMPTY&gt;"/>
    <w:docVar w:name="LwApiVersions" w:val="LW4CoDe 1.23.2.0; LW 8.0, Build 20211117"/>
  </w:docVars>
  <w:rsids>
    <w:rsidRoot w:val="005B39A8"/>
    <w:rsid w:val="00000405"/>
    <w:rsid w:val="0000238C"/>
    <w:rsid w:val="00011068"/>
    <w:rsid w:val="00012569"/>
    <w:rsid w:val="00012700"/>
    <w:rsid w:val="00014F92"/>
    <w:rsid w:val="00016BC2"/>
    <w:rsid w:val="00023E3E"/>
    <w:rsid w:val="00024CD5"/>
    <w:rsid w:val="00025EA5"/>
    <w:rsid w:val="0003428B"/>
    <w:rsid w:val="0004055D"/>
    <w:rsid w:val="0004169A"/>
    <w:rsid w:val="00044A7A"/>
    <w:rsid w:val="00047B16"/>
    <w:rsid w:val="000520C9"/>
    <w:rsid w:val="000533D2"/>
    <w:rsid w:val="00055076"/>
    <w:rsid w:val="000566B8"/>
    <w:rsid w:val="0006007E"/>
    <w:rsid w:val="000608A8"/>
    <w:rsid w:val="00065FAA"/>
    <w:rsid w:val="00071609"/>
    <w:rsid w:val="000744AE"/>
    <w:rsid w:val="00083A0D"/>
    <w:rsid w:val="00084024"/>
    <w:rsid w:val="000845AD"/>
    <w:rsid w:val="0008747F"/>
    <w:rsid w:val="00093385"/>
    <w:rsid w:val="00093CA3"/>
    <w:rsid w:val="00094615"/>
    <w:rsid w:val="00094926"/>
    <w:rsid w:val="00096A2B"/>
    <w:rsid w:val="00096A9B"/>
    <w:rsid w:val="00097A33"/>
    <w:rsid w:val="000A09CA"/>
    <w:rsid w:val="000A532A"/>
    <w:rsid w:val="000B213D"/>
    <w:rsid w:val="000B6476"/>
    <w:rsid w:val="000B6610"/>
    <w:rsid w:val="000C3CC8"/>
    <w:rsid w:val="000C55B4"/>
    <w:rsid w:val="000C7F53"/>
    <w:rsid w:val="000D0B96"/>
    <w:rsid w:val="000D17CD"/>
    <w:rsid w:val="000D4B0E"/>
    <w:rsid w:val="000D6F65"/>
    <w:rsid w:val="000E1774"/>
    <w:rsid w:val="000E20AE"/>
    <w:rsid w:val="000E335F"/>
    <w:rsid w:val="000E3799"/>
    <w:rsid w:val="000E4D3A"/>
    <w:rsid w:val="000E5AA8"/>
    <w:rsid w:val="000F1520"/>
    <w:rsid w:val="000F2F29"/>
    <w:rsid w:val="000F376E"/>
    <w:rsid w:val="000F498E"/>
    <w:rsid w:val="000F4E30"/>
    <w:rsid w:val="000F589F"/>
    <w:rsid w:val="000F665C"/>
    <w:rsid w:val="000F6BF3"/>
    <w:rsid w:val="000F7146"/>
    <w:rsid w:val="001005A4"/>
    <w:rsid w:val="00107A73"/>
    <w:rsid w:val="0011206D"/>
    <w:rsid w:val="001143D9"/>
    <w:rsid w:val="001149D7"/>
    <w:rsid w:val="00114B13"/>
    <w:rsid w:val="00115923"/>
    <w:rsid w:val="0011638A"/>
    <w:rsid w:val="00120B0E"/>
    <w:rsid w:val="0012369C"/>
    <w:rsid w:val="00124CC1"/>
    <w:rsid w:val="00126BBC"/>
    <w:rsid w:val="001276EF"/>
    <w:rsid w:val="00130374"/>
    <w:rsid w:val="001312BE"/>
    <w:rsid w:val="00131D6F"/>
    <w:rsid w:val="00133419"/>
    <w:rsid w:val="001341E4"/>
    <w:rsid w:val="001342F2"/>
    <w:rsid w:val="00135483"/>
    <w:rsid w:val="00135B3B"/>
    <w:rsid w:val="0013711B"/>
    <w:rsid w:val="0014090F"/>
    <w:rsid w:val="00140D1B"/>
    <w:rsid w:val="00142968"/>
    <w:rsid w:val="00146E91"/>
    <w:rsid w:val="00147199"/>
    <w:rsid w:val="00155C72"/>
    <w:rsid w:val="00156182"/>
    <w:rsid w:val="00161692"/>
    <w:rsid w:val="001642A5"/>
    <w:rsid w:val="00167827"/>
    <w:rsid w:val="00167A91"/>
    <w:rsid w:val="00171E66"/>
    <w:rsid w:val="0017737D"/>
    <w:rsid w:val="001809FB"/>
    <w:rsid w:val="0018274A"/>
    <w:rsid w:val="001837C2"/>
    <w:rsid w:val="0018419C"/>
    <w:rsid w:val="00191265"/>
    <w:rsid w:val="0019135A"/>
    <w:rsid w:val="00192769"/>
    <w:rsid w:val="00193885"/>
    <w:rsid w:val="0019453F"/>
    <w:rsid w:val="00196468"/>
    <w:rsid w:val="00196755"/>
    <w:rsid w:val="0019697B"/>
    <w:rsid w:val="00197C3E"/>
    <w:rsid w:val="001A07BB"/>
    <w:rsid w:val="001A52CB"/>
    <w:rsid w:val="001A5FD9"/>
    <w:rsid w:val="001B409E"/>
    <w:rsid w:val="001B4600"/>
    <w:rsid w:val="001B5BE9"/>
    <w:rsid w:val="001C5664"/>
    <w:rsid w:val="001C581C"/>
    <w:rsid w:val="001C63FC"/>
    <w:rsid w:val="001D26A7"/>
    <w:rsid w:val="001E0A97"/>
    <w:rsid w:val="001E2C7C"/>
    <w:rsid w:val="001E5393"/>
    <w:rsid w:val="001E6A0B"/>
    <w:rsid w:val="001F10F0"/>
    <w:rsid w:val="001F1A1A"/>
    <w:rsid w:val="001F1F36"/>
    <w:rsid w:val="001F3593"/>
    <w:rsid w:val="001F7191"/>
    <w:rsid w:val="001F71EF"/>
    <w:rsid w:val="0020283D"/>
    <w:rsid w:val="00203803"/>
    <w:rsid w:val="00203B2D"/>
    <w:rsid w:val="002053F2"/>
    <w:rsid w:val="002056BC"/>
    <w:rsid w:val="00205D79"/>
    <w:rsid w:val="002066C4"/>
    <w:rsid w:val="00210BEE"/>
    <w:rsid w:val="00214CB6"/>
    <w:rsid w:val="00224181"/>
    <w:rsid w:val="00225509"/>
    <w:rsid w:val="0022573C"/>
    <w:rsid w:val="0023304C"/>
    <w:rsid w:val="002361DC"/>
    <w:rsid w:val="00236D00"/>
    <w:rsid w:val="00241979"/>
    <w:rsid w:val="002447FB"/>
    <w:rsid w:val="00246C10"/>
    <w:rsid w:val="002501FD"/>
    <w:rsid w:val="00250E06"/>
    <w:rsid w:val="00253E1B"/>
    <w:rsid w:val="00261826"/>
    <w:rsid w:val="00262699"/>
    <w:rsid w:val="00264829"/>
    <w:rsid w:val="00266A74"/>
    <w:rsid w:val="00270B05"/>
    <w:rsid w:val="0027575B"/>
    <w:rsid w:val="00276EE9"/>
    <w:rsid w:val="00280B75"/>
    <w:rsid w:val="00281290"/>
    <w:rsid w:val="00281DD3"/>
    <w:rsid w:val="0028341B"/>
    <w:rsid w:val="00285BD6"/>
    <w:rsid w:val="002908CF"/>
    <w:rsid w:val="00291253"/>
    <w:rsid w:val="00292662"/>
    <w:rsid w:val="00294221"/>
    <w:rsid w:val="00297089"/>
    <w:rsid w:val="002A0820"/>
    <w:rsid w:val="002A1670"/>
    <w:rsid w:val="002A4F59"/>
    <w:rsid w:val="002A565C"/>
    <w:rsid w:val="002A5873"/>
    <w:rsid w:val="002B1F59"/>
    <w:rsid w:val="002B5996"/>
    <w:rsid w:val="002B5FD0"/>
    <w:rsid w:val="002C161A"/>
    <w:rsid w:val="002C5103"/>
    <w:rsid w:val="002C53DB"/>
    <w:rsid w:val="002C5709"/>
    <w:rsid w:val="002D14B1"/>
    <w:rsid w:val="002D34EE"/>
    <w:rsid w:val="002D444F"/>
    <w:rsid w:val="002D64C3"/>
    <w:rsid w:val="002E1034"/>
    <w:rsid w:val="002E1CB2"/>
    <w:rsid w:val="002E356D"/>
    <w:rsid w:val="002E460A"/>
    <w:rsid w:val="002F2AE3"/>
    <w:rsid w:val="002F2F16"/>
    <w:rsid w:val="002F43D6"/>
    <w:rsid w:val="002F7644"/>
    <w:rsid w:val="003013F1"/>
    <w:rsid w:val="00302DBB"/>
    <w:rsid w:val="00304B6C"/>
    <w:rsid w:val="00311B73"/>
    <w:rsid w:val="003135E2"/>
    <w:rsid w:val="00313C3D"/>
    <w:rsid w:val="003242E0"/>
    <w:rsid w:val="0032455C"/>
    <w:rsid w:val="0032560C"/>
    <w:rsid w:val="0033105F"/>
    <w:rsid w:val="00337944"/>
    <w:rsid w:val="003416D6"/>
    <w:rsid w:val="00341975"/>
    <w:rsid w:val="00350F76"/>
    <w:rsid w:val="003544B8"/>
    <w:rsid w:val="00357619"/>
    <w:rsid w:val="003612A1"/>
    <w:rsid w:val="00361C0F"/>
    <w:rsid w:val="00362CA4"/>
    <w:rsid w:val="00362DF4"/>
    <w:rsid w:val="003631BA"/>
    <w:rsid w:val="003650D4"/>
    <w:rsid w:val="00366008"/>
    <w:rsid w:val="003675BB"/>
    <w:rsid w:val="00370534"/>
    <w:rsid w:val="00371D43"/>
    <w:rsid w:val="0037286A"/>
    <w:rsid w:val="003745DC"/>
    <w:rsid w:val="00376D23"/>
    <w:rsid w:val="00380643"/>
    <w:rsid w:val="003818A5"/>
    <w:rsid w:val="00381F3B"/>
    <w:rsid w:val="00387E19"/>
    <w:rsid w:val="00395EAC"/>
    <w:rsid w:val="003A0E7E"/>
    <w:rsid w:val="003A2522"/>
    <w:rsid w:val="003A2FD5"/>
    <w:rsid w:val="003A50FC"/>
    <w:rsid w:val="003A5104"/>
    <w:rsid w:val="003A5D70"/>
    <w:rsid w:val="003A61FA"/>
    <w:rsid w:val="003A655C"/>
    <w:rsid w:val="003B3A6E"/>
    <w:rsid w:val="003B711D"/>
    <w:rsid w:val="003C1655"/>
    <w:rsid w:val="003C4986"/>
    <w:rsid w:val="003D0652"/>
    <w:rsid w:val="003D1EAC"/>
    <w:rsid w:val="003D6B3A"/>
    <w:rsid w:val="003D78D4"/>
    <w:rsid w:val="003E423F"/>
    <w:rsid w:val="003E4844"/>
    <w:rsid w:val="003E5DB5"/>
    <w:rsid w:val="003F09C3"/>
    <w:rsid w:val="003F17EA"/>
    <w:rsid w:val="003F234E"/>
    <w:rsid w:val="003F2C84"/>
    <w:rsid w:val="003F49F5"/>
    <w:rsid w:val="003F7621"/>
    <w:rsid w:val="003F7F65"/>
    <w:rsid w:val="0040190C"/>
    <w:rsid w:val="004038F7"/>
    <w:rsid w:val="00403F12"/>
    <w:rsid w:val="0040525B"/>
    <w:rsid w:val="004062B4"/>
    <w:rsid w:val="00407527"/>
    <w:rsid w:val="0041030E"/>
    <w:rsid w:val="004127FC"/>
    <w:rsid w:val="0041339E"/>
    <w:rsid w:val="00415864"/>
    <w:rsid w:val="00415C64"/>
    <w:rsid w:val="00416A05"/>
    <w:rsid w:val="00421505"/>
    <w:rsid w:val="00424576"/>
    <w:rsid w:val="00425307"/>
    <w:rsid w:val="00425BA5"/>
    <w:rsid w:val="0042687F"/>
    <w:rsid w:val="00427149"/>
    <w:rsid w:val="004327FA"/>
    <w:rsid w:val="00436887"/>
    <w:rsid w:val="0045048F"/>
    <w:rsid w:val="00453262"/>
    <w:rsid w:val="00454977"/>
    <w:rsid w:val="004567BD"/>
    <w:rsid w:val="00456ACF"/>
    <w:rsid w:val="00456B8B"/>
    <w:rsid w:val="00460C7F"/>
    <w:rsid w:val="00463881"/>
    <w:rsid w:val="00463966"/>
    <w:rsid w:val="00467892"/>
    <w:rsid w:val="00467ABB"/>
    <w:rsid w:val="00467DDA"/>
    <w:rsid w:val="00471542"/>
    <w:rsid w:val="00473443"/>
    <w:rsid w:val="0047433D"/>
    <w:rsid w:val="004801E5"/>
    <w:rsid w:val="00485ADD"/>
    <w:rsid w:val="00491C7B"/>
    <w:rsid w:val="004933E3"/>
    <w:rsid w:val="004A264E"/>
    <w:rsid w:val="004A698C"/>
    <w:rsid w:val="004A7CE4"/>
    <w:rsid w:val="004B0350"/>
    <w:rsid w:val="004B30E0"/>
    <w:rsid w:val="004B5672"/>
    <w:rsid w:val="004B6596"/>
    <w:rsid w:val="004C0E66"/>
    <w:rsid w:val="004C1069"/>
    <w:rsid w:val="004C1CD7"/>
    <w:rsid w:val="004C5C35"/>
    <w:rsid w:val="004C6D69"/>
    <w:rsid w:val="004C7203"/>
    <w:rsid w:val="004C771C"/>
    <w:rsid w:val="004D077E"/>
    <w:rsid w:val="004D1A8E"/>
    <w:rsid w:val="004D1FFD"/>
    <w:rsid w:val="004D28CE"/>
    <w:rsid w:val="004D4C8A"/>
    <w:rsid w:val="004E4326"/>
    <w:rsid w:val="004E4BE5"/>
    <w:rsid w:val="004E4F8C"/>
    <w:rsid w:val="004F120A"/>
    <w:rsid w:val="00500215"/>
    <w:rsid w:val="00500D5A"/>
    <w:rsid w:val="00500E88"/>
    <w:rsid w:val="00513092"/>
    <w:rsid w:val="00514A5B"/>
    <w:rsid w:val="0052236A"/>
    <w:rsid w:val="00522CD8"/>
    <w:rsid w:val="00523B58"/>
    <w:rsid w:val="00526829"/>
    <w:rsid w:val="0053062A"/>
    <w:rsid w:val="00531811"/>
    <w:rsid w:val="005338E7"/>
    <w:rsid w:val="00543B29"/>
    <w:rsid w:val="005455D4"/>
    <w:rsid w:val="00550067"/>
    <w:rsid w:val="00550503"/>
    <w:rsid w:val="00550E00"/>
    <w:rsid w:val="00551BFE"/>
    <w:rsid w:val="00551E0C"/>
    <w:rsid w:val="00566193"/>
    <w:rsid w:val="005666FA"/>
    <w:rsid w:val="005702EB"/>
    <w:rsid w:val="00570B7B"/>
    <w:rsid w:val="00571419"/>
    <w:rsid w:val="00571A4D"/>
    <w:rsid w:val="00572367"/>
    <w:rsid w:val="005732D6"/>
    <w:rsid w:val="00574004"/>
    <w:rsid w:val="0057584F"/>
    <w:rsid w:val="0057701A"/>
    <w:rsid w:val="00584FB6"/>
    <w:rsid w:val="00585E74"/>
    <w:rsid w:val="00585FED"/>
    <w:rsid w:val="00590555"/>
    <w:rsid w:val="00592FCC"/>
    <w:rsid w:val="00594C15"/>
    <w:rsid w:val="00596F22"/>
    <w:rsid w:val="005A02C1"/>
    <w:rsid w:val="005A1484"/>
    <w:rsid w:val="005A21F8"/>
    <w:rsid w:val="005A2B8E"/>
    <w:rsid w:val="005A37F9"/>
    <w:rsid w:val="005A53CB"/>
    <w:rsid w:val="005A7743"/>
    <w:rsid w:val="005B1CA7"/>
    <w:rsid w:val="005B39A8"/>
    <w:rsid w:val="005C1018"/>
    <w:rsid w:val="005C1290"/>
    <w:rsid w:val="005C28AA"/>
    <w:rsid w:val="005C2979"/>
    <w:rsid w:val="005D094C"/>
    <w:rsid w:val="005D3813"/>
    <w:rsid w:val="005D3A2D"/>
    <w:rsid w:val="005D40D5"/>
    <w:rsid w:val="005D56C7"/>
    <w:rsid w:val="005D7316"/>
    <w:rsid w:val="005D7DBF"/>
    <w:rsid w:val="005E7F97"/>
    <w:rsid w:val="005F084F"/>
    <w:rsid w:val="005F1B34"/>
    <w:rsid w:val="005F1EA3"/>
    <w:rsid w:val="005F2C07"/>
    <w:rsid w:val="005F50C6"/>
    <w:rsid w:val="0060296C"/>
    <w:rsid w:val="0060450C"/>
    <w:rsid w:val="0060535A"/>
    <w:rsid w:val="006117A9"/>
    <w:rsid w:val="00616C3D"/>
    <w:rsid w:val="00616E0C"/>
    <w:rsid w:val="00624586"/>
    <w:rsid w:val="006271AB"/>
    <w:rsid w:val="006274A2"/>
    <w:rsid w:val="006279CB"/>
    <w:rsid w:val="0063070B"/>
    <w:rsid w:val="00632A09"/>
    <w:rsid w:val="00637642"/>
    <w:rsid w:val="00640985"/>
    <w:rsid w:val="00641139"/>
    <w:rsid w:val="006414CA"/>
    <w:rsid w:val="00643010"/>
    <w:rsid w:val="00646385"/>
    <w:rsid w:val="0064794D"/>
    <w:rsid w:val="00652E0B"/>
    <w:rsid w:val="00653C01"/>
    <w:rsid w:val="00655928"/>
    <w:rsid w:val="00662F4F"/>
    <w:rsid w:val="00664542"/>
    <w:rsid w:val="0066784C"/>
    <w:rsid w:val="006727BE"/>
    <w:rsid w:val="00674683"/>
    <w:rsid w:val="006751EF"/>
    <w:rsid w:val="00677722"/>
    <w:rsid w:val="00680EB8"/>
    <w:rsid w:val="006841BC"/>
    <w:rsid w:val="006850E0"/>
    <w:rsid w:val="006861F8"/>
    <w:rsid w:val="0069082D"/>
    <w:rsid w:val="006949F4"/>
    <w:rsid w:val="006964C7"/>
    <w:rsid w:val="006A18DF"/>
    <w:rsid w:val="006A2EDB"/>
    <w:rsid w:val="006B20FC"/>
    <w:rsid w:val="006B29B0"/>
    <w:rsid w:val="006B537C"/>
    <w:rsid w:val="006C0B1D"/>
    <w:rsid w:val="006C2A4D"/>
    <w:rsid w:val="006C4979"/>
    <w:rsid w:val="006C6DDF"/>
    <w:rsid w:val="006C7D05"/>
    <w:rsid w:val="006D01C9"/>
    <w:rsid w:val="006D1912"/>
    <w:rsid w:val="006D2907"/>
    <w:rsid w:val="006D518F"/>
    <w:rsid w:val="006D6D01"/>
    <w:rsid w:val="006E0533"/>
    <w:rsid w:val="006E2531"/>
    <w:rsid w:val="006E53B2"/>
    <w:rsid w:val="006F0B37"/>
    <w:rsid w:val="006F3A36"/>
    <w:rsid w:val="006F4966"/>
    <w:rsid w:val="006F4D85"/>
    <w:rsid w:val="006F5113"/>
    <w:rsid w:val="006F6333"/>
    <w:rsid w:val="006F7838"/>
    <w:rsid w:val="0070061E"/>
    <w:rsid w:val="007011E4"/>
    <w:rsid w:val="00704A08"/>
    <w:rsid w:val="00710FAD"/>
    <w:rsid w:val="007116D9"/>
    <w:rsid w:val="00715680"/>
    <w:rsid w:val="0071785E"/>
    <w:rsid w:val="0072049B"/>
    <w:rsid w:val="007226F8"/>
    <w:rsid w:val="0072444F"/>
    <w:rsid w:val="007261A3"/>
    <w:rsid w:val="00726417"/>
    <w:rsid w:val="007265BE"/>
    <w:rsid w:val="00735BC4"/>
    <w:rsid w:val="007366EF"/>
    <w:rsid w:val="00737020"/>
    <w:rsid w:val="00737294"/>
    <w:rsid w:val="00737A5A"/>
    <w:rsid w:val="00740339"/>
    <w:rsid w:val="0074354F"/>
    <w:rsid w:val="0074471B"/>
    <w:rsid w:val="00745877"/>
    <w:rsid w:val="00746D19"/>
    <w:rsid w:val="00750813"/>
    <w:rsid w:val="007530E4"/>
    <w:rsid w:val="0075310F"/>
    <w:rsid w:val="007536E6"/>
    <w:rsid w:val="00754702"/>
    <w:rsid w:val="00755B4E"/>
    <w:rsid w:val="00757049"/>
    <w:rsid w:val="00757C23"/>
    <w:rsid w:val="00757C81"/>
    <w:rsid w:val="00761C28"/>
    <w:rsid w:val="00762E24"/>
    <w:rsid w:val="007674C6"/>
    <w:rsid w:val="007767B7"/>
    <w:rsid w:val="00776884"/>
    <w:rsid w:val="00787DF5"/>
    <w:rsid w:val="007930E0"/>
    <w:rsid w:val="0079317C"/>
    <w:rsid w:val="00793D2F"/>
    <w:rsid w:val="00796529"/>
    <w:rsid w:val="00796B0D"/>
    <w:rsid w:val="0079705A"/>
    <w:rsid w:val="007A0A5E"/>
    <w:rsid w:val="007A54AD"/>
    <w:rsid w:val="007A6D6F"/>
    <w:rsid w:val="007A6DF4"/>
    <w:rsid w:val="007A75CC"/>
    <w:rsid w:val="007B07CB"/>
    <w:rsid w:val="007B4270"/>
    <w:rsid w:val="007C1C99"/>
    <w:rsid w:val="007C1D06"/>
    <w:rsid w:val="007C223B"/>
    <w:rsid w:val="007C2E0F"/>
    <w:rsid w:val="007C5BFA"/>
    <w:rsid w:val="007C6F7E"/>
    <w:rsid w:val="007D2CE6"/>
    <w:rsid w:val="007D358E"/>
    <w:rsid w:val="007D3656"/>
    <w:rsid w:val="007D74BF"/>
    <w:rsid w:val="007D7EE5"/>
    <w:rsid w:val="007E0AB2"/>
    <w:rsid w:val="007E2E36"/>
    <w:rsid w:val="007E346A"/>
    <w:rsid w:val="007E780E"/>
    <w:rsid w:val="007F1210"/>
    <w:rsid w:val="007F6E8A"/>
    <w:rsid w:val="0080572B"/>
    <w:rsid w:val="00805BEF"/>
    <w:rsid w:val="00806DE9"/>
    <w:rsid w:val="00810E61"/>
    <w:rsid w:val="0081337B"/>
    <w:rsid w:val="00813C91"/>
    <w:rsid w:val="0081509D"/>
    <w:rsid w:val="0081562E"/>
    <w:rsid w:val="0081757E"/>
    <w:rsid w:val="00822BC8"/>
    <w:rsid w:val="008231AD"/>
    <w:rsid w:val="008255A7"/>
    <w:rsid w:val="0083634A"/>
    <w:rsid w:val="00840DC2"/>
    <w:rsid w:val="008440C3"/>
    <w:rsid w:val="00844861"/>
    <w:rsid w:val="0085026D"/>
    <w:rsid w:val="00856A57"/>
    <w:rsid w:val="008652F8"/>
    <w:rsid w:val="0086659B"/>
    <w:rsid w:val="00867A40"/>
    <w:rsid w:val="008716E5"/>
    <w:rsid w:val="00876387"/>
    <w:rsid w:val="00877176"/>
    <w:rsid w:val="00881612"/>
    <w:rsid w:val="008843B0"/>
    <w:rsid w:val="008870F2"/>
    <w:rsid w:val="00887AD9"/>
    <w:rsid w:val="0089095A"/>
    <w:rsid w:val="0089357C"/>
    <w:rsid w:val="008A0B05"/>
    <w:rsid w:val="008A0C74"/>
    <w:rsid w:val="008A22AE"/>
    <w:rsid w:val="008A57E6"/>
    <w:rsid w:val="008A6486"/>
    <w:rsid w:val="008A73B6"/>
    <w:rsid w:val="008A75E4"/>
    <w:rsid w:val="008B3203"/>
    <w:rsid w:val="008B342A"/>
    <w:rsid w:val="008B4557"/>
    <w:rsid w:val="008C00E0"/>
    <w:rsid w:val="008C3352"/>
    <w:rsid w:val="008C33F2"/>
    <w:rsid w:val="008C3CCE"/>
    <w:rsid w:val="008C69BB"/>
    <w:rsid w:val="008D157D"/>
    <w:rsid w:val="008D19E6"/>
    <w:rsid w:val="008D1C0C"/>
    <w:rsid w:val="008D2905"/>
    <w:rsid w:val="008E3BD4"/>
    <w:rsid w:val="008E62CD"/>
    <w:rsid w:val="008F1E1A"/>
    <w:rsid w:val="008F3E77"/>
    <w:rsid w:val="008F4ED5"/>
    <w:rsid w:val="008F4F03"/>
    <w:rsid w:val="008F5A88"/>
    <w:rsid w:val="008F6FCD"/>
    <w:rsid w:val="0090169D"/>
    <w:rsid w:val="00902F36"/>
    <w:rsid w:val="009036E0"/>
    <w:rsid w:val="009053F4"/>
    <w:rsid w:val="00906CA7"/>
    <w:rsid w:val="00913082"/>
    <w:rsid w:val="00915508"/>
    <w:rsid w:val="009177B9"/>
    <w:rsid w:val="00922D5A"/>
    <w:rsid w:val="009250F8"/>
    <w:rsid w:val="00935F00"/>
    <w:rsid w:val="00938800"/>
    <w:rsid w:val="009418EC"/>
    <w:rsid w:val="009429BE"/>
    <w:rsid w:val="00946AB2"/>
    <w:rsid w:val="00947707"/>
    <w:rsid w:val="009479C7"/>
    <w:rsid w:val="00955EC6"/>
    <w:rsid w:val="00955F6D"/>
    <w:rsid w:val="00960381"/>
    <w:rsid w:val="00962708"/>
    <w:rsid w:val="0096361C"/>
    <w:rsid w:val="00964369"/>
    <w:rsid w:val="00964390"/>
    <w:rsid w:val="00964BF9"/>
    <w:rsid w:val="00966888"/>
    <w:rsid w:val="00967E5A"/>
    <w:rsid w:val="00971841"/>
    <w:rsid w:val="0097728F"/>
    <w:rsid w:val="0098108D"/>
    <w:rsid w:val="00983F2A"/>
    <w:rsid w:val="0099019B"/>
    <w:rsid w:val="0099115D"/>
    <w:rsid w:val="009960E0"/>
    <w:rsid w:val="00996EA9"/>
    <w:rsid w:val="009A38A6"/>
    <w:rsid w:val="009A5A11"/>
    <w:rsid w:val="009C32DF"/>
    <w:rsid w:val="009C3E22"/>
    <w:rsid w:val="009C46DF"/>
    <w:rsid w:val="009C6F3C"/>
    <w:rsid w:val="009D079E"/>
    <w:rsid w:val="009D2DD9"/>
    <w:rsid w:val="009D5E76"/>
    <w:rsid w:val="009E53D1"/>
    <w:rsid w:val="009E5F6E"/>
    <w:rsid w:val="009F0013"/>
    <w:rsid w:val="009F3333"/>
    <w:rsid w:val="009F382E"/>
    <w:rsid w:val="009F5741"/>
    <w:rsid w:val="009F6923"/>
    <w:rsid w:val="00A05060"/>
    <w:rsid w:val="00A069F4"/>
    <w:rsid w:val="00A121E6"/>
    <w:rsid w:val="00A125A5"/>
    <w:rsid w:val="00A16AB6"/>
    <w:rsid w:val="00A16C81"/>
    <w:rsid w:val="00A17A75"/>
    <w:rsid w:val="00A24287"/>
    <w:rsid w:val="00A25663"/>
    <w:rsid w:val="00A32197"/>
    <w:rsid w:val="00A3384E"/>
    <w:rsid w:val="00A44D75"/>
    <w:rsid w:val="00A473FF"/>
    <w:rsid w:val="00A51F41"/>
    <w:rsid w:val="00A65493"/>
    <w:rsid w:val="00A70BC9"/>
    <w:rsid w:val="00A72890"/>
    <w:rsid w:val="00A7312B"/>
    <w:rsid w:val="00A73770"/>
    <w:rsid w:val="00A76D79"/>
    <w:rsid w:val="00A775C9"/>
    <w:rsid w:val="00A806B5"/>
    <w:rsid w:val="00A83C52"/>
    <w:rsid w:val="00A8623A"/>
    <w:rsid w:val="00A90820"/>
    <w:rsid w:val="00A93E4D"/>
    <w:rsid w:val="00A959A3"/>
    <w:rsid w:val="00A95DC6"/>
    <w:rsid w:val="00AA1E5C"/>
    <w:rsid w:val="00AA2BC2"/>
    <w:rsid w:val="00AA583A"/>
    <w:rsid w:val="00AB1118"/>
    <w:rsid w:val="00AB21D6"/>
    <w:rsid w:val="00AB2DA0"/>
    <w:rsid w:val="00AB7F1A"/>
    <w:rsid w:val="00AC0EB6"/>
    <w:rsid w:val="00AC58E1"/>
    <w:rsid w:val="00AC7D62"/>
    <w:rsid w:val="00AC9302"/>
    <w:rsid w:val="00AD0391"/>
    <w:rsid w:val="00AD1C8B"/>
    <w:rsid w:val="00AD6F3F"/>
    <w:rsid w:val="00AE1782"/>
    <w:rsid w:val="00AE6FF5"/>
    <w:rsid w:val="00AE73F6"/>
    <w:rsid w:val="00AE7CA7"/>
    <w:rsid w:val="00AF29B8"/>
    <w:rsid w:val="00AF6FE4"/>
    <w:rsid w:val="00AF7DC4"/>
    <w:rsid w:val="00B004CA"/>
    <w:rsid w:val="00B00F6A"/>
    <w:rsid w:val="00B02765"/>
    <w:rsid w:val="00B04312"/>
    <w:rsid w:val="00B074DE"/>
    <w:rsid w:val="00B10BAE"/>
    <w:rsid w:val="00B11208"/>
    <w:rsid w:val="00B113A5"/>
    <w:rsid w:val="00B114E1"/>
    <w:rsid w:val="00B1232F"/>
    <w:rsid w:val="00B16F5E"/>
    <w:rsid w:val="00B222EA"/>
    <w:rsid w:val="00B22A73"/>
    <w:rsid w:val="00B31C80"/>
    <w:rsid w:val="00B35E1B"/>
    <w:rsid w:val="00B36751"/>
    <w:rsid w:val="00B41FFD"/>
    <w:rsid w:val="00B4240F"/>
    <w:rsid w:val="00B42D64"/>
    <w:rsid w:val="00B460D6"/>
    <w:rsid w:val="00B46BE6"/>
    <w:rsid w:val="00B5449F"/>
    <w:rsid w:val="00B54B38"/>
    <w:rsid w:val="00B54C8A"/>
    <w:rsid w:val="00B55049"/>
    <w:rsid w:val="00B56406"/>
    <w:rsid w:val="00B62593"/>
    <w:rsid w:val="00B7119C"/>
    <w:rsid w:val="00B80C70"/>
    <w:rsid w:val="00B81037"/>
    <w:rsid w:val="00B81241"/>
    <w:rsid w:val="00B83CDC"/>
    <w:rsid w:val="00B845A6"/>
    <w:rsid w:val="00B90389"/>
    <w:rsid w:val="00B906BD"/>
    <w:rsid w:val="00B93865"/>
    <w:rsid w:val="00BA4813"/>
    <w:rsid w:val="00BA67A0"/>
    <w:rsid w:val="00BA71D1"/>
    <w:rsid w:val="00BB43AF"/>
    <w:rsid w:val="00BB5152"/>
    <w:rsid w:val="00BB673C"/>
    <w:rsid w:val="00BC161B"/>
    <w:rsid w:val="00BC1829"/>
    <w:rsid w:val="00BC2EC7"/>
    <w:rsid w:val="00BC3A95"/>
    <w:rsid w:val="00BC3FBB"/>
    <w:rsid w:val="00BC40B5"/>
    <w:rsid w:val="00BD1D6E"/>
    <w:rsid w:val="00BD1F2B"/>
    <w:rsid w:val="00BD6139"/>
    <w:rsid w:val="00BD649C"/>
    <w:rsid w:val="00BD6646"/>
    <w:rsid w:val="00BE0095"/>
    <w:rsid w:val="00BE20ED"/>
    <w:rsid w:val="00BE4A2A"/>
    <w:rsid w:val="00BF3246"/>
    <w:rsid w:val="00C01A98"/>
    <w:rsid w:val="00C02FB6"/>
    <w:rsid w:val="00C0301C"/>
    <w:rsid w:val="00C05C5B"/>
    <w:rsid w:val="00C05DE5"/>
    <w:rsid w:val="00C0737A"/>
    <w:rsid w:val="00C11497"/>
    <w:rsid w:val="00C11F4A"/>
    <w:rsid w:val="00C12C97"/>
    <w:rsid w:val="00C133FC"/>
    <w:rsid w:val="00C14CFB"/>
    <w:rsid w:val="00C17244"/>
    <w:rsid w:val="00C21E78"/>
    <w:rsid w:val="00C25D88"/>
    <w:rsid w:val="00C32703"/>
    <w:rsid w:val="00C40D68"/>
    <w:rsid w:val="00C4482F"/>
    <w:rsid w:val="00C51E87"/>
    <w:rsid w:val="00C53FEB"/>
    <w:rsid w:val="00C547EC"/>
    <w:rsid w:val="00C60054"/>
    <w:rsid w:val="00C64835"/>
    <w:rsid w:val="00C67006"/>
    <w:rsid w:val="00C67C3C"/>
    <w:rsid w:val="00C70081"/>
    <w:rsid w:val="00C70753"/>
    <w:rsid w:val="00C71E03"/>
    <w:rsid w:val="00C71F44"/>
    <w:rsid w:val="00C73770"/>
    <w:rsid w:val="00C74B21"/>
    <w:rsid w:val="00C80846"/>
    <w:rsid w:val="00C849FC"/>
    <w:rsid w:val="00C92D74"/>
    <w:rsid w:val="00C942DA"/>
    <w:rsid w:val="00CA1394"/>
    <w:rsid w:val="00CA24B6"/>
    <w:rsid w:val="00CA2E62"/>
    <w:rsid w:val="00CA3592"/>
    <w:rsid w:val="00CA7003"/>
    <w:rsid w:val="00CB051E"/>
    <w:rsid w:val="00CB0849"/>
    <w:rsid w:val="00CB7CA9"/>
    <w:rsid w:val="00CC0088"/>
    <w:rsid w:val="00CC0504"/>
    <w:rsid w:val="00CC253F"/>
    <w:rsid w:val="00CC33FD"/>
    <w:rsid w:val="00CC3429"/>
    <w:rsid w:val="00CC47B7"/>
    <w:rsid w:val="00CC6119"/>
    <w:rsid w:val="00CD3081"/>
    <w:rsid w:val="00CD3588"/>
    <w:rsid w:val="00CD5C8A"/>
    <w:rsid w:val="00CD5D10"/>
    <w:rsid w:val="00CE4744"/>
    <w:rsid w:val="00CE5E34"/>
    <w:rsid w:val="00CF0DDA"/>
    <w:rsid w:val="00CF6CF6"/>
    <w:rsid w:val="00CF79AB"/>
    <w:rsid w:val="00CF7A94"/>
    <w:rsid w:val="00D00934"/>
    <w:rsid w:val="00D02832"/>
    <w:rsid w:val="00D0600B"/>
    <w:rsid w:val="00D06E5B"/>
    <w:rsid w:val="00D07171"/>
    <w:rsid w:val="00D07D33"/>
    <w:rsid w:val="00D126D1"/>
    <w:rsid w:val="00D13DCC"/>
    <w:rsid w:val="00D14D99"/>
    <w:rsid w:val="00D15ED4"/>
    <w:rsid w:val="00D16CDA"/>
    <w:rsid w:val="00D178D1"/>
    <w:rsid w:val="00D20016"/>
    <w:rsid w:val="00D2130E"/>
    <w:rsid w:val="00D224D3"/>
    <w:rsid w:val="00D23680"/>
    <w:rsid w:val="00D23A1F"/>
    <w:rsid w:val="00D3197C"/>
    <w:rsid w:val="00D341C8"/>
    <w:rsid w:val="00D43116"/>
    <w:rsid w:val="00D434A5"/>
    <w:rsid w:val="00D451FF"/>
    <w:rsid w:val="00D4702C"/>
    <w:rsid w:val="00D4757A"/>
    <w:rsid w:val="00D51980"/>
    <w:rsid w:val="00D63353"/>
    <w:rsid w:val="00D74873"/>
    <w:rsid w:val="00D75DFD"/>
    <w:rsid w:val="00D75E17"/>
    <w:rsid w:val="00D768BC"/>
    <w:rsid w:val="00D77A1F"/>
    <w:rsid w:val="00D82986"/>
    <w:rsid w:val="00D8528A"/>
    <w:rsid w:val="00D87C2B"/>
    <w:rsid w:val="00D97D84"/>
    <w:rsid w:val="00DB1180"/>
    <w:rsid w:val="00DB1234"/>
    <w:rsid w:val="00DB139A"/>
    <w:rsid w:val="00DB2C8E"/>
    <w:rsid w:val="00DB3248"/>
    <w:rsid w:val="00DC27A6"/>
    <w:rsid w:val="00DC3011"/>
    <w:rsid w:val="00DC51EF"/>
    <w:rsid w:val="00DCA23C"/>
    <w:rsid w:val="00DD17EB"/>
    <w:rsid w:val="00DD3BEB"/>
    <w:rsid w:val="00DD3D08"/>
    <w:rsid w:val="00DD6262"/>
    <w:rsid w:val="00DE2B8E"/>
    <w:rsid w:val="00DE62E8"/>
    <w:rsid w:val="00DE7BC7"/>
    <w:rsid w:val="00DF10C6"/>
    <w:rsid w:val="00DF4063"/>
    <w:rsid w:val="00DF654F"/>
    <w:rsid w:val="00E03BC7"/>
    <w:rsid w:val="00E07A10"/>
    <w:rsid w:val="00E07F1C"/>
    <w:rsid w:val="00E125F4"/>
    <w:rsid w:val="00E152A0"/>
    <w:rsid w:val="00E2461F"/>
    <w:rsid w:val="00E26175"/>
    <w:rsid w:val="00E262BE"/>
    <w:rsid w:val="00E26DF8"/>
    <w:rsid w:val="00E32C83"/>
    <w:rsid w:val="00E35DC7"/>
    <w:rsid w:val="00E37C82"/>
    <w:rsid w:val="00E40AD4"/>
    <w:rsid w:val="00E416FC"/>
    <w:rsid w:val="00E42E4B"/>
    <w:rsid w:val="00E44595"/>
    <w:rsid w:val="00E46462"/>
    <w:rsid w:val="00E50267"/>
    <w:rsid w:val="00E5070B"/>
    <w:rsid w:val="00E56F2B"/>
    <w:rsid w:val="00E572D5"/>
    <w:rsid w:val="00E618B2"/>
    <w:rsid w:val="00E62486"/>
    <w:rsid w:val="00E6513E"/>
    <w:rsid w:val="00E675F9"/>
    <w:rsid w:val="00E71734"/>
    <w:rsid w:val="00E71BA0"/>
    <w:rsid w:val="00E72774"/>
    <w:rsid w:val="00E7483F"/>
    <w:rsid w:val="00E7578B"/>
    <w:rsid w:val="00E765DF"/>
    <w:rsid w:val="00E77278"/>
    <w:rsid w:val="00E857CD"/>
    <w:rsid w:val="00E8679F"/>
    <w:rsid w:val="00E91F5E"/>
    <w:rsid w:val="00E93515"/>
    <w:rsid w:val="00E94D25"/>
    <w:rsid w:val="00EA000A"/>
    <w:rsid w:val="00EA21B2"/>
    <w:rsid w:val="00EA42BB"/>
    <w:rsid w:val="00EB0C92"/>
    <w:rsid w:val="00EB1379"/>
    <w:rsid w:val="00EB2D31"/>
    <w:rsid w:val="00EB2DBF"/>
    <w:rsid w:val="00EB7874"/>
    <w:rsid w:val="00EC49AD"/>
    <w:rsid w:val="00ED0053"/>
    <w:rsid w:val="00ED08A8"/>
    <w:rsid w:val="00ED1CBC"/>
    <w:rsid w:val="00ED37EC"/>
    <w:rsid w:val="00ED5470"/>
    <w:rsid w:val="00EE1331"/>
    <w:rsid w:val="00EE154D"/>
    <w:rsid w:val="00EE1DED"/>
    <w:rsid w:val="00EE3D31"/>
    <w:rsid w:val="00EE4695"/>
    <w:rsid w:val="00EE64B9"/>
    <w:rsid w:val="00EF089A"/>
    <w:rsid w:val="00EF225A"/>
    <w:rsid w:val="00EF3C24"/>
    <w:rsid w:val="00EF6182"/>
    <w:rsid w:val="00EF7BFD"/>
    <w:rsid w:val="00EF7CDB"/>
    <w:rsid w:val="00F05B24"/>
    <w:rsid w:val="00F103E3"/>
    <w:rsid w:val="00F10C04"/>
    <w:rsid w:val="00F10EF2"/>
    <w:rsid w:val="00F119F7"/>
    <w:rsid w:val="00F12E0B"/>
    <w:rsid w:val="00F12E18"/>
    <w:rsid w:val="00F1583E"/>
    <w:rsid w:val="00F15AD6"/>
    <w:rsid w:val="00F1651B"/>
    <w:rsid w:val="00F16D8A"/>
    <w:rsid w:val="00F2237E"/>
    <w:rsid w:val="00F252C6"/>
    <w:rsid w:val="00F25812"/>
    <w:rsid w:val="00F27A08"/>
    <w:rsid w:val="00F30C7F"/>
    <w:rsid w:val="00F31B22"/>
    <w:rsid w:val="00F3681E"/>
    <w:rsid w:val="00F44F12"/>
    <w:rsid w:val="00F46A21"/>
    <w:rsid w:val="00F47126"/>
    <w:rsid w:val="00F50667"/>
    <w:rsid w:val="00F51D5A"/>
    <w:rsid w:val="00F5568A"/>
    <w:rsid w:val="00F64101"/>
    <w:rsid w:val="00F75311"/>
    <w:rsid w:val="00F75EF6"/>
    <w:rsid w:val="00F77DD8"/>
    <w:rsid w:val="00F81898"/>
    <w:rsid w:val="00F818F6"/>
    <w:rsid w:val="00F82594"/>
    <w:rsid w:val="00F85A34"/>
    <w:rsid w:val="00F929BC"/>
    <w:rsid w:val="00F92A41"/>
    <w:rsid w:val="00F939C9"/>
    <w:rsid w:val="00F9644F"/>
    <w:rsid w:val="00F966AE"/>
    <w:rsid w:val="00FA1957"/>
    <w:rsid w:val="00FA2099"/>
    <w:rsid w:val="00FA3539"/>
    <w:rsid w:val="00FA3E17"/>
    <w:rsid w:val="00FA4515"/>
    <w:rsid w:val="00FA4538"/>
    <w:rsid w:val="00FA5B5B"/>
    <w:rsid w:val="00FA720A"/>
    <w:rsid w:val="00FB197E"/>
    <w:rsid w:val="00FC072D"/>
    <w:rsid w:val="00FC23D4"/>
    <w:rsid w:val="00FC267B"/>
    <w:rsid w:val="00FC2E0D"/>
    <w:rsid w:val="00FC7661"/>
    <w:rsid w:val="00FC7E7E"/>
    <w:rsid w:val="00FD1A96"/>
    <w:rsid w:val="00FD5B98"/>
    <w:rsid w:val="00FD6137"/>
    <w:rsid w:val="00FE138D"/>
    <w:rsid w:val="00FE1E99"/>
    <w:rsid w:val="00FE4EEE"/>
    <w:rsid w:val="00FF4D87"/>
    <w:rsid w:val="00FF7B67"/>
    <w:rsid w:val="01100DE5"/>
    <w:rsid w:val="01B10EA2"/>
    <w:rsid w:val="01FA1BBE"/>
    <w:rsid w:val="0267266C"/>
    <w:rsid w:val="02BC86F5"/>
    <w:rsid w:val="02F21F22"/>
    <w:rsid w:val="02FE7E22"/>
    <w:rsid w:val="033D6E1D"/>
    <w:rsid w:val="03857E94"/>
    <w:rsid w:val="03BEEF78"/>
    <w:rsid w:val="045B3DA4"/>
    <w:rsid w:val="04D645A5"/>
    <w:rsid w:val="050A88DB"/>
    <w:rsid w:val="0550EA2B"/>
    <w:rsid w:val="056D4DCE"/>
    <w:rsid w:val="0584601A"/>
    <w:rsid w:val="05A0BCAB"/>
    <w:rsid w:val="064BEBCB"/>
    <w:rsid w:val="06E2CEFE"/>
    <w:rsid w:val="07A4735A"/>
    <w:rsid w:val="08E87BC1"/>
    <w:rsid w:val="08F1E20E"/>
    <w:rsid w:val="08FC9F6E"/>
    <w:rsid w:val="08FCEB07"/>
    <w:rsid w:val="093F116A"/>
    <w:rsid w:val="09F701FB"/>
    <w:rsid w:val="0A0BBFFD"/>
    <w:rsid w:val="0A4DFD66"/>
    <w:rsid w:val="0A94E55E"/>
    <w:rsid w:val="0AE6C106"/>
    <w:rsid w:val="0B31BF2B"/>
    <w:rsid w:val="0B5C4449"/>
    <w:rsid w:val="0B759E54"/>
    <w:rsid w:val="0B7DD723"/>
    <w:rsid w:val="0B8490D5"/>
    <w:rsid w:val="0B9442A9"/>
    <w:rsid w:val="0BA025E7"/>
    <w:rsid w:val="0BADE922"/>
    <w:rsid w:val="0BC92424"/>
    <w:rsid w:val="0BE9393D"/>
    <w:rsid w:val="0BFA82EF"/>
    <w:rsid w:val="0C11CBE6"/>
    <w:rsid w:val="0C22CAF0"/>
    <w:rsid w:val="0C24D265"/>
    <w:rsid w:val="0C469EC1"/>
    <w:rsid w:val="0C4A274A"/>
    <w:rsid w:val="0C7E4760"/>
    <w:rsid w:val="0C7F6D38"/>
    <w:rsid w:val="0C85ADEC"/>
    <w:rsid w:val="0C89204F"/>
    <w:rsid w:val="0CA8560E"/>
    <w:rsid w:val="0CC6FDAA"/>
    <w:rsid w:val="0CF25CFD"/>
    <w:rsid w:val="0D97B91C"/>
    <w:rsid w:val="0DBDCDAB"/>
    <w:rsid w:val="0DCCCE5F"/>
    <w:rsid w:val="0DF49A85"/>
    <w:rsid w:val="0E217E4D"/>
    <w:rsid w:val="0E23FE3A"/>
    <w:rsid w:val="0E5CB377"/>
    <w:rsid w:val="0E7FE99B"/>
    <w:rsid w:val="0EE1076A"/>
    <w:rsid w:val="0F48D530"/>
    <w:rsid w:val="0F4C88FD"/>
    <w:rsid w:val="0F65625A"/>
    <w:rsid w:val="1065A4DA"/>
    <w:rsid w:val="111D319E"/>
    <w:rsid w:val="113D2544"/>
    <w:rsid w:val="113EC3D2"/>
    <w:rsid w:val="11705F24"/>
    <w:rsid w:val="117907F4"/>
    <w:rsid w:val="119CE70E"/>
    <w:rsid w:val="11AC3D4E"/>
    <w:rsid w:val="11CA4AF9"/>
    <w:rsid w:val="11F0C489"/>
    <w:rsid w:val="1240C23A"/>
    <w:rsid w:val="12462711"/>
    <w:rsid w:val="12644EA0"/>
    <w:rsid w:val="12805A85"/>
    <w:rsid w:val="12EA106B"/>
    <w:rsid w:val="12FA826B"/>
    <w:rsid w:val="1322A345"/>
    <w:rsid w:val="13B6F3D3"/>
    <w:rsid w:val="142AC606"/>
    <w:rsid w:val="14344B91"/>
    <w:rsid w:val="14832819"/>
    <w:rsid w:val="14896AEE"/>
    <w:rsid w:val="14E00A64"/>
    <w:rsid w:val="14F8127B"/>
    <w:rsid w:val="155A8EE0"/>
    <w:rsid w:val="157B664E"/>
    <w:rsid w:val="159A5C10"/>
    <w:rsid w:val="15ACFCBA"/>
    <w:rsid w:val="15D01BF2"/>
    <w:rsid w:val="15D7F815"/>
    <w:rsid w:val="15DE01C3"/>
    <w:rsid w:val="16651E84"/>
    <w:rsid w:val="1679E6E4"/>
    <w:rsid w:val="16EC8510"/>
    <w:rsid w:val="173E4C4F"/>
    <w:rsid w:val="174251BA"/>
    <w:rsid w:val="17871217"/>
    <w:rsid w:val="17C5440E"/>
    <w:rsid w:val="186EEEE4"/>
    <w:rsid w:val="1889785F"/>
    <w:rsid w:val="18AF61D0"/>
    <w:rsid w:val="18BC4B4D"/>
    <w:rsid w:val="18F0D781"/>
    <w:rsid w:val="19006FCE"/>
    <w:rsid w:val="192F03AB"/>
    <w:rsid w:val="193D9AA5"/>
    <w:rsid w:val="194EAFA0"/>
    <w:rsid w:val="196FAEBD"/>
    <w:rsid w:val="19C5F931"/>
    <w:rsid w:val="1AA9ED60"/>
    <w:rsid w:val="1AE4EB63"/>
    <w:rsid w:val="1AEEC078"/>
    <w:rsid w:val="1B177D04"/>
    <w:rsid w:val="1B6B5386"/>
    <w:rsid w:val="1B79EB9D"/>
    <w:rsid w:val="1B8BE795"/>
    <w:rsid w:val="1B93FDAD"/>
    <w:rsid w:val="1C11E985"/>
    <w:rsid w:val="1C9C0971"/>
    <w:rsid w:val="1CBA0C6F"/>
    <w:rsid w:val="1D66E284"/>
    <w:rsid w:val="1D77B7AA"/>
    <w:rsid w:val="1DADB9E6"/>
    <w:rsid w:val="1DC15136"/>
    <w:rsid w:val="1DCB84E9"/>
    <w:rsid w:val="1E6AB184"/>
    <w:rsid w:val="1EA8C67F"/>
    <w:rsid w:val="1EF88EE6"/>
    <w:rsid w:val="1F1A466D"/>
    <w:rsid w:val="1F6BDDB3"/>
    <w:rsid w:val="201AF92E"/>
    <w:rsid w:val="20211480"/>
    <w:rsid w:val="2040F2B3"/>
    <w:rsid w:val="206E5E67"/>
    <w:rsid w:val="2070BC7F"/>
    <w:rsid w:val="207330EB"/>
    <w:rsid w:val="20CD1C16"/>
    <w:rsid w:val="20F7DD5C"/>
    <w:rsid w:val="21197103"/>
    <w:rsid w:val="2148C058"/>
    <w:rsid w:val="218CE019"/>
    <w:rsid w:val="21A19AFD"/>
    <w:rsid w:val="21BC4727"/>
    <w:rsid w:val="21C45006"/>
    <w:rsid w:val="220426E4"/>
    <w:rsid w:val="2211E3A9"/>
    <w:rsid w:val="222C8C25"/>
    <w:rsid w:val="222EEABA"/>
    <w:rsid w:val="225B2C30"/>
    <w:rsid w:val="22623201"/>
    <w:rsid w:val="22A5CA6A"/>
    <w:rsid w:val="22A7FB9E"/>
    <w:rsid w:val="22B8ADFE"/>
    <w:rsid w:val="233B19A1"/>
    <w:rsid w:val="243064F2"/>
    <w:rsid w:val="2434DD2D"/>
    <w:rsid w:val="248F9B60"/>
    <w:rsid w:val="24CCB941"/>
    <w:rsid w:val="2507A251"/>
    <w:rsid w:val="253A9340"/>
    <w:rsid w:val="253BE961"/>
    <w:rsid w:val="2553790E"/>
    <w:rsid w:val="2585BA68"/>
    <w:rsid w:val="26AA2EFB"/>
    <w:rsid w:val="273D7CCB"/>
    <w:rsid w:val="275F19AB"/>
    <w:rsid w:val="277DCEF1"/>
    <w:rsid w:val="286DFD39"/>
    <w:rsid w:val="28968CB0"/>
    <w:rsid w:val="289D2528"/>
    <w:rsid w:val="28ADA0AD"/>
    <w:rsid w:val="28B9AE38"/>
    <w:rsid w:val="28FA6EB1"/>
    <w:rsid w:val="2900C66C"/>
    <w:rsid w:val="29D08C53"/>
    <w:rsid w:val="29FC512A"/>
    <w:rsid w:val="2A6E0AC4"/>
    <w:rsid w:val="2A7B720B"/>
    <w:rsid w:val="2AA9BA35"/>
    <w:rsid w:val="2ACA560C"/>
    <w:rsid w:val="2B8BBEA2"/>
    <w:rsid w:val="2BBCA4A3"/>
    <w:rsid w:val="2BE36591"/>
    <w:rsid w:val="2C23CB2F"/>
    <w:rsid w:val="2C7A8CA3"/>
    <w:rsid w:val="2C7F16F7"/>
    <w:rsid w:val="2C8EDD4D"/>
    <w:rsid w:val="2CB13AC7"/>
    <w:rsid w:val="2CD67912"/>
    <w:rsid w:val="2D2046D7"/>
    <w:rsid w:val="2D84333F"/>
    <w:rsid w:val="2DB7A003"/>
    <w:rsid w:val="2DF0F6EC"/>
    <w:rsid w:val="2E57B152"/>
    <w:rsid w:val="2EA09DEB"/>
    <w:rsid w:val="2F3DEB02"/>
    <w:rsid w:val="2F51CD39"/>
    <w:rsid w:val="2F82E1F1"/>
    <w:rsid w:val="2FA8D8DC"/>
    <w:rsid w:val="2FAC4DB3"/>
    <w:rsid w:val="2FB2FF87"/>
    <w:rsid w:val="2FC962BB"/>
    <w:rsid w:val="2FCF4A99"/>
    <w:rsid w:val="2FDDC6E4"/>
    <w:rsid w:val="2FF878C6"/>
    <w:rsid w:val="3050E07D"/>
    <w:rsid w:val="30D90DC0"/>
    <w:rsid w:val="311B7F1C"/>
    <w:rsid w:val="312C8358"/>
    <w:rsid w:val="313493D4"/>
    <w:rsid w:val="316927AD"/>
    <w:rsid w:val="31BD9E84"/>
    <w:rsid w:val="31FEC79C"/>
    <w:rsid w:val="32130263"/>
    <w:rsid w:val="32720B43"/>
    <w:rsid w:val="32925F64"/>
    <w:rsid w:val="32977A16"/>
    <w:rsid w:val="329AEB37"/>
    <w:rsid w:val="32C4823C"/>
    <w:rsid w:val="33132224"/>
    <w:rsid w:val="3386F375"/>
    <w:rsid w:val="341A2D8B"/>
    <w:rsid w:val="344DECF0"/>
    <w:rsid w:val="346F47A5"/>
    <w:rsid w:val="3474C21B"/>
    <w:rsid w:val="34B0BEA6"/>
    <w:rsid w:val="34DE8259"/>
    <w:rsid w:val="3520C0A2"/>
    <w:rsid w:val="3544F204"/>
    <w:rsid w:val="3572339B"/>
    <w:rsid w:val="3580B550"/>
    <w:rsid w:val="36340EE1"/>
    <w:rsid w:val="367FE43E"/>
    <w:rsid w:val="374C88BC"/>
    <w:rsid w:val="376999CB"/>
    <w:rsid w:val="37818ACC"/>
    <w:rsid w:val="3783C611"/>
    <w:rsid w:val="37917FAB"/>
    <w:rsid w:val="37AB76A9"/>
    <w:rsid w:val="37CF3429"/>
    <w:rsid w:val="388F53A7"/>
    <w:rsid w:val="38A39367"/>
    <w:rsid w:val="38B73F7B"/>
    <w:rsid w:val="38E24C56"/>
    <w:rsid w:val="391E89BD"/>
    <w:rsid w:val="3950A24F"/>
    <w:rsid w:val="39A64276"/>
    <w:rsid w:val="39B7876A"/>
    <w:rsid w:val="3A2FB4C1"/>
    <w:rsid w:val="3A70E03E"/>
    <w:rsid w:val="3A79F57D"/>
    <w:rsid w:val="3AAA034E"/>
    <w:rsid w:val="3AB01C48"/>
    <w:rsid w:val="3AC924F3"/>
    <w:rsid w:val="3AFD0E5B"/>
    <w:rsid w:val="3B001F4D"/>
    <w:rsid w:val="3B175A15"/>
    <w:rsid w:val="3BD109F8"/>
    <w:rsid w:val="3BE0999A"/>
    <w:rsid w:val="3BE2B0D4"/>
    <w:rsid w:val="3BE97521"/>
    <w:rsid w:val="3BFA6566"/>
    <w:rsid w:val="3C118C1F"/>
    <w:rsid w:val="3C2CA363"/>
    <w:rsid w:val="3C5A3197"/>
    <w:rsid w:val="3CF09981"/>
    <w:rsid w:val="3D3DCE66"/>
    <w:rsid w:val="3D572D9E"/>
    <w:rsid w:val="3DCA4A64"/>
    <w:rsid w:val="3E21F23B"/>
    <w:rsid w:val="3E54C771"/>
    <w:rsid w:val="3E7BF859"/>
    <w:rsid w:val="3F33AF3B"/>
    <w:rsid w:val="3F8F434C"/>
    <w:rsid w:val="3F92E357"/>
    <w:rsid w:val="3FB35C0D"/>
    <w:rsid w:val="41EAAF32"/>
    <w:rsid w:val="427A1C27"/>
    <w:rsid w:val="42AD0681"/>
    <w:rsid w:val="431DDBB3"/>
    <w:rsid w:val="434175BF"/>
    <w:rsid w:val="437B643C"/>
    <w:rsid w:val="438E9EEF"/>
    <w:rsid w:val="43B088F2"/>
    <w:rsid w:val="43BC74D0"/>
    <w:rsid w:val="43E10524"/>
    <w:rsid w:val="44178F65"/>
    <w:rsid w:val="441B5D05"/>
    <w:rsid w:val="4423A4DB"/>
    <w:rsid w:val="446D699E"/>
    <w:rsid w:val="44AF2C93"/>
    <w:rsid w:val="44D937C0"/>
    <w:rsid w:val="44EE273A"/>
    <w:rsid w:val="452819A6"/>
    <w:rsid w:val="455C963A"/>
    <w:rsid w:val="457EAC5F"/>
    <w:rsid w:val="458641E4"/>
    <w:rsid w:val="45F6F7DB"/>
    <w:rsid w:val="45FA4881"/>
    <w:rsid w:val="4626E09D"/>
    <w:rsid w:val="462D120B"/>
    <w:rsid w:val="4636B073"/>
    <w:rsid w:val="463AE7D6"/>
    <w:rsid w:val="46CABAEF"/>
    <w:rsid w:val="46DC5768"/>
    <w:rsid w:val="4725CCC6"/>
    <w:rsid w:val="47E03F24"/>
    <w:rsid w:val="48800540"/>
    <w:rsid w:val="495DE6BD"/>
    <w:rsid w:val="49673AB6"/>
    <w:rsid w:val="49B67C10"/>
    <w:rsid w:val="4A91B9B0"/>
    <w:rsid w:val="4AAAA758"/>
    <w:rsid w:val="4AF019F2"/>
    <w:rsid w:val="4BFECC5D"/>
    <w:rsid w:val="4C1186F8"/>
    <w:rsid w:val="4CE329A5"/>
    <w:rsid w:val="4CFA7C0A"/>
    <w:rsid w:val="4D349E3B"/>
    <w:rsid w:val="4D9A42AF"/>
    <w:rsid w:val="4DFDC29E"/>
    <w:rsid w:val="4E24917F"/>
    <w:rsid w:val="4E2C664B"/>
    <w:rsid w:val="4E4C0068"/>
    <w:rsid w:val="4E751858"/>
    <w:rsid w:val="4E9AADE9"/>
    <w:rsid w:val="4EB8C461"/>
    <w:rsid w:val="4F340BBC"/>
    <w:rsid w:val="4F47F62E"/>
    <w:rsid w:val="4FB3C7A4"/>
    <w:rsid w:val="4FB5DF65"/>
    <w:rsid w:val="4FD9160E"/>
    <w:rsid w:val="4FEACC87"/>
    <w:rsid w:val="4FF0986F"/>
    <w:rsid w:val="50154A8C"/>
    <w:rsid w:val="50260132"/>
    <w:rsid w:val="509039B5"/>
    <w:rsid w:val="50AA8F8C"/>
    <w:rsid w:val="50C11B67"/>
    <w:rsid w:val="50CE4604"/>
    <w:rsid w:val="50D5F21A"/>
    <w:rsid w:val="516358F0"/>
    <w:rsid w:val="516929B3"/>
    <w:rsid w:val="5171A089"/>
    <w:rsid w:val="5192F9DE"/>
    <w:rsid w:val="519AAB5D"/>
    <w:rsid w:val="51E39060"/>
    <w:rsid w:val="52145046"/>
    <w:rsid w:val="525C0C98"/>
    <w:rsid w:val="52DAA57D"/>
    <w:rsid w:val="5300BDCB"/>
    <w:rsid w:val="534FCF5D"/>
    <w:rsid w:val="536C07F8"/>
    <w:rsid w:val="53C9DF81"/>
    <w:rsid w:val="53E02DD0"/>
    <w:rsid w:val="5476353F"/>
    <w:rsid w:val="548C9D28"/>
    <w:rsid w:val="554BF108"/>
    <w:rsid w:val="5587E511"/>
    <w:rsid w:val="55A392D5"/>
    <w:rsid w:val="55A51F1D"/>
    <w:rsid w:val="55C2F31D"/>
    <w:rsid w:val="55ED609E"/>
    <w:rsid w:val="562501D9"/>
    <w:rsid w:val="5636DDA4"/>
    <w:rsid w:val="563A0F7E"/>
    <w:rsid w:val="5641DC61"/>
    <w:rsid w:val="56601597"/>
    <w:rsid w:val="5665D2CB"/>
    <w:rsid w:val="56975A6D"/>
    <w:rsid w:val="56C80C9C"/>
    <w:rsid w:val="57235B2C"/>
    <w:rsid w:val="57454842"/>
    <w:rsid w:val="575C8974"/>
    <w:rsid w:val="575EC37E"/>
    <w:rsid w:val="57A809F4"/>
    <w:rsid w:val="5831E9F7"/>
    <w:rsid w:val="5836C3C6"/>
    <w:rsid w:val="587DCC3A"/>
    <w:rsid w:val="58CC8D0A"/>
    <w:rsid w:val="58FA93DF"/>
    <w:rsid w:val="5A19C33F"/>
    <w:rsid w:val="5A532D97"/>
    <w:rsid w:val="5A77253B"/>
    <w:rsid w:val="5A8C43CF"/>
    <w:rsid w:val="5AC0FB6E"/>
    <w:rsid w:val="5B0B6E0F"/>
    <w:rsid w:val="5B327F75"/>
    <w:rsid w:val="5B9ED836"/>
    <w:rsid w:val="5BC9C14D"/>
    <w:rsid w:val="5C615ECD"/>
    <w:rsid w:val="5C8D2CB4"/>
    <w:rsid w:val="5C971148"/>
    <w:rsid w:val="5CBD2E32"/>
    <w:rsid w:val="5D5C0CE8"/>
    <w:rsid w:val="5E141EAC"/>
    <w:rsid w:val="5E1884B6"/>
    <w:rsid w:val="5E31648A"/>
    <w:rsid w:val="5E438AB5"/>
    <w:rsid w:val="5EEA2D26"/>
    <w:rsid w:val="5F06385A"/>
    <w:rsid w:val="5FD699AE"/>
    <w:rsid w:val="5FEB62C6"/>
    <w:rsid w:val="5FF93326"/>
    <w:rsid w:val="6036B82D"/>
    <w:rsid w:val="606DF235"/>
    <w:rsid w:val="60B61F8E"/>
    <w:rsid w:val="611B049F"/>
    <w:rsid w:val="61942A2D"/>
    <w:rsid w:val="61AB7D94"/>
    <w:rsid w:val="61B5C36F"/>
    <w:rsid w:val="6203D0F7"/>
    <w:rsid w:val="62527203"/>
    <w:rsid w:val="62CFDB2A"/>
    <w:rsid w:val="62FD1108"/>
    <w:rsid w:val="630626E7"/>
    <w:rsid w:val="63565D50"/>
    <w:rsid w:val="635E3CFA"/>
    <w:rsid w:val="63610540"/>
    <w:rsid w:val="63F8CB9C"/>
    <w:rsid w:val="64B39A6E"/>
    <w:rsid w:val="64C88799"/>
    <w:rsid w:val="65004DFC"/>
    <w:rsid w:val="65020A8A"/>
    <w:rsid w:val="651DBEBA"/>
    <w:rsid w:val="65B111D6"/>
    <w:rsid w:val="65C0F6B7"/>
    <w:rsid w:val="65C8290D"/>
    <w:rsid w:val="65D78380"/>
    <w:rsid w:val="665FC98A"/>
    <w:rsid w:val="66954DE7"/>
    <w:rsid w:val="66966D03"/>
    <w:rsid w:val="672980F4"/>
    <w:rsid w:val="672A8CE3"/>
    <w:rsid w:val="6745BFFF"/>
    <w:rsid w:val="6777BDD0"/>
    <w:rsid w:val="6816C94D"/>
    <w:rsid w:val="689EBB37"/>
    <w:rsid w:val="68E05F63"/>
    <w:rsid w:val="68E2E2CE"/>
    <w:rsid w:val="68EC2C2E"/>
    <w:rsid w:val="69267873"/>
    <w:rsid w:val="6929F795"/>
    <w:rsid w:val="693241C7"/>
    <w:rsid w:val="699FAF7D"/>
    <w:rsid w:val="69E1153F"/>
    <w:rsid w:val="6A08DB31"/>
    <w:rsid w:val="6A4A7D3E"/>
    <w:rsid w:val="6A6D42FF"/>
    <w:rsid w:val="6A82F76A"/>
    <w:rsid w:val="6AB7C96D"/>
    <w:rsid w:val="6AC84434"/>
    <w:rsid w:val="6AE6B541"/>
    <w:rsid w:val="6B512EEA"/>
    <w:rsid w:val="6BA5F124"/>
    <w:rsid w:val="6BD149D3"/>
    <w:rsid w:val="6C2FBAD6"/>
    <w:rsid w:val="6C54C307"/>
    <w:rsid w:val="6C66EC5A"/>
    <w:rsid w:val="6C957D0B"/>
    <w:rsid w:val="6CB2E01F"/>
    <w:rsid w:val="6D3AFB74"/>
    <w:rsid w:val="6D830039"/>
    <w:rsid w:val="6DBF7FEC"/>
    <w:rsid w:val="6E11DAD7"/>
    <w:rsid w:val="6E20AD80"/>
    <w:rsid w:val="6E213C49"/>
    <w:rsid w:val="6E23E5B0"/>
    <w:rsid w:val="6E5F027F"/>
    <w:rsid w:val="6E72F256"/>
    <w:rsid w:val="6EEC1557"/>
    <w:rsid w:val="6F11D5BA"/>
    <w:rsid w:val="6FAF4F93"/>
    <w:rsid w:val="6FCFAD83"/>
    <w:rsid w:val="707D4DC0"/>
    <w:rsid w:val="70D98D0B"/>
    <w:rsid w:val="70ECF02E"/>
    <w:rsid w:val="70F03D61"/>
    <w:rsid w:val="717FBB34"/>
    <w:rsid w:val="7180404F"/>
    <w:rsid w:val="718921F6"/>
    <w:rsid w:val="71E0B198"/>
    <w:rsid w:val="722F2782"/>
    <w:rsid w:val="72576593"/>
    <w:rsid w:val="7272C66D"/>
    <w:rsid w:val="727760D6"/>
    <w:rsid w:val="72CA4A38"/>
    <w:rsid w:val="7313E04A"/>
    <w:rsid w:val="73B169C3"/>
    <w:rsid w:val="73CAA9FF"/>
    <w:rsid w:val="73CBAC2D"/>
    <w:rsid w:val="73D9F3B8"/>
    <w:rsid w:val="746A34CD"/>
    <w:rsid w:val="74893958"/>
    <w:rsid w:val="74B55052"/>
    <w:rsid w:val="74DB8CA6"/>
    <w:rsid w:val="74E5B9EF"/>
    <w:rsid w:val="74F0DA74"/>
    <w:rsid w:val="75360423"/>
    <w:rsid w:val="753B5DC5"/>
    <w:rsid w:val="75DD6862"/>
    <w:rsid w:val="75F73B5E"/>
    <w:rsid w:val="7623A4C3"/>
    <w:rsid w:val="76F346D2"/>
    <w:rsid w:val="76F8A34B"/>
    <w:rsid w:val="770D06F7"/>
    <w:rsid w:val="7733CD9A"/>
    <w:rsid w:val="774AF4A7"/>
    <w:rsid w:val="77512AC1"/>
    <w:rsid w:val="776A3280"/>
    <w:rsid w:val="77B286BB"/>
    <w:rsid w:val="78B3FB85"/>
    <w:rsid w:val="78FD248A"/>
    <w:rsid w:val="79306474"/>
    <w:rsid w:val="799CAAEA"/>
    <w:rsid w:val="79D7AC6A"/>
    <w:rsid w:val="7A26D631"/>
    <w:rsid w:val="7A94F06A"/>
    <w:rsid w:val="7AA9BF8A"/>
    <w:rsid w:val="7AB78DE4"/>
    <w:rsid w:val="7B15EF49"/>
    <w:rsid w:val="7B495B03"/>
    <w:rsid w:val="7C387095"/>
    <w:rsid w:val="7C557912"/>
    <w:rsid w:val="7C921FA2"/>
    <w:rsid w:val="7CB112A9"/>
    <w:rsid w:val="7CB20626"/>
    <w:rsid w:val="7D785CD0"/>
    <w:rsid w:val="7DBD53FA"/>
    <w:rsid w:val="7DCD6AEA"/>
    <w:rsid w:val="7E1210D5"/>
    <w:rsid w:val="7E17AA17"/>
    <w:rsid w:val="7E42E406"/>
    <w:rsid w:val="7E6BABAF"/>
    <w:rsid w:val="7E6CC7C4"/>
    <w:rsid w:val="7E847CD9"/>
    <w:rsid w:val="7ECCD1E4"/>
    <w:rsid w:val="7EE17E4D"/>
    <w:rsid w:val="7F034DB8"/>
    <w:rsid w:val="7FA3C7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640639"/>
  <w15:chartTrackingRefBased/>
  <w15:docId w15:val="{8CBA7AC5-986B-4F51-B8A2-97A3F549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72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5B39A8"/>
    <w:rPr>
      <w:color w:val="0000FF"/>
      <w:shd w:val="clear" w:color="auto" w:fill="auto"/>
    </w:rPr>
  </w:style>
  <w:style w:type="paragraph" w:styleId="Header">
    <w:name w:val="header"/>
    <w:basedOn w:val="Normal"/>
    <w:link w:val="HeaderChar"/>
    <w:uiPriority w:val="99"/>
    <w:unhideWhenUsed/>
    <w:rsid w:val="005B3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9A8"/>
  </w:style>
  <w:style w:type="paragraph" w:styleId="Footer">
    <w:name w:val="footer"/>
    <w:basedOn w:val="Normal"/>
    <w:link w:val="FooterChar"/>
    <w:uiPriority w:val="99"/>
    <w:unhideWhenUsed/>
    <w:rsid w:val="005B3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9A8"/>
  </w:style>
  <w:style w:type="paragraph" w:customStyle="1" w:styleId="Pagedecouverture">
    <w:name w:val="Page de couverture"/>
    <w:basedOn w:val="Normal"/>
    <w:next w:val="Normal"/>
    <w:rsid w:val="005B39A8"/>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5B39A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B39A8"/>
    <w:rPr>
      <w:rFonts w:ascii="Times New Roman" w:hAnsi="Times New Roman" w:cs="Times New Roman"/>
      <w:sz w:val="24"/>
    </w:rPr>
  </w:style>
  <w:style w:type="paragraph" w:customStyle="1" w:styleId="FooterSensitivity">
    <w:name w:val="Footer Sensitivity"/>
    <w:basedOn w:val="Normal"/>
    <w:link w:val="FooterSensitivityChar"/>
    <w:rsid w:val="005B39A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B39A8"/>
    <w:rPr>
      <w:rFonts w:ascii="Times New Roman" w:hAnsi="Times New Roman" w:cs="Times New Roman"/>
      <w:b/>
      <w:sz w:val="32"/>
    </w:rPr>
  </w:style>
  <w:style w:type="paragraph" w:customStyle="1" w:styleId="HeaderCoverPage">
    <w:name w:val="Header Cover Page"/>
    <w:basedOn w:val="Normal"/>
    <w:link w:val="HeaderCoverPageChar"/>
    <w:rsid w:val="005B39A8"/>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B39A8"/>
    <w:rPr>
      <w:rFonts w:ascii="Times New Roman" w:hAnsi="Times New Roman" w:cs="Times New Roman"/>
      <w:sz w:val="24"/>
    </w:rPr>
  </w:style>
  <w:style w:type="paragraph" w:customStyle="1" w:styleId="HeaderSensitivity">
    <w:name w:val="Header Sensitivity"/>
    <w:basedOn w:val="Normal"/>
    <w:link w:val="HeaderSensitivityChar"/>
    <w:rsid w:val="005B39A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B39A8"/>
    <w:rPr>
      <w:rFonts w:ascii="Times New Roman" w:hAnsi="Times New Roman" w:cs="Times New Roman"/>
      <w:b/>
      <w:sz w:val="32"/>
    </w:rPr>
  </w:style>
  <w:style w:type="paragraph" w:customStyle="1" w:styleId="HeaderSensitivityRight">
    <w:name w:val="Header Sensitivity Right"/>
    <w:basedOn w:val="Normal"/>
    <w:link w:val="HeaderSensitivityRightChar"/>
    <w:rsid w:val="005B39A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B39A8"/>
    <w:rPr>
      <w:rFonts w:ascii="Times New Roman" w:hAnsi="Times New Roman" w:cs="Times New Roman"/>
      <w:sz w:val="28"/>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L"/>
    <w:basedOn w:val="Normal"/>
    <w:link w:val="ListParagraphChar"/>
    <w:uiPriority w:val="34"/>
    <w:qFormat/>
    <w:rsid w:val="005B39A8"/>
    <w:pPr>
      <w:ind w:left="720"/>
      <w:contextualSpacing/>
    </w:p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L Char"/>
    <w:basedOn w:val="DefaultParagraphFont"/>
    <w:link w:val="ListParagraph"/>
    <w:uiPriority w:val="34"/>
    <w:qFormat/>
    <w:locked/>
    <w:rsid w:val="005B39A8"/>
    <w:rPr>
      <w:lang w:val="el-GR"/>
    </w:rPr>
  </w:style>
  <w:style w:type="character" w:styleId="CommentReference">
    <w:name w:val="annotation reference"/>
    <w:basedOn w:val="DefaultParagraphFont"/>
    <w:uiPriority w:val="99"/>
    <w:semiHidden/>
    <w:unhideWhenUsed/>
    <w:rsid w:val="005B39A8"/>
    <w:rPr>
      <w:sz w:val="16"/>
      <w:szCs w:val="16"/>
    </w:rPr>
  </w:style>
  <w:style w:type="paragraph" w:styleId="CommentText">
    <w:name w:val="annotation text"/>
    <w:basedOn w:val="Normal"/>
    <w:link w:val="CommentTextChar"/>
    <w:uiPriority w:val="99"/>
    <w:semiHidden/>
    <w:unhideWhenUsed/>
    <w:rsid w:val="005B39A8"/>
    <w:pPr>
      <w:spacing w:line="240" w:lineRule="auto"/>
    </w:pPr>
    <w:rPr>
      <w:sz w:val="20"/>
      <w:szCs w:val="20"/>
    </w:rPr>
  </w:style>
  <w:style w:type="character" w:customStyle="1" w:styleId="CommentTextChar">
    <w:name w:val="Comment Text Char"/>
    <w:basedOn w:val="DefaultParagraphFont"/>
    <w:link w:val="CommentText"/>
    <w:uiPriority w:val="99"/>
    <w:semiHidden/>
    <w:rsid w:val="005B39A8"/>
    <w:rPr>
      <w:sz w:val="20"/>
      <w:szCs w:val="20"/>
    </w:rPr>
  </w:style>
  <w:style w:type="paragraph" w:styleId="BalloonText">
    <w:name w:val="Balloon Text"/>
    <w:basedOn w:val="Normal"/>
    <w:link w:val="BalloonTextChar"/>
    <w:uiPriority w:val="99"/>
    <w:semiHidden/>
    <w:unhideWhenUsed/>
    <w:rsid w:val="005B3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9A8"/>
    <w:rPr>
      <w:rFonts w:ascii="Segoe UI" w:hAnsi="Segoe UI" w:cs="Segoe UI"/>
      <w:sz w:val="18"/>
      <w:szCs w:val="18"/>
    </w:rPr>
  </w:style>
  <w:style w:type="paragraph" w:styleId="FootnoteText">
    <w:name w:val="footnote text"/>
    <w:basedOn w:val="Normal"/>
    <w:link w:val="FootnoteTextChar"/>
    <w:uiPriority w:val="99"/>
    <w:semiHidden/>
    <w:unhideWhenUsed/>
    <w:rsid w:val="005B39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9A8"/>
    <w:rPr>
      <w:sz w:val="20"/>
      <w:szCs w:val="20"/>
    </w:rPr>
  </w:style>
  <w:style w:type="character" w:styleId="FootnoteReference">
    <w:name w:val="footnote reference"/>
    <w:aliases w:val="ftref, BVI fnr,Ref,de nota al pie,16 Point,Superscript 6 Point,BVI fnr,Знак сноски-FN,Footnote Reference Superscript,Footnote symbol,???? ??????-FN,Footnote Reference Number,Footnote Reference_LVL6,Footnote Reference_LVL61,footnote re"/>
    <w:basedOn w:val="DefaultParagraphFont"/>
    <w:link w:val="FNRefeCharChar"/>
    <w:uiPriority w:val="99"/>
    <w:unhideWhenUsed/>
    <w:qFormat/>
    <w:rsid w:val="005B39A8"/>
    <w:rPr>
      <w:vertAlign w:val="superscript"/>
    </w:rPr>
  </w:style>
  <w:style w:type="character" w:styleId="Hyperlink">
    <w:name w:val="Hyperlink"/>
    <w:basedOn w:val="DefaultParagraphFont"/>
    <w:unhideWhenUsed/>
    <w:rsid w:val="005B39A8"/>
    <w:rPr>
      <w:color w:val="0563C1" w:themeColor="hyperlink"/>
      <w:u w:val="single"/>
    </w:rPr>
  </w:style>
  <w:style w:type="paragraph" w:customStyle="1" w:styleId="FNRefeCharChar">
    <w:name w:val="FNRefe Char Char"/>
    <w:basedOn w:val="Normal"/>
    <w:link w:val="FootnoteReference"/>
    <w:uiPriority w:val="99"/>
    <w:rsid w:val="005B39A8"/>
    <w:pPr>
      <w:spacing w:after="200" w:line="240" w:lineRule="exact"/>
      <w:jc w:val="both"/>
    </w:pPr>
    <w:rPr>
      <w:vertAlign w:val="superscript"/>
    </w:rPr>
  </w:style>
  <w:style w:type="paragraph" w:customStyle="1" w:styleId="Default">
    <w:name w:val="Default"/>
    <w:rsid w:val="005B39A8"/>
    <w:pPr>
      <w:autoSpaceDE w:val="0"/>
      <w:autoSpaceDN w:val="0"/>
      <w:adjustRightInd w:val="0"/>
      <w:spacing w:after="0" w:line="240" w:lineRule="auto"/>
    </w:pPr>
    <w:rPr>
      <w:rFonts w:ascii="EC Square Sans Pro" w:hAnsi="EC Square Sans Pro" w:cs="EC Square Sans Pro"/>
      <w:color w:val="000000"/>
      <w:sz w:val="24"/>
      <w:szCs w:val="24"/>
    </w:rPr>
  </w:style>
  <w:style w:type="paragraph" w:customStyle="1" w:styleId="Tiret0">
    <w:name w:val="Tiret 0"/>
    <w:basedOn w:val="Normal"/>
    <w:rsid w:val="005B39A8"/>
    <w:pPr>
      <w:numPr>
        <w:numId w:val="14"/>
      </w:numPr>
      <w:spacing w:before="120" w:after="120" w:line="240" w:lineRule="auto"/>
      <w:jc w:val="both"/>
    </w:pPr>
    <w:rPr>
      <w:rFonts w:ascii="Times New Roman" w:hAnsi="Times New Roman" w:cs="Times New Roman"/>
      <w:sz w:val="24"/>
    </w:rPr>
  </w:style>
  <w:style w:type="table" w:styleId="TableGrid">
    <w:name w:val="Table Grid"/>
    <w:basedOn w:val="TableNormal"/>
    <w:uiPriority w:val="59"/>
    <w:rsid w:val="005B3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B39A8"/>
    <w:pPr>
      <w:spacing w:after="200"/>
    </w:pPr>
    <w:rPr>
      <w:b/>
      <w:bCs/>
    </w:rPr>
  </w:style>
  <w:style w:type="character" w:customStyle="1" w:styleId="CommentSubjectChar">
    <w:name w:val="Comment Subject Char"/>
    <w:basedOn w:val="CommentTextChar"/>
    <w:link w:val="CommentSubject"/>
    <w:uiPriority w:val="99"/>
    <w:semiHidden/>
    <w:rsid w:val="005B39A8"/>
    <w:rPr>
      <w:b/>
      <w:bCs/>
      <w:sz w:val="20"/>
      <w:szCs w:val="20"/>
    </w:rPr>
  </w:style>
  <w:style w:type="paragraph" w:styleId="Revision">
    <w:name w:val="Revision"/>
    <w:hidden/>
    <w:uiPriority w:val="99"/>
    <w:semiHidden/>
    <w:rsid w:val="005B39A8"/>
    <w:pPr>
      <w:spacing w:after="0" w:line="240" w:lineRule="auto"/>
    </w:pPr>
  </w:style>
  <w:style w:type="character" w:customStyle="1" w:styleId="UnresolvedMention1">
    <w:name w:val="Unresolved Mention1"/>
    <w:basedOn w:val="DefaultParagraphFont"/>
    <w:uiPriority w:val="99"/>
    <w:semiHidden/>
    <w:unhideWhenUsed/>
    <w:rsid w:val="005B39A8"/>
    <w:rPr>
      <w:color w:val="605E5C"/>
      <w:shd w:val="clear" w:color="auto" w:fill="E1DFDD"/>
    </w:rPr>
  </w:style>
  <w:style w:type="character" w:customStyle="1" w:styleId="UnresolvedMention2">
    <w:name w:val="Unresolved Mention2"/>
    <w:basedOn w:val="DefaultParagraphFont"/>
    <w:uiPriority w:val="99"/>
    <w:semiHidden/>
    <w:unhideWhenUsed/>
    <w:rsid w:val="005B39A8"/>
    <w:rPr>
      <w:color w:val="605E5C"/>
      <w:shd w:val="clear" w:color="auto" w:fill="E1DFDD"/>
    </w:rPr>
  </w:style>
  <w:style w:type="character" w:customStyle="1" w:styleId="Mention1">
    <w:name w:val="Mention1"/>
    <w:basedOn w:val="DefaultParagraphFont"/>
    <w:uiPriority w:val="99"/>
    <w:unhideWhenUsed/>
    <w:rsid w:val="005B39A8"/>
    <w:rPr>
      <w:color w:val="2B579A"/>
      <w:shd w:val="clear" w:color="auto" w:fill="E6E6E6"/>
    </w:rPr>
  </w:style>
  <w:style w:type="character" w:styleId="FollowedHyperlink">
    <w:name w:val="FollowedHyperlink"/>
    <w:basedOn w:val="DefaultParagraphFont"/>
    <w:uiPriority w:val="99"/>
    <w:semiHidden/>
    <w:unhideWhenUsed/>
    <w:rsid w:val="005B39A8"/>
    <w:rPr>
      <w:color w:val="954F72" w:themeColor="followedHyperlink"/>
      <w:u w:val="single"/>
    </w:rPr>
  </w:style>
  <w:style w:type="character" w:customStyle="1" w:styleId="Heading1Char">
    <w:name w:val="Heading 1 Char"/>
    <w:basedOn w:val="DefaultParagraphFont"/>
    <w:link w:val="Heading1"/>
    <w:uiPriority w:val="9"/>
    <w:rsid w:val="004C720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2908C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3">
    <w:name w:val="Unresolved Mention3"/>
    <w:basedOn w:val="DefaultParagraphFont"/>
    <w:uiPriority w:val="99"/>
    <w:semiHidden/>
    <w:unhideWhenUsed/>
    <w:rsid w:val="005E7F97"/>
    <w:rPr>
      <w:color w:val="605E5C"/>
      <w:shd w:val="clear" w:color="auto" w:fill="E1DFDD"/>
    </w:rPr>
  </w:style>
  <w:style w:type="character" w:customStyle="1" w:styleId="Mention2">
    <w:name w:val="Mention2"/>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E42E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2E4B"/>
    <w:rPr>
      <w:sz w:val="20"/>
      <w:szCs w:val="20"/>
    </w:rPr>
  </w:style>
  <w:style w:type="character" w:styleId="EndnoteReference">
    <w:name w:val="endnote reference"/>
    <w:basedOn w:val="DefaultParagraphFont"/>
    <w:uiPriority w:val="99"/>
    <w:semiHidden/>
    <w:unhideWhenUsed/>
    <w:rsid w:val="00E42E4B"/>
    <w:rPr>
      <w:vertAlign w:val="superscript"/>
    </w:rPr>
  </w:style>
  <w:style w:type="character" w:customStyle="1" w:styleId="UnresolvedMention4">
    <w:name w:val="Unresolved Mention4"/>
    <w:basedOn w:val="DefaultParagraphFont"/>
    <w:uiPriority w:val="99"/>
    <w:semiHidden/>
    <w:unhideWhenUsed/>
    <w:rsid w:val="00E93515"/>
    <w:rPr>
      <w:color w:val="605E5C"/>
      <w:shd w:val="clear" w:color="auto" w:fill="E1DFDD"/>
    </w:rPr>
  </w:style>
  <w:style w:type="paragraph" w:styleId="Caption">
    <w:name w:val="caption"/>
    <w:basedOn w:val="Normal"/>
    <w:next w:val="Normal"/>
    <w:uiPriority w:val="35"/>
    <w:unhideWhenUsed/>
    <w:qFormat/>
    <w:rsid w:val="00E125F4"/>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604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94604">
      <w:bodyDiv w:val="1"/>
      <w:marLeft w:val="0"/>
      <w:marRight w:val="0"/>
      <w:marTop w:val="0"/>
      <w:marBottom w:val="0"/>
      <w:divBdr>
        <w:top w:val="none" w:sz="0" w:space="0" w:color="auto"/>
        <w:left w:val="none" w:sz="0" w:space="0" w:color="auto"/>
        <w:bottom w:val="none" w:sz="0" w:space="0" w:color="auto"/>
        <w:right w:val="none" w:sz="0" w:space="0" w:color="auto"/>
      </w:divBdr>
    </w:div>
    <w:div w:id="755588859">
      <w:bodyDiv w:val="1"/>
      <w:marLeft w:val="0"/>
      <w:marRight w:val="0"/>
      <w:marTop w:val="0"/>
      <w:marBottom w:val="0"/>
      <w:divBdr>
        <w:top w:val="none" w:sz="0" w:space="0" w:color="auto"/>
        <w:left w:val="none" w:sz="0" w:space="0" w:color="auto"/>
        <w:bottom w:val="none" w:sz="0" w:space="0" w:color="auto"/>
        <w:right w:val="none" w:sz="0" w:space="0" w:color="auto"/>
      </w:divBdr>
      <w:divsChild>
        <w:div w:id="204952796">
          <w:marLeft w:val="547"/>
          <w:marRight w:val="0"/>
          <w:marTop w:val="0"/>
          <w:marBottom w:val="0"/>
          <w:divBdr>
            <w:top w:val="none" w:sz="0" w:space="0" w:color="auto"/>
            <w:left w:val="none" w:sz="0" w:space="0" w:color="auto"/>
            <w:bottom w:val="none" w:sz="0" w:space="0" w:color="auto"/>
            <w:right w:val="none" w:sz="0" w:space="0" w:color="auto"/>
          </w:divBdr>
        </w:div>
      </w:divsChild>
    </w:div>
    <w:div w:id="838888923">
      <w:bodyDiv w:val="1"/>
      <w:marLeft w:val="0"/>
      <w:marRight w:val="0"/>
      <w:marTop w:val="0"/>
      <w:marBottom w:val="0"/>
      <w:divBdr>
        <w:top w:val="none" w:sz="0" w:space="0" w:color="auto"/>
        <w:left w:val="none" w:sz="0" w:space="0" w:color="auto"/>
        <w:bottom w:val="none" w:sz="0" w:space="0" w:color="auto"/>
        <w:right w:val="none" w:sz="0" w:space="0" w:color="auto"/>
      </w:divBdr>
    </w:div>
    <w:div w:id="1043989471">
      <w:bodyDiv w:val="1"/>
      <w:marLeft w:val="0"/>
      <w:marRight w:val="0"/>
      <w:marTop w:val="0"/>
      <w:marBottom w:val="0"/>
      <w:divBdr>
        <w:top w:val="none" w:sz="0" w:space="0" w:color="auto"/>
        <w:left w:val="none" w:sz="0" w:space="0" w:color="auto"/>
        <w:bottom w:val="none" w:sz="0" w:space="0" w:color="auto"/>
        <w:right w:val="none" w:sz="0" w:space="0" w:color="auto"/>
      </w:divBdr>
    </w:div>
    <w:div w:id="1327905901">
      <w:bodyDiv w:val="1"/>
      <w:marLeft w:val="0"/>
      <w:marRight w:val="0"/>
      <w:marTop w:val="0"/>
      <w:marBottom w:val="0"/>
      <w:divBdr>
        <w:top w:val="none" w:sz="0" w:space="0" w:color="auto"/>
        <w:left w:val="none" w:sz="0" w:space="0" w:color="auto"/>
        <w:bottom w:val="none" w:sz="0" w:space="0" w:color="auto"/>
        <w:right w:val="none" w:sz="0" w:space="0" w:color="auto"/>
      </w:divBdr>
      <w:divsChild>
        <w:div w:id="828255504">
          <w:marLeft w:val="547"/>
          <w:marRight w:val="0"/>
          <w:marTop w:val="0"/>
          <w:marBottom w:val="0"/>
          <w:divBdr>
            <w:top w:val="none" w:sz="0" w:space="0" w:color="auto"/>
            <w:left w:val="none" w:sz="0" w:space="0" w:color="auto"/>
            <w:bottom w:val="none" w:sz="0" w:space="0" w:color="auto"/>
            <w:right w:val="none" w:sz="0" w:space="0" w:color="auto"/>
          </w:divBdr>
        </w:div>
      </w:divsChild>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10.svg"/><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diagramQuickStyle" Target="diagrams/quickStyle1.xml"/><Relationship Id="rId42" Type="http://schemas.openxmlformats.org/officeDocument/2006/relationships/footer" Target="footer6.xml"/><Relationship Id="rId47"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diagramLayout" Target="diagrams/layout1.xml"/><Relationship Id="rId38" Type="http://schemas.openxmlformats.org/officeDocument/2006/relationships/header" Target="header5.xml"/><Relationship Id="rId46"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svg"/><Relationship Id="rId29" Type="http://schemas.openxmlformats.org/officeDocument/2006/relationships/image" Target="media/image8.png"/><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svg"/><Relationship Id="rId32" Type="http://schemas.openxmlformats.org/officeDocument/2006/relationships/diagramData" Target="diagrams/data1.xm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image" Target="media/image12.svg"/><Relationship Id="rId36"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9.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svg"/><Relationship Id="rId27" Type="http://schemas.openxmlformats.org/officeDocument/2006/relationships/image" Target="media/image7.png"/><Relationship Id="rId30" Type="http://schemas.openxmlformats.org/officeDocument/2006/relationships/image" Target="media/image14.svg"/><Relationship Id="rId35" Type="http://schemas.openxmlformats.org/officeDocument/2006/relationships/diagramColors" Target="diagrams/colors1.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limate.ec.europa.eu/eu-action/adaptation-climate-change/climate-resilience-dialogue_el" TargetMode="External"/><Relationship Id="rId13" Type="http://schemas.openxmlformats.org/officeDocument/2006/relationships/hyperlink" Target="https://www.nato.int/docu/review/articles/2019/02/27/resilience-the-first-line-of-defence/index.html" TargetMode="External"/><Relationship Id="rId3" Type="http://schemas.openxmlformats.org/officeDocument/2006/relationships/hyperlink" Target="https://civil-protection-humanitarian-aid.ec.europa.eu/what/civil-protection/resceu_en" TargetMode="External"/><Relationship Id="rId7" Type="http://schemas.openxmlformats.org/officeDocument/2006/relationships/hyperlink" Target="https://www.worldbank.org/en/news/feature/2021/06/04/economics-for-disaster-prevention-and-preparedness-in-europe" TargetMode="External"/><Relationship Id="rId12" Type="http://schemas.openxmlformats.org/officeDocument/2006/relationships/hyperlink" Target="https://ec.europa.eu/commission/presscorner/detail/el/speech_22_5493" TargetMode="External"/><Relationship Id="rId2" Type="http://schemas.openxmlformats.org/officeDocument/2006/relationships/hyperlink" Target="https://edo.jrc.ec.europa.eu/documents/news/GDO-EDODroughtNews202208_Europe.pdf" TargetMode="External"/><Relationship Id="rId1" Type="http://schemas.openxmlformats.org/officeDocument/2006/relationships/hyperlink" Target="https://www.eea.europa.eu/ims/global-and-european-temperatures" TargetMode="External"/><Relationship Id="rId6" Type="http://schemas.openxmlformats.org/officeDocument/2006/relationships/hyperlink" Target="https://health.ec.europa.eu/publications/state-health-preparedness-report_el" TargetMode="External"/><Relationship Id="rId11" Type="http://schemas.openxmlformats.org/officeDocument/2006/relationships/hyperlink" Target="https://civil-protection-humanitarian-aid.ec.europa.eu/what/civil-protection/early-warning-and-information-systems_en" TargetMode="External"/><Relationship Id="rId5" Type="http://schemas.openxmlformats.org/officeDocument/2006/relationships/hyperlink" Target="https://defence-industry-space.ec.europa.eu/action-plan-military-mobility-20_en" TargetMode="External"/><Relationship Id="rId15" Type="http://schemas.openxmlformats.org/officeDocument/2006/relationships/hyperlink" Target="https://civil-protection-knowledge-network.europa.eu/" TargetMode="External"/><Relationship Id="rId10" Type="http://schemas.openxmlformats.org/officeDocument/2006/relationships/hyperlink" Target="https://europa.eu/eurobarometer/surveys/detail/2264" TargetMode="External"/><Relationship Id="rId4" Type="http://schemas.openxmlformats.org/officeDocument/2006/relationships/hyperlink" Target="https://commission.europa.eu/strategy-and-policy/strategic-planning/strategic-foresight/2020-strategic-foresight-report/resilience-dashboards_el" TargetMode="External"/><Relationship Id="rId9" Type="http://schemas.openxmlformats.org/officeDocument/2006/relationships/hyperlink" Target="https://op.europa.eu/el/publication-detail/-/publication/dffc8b4b-801d-11ed-9887-01aa75ed71a1" TargetMode="External"/><Relationship Id="rId14" Type="http://schemas.openxmlformats.org/officeDocument/2006/relationships/hyperlink" Target="https://climate-adapt.eea.europa.eu/en/eu-adaptation-policy/key-eu-actions/climate_risk_assessment"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3B7850-78C8-4870-9DEC-34E0E24D2C27}" type="doc">
      <dgm:prSet loTypeId="urn:microsoft.com/office/officeart/2005/8/layout/default" loCatId="list" qsTypeId="urn:microsoft.com/office/officeart/2005/8/quickstyle/simple4" qsCatId="simple" csTypeId="urn:microsoft.com/office/officeart/2005/8/colors/accent0_3" csCatId="mainScheme" phldr="1"/>
      <dgm:spPr/>
      <dgm:t>
        <a:bodyPr/>
        <a:lstStyle/>
        <a:p>
          <a:endParaRPr lang="en-US"/>
        </a:p>
      </dgm:t>
    </dgm:pt>
    <dgm:pt modelId="{86114228-98CE-428B-87F1-F505F2377C68}">
      <dgm:prSet phldrT="[Tex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dirty="0">
              <a:latin typeface="Arial" panose="020B0604020202020204" pitchFamily="34" charset="0"/>
              <a:cs typeface="Arial" panose="020B0604020202020204" pitchFamily="34" charset="0"/>
            </a:rPr>
            <a:t>Σεισμός</a:t>
          </a:r>
        </a:p>
      </dgm:t>
    </dgm:pt>
    <dgm:pt modelId="{F9C108B9-52BF-4D76-90FE-41186A907428}" type="parTrans" cxnId="{13A3A3ED-3C3D-47D4-9D97-64FFC1E83A65}">
      <dgm:prSet/>
      <dgm:spPr/>
      <dgm:t>
        <a:bodyPr/>
        <a:lstStyle/>
        <a:p>
          <a:pPr algn="ctr"/>
          <a:endParaRPr lang="en-US" b="0">
            <a:latin typeface="Arial" panose="020B0604020202020204" pitchFamily="34" charset="0"/>
            <a:cs typeface="Arial" panose="020B0604020202020204" pitchFamily="34" charset="0"/>
          </a:endParaRPr>
        </a:p>
      </dgm:t>
    </dgm:pt>
    <dgm:pt modelId="{8B1322A3-06BB-4CF9-B1A2-C4B165F3C699}" type="sibTrans" cxnId="{13A3A3ED-3C3D-47D4-9D97-64FFC1E83A65}">
      <dgm:prSet/>
      <dgm:spPr/>
      <dgm:t>
        <a:bodyPr/>
        <a:lstStyle/>
        <a:p>
          <a:pPr algn="ctr"/>
          <a:endParaRPr lang="en-US" b="0">
            <a:latin typeface="Arial" panose="020B0604020202020204" pitchFamily="34" charset="0"/>
            <a:cs typeface="Arial" panose="020B0604020202020204" pitchFamily="34" charset="0"/>
          </a:endParaRPr>
        </a:p>
      </dgm:t>
    </dgm:pt>
    <dgm:pt modelId="{7C4E4946-FFD1-4348-BA2C-0DF1ECF4D7B0}">
      <dgm:prSe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a:latin typeface="Arial" panose="020B0604020202020204" pitchFamily="34" charset="0"/>
              <a:cs typeface="Arial" panose="020B0604020202020204" pitchFamily="34" charset="0"/>
            </a:rPr>
            <a:t>Απειλές κατά της υγείας, συμπεριλαμβανομένων των πανδημιών</a:t>
          </a:r>
        </a:p>
      </dgm:t>
    </dgm:pt>
    <dgm:pt modelId="{8890A975-FE8F-497F-9FD9-328866F65968}" type="parTrans" cxnId="{0A37F341-6A46-43B2-A651-A28114865C0D}">
      <dgm:prSet/>
      <dgm:spPr/>
      <dgm:t>
        <a:bodyPr/>
        <a:lstStyle/>
        <a:p>
          <a:pPr algn="ctr"/>
          <a:endParaRPr lang="en-US" b="0">
            <a:latin typeface="Arial" panose="020B0604020202020204" pitchFamily="34" charset="0"/>
            <a:cs typeface="Arial" panose="020B0604020202020204" pitchFamily="34" charset="0"/>
          </a:endParaRPr>
        </a:p>
      </dgm:t>
    </dgm:pt>
    <dgm:pt modelId="{1DE31B98-07FA-43AD-B007-CB5F5E958F62}" type="sibTrans" cxnId="{0A37F341-6A46-43B2-A651-A28114865C0D}">
      <dgm:prSet/>
      <dgm:spPr/>
      <dgm:t>
        <a:bodyPr/>
        <a:lstStyle/>
        <a:p>
          <a:pPr algn="ctr"/>
          <a:endParaRPr lang="en-US" b="0">
            <a:latin typeface="Arial" panose="020B0604020202020204" pitchFamily="34" charset="0"/>
            <a:cs typeface="Arial" panose="020B0604020202020204" pitchFamily="34" charset="0"/>
          </a:endParaRPr>
        </a:p>
      </dgm:t>
    </dgm:pt>
    <dgm:pt modelId="{255861B3-6B11-4DCC-A424-F3C480A28A58}">
      <dgm:prSe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dirty="0">
              <a:latin typeface="Arial" panose="020B0604020202020204" pitchFamily="34" charset="0"/>
              <a:cs typeface="Arial" panose="020B0604020202020204" pitchFamily="34" charset="0"/>
            </a:rPr>
            <a:t>Δασική πυρκαγιά</a:t>
          </a:r>
        </a:p>
      </dgm:t>
    </dgm:pt>
    <dgm:pt modelId="{77A408C4-726E-4D6F-B67D-27B01AD895F8}" type="parTrans" cxnId="{AE78F1D2-471E-4622-A32E-5CCB58F45376}">
      <dgm:prSet/>
      <dgm:spPr/>
      <dgm:t>
        <a:bodyPr/>
        <a:lstStyle/>
        <a:p>
          <a:pPr algn="ctr"/>
          <a:endParaRPr lang="en-US" b="0">
            <a:latin typeface="Arial" panose="020B0604020202020204" pitchFamily="34" charset="0"/>
            <a:cs typeface="Arial" panose="020B0604020202020204" pitchFamily="34" charset="0"/>
          </a:endParaRPr>
        </a:p>
      </dgm:t>
    </dgm:pt>
    <dgm:pt modelId="{77C8CA39-EAC7-422B-88F0-A385C0D020B3}" type="sibTrans" cxnId="{AE78F1D2-471E-4622-A32E-5CCB58F45376}">
      <dgm:prSet/>
      <dgm:spPr/>
      <dgm:t>
        <a:bodyPr/>
        <a:lstStyle/>
        <a:p>
          <a:pPr algn="ctr"/>
          <a:endParaRPr lang="en-US" b="0">
            <a:latin typeface="Arial" panose="020B0604020202020204" pitchFamily="34" charset="0"/>
            <a:cs typeface="Arial" panose="020B0604020202020204" pitchFamily="34" charset="0"/>
          </a:endParaRPr>
        </a:p>
      </dgm:t>
    </dgm:pt>
    <dgm:pt modelId="{ECBD4F64-6D63-415B-B0BD-B2BD835D87C7}">
      <dgm:prSe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dirty="0">
              <a:latin typeface="Arial" panose="020B0604020202020204" pitchFamily="34" charset="0"/>
              <a:cs typeface="Arial" panose="020B0604020202020204" pitchFamily="34" charset="0"/>
            </a:rPr>
            <a:t>Καταστάσεις έκτακτης ανάγκης στον τομέα της βιομηχανίας</a:t>
          </a:r>
        </a:p>
      </dgm:t>
    </dgm:pt>
    <dgm:pt modelId="{9FED30B0-1A39-42FE-B78E-A6E86555D675}" type="parTrans" cxnId="{074892CC-4EF7-478B-96A1-876A5AEAE6CF}">
      <dgm:prSet/>
      <dgm:spPr/>
      <dgm:t>
        <a:bodyPr/>
        <a:lstStyle/>
        <a:p>
          <a:pPr algn="ctr"/>
          <a:endParaRPr lang="en-US" b="0">
            <a:latin typeface="Arial" panose="020B0604020202020204" pitchFamily="34" charset="0"/>
            <a:cs typeface="Arial" panose="020B0604020202020204" pitchFamily="34" charset="0"/>
          </a:endParaRPr>
        </a:p>
      </dgm:t>
    </dgm:pt>
    <dgm:pt modelId="{4A056E1C-5410-4CD4-A3E1-C5373CEB4B79}" type="sibTrans" cxnId="{074892CC-4EF7-478B-96A1-876A5AEAE6CF}">
      <dgm:prSet/>
      <dgm:spPr/>
      <dgm:t>
        <a:bodyPr/>
        <a:lstStyle/>
        <a:p>
          <a:pPr algn="ctr"/>
          <a:endParaRPr lang="en-US" b="0">
            <a:latin typeface="Arial" panose="020B0604020202020204" pitchFamily="34" charset="0"/>
            <a:cs typeface="Arial" panose="020B0604020202020204" pitchFamily="34" charset="0"/>
          </a:endParaRPr>
        </a:p>
      </dgm:t>
    </dgm:pt>
    <dgm:pt modelId="{4648BCBD-EC07-495A-B14E-6A92AE678508}">
      <dgm:prSe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dirty="0">
              <a:latin typeface="Arial" panose="020B0604020202020204" pitchFamily="34" charset="0"/>
              <a:cs typeface="Arial" panose="020B0604020202020204" pitchFamily="34" charset="0"/>
            </a:rPr>
            <a:t>Θαλάσσια ρύπανση</a:t>
          </a:r>
        </a:p>
      </dgm:t>
    </dgm:pt>
    <dgm:pt modelId="{E6EFA604-4BFD-4570-A8EE-D306889ADE52}" type="parTrans" cxnId="{34668DD5-B6FB-461A-8CFC-C59D8923D12C}">
      <dgm:prSet/>
      <dgm:spPr/>
      <dgm:t>
        <a:bodyPr/>
        <a:lstStyle/>
        <a:p>
          <a:pPr algn="ctr"/>
          <a:endParaRPr lang="en-US" b="0">
            <a:latin typeface="Arial" panose="020B0604020202020204" pitchFamily="34" charset="0"/>
            <a:cs typeface="Arial" panose="020B0604020202020204" pitchFamily="34" charset="0"/>
          </a:endParaRPr>
        </a:p>
      </dgm:t>
    </dgm:pt>
    <dgm:pt modelId="{380721F5-BCD6-48F6-8CFD-E6010238E1C4}" type="sibTrans" cxnId="{34668DD5-B6FB-461A-8CFC-C59D8923D12C}">
      <dgm:prSet/>
      <dgm:spPr/>
      <dgm:t>
        <a:bodyPr/>
        <a:lstStyle/>
        <a:p>
          <a:pPr algn="ctr"/>
          <a:endParaRPr lang="en-US" b="0">
            <a:latin typeface="Arial" panose="020B0604020202020204" pitchFamily="34" charset="0"/>
            <a:cs typeface="Arial" panose="020B0604020202020204" pitchFamily="34" charset="0"/>
          </a:endParaRPr>
        </a:p>
      </dgm:t>
    </dgm:pt>
    <dgm:pt modelId="{8DF199F3-AA25-4F5D-951D-8BE3A5C8E5AD}">
      <dgm:prSe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strike="noStrike" dirty="0">
              <a:effectLst/>
              <a:latin typeface="Arial" panose="020B0604020202020204" pitchFamily="34" charset="0"/>
              <a:cs typeface="Arial" panose="020B0604020202020204" pitchFamily="34" charset="0"/>
            </a:rPr>
            <a:t>Εκτοπισμός πληθυσμών σε καταστάσεις έκτακτης ανάγκης</a:t>
          </a:r>
        </a:p>
      </dgm:t>
    </dgm:pt>
    <dgm:pt modelId="{C0F04368-E054-4206-87BF-88227E8ACF9C}" type="parTrans" cxnId="{C35B4BCD-D3AA-4B84-83B8-E68D13270920}">
      <dgm:prSet/>
      <dgm:spPr/>
      <dgm:t>
        <a:bodyPr/>
        <a:lstStyle/>
        <a:p>
          <a:pPr algn="ctr"/>
          <a:endParaRPr lang="en-US" b="0">
            <a:latin typeface="Arial" panose="020B0604020202020204" pitchFamily="34" charset="0"/>
            <a:cs typeface="Arial" panose="020B0604020202020204" pitchFamily="34" charset="0"/>
          </a:endParaRPr>
        </a:p>
      </dgm:t>
    </dgm:pt>
    <dgm:pt modelId="{66C1EF89-5E47-4C97-86FA-2FE49BD30B9B}" type="sibTrans" cxnId="{C35B4BCD-D3AA-4B84-83B8-E68D13270920}">
      <dgm:prSet/>
      <dgm:spPr/>
      <dgm:t>
        <a:bodyPr/>
        <a:lstStyle/>
        <a:p>
          <a:pPr algn="ctr"/>
          <a:endParaRPr lang="en-US" b="0">
            <a:latin typeface="Arial" panose="020B0604020202020204" pitchFamily="34" charset="0"/>
            <a:cs typeface="Arial" panose="020B0604020202020204" pitchFamily="34" charset="0"/>
          </a:endParaRPr>
        </a:p>
      </dgm:t>
    </dgm:pt>
    <dgm:pt modelId="{B82C9839-3B04-4FA0-B1CA-FD8F8BC336A6}">
      <dgm:prSet phldrT="[Tex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a:latin typeface="Arial" panose="020B0604020202020204" pitchFamily="34" charset="0"/>
              <a:cs typeface="Arial" panose="020B0604020202020204" pitchFamily="34" charset="0"/>
            </a:rPr>
            <a:t>Πλημμύρες</a:t>
          </a:r>
        </a:p>
      </dgm:t>
    </dgm:pt>
    <dgm:pt modelId="{3A560437-4A2A-455E-88E9-C65AF1B6D983}" type="parTrans" cxnId="{2092BED2-9BD8-413B-B5A7-5541DC7FB4D6}">
      <dgm:prSet/>
      <dgm:spPr/>
      <dgm:t>
        <a:bodyPr/>
        <a:lstStyle/>
        <a:p>
          <a:pPr algn="ctr"/>
          <a:endParaRPr lang="en-IE"/>
        </a:p>
      </dgm:t>
    </dgm:pt>
    <dgm:pt modelId="{DD60FDDC-287F-419A-AD76-59F2EC8D90C6}" type="sibTrans" cxnId="{2092BED2-9BD8-413B-B5A7-5541DC7FB4D6}">
      <dgm:prSet/>
      <dgm:spPr/>
      <dgm:t>
        <a:bodyPr/>
        <a:lstStyle/>
        <a:p>
          <a:pPr algn="ctr"/>
          <a:endParaRPr lang="en-IE"/>
        </a:p>
      </dgm:t>
    </dgm:pt>
    <dgm:pt modelId="{2898B110-3862-4E9F-929D-089C4A66464A}">
      <dgm:prSet phldrT="[Tex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dirty="0">
              <a:latin typeface="Arial" panose="020B0604020202020204" pitchFamily="34" charset="0"/>
              <a:cs typeface="Arial" panose="020B0604020202020204" pitchFamily="34" charset="0"/>
            </a:rPr>
            <a:t>Κύμα καύσωνα / κύμα ψύχους</a:t>
          </a:r>
        </a:p>
      </dgm:t>
    </dgm:pt>
    <dgm:pt modelId="{7FE37554-5845-4F50-8AE3-184DB83433DD}" type="parTrans" cxnId="{C7B11F70-04CB-4AB5-A403-63F1A4448EEE}">
      <dgm:prSet/>
      <dgm:spPr/>
      <dgm:t>
        <a:bodyPr/>
        <a:lstStyle/>
        <a:p>
          <a:pPr algn="ctr"/>
          <a:endParaRPr lang="en-IE"/>
        </a:p>
      </dgm:t>
    </dgm:pt>
    <dgm:pt modelId="{A27EA7F4-F693-4742-AD7E-EFF5C50E83EB}" type="sibTrans" cxnId="{C7B11F70-04CB-4AB5-A403-63F1A4448EEE}">
      <dgm:prSet/>
      <dgm:spPr/>
      <dgm:t>
        <a:bodyPr/>
        <a:lstStyle/>
        <a:p>
          <a:pPr algn="ctr"/>
          <a:endParaRPr lang="en-IE"/>
        </a:p>
      </dgm:t>
    </dgm:pt>
    <dgm:pt modelId="{24DD0ADD-08C6-40E3-A00B-8E4B3DEA0DEE}">
      <dgm:prSe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dirty="0">
              <a:latin typeface="Arial" panose="020B0604020202020204" pitchFamily="34" charset="0"/>
              <a:cs typeface="Arial" panose="020B0604020202020204" pitchFamily="34" charset="0"/>
            </a:rPr>
            <a:t>Μεγάλη καταιγίδα</a:t>
          </a:r>
        </a:p>
      </dgm:t>
    </dgm:pt>
    <dgm:pt modelId="{190D65D1-0F99-4132-8615-1E436E6AB088}" type="parTrans" cxnId="{69ADBBC4-CD54-4709-A153-315D2F504D3C}">
      <dgm:prSet/>
      <dgm:spPr/>
      <dgm:t>
        <a:bodyPr/>
        <a:lstStyle/>
        <a:p>
          <a:pPr algn="ctr"/>
          <a:endParaRPr lang="en-IE"/>
        </a:p>
      </dgm:t>
    </dgm:pt>
    <dgm:pt modelId="{8FAF08E6-47EE-4010-A1DA-3C454EC4EE62}" type="sibTrans" cxnId="{69ADBBC4-CD54-4709-A153-315D2F504D3C}">
      <dgm:prSet/>
      <dgm:spPr/>
      <dgm:t>
        <a:bodyPr/>
        <a:lstStyle/>
        <a:p>
          <a:pPr algn="ctr"/>
          <a:endParaRPr lang="en-IE"/>
        </a:p>
      </dgm:t>
    </dgm:pt>
    <dgm:pt modelId="{37EF6B0D-DFC6-492D-A92D-9798CB511C3D}">
      <dgm:prSe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dirty="0">
              <a:latin typeface="Arial" panose="020B0604020202020204" pitchFamily="34" charset="0"/>
              <a:cs typeface="Arial" panose="020B0604020202020204" pitchFamily="34" charset="0"/>
            </a:rPr>
            <a:t>Τσουνάμι</a:t>
          </a:r>
        </a:p>
      </dgm:t>
    </dgm:pt>
    <dgm:pt modelId="{56213CA6-676D-4C85-91CB-8FFF46791EB1}" type="parTrans" cxnId="{D2EF0E35-5755-4603-873A-E53FE15725FB}">
      <dgm:prSet/>
      <dgm:spPr/>
      <dgm:t>
        <a:bodyPr/>
        <a:lstStyle/>
        <a:p>
          <a:pPr algn="ctr"/>
          <a:endParaRPr lang="en-IE"/>
        </a:p>
      </dgm:t>
    </dgm:pt>
    <dgm:pt modelId="{365FF167-E4C6-4CF0-8A4D-04BC8F228BD1}" type="sibTrans" cxnId="{D2EF0E35-5755-4603-873A-E53FE15725FB}">
      <dgm:prSet/>
      <dgm:spPr/>
      <dgm:t>
        <a:bodyPr/>
        <a:lstStyle/>
        <a:p>
          <a:pPr algn="ctr"/>
          <a:endParaRPr lang="en-IE"/>
        </a:p>
      </dgm:t>
    </dgm:pt>
    <dgm:pt modelId="{302C60FA-DF61-4F4F-97FB-782C7367F2E0}">
      <dgm:prSe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a:latin typeface="Arial" panose="020B0604020202020204" pitchFamily="34" charset="0"/>
              <a:cs typeface="Arial" panose="020B0604020202020204" pitchFamily="34" charset="0"/>
            </a:rPr>
            <a:t>Έκρηξη ηφαιστείου</a:t>
          </a:r>
        </a:p>
      </dgm:t>
    </dgm:pt>
    <dgm:pt modelId="{4E00C258-1C36-4156-AEE1-17DA573C7EF4}" type="parTrans" cxnId="{CD7EFF38-A5FB-4A60-8D49-D7BA360C77A0}">
      <dgm:prSet/>
      <dgm:spPr/>
      <dgm:t>
        <a:bodyPr/>
        <a:lstStyle/>
        <a:p>
          <a:pPr algn="ctr"/>
          <a:endParaRPr lang="en-IE"/>
        </a:p>
      </dgm:t>
    </dgm:pt>
    <dgm:pt modelId="{14C44B0C-43A6-46DC-90F0-B0C9C60129EB}" type="sibTrans" cxnId="{CD7EFF38-A5FB-4A60-8D49-D7BA360C77A0}">
      <dgm:prSet/>
      <dgm:spPr/>
      <dgm:t>
        <a:bodyPr/>
        <a:lstStyle/>
        <a:p>
          <a:pPr algn="ctr"/>
          <a:endParaRPr lang="en-IE"/>
        </a:p>
      </dgm:t>
    </dgm:pt>
    <dgm:pt modelId="{CD70264D-139B-4013-8EE9-D6DBFED89805}">
      <dgm:prSe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dirty="0">
              <a:latin typeface="Arial" panose="020B0604020202020204" pitchFamily="34" charset="0"/>
              <a:cs typeface="Arial" panose="020B0604020202020204" pitchFamily="34" charset="0"/>
            </a:rPr>
            <a:t>Διακοπή ρεύματος και διαταραχή του ενεργειακού εφοδιασμού</a:t>
          </a:r>
        </a:p>
      </dgm:t>
    </dgm:pt>
    <dgm:pt modelId="{589DA9A2-97EE-40D2-B264-C223F2EEA8BA}" type="parTrans" cxnId="{07085C93-9258-4AF0-A274-5CBC160C958A}">
      <dgm:prSet/>
      <dgm:spPr/>
      <dgm:t>
        <a:bodyPr/>
        <a:lstStyle/>
        <a:p>
          <a:pPr algn="ctr"/>
          <a:endParaRPr lang="en-IE"/>
        </a:p>
      </dgm:t>
    </dgm:pt>
    <dgm:pt modelId="{589B3547-9B00-457C-B4DC-0F1CB172944C}" type="sibTrans" cxnId="{07085C93-9258-4AF0-A274-5CBC160C958A}">
      <dgm:prSet/>
      <dgm:spPr/>
      <dgm:t>
        <a:bodyPr/>
        <a:lstStyle/>
        <a:p>
          <a:pPr algn="ctr"/>
          <a:endParaRPr lang="en-IE"/>
        </a:p>
      </dgm:t>
    </dgm:pt>
    <dgm:pt modelId="{9D3513C0-4A0F-4A7D-A79B-2F70C8E5621A}">
      <dgm:prSe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dirty="0">
              <a:latin typeface="Arial" panose="020B0604020202020204" pitchFamily="34" charset="0"/>
              <a:cs typeface="Arial" panose="020B0604020202020204" pitchFamily="34" charset="0"/>
            </a:rPr>
            <a:t>Επιπτώσεις ένοπλων συγκρούσεων</a:t>
          </a:r>
        </a:p>
      </dgm:t>
    </dgm:pt>
    <dgm:pt modelId="{6F36A296-7BFF-4689-9879-D8E4B4D7C3FB}" type="parTrans" cxnId="{79848B7F-F5E8-4FFF-9C47-74AAC8261DBA}">
      <dgm:prSet/>
      <dgm:spPr/>
      <dgm:t>
        <a:bodyPr/>
        <a:lstStyle/>
        <a:p>
          <a:pPr algn="ctr"/>
          <a:endParaRPr lang="en-IE"/>
        </a:p>
      </dgm:t>
    </dgm:pt>
    <dgm:pt modelId="{A1AF6CB6-2501-408A-86C2-8CF1A6FFE2C8}" type="sibTrans" cxnId="{79848B7F-F5E8-4FFF-9C47-74AAC8261DBA}">
      <dgm:prSet/>
      <dgm:spPr/>
      <dgm:t>
        <a:bodyPr/>
        <a:lstStyle/>
        <a:p>
          <a:pPr algn="ctr"/>
          <a:endParaRPr lang="en-IE"/>
        </a:p>
      </dgm:t>
    </dgm:pt>
    <dgm:pt modelId="{7FBCED3F-0BC3-4FAE-98FF-FBBAB49A8B4A}">
      <dgm:prSe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strike="noStrike" dirty="0">
              <a:latin typeface="Arial" panose="020B0604020202020204" pitchFamily="34" charset="0"/>
              <a:cs typeface="Arial" panose="020B0604020202020204" pitchFamily="34" charset="0"/>
            </a:rPr>
            <a:t>Επιπτώσεις συμβάντος κυβερνοασφάλειας</a:t>
          </a:r>
        </a:p>
      </dgm:t>
    </dgm:pt>
    <dgm:pt modelId="{19E5F637-899B-436B-9D62-D1FBBB738923}" type="parTrans" cxnId="{8DE7C01E-3606-460C-A10E-17263844FCE5}">
      <dgm:prSet/>
      <dgm:spPr/>
      <dgm:t>
        <a:bodyPr/>
        <a:lstStyle/>
        <a:p>
          <a:pPr algn="ctr"/>
          <a:endParaRPr lang="en-IE"/>
        </a:p>
      </dgm:t>
    </dgm:pt>
    <dgm:pt modelId="{6494464D-6370-4FB4-B446-41B4AA9112FC}" type="sibTrans" cxnId="{8DE7C01E-3606-460C-A10E-17263844FCE5}">
      <dgm:prSet/>
      <dgm:spPr/>
      <dgm:t>
        <a:bodyPr/>
        <a:lstStyle/>
        <a:p>
          <a:pPr algn="ctr"/>
          <a:endParaRPr lang="en-IE"/>
        </a:p>
      </dgm:t>
    </dgm:pt>
    <dgm:pt modelId="{66C50BBA-BEEA-47E7-BCCC-A0DAE974D30B}">
      <dgm:prSe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dirty="0">
              <a:latin typeface="Arial" panose="020B0604020202020204" pitchFamily="34" charset="0"/>
              <a:cs typeface="Arial" panose="020B0604020202020204" pitchFamily="34" charset="0"/>
            </a:rPr>
            <a:t>Επιπτώσεις τρομοκρατικής επίθεσης</a:t>
          </a:r>
        </a:p>
      </dgm:t>
    </dgm:pt>
    <dgm:pt modelId="{B931B335-5944-4A69-8998-ECA51819F002}" type="parTrans" cxnId="{CFFD7DE9-C4F2-4043-8514-99E2B83CA38E}">
      <dgm:prSet/>
      <dgm:spPr/>
      <dgm:t>
        <a:bodyPr/>
        <a:lstStyle/>
        <a:p>
          <a:pPr algn="ctr"/>
          <a:endParaRPr lang="en-IE"/>
        </a:p>
      </dgm:t>
    </dgm:pt>
    <dgm:pt modelId="{D96BDD4D-D4ED-4A92-9755-E0E7283AADA8}" type="sibTrans" cxnId="{CFFD7DE9-C4F2-4043-8514-99E2B83CA38E}">
      <dgm:prSet/>
      <dgm:spPr/>
      <dgm:t>
        <a:bodyPr/>
        <a:lstStyle/>
        <a:p>
          <a:pPr algn="ctr"/>
          <a:endParaRPr lang="en-IE"/>
        </a:p>
      </dgm:t>
    </dgm:pt>
    <dgm:pt modelId="{9F837F70-BCED-4D7B-BA17-061A239105A7}">
      <dgm:prSet>
        <dgm:style>
          <a:lnRef idx="0">
            <a:scrgbClr r="0" g="0" b="0"/>
          </a:lnRef>
          <a:fillRef idx="0">
            <a:scrgbClr r="0" g="0" b="0"/>
          </a:fillRef>
          <a:effectRef idx="0">
            <a:scrgbClr r="0" g="0" b="0"/>
          </a:effectRef>
          <a:fontRef idx="minor">
            <a:schemeClr val="lt1"/>
          </a:fontRef>
        </dgm:style>
      </dgm:prSet>
      <dgm:spPr>
        <a:solidFill>
          <a:schemeClr val="accent5"/>
        </a:solidFill>
        <a:ln>
          <a:noFill/>
        </a:ln>
      </dgm:spPr>
      <dgm:t>
        <a:bodyPr/>
        <a:lstStyle/>
        <a:p>
          <a:pPr algn="ctr"/>
          <a:r>
            <a:rPr lang="el-GR" b="0" dirty="0">
              <a:latin typeface="Arial" panose="020B0604020202020204" pitchFamily="34" charset="0"/>
              <a:cs typeface="Arial" panose="020B0604020202020204" pitchFamily="34" charset="0"/>
            </a:rPr>
            <a:t>Πυρηνικές καταστάσεις έκτακτης ανάγκης</a:t>
          </a:r>
        </a:p>
      </dgm:t>
    </dgm:pt>
    <dgm:pt modelId="{4284D240-312C-495C-AD8F-8CBA13C31633}" type="parTrans" cxnId="{7E94C648-94DB-4ADB-86AB-D90C58A05037}">
      <dgm:prSet/>
      <dgm:spPr/>
      <dgm:t>
        <a:bodyPr/>
        <a:lstStyle/>
        <a:p>
          <a:pPr algn="ctr"/>
          <a:endParaRPr lang="en-IE"/>
        </a:p>
      </dgm:t>
    </dgm:pt>
    <dgm:pt modelId="{D744AB27-97E2-4288-8B9B-8EDF44684FFB}" type="sibTrans" cxnId="{7E94C648-94DB-4ADB-86AB-D90C58A05037}">
      <dgm:prSet/>
      <dgm:spPr/>
      <dgm:t>
        <a:bodyPr/>
        <a:lstStyle/>
        <a:p>
          <a:pPr algn="ctr"/>
          <a:endParaRPr lang="en-IE"/>
        </a:p>
      </dgm:t>
    </dgm:pt>
    <dgm:pt modelId="{5025EFDA-89D7-4EBD-975E-CC5F30379F53}" type="pres">
      <dgm:prSet presAssocID="{463B7850-78C8-4870-9DEC-34E0E24D2C27}" presName="diagram" presStyleCnt="0">
        <dgm:presLayoutVars>
          <dgm:dir/>
          <dgm:resizeHandles val="exact"/>
        </dgm:presLayoutVars>
      </dgm:prSet>
      <dgm:spPr/>
      <dgm:t>
        <a:bodyPr/>
        <a:lstStyle/>
        <a:p>
          <a:endParaRPr lang="en-US"/>
        </a:p>
      </dgm:t>
    </dgm:pt>
    <dgm:pt modelId="{B583E01C-CB97-4041-9844-759E8AAE515A}" type="pres">
      <dgm:prSet presAssocID="{86114228-98CE-428B-87F1-F505F2377C68}" presName="node" presStyleLbl="node1" presStyleIdx="0" presStyleCnt="16">
        <dgm:presLayoutVars>
          <dgm:bulletEnabled val="1"/>
        </dgm:presLayoutVars>
      </dgm:prSet>
      <dgm:spPr/>
      <dgm:t>
        <a:bodyPr/>
        <a:lstStyle/>
        <a:p>
          <a:endParaRPr lang="en-US"/>
        </a:p>
      </dgm:t>
    </dgm:pt>
    <dgm:pt modelId="{C1724264-1916-458B-9895-C7FAB20F75B8}" type="pres">
      <dgm:prSet presAssocID="{8B1322A3-06BB-4CF9-B1A2-C4B165F3C699}" presName="sibTrans" presStyleCnt="0"/>
      <dgm:spPr/>
    </dgm:pt>
    <dgm:pt modelId="{4F54E382-8C32-4EA7-9E12-886A09AF1F0F}" type="pres">
      <dgm:prSet presAssocID="{B82C9839-3B04-4FA0-B1CA-FD8F8BC336A6}" presName="node" presStyleLbl="node1" presStyleIdx="1" presStyleCnt="16">
        <dgm:presLayoutVars>
          <dgm:bulletEnabled val="1"/>
        </dgm:presLayoutVars>
      </dgm:prSet>
      <dgm:spPr/>
      <dgm:t>
        <a:bodyPr/>
        <a:lstStyle/>
        <a:p>
          <a:endParaRPr lang="en-US"/>
        </a:p>
      </dgm:t>
    </dgm:pt>
    <dgm:pt modelId="{FCA12832-03E9-4C2B-9A56-0B835017D4C1}" type="pres">
      <dgm:prSet presAssocID="{DD60FDDC-287F-419A-AD76-59F2EC8D90C6}" presName="sibTrans" presStyleCnt="0"/>
      <dgm:spPr/>
    </dgm:pt>
    <dgm:pt modelId="{FCF4DC6A-58AA-477D-9FB7-0FB4F7D15C41}" type="pres">
      <dgm:prSet presAssocID="{2898B110-3862-4E9F-929D-089C4A66464A}" presName="node" presStyleLbl="node1" presStyleIdx="2" presStyleCnt="16">
        <dgm:presLayoutVars>
          <dgm:bulletEnabled val="1"/>
        </dgm:presLayoutVars>
      </dgm:prSet>
      <dgm:spPr/>
      <dgm:t>
        <a:bodyPr/>
        <a:lstStyle/>
        <a:p>
          <a:endParaRPr lang="en-US"/>
        </a:p>
      </dgm:t>
    </dgm:pt>
    <dgm:pt modelId="{8CA246DF-F0E7-4BE4-96FE-C4190585BAA0}" type="pres">
      <dgm:prSet presAssocID="{A27EA7F4-F693-4742-AD7E-EFF5C50E83EB}" presName="sibTrans" presStyleCnt="0"/>
      <dgm:spPr/>
    </dgm:pt>
    <dgm:pt modelId="{39945DF3-B140-4B17-8AD6-1DCA663D36EA}" type="pres">
      <dgm:prSet presAssocID="{24DD0ADD-08C6-40E3-A00B-8E4B3DEA0DEE}" presName="node" presStyleLbl="node1" presStyleIdx="3" presStyleCnt="16">
        <dgm:presLayoutVars>
          <dgm:bulletEnabled val="1"/>
        </dgm:presLayoutVars>
      </dgm:prSet>
      <dgm:spPr/>
      <dgm:t>
        <a:bodyPr/>
        <a:lstStyle/>
        <a:p>
          <a:endParaRPr lang="en-US"/>
        </a:p>
      </dgm:t>
    </dgm:pt>
    <dgm:pt modelId="{B84D132D-CBFB-4530-8E0F-C8FE3F22F98F}" type="pres">
      <dgm:prSet presAssocID="{8FAF08E6-47EE-4010-A1DA-3C454EC4EE62}" presName="sibTrans" presStyleCnt="0"/>
      <dgm:spPr/>
    </dgm:pt>
    <dgm:pt modelId="{0C13612B-A3AD-460B-A870-FFDD5087B24A}" type="pres">
      <dgm:prSet presAssocID="{7C4E4946-FFD1-4348-BA2C-0DF1ECF4D7B0}" presName="node" presStyleLbl="node1" presStyleIdx="4" presStyleCnt="16">
        <dgm:presLayoutVars>
          <dgm:bulletEnabled val="1"/>
        </dgm:presLayoutVars>
      </dgm:prSet>
      <dgm:spPr/>
      <dgm:t>
        <a:bodyPr/>
        <a:lstStyle/>
        <a:p>
          <a:endParaRPr lang="en-US"/>
        </a:p>
      </dgm:t>
    </dgm:pt>
    <dgm:pt modelId="{957EEB11-F1A3-4D4E-8510-E30CD7FA8CE8}" type="pres">
      <dgm:prSet presAssocID="{1DE31B98-07FA-43AD-B007-CB5F5E958F62}" presName="sibTrans" presStyleCnt="0"/>
      <dgm:spPr/>
    </dgm:pt>
    <dgm:pt modelId="{2426C2D9-1F8A-4B64-9BDA-69797CA0A4C9}" type="pres">
      <dgm:prSet presAssocID="{37EF6B0D-DFC6-492D-A92D-9798CB511C3D}" presName="node" presStyleLbl="node1" presStyleIdx="5" presStyleCnt="16">
        <dgm:presLayoutVars>
          <dgm:bulletEnabled val="1"/>
        </dgm:presLayoutVars>
      </dgm:prSet>
      <dgm:spPr/>
      <dgm:t>
        <a:bodyPr/>
        <a:lstStyle/>
        <a:p>
          <a:endParaRPr lang="en-US"/>
        </a:p>
      </dgm:t>
    </dgm:pt>
    <dgm:pt modelId="{DCA2BC5B-0962-461C-8856-F2C93B2BD157}" type="pres">
      <dgm:prSet presAssocID="{365FF167-E4C6-4CF0-8A4D-04BC8F228BD1}" presName="sibTrans" presStyleCnt="0"/>
      <dgm:spPr/>
    </dgm:pt>
    <dgm:pt modelId="{765FEDFA-0400-473C-8568-6D4BFB4560FE}" type="pres">
      <dgm:prSet presAssocID="{302C60FA-DF61-4F4F-97FB-782C7367F2E0}" presName="node" presStyleLbl="node1" presStyleIdx="6" presStyleCnt="16">
        <dgm:presLayoutVars>
          <dgm:bulletEnabled val="1"/>
        </dgm:presLayoutVars>
      </dgm:prSet>
      <dgm:spPr/>
      <dgm:t>
        <a:bodyPr/>
        <a:lstStyle/>
        <a:p>
          <a:endParaRPr lang="en-US"/>
        </a:p>
      </dgm:t>
    </dgm:pt>
    <dgm:pt modelId="{51842AC3-A5FB-4709-A779-A90F9E114C89}" type="pres">
      <dgm:prSet presAssocID="{14C44B0C-43A6-46DC-90F0-B0C9C60129EB}" presName="sibTrans" presStyleCnt="0"/>
      <dgm:spPr/>
    </dgm:pt>
    <dgm:pt modelId="{3D74CA40-10DE-4176-A63D-E4EF3ECB8DCB}" type="pres">
      <dgm:prSet presAssocID="{255861B3-6B11-4DCC-A424-F3C480A28A58}" presName="node" presStyleLbl="node1" presStyleIdx="7" presStyleCnt="16">
        <dgm:presLayoutVars>
          <dgm:bulletEnabled val="1"/>
        </dgm:presLayoutVars>
      </dgm:prSet>
      <dgm:spPr/>
      <dgm:t>
        <a:bodyPr/>
        <a:lstStyle/>
        <a:p>
          <a:endParaRPr lang="en-US"/>
        </a:p>
      </dgm:t>
    </dgm:pt>
    <dgm:pt modelId="{70662D10-2850-4242-8B72-DC63A8D885DF}" type="pres">
      <dgm:prSet presAssocID="{77C8CA39-EAC7-422B-88F0-A385C0D020B3}" presName="sibTrans" presStyleCnt="0"/>
      <dgm:spPr/>
    </dgm:pt>
    <dgm:pt modelId="{CD239E32-279E-4D4E-8635-51A7A4B4E6A5}" type="pres">
      <dgm:prSet presAssocID="{CD70264D-139B-4013-8EE9-D6DBFED89805}" presName="node" presStyleLbl="node1" presStyleIdx="8" presStyleCnt="16">
        <dgm:presLayoutVars>
          <dgm:bulletEnabled val="1"/>
        </dgm:presLayoutVars>
      </dgm:prSet>
      <dgm:spPr/>
      <dgm:t>
        <a:bodyPr/>
        <a:lstStyle/>
        <a:p>
          <a:endParaRPr lang="en-US"/>
        </a:p>
      </dgm:t>
    </dgm:pt>
    <dgm:pt modelId="{AA3872AB-ABA3-45B9-8E4C-CDAAF0B46141}" type="pres">
      <dgm:prSet presAssocID="{589B3547-9B00-457C-B4DC-0F1CB172944C}" presName="sibTrans" presStyleCnt="0"/>
      <dgm:spPr/>
    </dgm:pt>
    <dgm:pt modelId="{A95B9519-08A9-432B-B518-2B3FDA3D21D8}" type="pres">
      <dgm:prSet presAssocID="{9D3513C0-4A0F-4A7D-A79B-2F70C8E5621A}" presName="node" presStyleLbl="node1" presStyleIdx="9" presStyleCnt="16">
        <dgm:presLayoutVars>
          <dgm:bulletEnabled val="1"/>
        </dgm:presLayoutVars>
      </dgm:prSet>
      <dgm:spPr/>
      <dgm:t>
        <a:bodyPr/>
        <a:lstStyle/>
        <a:p>
          <a:endParaRPr lang="en-US"/>
        </a:p>
      </dgm:t>
    </dgm:pt>
    <dgm:pt modelId="{41F4369E-EBAD-45E3-A8FD-D33D3FB3564F}" type="pres">
      <dgm:prSet presAssocID="{A1AF6CB6-2501-408A-86C2-8CF1A6FFE2C8}" presName="sibTrans" presStyleCnt="0"/>
      <dgm:spPr/>
    </dgm:pt>
    <dgm:pt modelId="{5D5011CA-69B5-4270-B994-B291B6889E39}" type="pres">
      <dgm:prSet presAssocID="{7FBCED3F-0BC3-4FAE-98FF-FBBAB49A8B4A}" presName="node" presStyleLbl="node1" presStyleIdx="10" presStyleCnt="16">
        <dgm:presLayoutVars>
          <dgm:bulletEnabled val="1"/>
        </dgm:presLayoutVars>
      </dgm:prSet>
      <dgm:spPr/>
      <dgm:t>
        <a:bodyPr/>
        <a:lstStyle/>
        <a:p>
          <a:endParaRPr lang="en-US"/>
        </a:p>
      </dgm:t>
    </dgm:pt>
    <dgm:pt modelId="{6703B246-6027-449A-8658-8DBDB6B80281}" type="pres">
      <dgm:prSet presAssocID="{6494464D-6370-4FB4-B446-41B4AA9112FC}" presName="sibTrans" presStyleCnt="0"/>
      <dgm:spPr/>
    </dgm:pt>
    <dgm:pt modelId="{AB7B1877-CB90-42EC-B708-30C24AA8D3D0}" type="pres">
      <dgm:prSet presAssocID="{66C50BBA-BEEA-47E7-BCCC-A0DAE974D30B}" presName="node" presStyleLbl="node1" presStyleIdx="11" presStyleCnt="16">
        <dgm:presLayoutVars>
          <dgm:bulletEnabled val="1"/>
        </dgm:presLayoutVars>
      </dgm:prSet>
      <dgm:spPr/>
      <dgm:t>
        <a:bodyPr/>
        <a:lstStyle/>
        <a:p>
          <a:endParaRPr lang="en-US"/>
        </a:p>
      </dgm:t>
    </dgm:pt>
    <dgm:pt modelId="{D60F59FF-7593-4B69-9136-93C749124FB3}" type="pres">
      <dgm:prSet presAssocID="{D96BDD4D-D4ED-4A92-9755-E0E7283AADA8}" presName="sibTrans" presStyleCnt="0"/>
      <dgm:spPr/>
    </dgm:pt>
    <dgm:pt modelId="{7962747F-46F5-437D-849B-06347234FEE9}" type="pres">
      <dgm:prSet presAssocID="{ECBD4F64-6D63-415B-B0BD-B2BD835D87C7}" presName="node" presStyleLbl="node1" presStyleIdx="12" presStyleCnt="16">
        <dgm:presLayoutVars>
          <dgm:bulletEnabled val="1"/>
        </dgm:presLayoutVars>
      </dgm:prSet>
      <dgm:spPr/>
      <dgm:t>
        <a:bodyPr/>
        <a:lstStyle/>
        <a:p>
          <a:endParaRPr lang="en-US"/>
        </a:p>
      </dgm:t>
    </dgm:pt>
    <dgm:pt modelId="{6B728718-6D98-46C1-9D10-3B836A95AED4}" type="pres">
      <dgm:prSet presAssocID="{4A056E1C-5410-4CD4-A3E1-C5373CEB4B79}" presName="sibTrans" presStyleCnt="0"/>
      <dgm:spPr/>
    </dgm:pt>
    <dgm:pt modelId="{6906815E-4704-425F-AC52-8BB7BDB8D203}" type="pres">
      <dgm:prSet presAssocID="{4648BCBD-EC07-495A-B14E-6A92AE678508}" presName="node" presStyleLbl="node1" presStyleIdx="13" presStyleCnt="16">
        <dgm:presLayoutVars>
          <dgm:bulletEnabled val="1"/>
        </dgm:presLayoutVars>
      </dgm:prSet>
      <dgm:spPr/>
      <dgm:t>
        <a:bodyPr/>
        <a:lstStyle/>
        <a:p>
          <a:endParaRPr lang="en-US"/>
        </a:p>
      </dgm:t>
    </dgm:pt>
    <dgm:pt modelId="{82E30A0E-9C96-4D80-916E-AF5723EE8F4B}" type="pres">
      <dgm:prSet presAssocID="{380721F5-BCD6-48F6-8CFD-E6010238E1C4}" presName="sibTrans" presStyleCnt="0"/>
      <dgm:spPr/>
    </dgm:pt>
    <dgm:pt modelId="{DC3253FE-778F-40E0-8E8D-C3E28C80134E}" type="pres">
      <dgm:prSet presAssocID="{9F837F70-BCED-4D7B-BA17-061A239105A7}" presName="node" presStyleLbl="node1" presStyleIdx="14" presStyleCnt="16">
        <dgm:presLayoutVars>
          <dgm:bulletEnabled val="1"/>
        </dgm:presLayoutVars>
      </dgm:prSet>
      <dgm:spPr/>
      <dgm:t>
        <a:bodyPr/>
        <a:lstStyle/>
        <a:p>
          <a:endParaRPr lang="en-US"/>
        </a:p>
      </dgm:t>
    </dgm:pt>
    <dgm:pt modelId="{E68AFE66-025B-474B-8268-5032832F47AA}" type="pres">
      <dgm:prSet presAssocID="{D744AB27-97E2-4288-8B9B-8EDF44684FFB}" presName="sibTrans" presStyleCnt="0"/>
      <dgm:spPr/>
    </dgm:pt>
    <dgm:pt modelId="{A36ECBDD-FB4F-4F75-ABFE-78D91B41C41B}" type="pres">
      <dgm:prSet presAssocID="{8DF199F3-AA25-4F5D-951D-8BE3A5C8E5AD}" presName="node" presStyleLbl="node1" presStyleIdx="15" presStyleCnt="16">
        <dgm:presLayoutVars>
          <dgm:bulletEnabled val="1"/>
        </dgm:presLayoutVars>
      </dgm:prSet>
      <dgm:spPr/>
      <dgm:t>
        <a:bodyPr/>
        <a:lstStyle/>
        <a:p>
          <a:endParaRPr lang="en-US"/>
        </a:p>
      </dgm:t>
    </dgm:pt>
  </dgm:ptLst>
  <dgm:cxnLst>
    <dgm:cxn modelId="{CD7EFF38-A5FB-4A60-8D49-D7BA360C77A0}" srcId="{463B7850-78C8-4870-9DEC-34E0E24D2C27}" destId="{302C60FA-DF61-4F4F-97FB-782C7367F2E0}" srcOrd="6" destOrd="0" parTransId="{4E00C258-1C36-4156-AEE1-17DA573C7EF4}" sibTransId="{14C44B0C-43A6-46DC-90F0-B0C9C60129EB}"/>
    <dgm:cxn modelId="{074892CC-4EF7-478B-96A1-876A5AEAE6CF}" srcId="{463B7850-78C8-4870-9DEC-34E0E24D2C27}" destId="{ECBD4F64-6D63-415B-B0BD-B2BD835D87C7}" srcOrd="12" destOrd="0" parTransId="{9FED30B0-1A39-42FE-B78E-A6E86555D675}" sibTransId="{4A056E1C-5410-4CD4-A3E1-C5373CEB4B79}"/>
    <dgm:cxn modelId="{69ADBBC4-CD54-4709-A153-315D2F504D3C}" srcId="{463B7850-78C8-4870-9DEC-34E0E24D2C27}" destId="{24DD0ADD-08C6-40E3-A00B-8E4B3DEA0DEE}" srcOrd="3" destOrd="0" parTransId="{190D65D1-0F99-4132-8615-1E436E6AB088}" sibTransId="{8FAF08E6-47EE-4010-A1DA-3C454EC4EE62}"/>
    <dgm:cxn modelId="{35C43B38-8AC4-4E71-9807-B5EEBADCD907}" type="presOf" srcId="{86114228-98CE-428B-87F1-F505F2377C68}" destId="{B583E01C-CB97-4041-9844-759E8AAE515A}" srcOrd="0" destOrd="0" presId="urn:microsoft.com/office/officeart/2005/8/layout/default"/>
    <dgm:cxn modelId="{28E0B17E-94D4-4390-A1DB-BC6CBFE683E6}" type="presOf" srcId="{B82C9839-3B04-4FA0-B1CA-FD8F8BC336A6}" destId="{4F54E382-8C32-4EA7-9E12-886A09AF1F0F}" srcOrd="0" destOrd="0" presId="urn:microsoft.com/office/officeart/2005/8/layout/default"/>
    <dgm:cxn modelId="{7E94C648-94DB-4ADB-86AB-D90C58A05037}" srcId="{463B7850-78C8-4870-9DEC-34E0E24D2C27}" destId="{9F837F70-BCED-4D7B-BA17-061A239105A7}" srcOrd="14" destOrd="0" parTransId="{4284D240-312C-495C-AD8F-8CBA13C31633}" sibTransId="{D744AB27-97E2-4288-8B9B-8EDF44684FFB}"/>
    <dgm:cxn modelId="{AE78F1D2-471E-4622-A32E-5CCB58F45376}" srcId="{463B7850-78C8-4870-9DEC-34E0E24D2C27}" destId="{255861B3-6B11-4DCC-A424-F3C480A28A58}" srcOrd="7" destOrd="0" parTransId="{77A408C4-726E-4D6F-B67D-27B01AD895F8}" sibTransId="{77C8CA39-EAC7-422B-88F0-A385C0D020B3}"/>
    <dgm:cxn modelId="{34668DD5-B6FB-461A-8CFC-C59D8923D12C}" srcId="{463B7850-78C8-4870-9DEC-34E0E24D2C27}" destId="{4648BCBD-EC07-495A-B14E-6A92AE678508}" srcOrd="13" destOrd="0" parTransId="{E6EFA604-4BFD-4570-A8EE-D306889ADE52}" sibTransId="{380721F5-BCD6-48F6-8CFD-E6010238E1C4}"/>
    <dgm:cxn modelId="{2FF07D8E-734F-4DD5-B6ED-D6A9D4621041}" type="presOf" srcId="{9D3513C0-4A0F-4A7D-A79B-2F70C8E5621A}" destId="{A95B9519-08A9-432B-B518-2B3FDA3D21D8}" srcOrd="0" destOrd="0" presId="urn:microsoft.com/office/officeart/2005/8/layout/default"/>
    <dgm:cxn modelId="{16FE7722-5D4B-4FF2-96BA-2B9BA2B7173D}" type="presOf" srcId="{2898B110-3862-4E9F-929D-089C4A66464A}" destId="{FCF4DC6A-58AA-477D-9FB7-0FB4F7D15C41}" srcOrd="0" destOrd="0" presId="urn:microsoft.com/office/officeart/2005/8/layout/default"/>
    <dgm:cxn modelId="{A514BCC4-729B-4ECE-AB77-9FD02BB5C540}" type="presOf" srcId="{37EF6B0D-DFC6-492D-A92D-9798CB511C3D}" destId="{2426C2D9-1F8A-4B64-9BDA-69797CA0A4C9}" srcOrd="0" destOrd="0" presId="urn:microsoft.com/office/officeart/2005/8/layout/default"/>
    <dgm:cxn modelId="{2092BED2-9BD8-413B-B5A7-5541DC7FB4D6}" srcId="{463B7850-78C8-4870-9DEC-34E0E24D2C27}" destId="{B82C9839-3B04-4FA0-B1CA-FD8F8BC336A6}" srcOrd="1" destOrd="0" parTransId="{3A560437-4A2A-455E-88E9-C65AF1B6D983}" sibTransId="{DD60FDDC-287F-419A-AD76-59F2EC8D90C6}"/>
    <dgm:cxn modelId="{2B3448AC-9333-4833-AA51-2A7CC9AFB869}" type="presOf" srcId="{CD70264D-139B-4013-8EE9-D6DBFED89805}" destId="{CD239E32-279E-4D4E-8635-51A7A4B4E6A5}" srcOrd="0" destOrd="0" presId="urn:microsoft.com/office/officeart/2005/8/layout/default"/>
    <dgm:cxn modelId="{79848B7F-F5E8-4FFF-9C47-74AAC8261DBA}" srcId="{463B7850-78C8-4870-9DEC-34E0E24D2C27}" destId="{9D3513C0-4A0F-4A7D-A79B-2F70C8E5621A}" srcOrd="9" destOrd="0" parTransId="{6F36A296-7BFF-4689-9879-D8E4B4D7C3FB}" sibTransId="{A1AF6CB6-2501-408A-86C2-8CF1A6FFE2C8}"/>
    <dgm:cxn modelId="{C7B11F70-04CB-4AB5-A403-63F1A4448EEE}" srcId="{463B7850-78C8-4870-9DEC-34E0E24D2C27}" destId="{2898B110-3862-4E9F-929D-089C4A66464A}" srcOrd="2" destOrd="0" parTransId="{7FE37554-5845-4F50-8AE3-184DB83433DD}" sibTransId="{A27EA7F4-F693-4742-AD7E-EFF5C50E83EB}"/>
    <dgm:cxn modelId="{EBFD2AEC-BED1-4B17-AEA2-20A21A5FB8D0}" type="presOf" srcId="{7FBCED3F-0BC3-4FAE-98FF-FBBAB49A8B4A}" destId="{5D5011CA-69B5-4270-B994-B291B6889E39}" srcOrd="0" destOrd="0" presId="urn:microsoft.com/office/officeart/2005/8/layout/default"/>
    <dgm:cxn modelId="{5B7BCA29-5BCA-4994-A308-60D934BDC071}" type="presOf" srcId="{463B7850-78C8-4870-9DEC-34E0E24D2C27}" destId="{5025EFDA-89D7-4EBD-975E-CC5F30379F53}" srcOrd="0" destOrd="0" presId="urn:microsoft.com/office/officeart/2005/8/layout/default"/>
    <dgm:cxn modelId="{C35B4BCD-D3AA-4B84-83B8-E68D13270920}" srcId="{463B7850-78C8-4870-9DEC-34E0E24D2C27}" destId="{8DF199F3-AA25-4F5D-951D-8BE3A5C8E5AD}" srcOrd="15" destOrd="0" parTransId="{C0F04368-E054-4206-87BF-88227E8ACF9C}" sibTransId="{66C1EF89-5E47-4C97-86FA-2FE49BD30B9B}"/>
    <dgm:cxn modelId="{13A3A3ED-3C3D-47D4-9D97-64FFC1E83A65}" srcId="{463B7850-78C8-4870-9DEC-34E0E24D2C27}" destId="{86114228-98CE-428B-87F1-F505F2377C68}" srcOrd="0" destOrd="0" parTransId="{F9C108B9-52BF-4D76-90FE-41186A907428}" sibTransId="{8B1322A3-06BB-4CF9-B1A2-C4B165F3C699}"/>
    <dgm:cxn modelId="{82E17733-4CF5-45F3-A902-DFB47AB62BB6}" type="presOf" srcId="{302C60FA-DF61-4F4F-97FB-782C7367F2E0}" destId="{765FEDFA-0400-473C-8568-6D4BFB4560FE}" srcOrd="0" destOrd="0" presId="urn:microsoft.com/office/officeart/2005/8/layout/default"/>
    <dgm:cxn modelId="{5DCCA973-37D1-4A91-98A0-BF4D70B3B60F}" type="presOf" srcId="{7C4E4946-FFD1-4348-BA2C-0DF1ECF4D7B0}" destId="{0C13612B-A3AD-460B-A870-FFDD5087B24A}" srcOrd="0" destOrd="0" presId="urn:microsoft.com/office/officeart/2005/8/layout/default"/>
    <dgm:cxn modelId="{0A37F341-6A46-43B2-A651-A28114865C0D}" srcId="{463B7850-78C8-4870-9DEC-34E0E24D2C27}" destId="{7C4E4946-FFD1-4348-BA2C-0DF1ECF4D7B0}" srcOrd="4" destOrd="0" parTransId="{8890A975-FE8F-497F-9FD9-328866F65968}" sibTransId="{1DE31B98-07FA-43AD-B007-CB5F5E958F62}"/>
    <dgm:cxn modelId="{8DE7C01E-3606-460C-A10E-17263844FCE5}" srcId="{463B7850-78C8-4870-9DEC-34E0E24D2C27}" destId="{7FBCED3F-0BC3-4FAE-98FF-FBBAB49A8B4A}" srcOrd="10" destOrd="0" parTransId="{19E5F637-899B-436B-9D62-D1FBBB738923}" sibTransId="{6494464D-6370-4FB4-B446-41B4AA9112FC}"/>
    <dgm:cxn modelId="{BA5E53FA-00AF-4944-930F-4B20838C3E5D}" type="presOf" srcId="{66C50BBA-BEEA-47E7-BCCC-A0DAE974D30B}" destId="{AB7B1877-CB90-42EC-B708-30C24AA8D3D0}" srcOrd="0" destOrd="0" presId="urn:microsoft.com/office/officeart/2005/8/layout/default"/>
    <dgm:cxn modelId="{2BE8430E-DC66-4D6B-86BA-4CDDB356B7D0}" type="presOf" srcId="{ECBD4F64-6D63-415B-B0BD-B2BD835D87C7}" destId="{7962747F-46F5-437D-849B-06347234FEE9}" srcOrd="0" destOrd="0" presId="urn:microsoft.com/office/officeart/2005/8/layout/default"/>
    <dgm:cxn modelId="{B8AC7FE6-770D-4167-BD6D-272CEDA17DA2}" type="presOf" srcId="{9F837F70-BCED-4D7B-BA17-061A239105A7}" destId="{DC3253FE-778F-40E0-8E8D-C3E28C80134E}" srcOrd="0" destOrd="0" presId="urn:microsoft.com/office/officeart/2005/8/layout/default"/>
    <dgm:cxn modelId="{CFFD7DE9-C4F2-4043-8514-99E2B83CA38E}" srcId="{463B7850-78C8-4870-9DEC-34E0E24D2C27}" destId="{66C50BBA-BEEA-47E7-BCCC-A0DAE974D30B}" srcOrd="11" destOrd="0" parTransId="{B931B335-5944-4A69-8998-ECA51819F002}" sibTransId="{D96BDD4D-D4ED-4A92-9755-E0E7283AADA8}"/>
    <dgm:cxn modelId="{6BAA8412-9FEB-443D-AC23-35733C2708C5}" type="presOf" srcId="{4648BCBD-EC07-495A-B14E-6A92AE678508}" destId="{6906815E-4704-425F-AC52-8BB7BDB8D203}" srcOrd="0" destOrd="0" presId="urn:microsoft.com/office/officeart/2005/8/layout/default"/>
    <dgm:cxn modelId="{07085C93-9258-4AF0-A274-5CBC160C958A}" srcId="{463B7850-78C8-4870-9DEC-34E0E24D2C27}" destId="{CD70264D-139B-4013-8EE9-D6DBFED89805}" srcOrd="8" destOrd="0" parTransId="{589DA9A2-97EE-40D2-B264-C223F2EEA8BA}" sibTransId="{589B3547-9B00-457C-B4DC-0F1CB172944C}"/>
    <dgm:cxn modelId="{224FF1C7-44D1-4DE7-A9D1-5DFE3A82B43A}" type="presOf" srcId="{8DF199F3-AA25-4F5D-951D-8BE3A5C8E5AD}" destId="{A36ECBDD-FB4F-4F75-ABFE-78D91B41C41B}" srcOrd="0" destOrd="0" presId="urn:microsoft.com/office/officeart/2005/8/layout/default"/>
    <dgm:cxn modelId="{D2EF0E35-5755-4603-873A-E53FE15725FB}" srcId="{463B7850-78C8-4870-9DEC-34E0E24D2C27}" destId="{37EF6B0D-DFC6-492D-A92D-9798CB511C3D}" srcOrd="5" destOrd="0" parTransId="{56213CA6-676D-4C85-91CB-8FFF46791EB1}" sibTransId="{365FF167-E4C6-4CF0-8A4D-04BC8F228BD1}"/>
    <dgm:cxn modelId="{62D66FB7-6C52-4167-B369-C166F1388A69}" type="presOf" srcId="{24DD0ADD-08C6-40E3-A00B-8E4B3DEA0DEE}" destId="{39945DF3-B140-4B17-8AD6-1DCA663D36EA}" srcOrd="0" destOrd="0" presId="urn:microsoft.com/office/officeart/2005/8/layout/default"/>
    <dgm:cxn modelId="{AC2ED405-F849-49FD-8123-6CBD03F06D24}" type="presOf" srcId="{255861B3-6B11-4DCC-A424-F3C480A28A58}" destId="{3D74CA40-10DE-4176-A63D-E4EF3ECB8DCB}" srcOrd="0" destOrd="0" presId="urn:microsoft.com/office/officeart/2005/8/layout/default"/>
    <dgm:cxn modelId="{AE6C92CA-601C-4796-962E-951C0E24BE7D}" type="presParOf" srcId="{5025EFDA-89D7-4EBD-975E-CC5F30379F53}" destId="{B583E01C-CB97-4041-9844-759E8AAE515A}" srcOrd="0" destOrd="0" presId="urn:microsoft.com/office/officeart/2005/8/layout/default"/>
    <dgm:cxn modelId="{B6DCF219-1295-4484-B7D0-DB4BBCE7A0C8}" type="presParOf" srcId="{5025EFDA-89D7-4EBD-975E-CC5F30379F53}" destId="{C1724264-1916-458B-9895-C7FAB20F75B8}" srcOrd="1" destOrd="0" presId="urn:microsoft.com/office/officeart/2005/8/layout/default"/>
    <dgm:cxn modelId="{6E23A1DC-91C5-42E0-AC4A-B261EF5177FE}" type="presParOf" srcId="{5025EFDA-89D7-4EBD-975E-CC5F30379F53}" destId="{4F54E382-8C32-4EA7-9E12-886A09AF1F0F}" srcOrd="2" destOrd="0" presId="urn:microsoft.com/office/officeart/2005/8/layout/default"/>
    <dgm:cxn modelId="{E47E86CD-0BA8-4333-99E8-2C66DF5C5E48}" type="presParOf" srcId="{5025EFDA-89D7-4EBD-975E-CC5F30379F53}" destId="{FCA12832-03E9-4C2B-9A56-0B835017D4C1}" srcOrd="3" destOrd="0" presId="urn:microsoft.com/office/officeart/2005/8/layout/default"/>
    <dgm:cxn modelId="{81525041-BBB5-4B28-B296-7AC57A88583F}" type="presParOf" srcId="{5025EFDA-89D7-4EBD-975E-CC5F30379F53}" destId="{FCF4DC6A-58AA-477D-9FB7-0FB4F7D15C41}" srcOrd="4" destOrd="0" presId="urn:microsoft.com/office/officeart/2005/8/layout/default"/>
    <dgm:cxn modelId="{54824606-E870-4791-AF68-4267096B6DBF}" type="presParOf" srcId="{5025EFDA-89D7-4EBD-975E-CC5F30379F53}" destId="{8CA246DF-F0E7-4BE4-96FE-C4190585BAA0}" srcOrd="5" destOrd="0" presId="urn:microsoft.com/office/officeart/2005/8/layout/default"/>
    <dgm:cxn modelId="{1B44FD1B-82F7-4009-952D-2DB94A189C02}" type="presParOf" srcId="{5025EFDA-89D7-4EBD-975E-CC5F30379F53}" destId="{39945DF3-B140-4B17-8AD6-1DCA663D36EA}" srcOrd="6" destOrd="0" presId="urn:microsoft.com/office/officeart/2005/8/layout/default"/>
    <dgm:cxn modelId="{635F4456-D148-429D-8D15-0321D8EE2B2C}" type="presParOf" srcId="{5025EFDA-89D7-4EBD-975E-CC5F30379F53}" destId="{B84D132D-CBFB-4530-8E0F-C8FE3F22F98F}" srcOrd="7" destOrd="0" presId="urn:microsoft.com/office/officeart/2005/8/layout/default"/>
    <dgm:cxn modelId="{E620DC63-39A4-4EAA-86E2-26ECB3B6723A}" type="presParOf" srcId="{5025EFDA-89D7-4EBD-975E-CC5F30379F53}" destId="{0C13612B-A3AD-460B-A870-FFDD5087B24A}" srcOrd="8" destOrd="0" presId="urn:microsoft.com/office/officeart/2005/8/layout/default"/>
    <dgm:cxn modelId="{660318B7-4AC7-4F72-BEA3-BC0FB7FA6FE1}" type="presParOf" srcId="{5025EFDA-89D7-4EBD-975E-CC5F30379F53}" destId="{957EEB11-F1A3-4D4E-8510-E30CD7FA8CE8}" srcOrd="9" destOrd="0" presId="urn:microsoft.com/office/officeart/2005/8/layout/default"/>
    <dgm:cxn modelId="{3B4E1235-6AFF-4971-9376-C8C0D95EB6D6}" type="presParOf" srcId="{5025EFDA-89D7-4EBD-975E-CC5F30379F53}" destId="{2426C2D9-1F8A-4B64-9BDA-69797CA0A4C9}" srcOrd="10" destOrd="0" presId="urn:microsoft.com/office/officeart/2005/8/layout/default"/>
    <dgm:cxn modelId="{9F95AAE1-3F81-4340-9C74-C2E394D15D90}" type="presParOf" srcId="{5025EFDA-89D7-4EBD-975E-CC5F30379F53}" destId="{DCA2BC5B-0962-461C-8856-F2C93B2BD157}" srcOrd="11" destOrd="0" presId="urn:microsoft.com/office/officeart/2005/8/layout/default"/>
    <dgm:cxn modelId="{FA288D80-E383-460E-ACA5-E6AA9DAFA79A}" type="presParOf" srcId="{5025EFDA-89D7-4EBD-975E-CC5F30379F53}" destId="{765FEDFA-0400-473C-8568-6D4BFB4560FE}" srcOrd="12" destOrd="0" presId="urn:microsoft.com/office/officeart/2005/8/layout/default"/>
    <dgm:cxn modelId="{FD3E1745-7CB4-4FB3-9506-20BDC2524A43}" type="presParOf" srcId="{5025EFDA-89D7-4EBD-975E-CC5F30379F53}" destId="{51842AC3-A5FB-4709-A779-A90F9E114C89}" srcOrd="13" destOrd="0" presId="urn:microsoft.com/office/officeart/2005/8/layout/default"/>
    <dgm:cxn modelId="{3696E01F-FFF0-4FAF-BE66-15CA4E3C050B}" type="presParOf" srcId="{5025EFDA-89D7-4EBD-975E-CC5F30379F53}" destId="{3D74CA40-10DE-4176-A63D-E4EF3ECB8DCB}" srcOrd="14" destOrd="0" presId="urn:microsoft.com/office/officeart/2005/8/layout/default"/>
    <dgm:cxn modelId="{4BAB991E-B698-4B5B-85ED-4907CDBDC14C}" type="presParOf" srcId="{5025EFDA-89D7-4EBD-975E-CC5F30379F53}" destId="{70662D10-2850-4242-8B72-DC63A8D885DF}" srcOrd="15" destOrd="0" presId="urn:microsoft.com/office/officeart/2005/8/layout/default"/>
    <dgm:cxn modelId="{630CA970-A962-4C02-9D06-FBFDA31D4C9F}" type="presParOf" srcId="{5025EFDA-89D7-4EBD-975E-CC5F30379F53}" destId="{CD239E32-279E-4D4E-8635-51A7A4B4E6A5}" srcOrd="16" destOrd="0" presId="urn:microsoft.com/office/officeart/2005/8/layout/default"/>
    <dgm:cxn modelId="{13A2BE08-7FEE-4033-B58C-7C3F219B25AC}" type="presParOf" srcId="{5025EFDA-89D7-4EBD-975E-CC5F30379F53}" destId="{AA3872AB-ABA3-45B9-8E4C-CDAAF0B46141}" srcOrd="17" destOrd="0" presId="urn:microsoft.com/office/officeart/2005/8/layout/default"/>
    <dgm:cxn modelId="{D8677EED-B403-4FAD-BEF4-BFD84AB1E5AE}" type="presParOf" srcId="{5025EFDA-89D7-4EBD-975E-CC5F30379F53}" destId="{A95B9519-08A9-432B-B518-2B3FDA3D21D8}" srcOrd="18" destOrd="0" presId="urn:microsoft.com/office/officeart/2005/8/layout/default"/>
    <dgm:cxn modelId="{25526B7C-5412-44CD-A6FA-8E784C62CD38}" type="presParOf" srcId="{5025EFDA-89D7-4EBD-975E-CC5F30379F53}" destId="{41F4369E-EBAD-45E3-A8FD-D33D3FB3564F}" srcOrd="19" destOrd="0" presId="urn:microsoft.com/office/officeart/2005/8/layout/default"/>
    <dgm:cxn modelId="{27798E4E-3378-4A77-8E44-C2C45C3044CC}" type="presParOf" srcId="{5025EFDA-89D7-4EBD-975E-CC5F30379F53}" destId="{5D5011CA-69B5-4270-B994-B291B6889E39}" srcOrd="20" destOrd="0" presId="urn:microsoft.com/office/officeart/2005/8/layout/default"/>
    <dgm:cxn modelId="{DD7BB0BE-156A-4D7B-A7CB-6C3512D14533}" type="presParOf" srcId="{5025EFDA-89D7-4EBD-975E-CC5F30379F53}" destId="{6703B246-6027-449A-8658-8DBDB6B80281}" srcOrd="21" destOrd="0" presId="urn:microsoft.com/office/officeart/2005/8/layout/default"/>
    <dgm:cxn modelId="{C27C8572-8060-4E11-9E6F-09BD9C226693}" type="presParOf" srcId="{5025EFDA-89D7-4EBD-975E-CC5F30379F53}" destId="{AB7B1877-CB90-42EC-B708-30C24AA8D3D0}" srcOrd="22" destOrd="0" presId="urn:microsoft.com/office/officeart/2005/8/layout/default"/>
    <dgm:cxn modelId="{18624356-BD1F-4DA3-A4D2-9289A4EC98C0}" type="presParOf" srcId="{5025EFDA-89D7-4EBD-975E-CC5F30379F53}" destId="{D60F59FF-7593-4B69-9136-93C749124FB3}" srcOrd="23" destOrd="0" presId="urn:microsoft.com/office/officeart/2005/8/layout/default"/>
    <dgm:cxn modelId="{66C1408D-61A6-43B4-B392-223EFDFA0418}" type="presParOf" srcId="{5025EFDA-89D7-4EBD-975E-CC5F30379F53}" destId="{7962747F-46F5-437D-849B-06347234FEE9}" srcOrd="24" destOrd="0" presId="urn:microsoft.com/office/officeart/2005/8/layout/default"/>
    <dgm:cxn modelId="{05589F39-EB31-463A-8E61-AB56F9B4C45A}" type="presParOf" srcId="{5025EFDA-89D7-4EBD-975E-CC5F30379F53}" destId="{6B728718-6D98-46C1-9D10-3B836A95AED4}" srcOrd="25" destOrd="0" presId="urn:microsoft.com/office/officeart/2005/8/layout/default"/>
    <dgm:cxn modelId="{F98F65C1-643F-496D-89B3-ACCECE18FA9D}" type="presParOf" srcId="{5025EFDA-89D7-4EBD-975E-CC5F30379F53}" destId="{6906815E-4704-425F-AC52-8BB7BDB8D203}" srcOrd="26" destOrd="0" presId="urn:microsoft.com/office/officeart/2005/8/layout/default"/>
    <dgm:cxn modelId="{00B3FD15-13F7-4C72-9C23-7703379ADC0D}" type="presParOf" srcId="{5025EFDA-89D7-4EBD-975E-CC5F30379F53}" destId="{82E30A0E-9C96-4D80-916E-AF5723EE8F4B}" srcOrd="27" destOrd="0" presId="urn:microsoft.com/office/officeart/2005/8/layout/default"/>
    <dgm:cxn modelId="{4E40D02B-4E60-431F-B192-7F8B7D0B0225}" type="presParOf" srcId="{5025EFDA-89D7-4EBD-975E-CC5F30379F53}" destId="{DC3253FE-778F-40E0-8E8D-C3E28C80134E}" srcOrd="28" destOrd="0" presId="urn:microsoft.com/office/officeart/2005/8/layout/default"/>
    <dgm:cxn modelId="{71487339-4CD4-42D0-B6E2-CB49F9A99E2B}" type="presParOf" srcId="{5025EFDA-89D7-4EBD-975E-CC5F30379F53}" destId="{E68AFE66-025B-474B-8268-5032832F47AA}" srcOrd="29" destOrd="0" presId="urn:microsoft.com/office/officeart/2005/8/layout/default"/>
    <dgm:cxn modelId="{A46CE459-2D0E-43C4-8177-812F523991D3}" type="presParOf" srcId="{5025EFDA-89D7-4EBD-975E-CC5F30379F53}" destId="{A36ECBDD-FB4F-4F75-ABFE-78D91B41C41B}" srcOrd="30" destOrd="0" presId="urn:microsoft.com/office/officeart/2005/8/layout/default"/>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83E01C-CB97-4041-9844-759E8AAE515A}">
      <dsp:nvSpPr>
        <dsp:cNvPr id="0" name=""/>
        <dsp:cNvSpPr/>
      </dsp:nvSpPr>
      <dsp:spPr>
        <a:xfrm>
          <a:off x="13554" y="766"/>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kern="1200" dirty="0">
              <a:latin typeface="Arial" panose="020B0604020202020204" pitchFamily="34" charset="0"/>
              <a:cs typeface="Arial" panose="020B0604020202020204" pitchFamily="34" charset="0"/>
            </a:rPr>
            <a:t>Σεισμός</a:t>
          </a:r>
        </a:p>
      </dsp:txBody>
      <dsp:txXfrm>
        <a:off x="13554" y="766"/>
        <a:ext cx="1074160" cy="644496"/>
      </dsp:txXfrm>
    </dsp:sp>
    <dsp:sp modelId="{4F54E382-8C32-4EA7-9E12-886A09AF1F0F}">
      <dsp:nvSpPr>
        <dsp:cNvPr id="0" name=""/>
        <dsp:cNvSpPr/>
      </dsp:nvSpPr>
      <dsp:spPr>
        <a:xfrm>
          <a:off x="1195130" y="766"/>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kern="1200">
              <a:latin typeface="Arial" panose="020B0604020202020204" pitchFamily="34" charset="0"/>
              <a:cs typeface="Arial" panose="020B0604020202020204" pitchFamily="34" charset="0"/>
            </a:rPr>
            <a:t>Πλημμύρες</a:t>
          </a:r>
        </a:p>
      </dsp:txBody>
      <dsp:txXfrm>
        <a:off x="1195130" y="766"/>
        <a:ext cx="1074160" cy="644496"/>
      </dsp:txXfrm>
    </dsp:sp>
    <dsp:sp modelId="{FCF4DC6A-58AA-477D-9FB7-0FB4F7D15C41}">
      <dsp:nvSpPr>
        <dsp:cNvPr id="0" name=""/>
        <dsp:cNvSpPr/>
      </dsp:nvSpPr>
      <dsp:spPr>
        <a:xfrm>
          <a:off x="2376707" y="766"/>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kern="1200" dirty="0">
              <a:latin typeface="Arial" panose="020B0604020202020204" pitchFamily="34" charset="0"/>
              <a:cs typeface="Arial" panose="020B0604020202020204" pitchFamily="34" charset="0"/>
            </a:rPr>
            <a:t>Κύμα καύσωνα / κύμα ψύχους</a:t>
          </a:r>
        </a:p>
      </dsp:txBody>
      <dsp:txXfrm>
        <a:off x="2376707" y="766"/>
        <a:ext cx="1074160" cy="644496"/>
      </dsp:txXfrm>
    </dsp:sp>
    <dsp:sp modelId="{39945DF3-B140-4B17-8AD6-1DCA663D36EA}">
      <dsp:nvSpPr>
        <dsp:cNvPr id="0" name=""/>
        <dsp:cNvSpPr/>
      </dsp:nvSpPr>
      <dsp:spPr>
        <a:xfrm>
          <a:off x="3558283" y="766"/>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kern="1200" dirty="0">
              <a:latin typeface="Arial" panose="020B0604020202020204" pitchFamily="34" charset="0"/>
              <a:cs typeface="Arial" panose="020B0604020202020204" pitchFamily="34" charset="0"/>
            </a:rPr>
            <a:t>Μεγάλη καταιγίδα</a:t>
          </a:r>
        </a:p>
      </dsp:txBody>
      <dsp:txXfrm>
        <a:off x="3558283" y="766"/>
        <a:ext cx="1074160" cy="644496"/>
      </dsp:txXfrm>
    </dsp:sp>
    <dsp:sp modelId="{0C13612B-A3AD-460B-A870-FFDD5087B24A}">
      <dsp:nvSpPr>
        <dsp:cNvPr id="0" name=""/>
        <dsp:cNvSpPr/>
      </dsp:nvSpPr>
      <dsp:spPr>
        <a:xfrm>
          <a:off x="13554" y="752678"/>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kern="1200">
              <a:latin typeface="Arial" panose="020B0604020202020204" pitchFamily="34" charset="0"/>
              <a:cs typeface="Arial" panose="020B0604020202020204" pitchFamily="34" charset="0"/>
            </a:rPr>
            <a:t>Απειλές κατά της υγείας, συμπεριλαμβανομένων των πανδημιών</a:t>
          </a:r>
        </a:p>
      </dsp:txBody>
      <dsp:txXfrm>
        <a:off x="13554" y="752678"/>
        <a:ext cx="1074160" cy="644496"/>
      </dsp:txXfrm>
    </dsp:sp>
    <dsp:sp modelId="{2426C2D9-1F8A-4B64-9BDA-69797CA0A4C9}">
      <dsp:nvSpPr>
        <dsp:cNvPr id="0" name=""/>
        <dsp:cNvSpPr/>
      </dsp:nvSpPr>
      <dsp:spPr>
        <a:xfrm>
          <a:off x="1195130" y="752678"/>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kern="1200" dirty="0">
              <a:latin typeface="Arial" panose="020B0604020202020204" pitchFamily="34" charset="0"/>
              <a:cs typeface="Arial" panose="020B0604020202020204" pitchFamily="34" charset="0"/>
            </a:rPr>
            <a:t>Τσουνάμι</a:t>
          </a:r>
        </a:p>
      </dsp:txBody>
      <dsp:txXfrm>
        <a:off x="1195130" y="752678"/>
        <a:ext cx="1074160" cy="644496"/>
      </dsp:txXfrm>
    </dsp:sp>
    <dsp:sp modelId="{765FEDFA-0400-473C-8568-6D4BFB4560FE}">
      <dsp:nvSpPr>
        <dsp:cNvPr id="0" name=""/>
        <dsp:cNvSpPr/>
      </dsp:nvSpPr>
      <dsp:spPr>
        <a:xfrm>
          <a:off x="2376707" y="752678"/>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kern="1200">
              <a:latin typeface="Arial" panose="020B0604020202020204" pitchFamily="34" charset="0"/>
              <a:cs typeface="Arial" panose="020B0604020202020204" pitchFamily="34" charset="0"/>
            </a:rPr>
            <a:t>Έκρηξη ηφαιστείου</a:t>
          </a:r>
        </a:p>
      </dsp:txBody>
      <dsp:txXfrm>
        <a:off x="2376707" y="752678"/>
        <a:ext cx="1074160" cy="644496"/>
      </dsp:txXfrm>
    </dsp:sp>
    <dsp:sp modelId="{3D74CA40-10DE-4176-A63D-E4EF3ECB8DCB}">
      <dsp:nvSpPr>
        <dsp:cNvPr id="0" name=""/>
        <dsp:cNvSpPr/>
      </dsp:nvSpPr>
      <dsp:spPr>
        <a:xfrm>
          <a:off x="3558283" y="752678"/>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kern="1200" dirty="0">
              <a:latin typeface="Arial" panose="020B0604020202020204" pitchFamily="34" charset="0"/>
              <a:cs typeface="Arial" panose="020B0604020202020204" pitchFamily="34" charset="0"/>
            </a:rPr>
            <a:t>Δασική πυρκαγιά</a:t>
          </a:r>
        </a:p>
      </dsp:txBody>
      <dsp:txXfrm>
        <a:off x="3558283" y="752678"/>
        <a:ext cx="1074160" cy="644496"/>
      </dsp:txXfrm>
    </dsp:sp>
    <dsp:sp modelId="{CD239E32-279E-4D4E-8635-51A7A4B4E6A5}">
      <dsp:nvSpPr>
        <dsp:cNvPr id="0" name=""/>
        <dsp:cNvSpPr/>
      </dsp:nvSpPr>
      <dsp:spPr>
        <a:xfrm>
          <a:off x="13554" y="1504591"/>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kern="1200" dirty="0">
              <a:latin typeface="Arial" panose="020B0604020202020204" pitchFamily="34" charset="0"/>
              <a:cs typeface="Arial" panose="020B0604020202020204" pitchFamily="34" charset="0"/>
            </a:rPr>
            <a:t>Διακοπή ρεύματος και διαταραχή του ενεργειακού εφοδιασμού</a:t>
          </a:r>
        </a:p>
      </dsp:txBody>
      <dsp:txXfrm>
        <a:off x="13554" y="1504591"/>
        <a:ext cx="1074160" cy="644496"/>
      </dsp:txXfrm>
    </dsp:sp>
    <dsp:sp modelId="{A95B9519-08A9-432B-B518-2B3FDA3D21D8}">
      <dsp:nvSpPr>
        <dsp:cNvPr id="0" name=""/>
        <dsp:cNvSpPr/>
      </dsp:nvSpPr>
      <dsp:spPr>
        <a:xfrm>
          <a:off x="1195130" y="1504591"/>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kern="1200" dirty="0">
              <a:latin typeface="Arial" panose="020B0604020202020204" pitchFamily="34" charset="0"/>
              <a:cs typeface="Arial" panose="020B0604020202020204" pitchFamily="34" charset="0"/>
            </a:rPr>
            <a:t>Επιπτώσεις ένοπλων συγκρούσεων</a:t>
          </a:r>
        </a:p>
      </dsp:txBody>
      <dsp:txXfrm>
        <a:off x="1195130" y="1504591"/>
        <a:ext cx="1074160" cy="644496"/>
      </dsp:txXfrm>
    </dsp:sp>
    <dsp:sp modelId="{5D5011CA-69B5-4270-B994-B291B6889E39}">
      <dsp:nvSpPr>
        <dsp:cNvPr id="0" name=""/>
        <dsp:cNvSpPr/>
      </dsp:nvSpPr>
      <dsp:spPr>
        <a:xfrm>
          <a:off x="2376707" y="1504591"/>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strike="noStrike" kern="1200" dirty="0">
              <a:latin typeface="Arial" panose="020B0604020202020204" pitchFamily="34" charset="0"/>
              <a:cs typeface="Arial" panose="020B0604020202020204" pitchFamily="34" charset="0"/>
            </a:rPr>
            <a:t>Επιπτώσεις συμβάντος κυβερνοασφάλειας</a:t>
          </a:r>
        </a:p>
      </dsp:txBody>
      <dsp:txXfrm>
        <a:off x="2376707" y="1504591"/>
        <a:ext cx="1074160" cy="644496"/>
      </dsp:txXfrm>
    </dsp:sp>
    <dsp:sp modelId="{AB7B1877-CB90-42EC-B708-30C24AA8D3D0}">
      <dsp:nvSpPr>
        <dsp:cNvPr id="0" name=""/>
        <dsp:cNvSpPr/>
      </dsp:nvSpPr>
      <dsp:spPr>
        <a:xfrm>
          <a:off x="3558283" y="1504591"/>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kern="1200" dirty="0">
              <a:latin typeface="Arial" panose="020B0604020202020204" pitchFamily="34" charset="0"/>
              <a:cs typeface="Arial" panose="020B0604020202020204" pitchFamily="34" charset="0"/>
            </a:rPr>
            <a:t>Επιπτώσεις τρομοκρατικής επίθεσης</a:t>
          </a:r>
        </a:p>
      </dsp:txBody>
      <dsp:txXfrm>
        <a:off x="3558283" y="1504591"/>
        <a:ext cx="1074160" cy="644496"/>
      </dsp:txXfrm>
    </dsp:sp>
    <dsp:sp modelId="{7962747F-46F5-437D-849B-06347234FEE9}">
      <dsp:nvSpPr>
        <dsp:cNvPr id="0" name=""/>
        <dsp:cNvSpPr/>
      </dsp:nvSpPr>
      <dsp:spPr>
        <a:xfrm>
          <a:off x="13554" y="2256503"/>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kern="1200" dirty="0">
              <a:latin typeface="Arial" panose="020B0604020202020204" pitchFamily="34" charset="0"/>
              <a:cs typeface="Arial" panose="020B0604020202020204" pitchFamily="34" charset="0"/>
            </a:rPr>
            <a:t>Καταστάσεις έκτακτης ανάγκης στον τομέα της βιομηχανίας</a:t>
          </a:r>
        </a:p>
      </dsp:txBody>
      <dsp:txXfrm>
        <a:off x="13554" y="2256503"/>
        <a:ext cx="1074160" cy="644496"/>
      </dsp:txXfrm>
    </dsp:sp>
    <dsp:sp modelId="{6906815E-4704-425F-AC52-8BB7BDB8D203}">
      <dsp:nvSpPr>
        <dsp:cNvPr id="0" name=""/>
        <dsp:cNvSpPr/>
      </dsp:nvSpPr>
      <dsp:spPr>
        <a:xfrm>
          <a:off x="1195130" y="2256503"/>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kern="1200" dirty="0">
              <a:latin typeface="Arial" panose="020B0604020202020204" pitchFamily="34" charset="0"/>
              <a:cs typeface="Arial" panose="020B0604020202020204" pitchFamily="34" charset="0"/>
            </a:rPr>
            <a:t>Θαλάσσια ρύπανση</a:t>
          </a:r>
        </a:p>
      </dsp:txBody>
      <dsp:txXfrm>
        <a:off x="1195130" y="2256503"/>
        <a:ext cx="1074160" cy="644496"/>
      </dsp:txXfrm>
    </dsp:sp>
    <dsp:sp modelId="{DC3253FE-778F-40E0-8E8D-C3E28C80134E}">
      <dsp:nvSpPr>
        <dsp:cNvPr id="0" name=""/>
        <dsp:cNvSpPr/>
      </dsp:nvSpPr>
      <dsp:spPr>
        <a:xfrm>
          <a:off x="2376707" y="2256503"/>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kern="1200" dirty="0">
              <a:latin typeface="Arial" panose="020B0604020202020204" pitchFamily="34" charset="0"/>
              <a:cs typeface="Arial" panose="020B0604020202020204" pitchFamily="34" charset="0"/>
            </a:rPr>
            <a:t>Πυρηνικές καταστάσεις έκτακτης ανάγκης</a:t>
          </a:r>
        </a:p>
      </dsp:txBody>
      <dsp:txXfrm>
        <a:off x="2376707" y="2256503"/>
        <a:ext cx="1074160" cy="644496"/>
      </dsp:txXfrm>
    </dsp:sp>
    <dsp:sp modelId="{A36ECBDD-FB4F-4F75-ABFE-78D91B41C41B}">
      <dsp:nvSpPr>
        <dsp:cNvPr id="0" name=""/>
        <dsp:cNvSpPr/>
      </dsp:nvSpPr>
      <dsp:spPr>
        <a:xfrm>
          <a:off x="3558283" y="2256503"/>
          <a:ext cx="1074160" cy="644496"/>
        </a:xfrm>
        <a:prstGeom prst="rect">
          <a:avLst/>
        </a:prstGeom>
        <a:solidFill>
          <a:schemeClr val="accent5"/>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l-GR" sz="700" b="0" strike="noStrike" kern="1200" dirty="0">
              <a:effectLst/>
              <a:latin typeface="Arial" panose="020B0604020202020204" pitchFamily="34" charset="0"/>
              <a:cs typeface="Arial" panose="020B0604020202020204" pitchFamily="34" charset="0"/>
            </a:rPr>
            <a:t>Εκτοπισμός πληθυσμών σε καταστάσεις έκτακτης ανάγκης</a:t>
          </a:r>
        </a:p>
      </dsp:txBody>
      <dsp:txXfrm>
        <a:off x="3558283" y="2256503"/>
        <a:ext cx="1074160" cy="64449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105A148D-279B-40DD-8EF7-A7B12D2283F4}">
    <t:Anchor>
      <t:Comment id="72389689"/>
    </t:Anchor>
    <t:History>
      <t:Event id="{4353B935-36AA-410A-95A9-12BC0CF598AF}" time="2022-11-30T11:16:45.658Z">
        <t:Attribution userId="S::olaf-gamal.deussen@ec.europa.eu::57a2ee24-0f7c-4763-b3cc-c23a16ceb15f" userProvider="AD" userName="DEUSSEN Olaf Gamal (CAB-LENARCIC)"/>
        <t:Anchor>
          <t:Comment id="72389689"/>
        </t:Anchor>
        <t:Create/>
      </t:Event>
      <t:Event id="{0B071729-BFB6-46D5-AC35-63DF5009BED3}" time="2022-11-30T11:16:45.658Z">
        <t:Attribution userId="S::olaf-gamal.deussen@ec.europa.eu::57a2ee24-0f7c-4763-b3cc-c23a16ceb15f" userProvider="AD" userName="DEUSSEN Olaf Gamal (CAB-LENARCIC)"/>
        <t:Anchor>
          <t:Comment id="72389689"/>
        </t:Anchor>
        <t:Assign userId="S::Irena.CACIC@ec.europa.eu::bd4cdf94-f8b1-4ef6-b34f-99d42c2fed2d" userProvider="AD" userName="CACIC Irena (CAB-LENARCIC)"/>
      </t:Event>
      <t:Event id="{145E78E1-4A5C-4D76-A003-181C1BE834F2}" time="2022-11-30T11:16:45.658Z">
        <t:Attribution userId="S::olaf-gamal.deussen@ec.europa.eu::57a2ee24-0f7c-4763-b3cc-c23a16ceb15f" userProvider="AD" userName="DEUSSEN Olaf Gamal (CAB-LENARCIC)"/>
        <t:Anchor>
          <t:Comment id="72389689"/>
        </t:Anchor>
        <t:SetTitle title="@CACIC Irena (CAB-LENARCIC) can you please check the link and see where the 1 to 131 Euro reference is mentioned. At a first glimpse I could not find it on the mentioned website. Thanks."/>
      </t:Event>
    </t:History>
  </t:Task>
  <t:Task id="{0D0E62E3-059B-4107-9797-6915CD6FF7B9}">
    <t:Anchor>
      <t:Comment id="227328943"/>
    </t:Anchor>
    <t:History>
      <t:Event id="{53A50BC1-407C-4685-B997-3E1B698F07CF}" time="2022-12-13T10:31:45.629Z">
        <t:Attribution userId="S::olaf-gamal.deussen@ec.europa.eu::57a2ee24-0f7c-4763-b3cc-c23a16ceb15f" userProvider="AD" userName="DEUSSEN Olaf Gamal (CAB-LENARCIC)"/>
        <t:Anchor>
          <t:Comment id="1629012797"/>
        </t:Anchor>
        <t:Create/>
      </t:Event>
      <t:Event id="{244B33D9-8D93-46E9-9375-CF6358D9D430}" time="2022-12-13T10:31:45.629Z">
        <t:Attribution userId="S::olaf-gamal.deussen@ec.europa.eu::57a2ee24-0f7c-4763-b3cc-c23a16ceb15f" userProvider="AD" userName="DEUSSEN Olaf Gamal (CAB-LENARCIC)"/>
        <t:Anchor>
          <t:Comment id="1629012797"/>
        </t:Anchor>
        <t:Assign userId="S::Irena.CACIC@ec.europa.eu::bd4cdf94-f8b1-4ef6-b34f-99d42c2fed2d" userProvider="AD" userName="CACIC Irena (CAB-LENARCIC)"/>
      </t:Event>
      <t:Event id="{7F9B16F9-3AEE-4DB8-9EA5-D2ECFAC15CDC}" time="2022-12-13T10:31:45.629Z">
        <t:Attribution userId="S::olaf-gamal.deussen@ec.europa.eu::57a2ee24-0f7c-4763-b3cc-c23a16ceb15f" userProvider="AD" userName="DEUSSEN Olaf Gamal (CAB-LENARCIC)"/>
        <t:Anchor>
          <t:Comment id="1629012797"/>
        </t:Anchor>
        <t:SetTitle title="@CACIC Irena (CAB-LENARCIC) I do not fully understand your comment. Maybe you can move the part where you see it best fit. I agree that speaking at the beginning and end of this box about a &quot;pilot&quot; and a &quot;first pilot&quot; could confuse reade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3" ma:contentTypeDescription="Create a new document." ma:contentTypeScope="" ma:versionID="1a9fbbc6926416b171178d856d085340">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828241e07f43b02782f0cc33abe39d98"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mme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2" nillable="true" ma:displayName="Comments" ma:format="Dropdown" ma:internalName="Comment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1857528-a8b1-48be-a365-521a2a0960f3}"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a5835c61-ca2e-49ee-8dca-a76e9f0344a3" xsi:nil="true"/>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3A5FD-4327-4022-8167-93DD785B0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CAF8D-FA04-4FE1-9FE6-2DA7B0865F3F}">
  <ds:schemaRefs>
    <ds:schemaRef ds:uri="http://schemas.microsoft.com/sharepoint/v3/contenttype/forms"/>
  </ds:schemaRefs>
</ds:datastoreItem>
</file>

<file path=customXml/itemProps3.xml><?xml version="1.0" encoding="utf-8"?>
<ds:datastoreItem xmlns:ds="http://schemas.openxmlformats.org/officeDocument/2006/customXml" ds:itemID="{08EFE097-BAFC-45DB-8385-AE166826DA2C}">
  <ds:schemaRefs>
    <ds:schemaRef ds:uri="http://purl.org/dc/terms/"/>
    <ds:schemaRef ds:uri="http://schemas.openxmlformats.org/package/2006/metadata/core-properties"/>
    <ds:schemaRef ds:uri="ba7bd860-1739-4001-af8a-147771a6eb05"/>
    <ds:schemaRef ds:uri="http://schemas.microsoft.com/office/2006/documentManagement/types"/>
    <ds:schemaRef ds:uri="http://schemas.microsoft.com/office/infopath/2007/PartnerControls"/>
    <ds:schemaRef ds:uri="http://purl.org/dc/elements/1.1/"/>
    <ds:schemaRef ds:uri="http://schemas.microsoft.com/office/2006/metadata/properties"/>
    <ds:schemaRef ds:uri="a5835c61-ca2e-49ee-8dca-a76e9f0344a3"/>
    <ds:schemaRef ds:uri="http://www.w3.org/XML/1998/namespace"/>
    <ds:schemaRef ds:uri="http://purl.org/dc/dcmitype/"/>
  </ds:schemaRefs>
</ds:datastoreItem>
</file>

<file path=customXml/itemProps4.xml><?xml version="1.0" encoding="utf-8"?>
<ds:datastoreItem xmlns:ds="http://schemas.openxmlformats.org/officeDocument/2006/customXml" ds:itemID="{D2F0DADB-5392-47A7-BF31-9DC45643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5476</Words>
  <Characters>33463</Characters>
  <Application>Microsoft Office Word</Application>
  <DocSecurity>0</DocSecurity>
  <Lines>608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38853</CharactersWithSpaces>
  <SharedDoc>false</SharedDoc>
  <HLinks>
    <vt:vector size="90" baseType="variant">
      <vt:variant>
        <vt:i4>1376275</vt:i4>
      </vt:variant>
      <vt:variant>
        <vt:i4>45</vt:i4>
      </vt:variant>
      <vt:variant>
        <vt:i4>0</vt:i4>
      </vt:variant>
      <vt:variant>
        <vt:i4>5</vt:i4>
      </vt:variant>
      <vt:variant>
        <vt:lpwstr>https://civil-protection-knowledge-network.europa.eu/</vt:lpwstr>
      </vt:variant>
      <vt:variant>
        <vt:lpwstr/>
      </vt:variant>
      <vt:variant>
        <vt:i4>1900635</vt:i4>
      </vt:variant>
      <vt:variant>
        <vt:i4>42</vt:i4>
      </vt:variant>
      <vt:variant>
        <vt:i4>0</vt:i4>
      </vt:variant>
      <vt:variant>
        <vt:i4>5</vt:i4>
      </vt:variant>
      <vt:variant>
        <vt:lpwstr>https://climate-adapt.eea.europa.eu/en/eu-adaptation-policy/key-eu-actions/climate_risk_assessment</vt:lpwstr>
      </vt:variant>
      <vt:variant>
        <vt:lpwstr/>
      </vt:variant>
      <vt:variant>
        <vt:i4>1966153</vt:i4>
      </vt:variant>
      <vt:variant>
        <vt:i4>39</vt:i4>
      </vt:variant>
      <vt:variant>
        <vt:i4>0</vt:i4>
      </vt:variant>
      <vt:variant>
        <vt:i4>5</vt:i4>
      </vt:variant>
      <vt:variant>
        <vt:lpwstr>https://www.nato.int/docu/review/articles/2019/02/27/resilience-the-first-line-of-defence/index.html</vt:lpwstr>
      </vt:variant>
      <vt:variant>
        <vt:lpwstr/>
      </vt:variant>
      <vt:variant>
        <vt:i4>7667829</vt:i4>
      </vt:variant>
      <vt:variant>
        <vt:i4>36</vt:i4>
      </vt:variant>
      <vt:variant>
        <vt:i4>0</vt:i4>
      </vt:variant>
      <vt:variant>
        <vt:i4>5</vt:i4>
      </vt:variant>
      <vt:variant>
        <vt:lpwstr>https://ec.europa.eu/commission/presscorner/detail/en/speech_22_5493</vt:lpwstr>
      </vt:variant>
      <vt:variant>
        <vt:lpwstr/>
      </vt:variant>
      <vt:variant>
        <vt:i4>1638512</vt:i4>
      </vt:variant>
      <vt:variant>
        <vt:i4>33</vt:i4>
      </vt:variant>
      <vt:variant>
        <vt:i4>0</vt:i4>
      </vt:variant>
      <vt:variant>
        <vt:i4>5</vt:i4>
      </vt:variant>
      <vt:variant>
        <vt:lpwstr>https://civil-protection-humanitarian-aid.ec.europa.eu/what/civil-protection/early-warning-and-information-systems_en</vt:lpwstr>
      </vt:variant>
      <vt:variant>
        <vt:lpwstr/>
      </vt:variant>
      <vt:variant>
        <vt:i4>2228323</vt:i4>
      </vt:variant>
      <vt:variant>
        <vt:i4>30</vt:i4>
      </vt:variant>
      <vt:variant>
        <vt:i4>0</vt:i4>
      </vt:variant>
      <vt:variant>
        <vt:i4>5</vt:i4>
      </vt:variant>
      <vt:variant>
        <vt:lpwstr>https://europa.eu/eurobarometer/surveys/detail/2264</vt:lpwstr>
      </vt:variant>
      <vt:variant>
        <vt:lpwstr/>
      </vt:variant>
      <vt:variant>
        <vt:i4>720913</vt:i4>
      </vt:variant>
      <vt:variant>
        <vt:i4>24</vt:i4>
      </vt:variant>
      <vt:variant>
        <vt:i4>0</vt:i4>
      </vt:variant>
      <vt:variant>
        <vt:i4>5</vt:i4>
      </vt:variant>
      <vt:variant>
        <vt:lpwstr>https://data.europa.eu/doi/10.2777/517560</vt:lpwstr>
      </vt:variant>
      <vt:variant>
        <vt:lpwstr/>
      </vt:variant>
      <vt:variant>
        <vt:i4>6946900</vt:i4>
      </vt:variant>
      <vt:variant>
        <vt:i4>21</vt:i4>
      </vt:variant>
      <vt:variant>
        <vt:i4>0</vt:i4>
      </vt:variant>
      <vt:variant>
        <vt:i4>5</vt:i4>
      </vt:variant>
      <vt:variant>
        <vt:lpwstr>https://climate.ec.europa.eu/eu-action/adaptation-climate-change/climate-resilience-dialogue_en</vt:lpwstr>
      </vt:variant>
      <vt:variant>
        <vt:lpwstr/>
      </vt:variant>
      <vt:variant>
        <vt:i4>852053</vt:i4>
      </vt:variant>
      <vt:variant>
        <vt:i4>18</vt:i4>
      </vt:variant>
      <vt:variant>
        <vt:i4>0</vt:i4>
      </vt:variant>
      <vt:variant>
        <vt:i4>5</vt:i4>
      </vt:variant>
      <vt:variant>
        <vt:lpwstr>https://www.worldbank.org/en/news/feature/2021/06/04/economics-for-disaster-prevention-and-preparedness-in-europe</vt:lpwstr>
      </vt:variant>
      <vt:variant>
        <vt:lpwstr/>
      </vt:variant>
      <vt:variant>
        <vt:i4>8126472</vt:i4>
      </vt:variant>
      <vt:variant>
        <vt:i4>15</vt:i4>
      </vt:variant>
      <vt:variant>
        <vt:i4>0</vt:i4>
      </vt:variant>
      <vt:variant>
        <vt:i4>5</vt:i4>
      </vt:variant>
      <vt:variant>
        <vt:lpwstr>https://health.ec.europa.eu/publications/state-health-preparedness-report_en</vt:lpwstr>
      </vt:variant>
      <vt:variant>
        <vt:lpwstr/>
      </vt:variant>
      <vt:variant>
        <vt:i4>7012366</vt:i4>
      </vt:variant>
      <vt:variant>
        <vt:i4>12</vt:i4>
      </vt:variant>
      <vt:variant>
        <vt:i4>0</vt:i4>
      </vt:variant>
      <vt:variant>
        <vt:i4>5</vt:i4>
      </vt:variant>
      <vt:variant>
        <vt:lpwstr>https://defence-industry-space.ec.europa.eu/action-plan-military-mobility-20_en</vt:lpwstr>
      </vt:variant>
      <vt:variant>
        <vt:lpwstr/>
      </vt:variant>
      <vt:variant>
        <vt:i4>5046334</vt:i4>
      </vt:variant>
      <vt:variant>
        <vt:i4>9</vt:i4>
      </vt:variant>
      <vt:variant>
        <vt:i4>0</vt:i4>
      </vt:variant>
      <vt:variant>
        <vt:i4>5</vt:i4>
      </vt:variant>
      <vt:variant>
        <vt:lpwstr>https://ec.europa.eu/info/strategy/strategic-planning/strategic-foresight/2020-strategic-foresight-report/resilience-dashboards_en</vt:lpwstr>
      </vt:variant>
      <vt:variant>
        <vt:lpwstr/>
      </vt:variant>
      <vt:variant>
        <vt:i4>4456492</vt:i4>
      </vt:variant>
      <vt:variant>
        <vt:i4>6</vt:i4>
      </vt:variant>
      <vt:variant>
        <vt:i4>0</vt:i4>
      </vt:variant>
      <vt:variant>
        <vt:i4>5</vt:i4>
      </vt:variant>
      <vt:variant>
        <vt:lpwstr>https://civil-protection-humanitarian-aid.ec.europa.eu/what/civil-protection/resceu_en</vt:lpwstr>
      </vt:variant>
      <vt:variant>
        <vt:lpwstr/>
      </vt:variant>
      <vt:variant>
        <vt:i4>2949151</vt:i4>
      </vt:variant>
      <vt:variant>
        <vt:i4>3</vt:i4>
      </vt:variant>
      <vt:variant>
        <vt:i4>0</vt:i4>
      </vt:variant>
      <vt:variant>
        <vt:i4>5</vt:i4>
      </vt:variant>
      <vt:variant>
        <vt:lpwstr>https://edo.jrc.ec.europa.eu/documents/news/GDO-EDODroughtNews202208_Europe.pdf</vt:lpwstr>
      </vt:variant>
      <vt:variant>
        <vt:lpwstr/>
      </vt:variant>
      <vt:variant>
        <vt:i4>3014777</vt:i4>
      </vt:variant>
      <vt:variant>
        <vt:i4>0</vt:i4>
      </vt:variant>
      <vt:variant>
        <vt:i4>0</vt:i4>
      </vt:variant>
      <vt:variant>
        <vt:i4>5</vt:i4>
      </vt:variant>
      <vt:variant>
        <vt:lpwstr>https://www.eea.europa.eu/ims/global-and-european-temperatures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cp:lastPrinted>2023-01-28T02:38:00Z</cp:lastPrinted>
  <dcterms:created xsi:type="dcterms:W3CDTF">2023-02-03T08:50:00Z</dcterms:created>
  <dcterms:modified xsi:type="dcterms:W3CDTF">2023-02-07T23:07:00Z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8.1, Build 20220902</vt:lpwstr>
  </property>
  <property fmtid="{D5CDD505-2E9C-101B-9397-08002B2CF9AE}" pid="8" name="Created using">
    <vt:lpwstr>LW 8.1, Build 20220902</vt:lpwstr>
  </property>
  <property fmtid="{D5CDD505-2E9C-101B-9397-08002B2CF9AE}" pid="9" name="MSIP_Label_6bd9ddd1-4d20-43f6-abfa-fc3c07406f94_Enabled">
    <vt:lpwstr>true</vt:lpwstr>
  </property>
  <property fmtid="{D5CDD505-2E9C-101B-9397-08002B2CF9AE}" pid="10" name="MSIP_Label_6bd9ddd1-4d20-43f6-abfa-fc3c07406f94_SetDate">
    <vt:lpwstr>2022-11-06T06:49:36Z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cd540f22-eab1-470a-a5fb-0830ffc25d3c</vt:lpwstr>
  </property>
  <property fmtid="{D5CDD505-2E9C-101B-9397-08002B2CF9AE}" pid="15" name="MSIP_Label_6bd9ddd1-4d20-43f6-abfa-fc3c07406f94_ContentBits">
    <vt:lpwstr>0</vt:lpwstr>
  </property>
  <property fmtid="{D5CDD505-2E9C-101B-9397-08002B2CF9AE}" pid="16" name="ContentTypeId">
    <vt:lpwstr>0x0101008B18F24F2D4E8140A461B5DCD99F9D2E</vt:lpwstr>
  </property>
  <property fmtid="{D5CDD505-2E9C-101B-9397-08002B2CF9AE}" pid="17" name="MediaServiceImageTags">
    <vt:lpwstr/>
  </property>
</Properties>
</file>