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EC8E4" w14:textId="7AD48CA0" w:rsidR="00174E7F" w:rsidRPr="00984A39" w:rsidRDefault="0095413B" w:rsidP="0095413B">
      <w:pPr>
        <w:pStyle w:val="Pagedecouverture"/>
        <w:rPr>
          <w:noProof/>
        </w:rPr>
      </w:pPr>
      <w:r>
        <w:rPr>
          <w:noProof/>
        </w:rPr>
        <w:pict w14:anchorId="676A3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8AE2BE2-717E-47E8-AAC2-71DFDF8A5207" style="width:455.25pt;height:383.25pt">
            <v:imagedata r:id="rId7" o:title=""/>
          </v:shape>
        </w:pict>
      </w:r>
    </w:p>
    <w:p w14:paraId="6B2D78F7" w14:textId="77777777" w:rsidR="00174E7F" w:rsidRPr="00984A39" w:rsidRDefault="00174E7F" w:rsidP="00174E7F">
      <w:pPr>
        <w:rPr>
          <w:noProof/>
        </w:rPr>
        <w:sectPr w:rsidR="00174E7F" w:rsidRPr="00984A39" w:rsidSect="0095413B">
          <w:footerReference w:type="default" r:id="rId8"/>
          <w:pgSz w:w="11907" w:h="16839"/>
          <w:pgMar w:top="1134" w:right="1417" w:bottom="1134" w:left="1417" w:header="709" w:footer="709" w:gutter="0"/>
          <w:pgNumType w:start="0"/>
          <w:cols w:space="720"/>
          <w:docGrid w:linePitch="360"/>
        </w:sectPr>
      </w:pPr>
    </w:p>
    <w:p w14:paraId="4A868707" w14:textId="77777777" w:rsidR="00174E7F" w:rsidRPr="00984A39" w:rsidRDefault="00174E7F" w:rsidP="0077011D">
      <w:pPr>
        <w:pStyle w:val="Exposdesmotifstitre"/>
        <w:rPr>
          <w:noProof/>
        </w:rPr>
      </w:pPr>
      <w:bookmarkStart w:id="0" w:name="_GoBack"/>
      <w:bookmarkEnd w:id="0"/>
      <w:r w:rsidRPr="00984A39">
        <w:rPr>
          <w:noProof/>
        </w:rPr>
        <w:lastRenderedPageBreak/>
        <w:t>UZASADNIENIE</w:t>
      </w:r>
    </w:p>
    <w:p w14:paraId="25F6F594" w14:textId="2DFAC423" w:rsidR="00174E7F" w:rsidRPr="00984A39" w:rsidRDefault="00E84D33" w:rsidP="00E84D33">
      <w:pPr>
        <w:pStyle w:val="ManualHeading1"/>
        <w:rPr>
          <w:rFonts w:eastAsia="Arial Unicode MS"/>
          <w:noProof/>
        </w:rPr>
      </w:pPr>
      <w:r w:rsidRPr="00E84D33">
        <w:t>1.</w:t>
      </w:r>
      <w:r w:rsidRPr="00E84D33">
        <w:tab/>
      </w:r>
      <w:r w:rsidR="00174E7F" w:rsidRPr="00984A39">
        <w:rPr>
          <w:noProof/>
        </w:rPr>
        <w:t>Przedmiot wniosku</w:t>
      </w:r>
    </w:p>
    <w:p w14:paraId="0E380709" w14:textId="77777777" w:rsidR="00174E7F" w:rsidRPr="00984A39" w:rsidRDefault="00174E7F" w:rsidP="00174E7F">
      <w:pPr>
        <w:rPr>
          <w:rFonts w:eastAsia="Arial Unicode MS"/>
          <w:noProof/>
        </w:rPr>
      </w:pPr>
      <w:r w:rsidRPr="00984A39">
        <w:rPr>
          <w:noProof/>
        </w:rPr>
        <w:t>Niniejszy wniosek dotyczy:</w:t>
      </w:r>
    </w:p>
    <w:p w14:paraId="167296B3" w14:textId="417B4DD8" w:rsidR="00174E7F" w:rsidRPr="00984A39" w:rsidRDefault="00174E7F" w:rsidP="00174E7F">
      <w:pPr>
        <w:rPr>
          <w:rFonts w:eastAsia="Arial Unicode MS"/>
          <w:noProof/>
        </w:rPr>
      </w:pPr>
      <w:r w:rsidRPr="00984A39">
        <w:rPr>
          <w:noProof/>
        </w:rPr>
        <w:t>(i) stanowiska, jakie ma zostać zajęte</w:t>
      </w:r>
      <w:r w:rsidR="009F5FFB" w:rsidRPr="00984A39">
        <w:rPr>
          <w:noProof/>
        </w:rPr>
        <w:t xml:space="preserve"> w</w:t>
      </w:r>
      <w:r w:rsidR="009F5FFB">
        <w:rPr>
          <w:noProof/>
        </w:rPr>
        <w:t> </w:t>
      </w:r>
      <w:r w:rsidR="009F5FFB" w:rsidRPr="00984A39">
        <w:rPr>
          <w:noProof/>
        </w:rPr>
        <w:t>imi</w:t>
      </w:r>
      <w:r w:rsidRPr="00984A39">
        <w:rPr>
          <w:noProof/>
        </w:rPr>
        <w:t>eniu Unii Europejskiej na 228. sesji Rady Organizacji Międzynarodowego Lotnictwa Cywilnego (ICAO)</w:t>
      </w:r>
      <w:r w:rsidR="009F5FFB" w:rsidRPr="00984A39">
        <w:rPr>
          <w:noProof/>
        </w:rPr>
        <w:t xml:space="preserve"> w</w:t>
      </w:r>
      <w:r w:rsidR="009F5FFB">
        <w:rPr>
          <w:noProof/>
        </w:rPr>
        <w:t> </w:t>
      </w:r>
      <w:r w:rsidR="009F5FFB" w:rsidRPr="00984A39">
        <w:rPr>
          <w:noProof/>
        </w:rPr>
        <w:t>kwe</w:t>
      </w:r>
      <w:r w:rsidRPr="00984A39">
        <w:rPr>
          <w:noProof/>
        </w:rPr>
        <w:t>stii planowanego przyjęcia zmiany nr 93</w:t>
      </w:r>
      <w:r w:rsidR="009F5FFB" w:rsidRPr="00984A39">
        <w:rPr>
          <w:noProof/>
        </w:rPr>
        <w:t xml:space="preserve"> w</w:t>
      </w:r>
      <w:r w:rsidR="009F5FFB">
        <w:rPr>
          <w:noProof/>
        </w:rPr>
        <w:t> </w:t>
      </w:r>
      <w:r w:rsidR="009F5FFB" w:rsidRPr="00984A39">
        <w:rPr>
          <w:noProof/>
        </w:rPr>
        <w:t>zał</w:t>
      </w:r>
      <w:r w:rsidRPr="00984A39">
        <w:rPr>
          <w:noProof/>
        </w:rPr>
        <w:t>ączniku 10 „Łączność lotnicza” (tom I – Pomoce radionawigacyjne), oraz</w:t>
      </w:r>
    </w:p>
    <w:p w14:paraId="450C0DDE" w14:textId="2B2638F5" w:rsidR="00174E7F" w:rsidRPr="00984A39" w:rsidRDefault="00174E7F" w:rsidP="00174E7F">
      <w:pPr>
        <w:rPr>
          <w:rFonts w:eastAsia="Arial Unicode MS"/>
          <w:noProof/>
        </w:rPr>
      </w:pPr>
      <w:r w:rsidRPr="00984A39">
        <w:rPr>
          <w:noProof/>
        </w:rPr>
        <w:t>(ii) stanowiska, jakie ma zostać zajęte</w:t>
      </w:r>
      <w:r w:rsidR="009F5FFB" w:rsidRPr="00984A39">
        <w:rPr>
          <w:noProof/>
        </w:rPr>
        <w:t xml:space="preserve"> w</w:t>
      </w:r>
      <w:r w:rsidR="009F5FFB">
        <w:rPr>
          <w:noProof/>
        </w:rPr>
        <w:t> </w:t>
      </w:r>
      <w:r w:rsidR="009F5FFB" w:rsidRPr="00984A39">
        <w:rPr>
          <w:noProof/>
        </w:rPr>
        <w:t>imi</w:t>
      </w:r>
      <w:r w:rsidRPr="00984A39">
        <w:rPr>
          <w:noProof/>
        </w:rPr>
        <w:t>eniu Unii po ogłoszeniu przez ICAO przyjęcia zmiany nr 93</w:t>
      </w:r>
      <w:r w:rsidR="009F5FFB" w:rsidRPr="00984A39">
        <w:rPr>
          <w:noProof/>
        </w:rPr>
        <w:t xml:space="preserve"> w</w:t>
      </w:r>
      <w:r w:rsidR="009F5FFB">
        <w:rPr>
          <w:noProof/>
        </w:rPr>
        <w:t> </w:t>
      </w:r>
      <w:r w:rsidR="009F5FFB" w:rsidRPr="00984A39">
        <w:rPr>
          <w:noProof/>
        </w:rPr>
        <w:t>zał</w:t>
      </w:r>
      <w:r w:rsidRPr="00984A39">
        <w:rPr>
          <w:noProof/>
        </w:rPr>
        <w:t>ączniku 10 „Łączność lotnicza” (tom I – Pomoce radionawigacyjne) do Konwencji</w:t>
      </w:r>
      <w:r w:rsidR="009F5FFB" w:rsidRPr="00984A39">
        <w:rPr>
          <w:noProof/>
        </w:rPr>
        <w:t xml:space="preserve"> o</w:t>
      </w:r>
      <w:r w:rsidR="009F5FFB">
        <w:rPr>
          <w:noProof/>
        </w:rPr>
        <w:t> </w:t>
      </w:r>
      <w:r w:rsidR="009F5FFB" w:rsidRPr="00984A39">
        <w:rPr>
          <w:noProof/>
        </w:rPr>
        <w:t>mię</w:t>
      </w:r>
      <w:r w:rsidRPr="00984A39">
        <w:rPr>
          <w:noProof/>
        </w:rPr>
        <w:t>dzynarodowym lotnictwie cywilnym</w:t>
      </w:r>
      <w:r w:rsidR="009F5FFB" w:rsidRPr="00984A39">
        <w:rPr>
          <w:noProof/>
        </w:rPr>
        <w:t xml:space="preserve"> w</w:t>
      </w:r>
      <w:r w:rsidR="009F5FFB">
        <w:rPr>
          <w:noProof/>
        </w:rPr>
        <w:t> </w:t>
      </w:r>
      <w:r w:rsidR="009F5FFB" w:rsidRPr="00984A39">
        <w:rPr>
          <w:noProof/>
        </w:rPr>
        <w:t>odp</w:t>
      </w:r>
      <w:r w:rsidRPr="00984A39">
        <w:rPr>
          <w:noProof/>
        </w:rPr>
        <w:t>owiednich pismach skierowanych do państw,</w:t>
      </w:r>
      <w:r w:rsidR="009F5FFB" w:rsidRPr="00984A39">
        <w:rPr>
          <w:noProof/>
        </w:rPr>
        <w:t xml:space="preserve"> w</w:t>
      </w:r>
      <w:r w:rsidR="009F5FFB">
        <w:rPr>
          <w:noProof/>
        </w:rPr>
        <w:t> </w:t>
      </w:r>
      <w:r w:rsidR="009F5FFB" w:rsidRPr="00984A39">
        <w:rPr>
          <w:noProof/>
        </w:rPr>
        <w:t>któ</w:t>
      </w:r>
      <w:r w:rsidRPr="00984A39">
        <w:rPr>
          <w:noProof/>
        </w:rPr>
        <w:t>rych wezwie ona państwa członkowskie ICAO do zgłoszenia sprzeciwu lub wszelkich różnic albo potwierdzenia zastosowania się do przyjętych środków.</w:t>
      </w:r>
    </w:p>
    <w:p w14:paraId="7A7CEA5E" w14:textId="0958C7EF" w:rsidR="00174E7F" w:rsidRPr="00984A39" w:rsidRDefault="00E84D33" w:rsidP="00E84D33">
      <w:pPr>
        <w:pStyle w:val="ManualHeading1"/>
        <w:rPr>
          <w:noProof/>
        </w:rPr>
      </w:pPr>
      <w:r w:rsidRPr="00E84D33">
        <w:t>2.</w:t>
      </w:r>
      <w:r w:rsidRPr="00E84D33">
        <w:tab/>
      </w:r>
      <w:r w:rsidR="00174E7F" w:rsidRPr="00984A39">
        <w:rPr>
          <w:noProof/>
        </w:rPr>
        <w:t>Kontekst wniosku</w:t>
      </w:r>
    </w:p>
    <w:p w14:paraId="2538077E" w14:textId="53DE11AC" w:rsidR="00174E7F" w:rsidRPr="00984A39" w:rsidRDefault="00E84D33" w:rsidP="00E84D33">
      <w:pPr>
        <w:pStyle w:val="ManualHeading2"/>
        <w:rPr>
          <w:noProof/>
        </w:rPr>
      </w:pPr>
      <w:r w:rsidRPr="00E84D33">
        <w:t>2.1.</w:t>
      </w:r>
      <w:r w:rsidRPr="00E84D33">
        <w:tab/>
      </w:r>
      <w:r w:rsidR="00174E7F" w:rsidRPr="00984A39">
        <w:rPr>
          <w:noProof/>
        </w:rPr>
        <w:t>Konwencja</w:t>
      </w:r>
      <w:r w:rsidR="009F5FFB" w:rsidRPr="00984A39">
        <w:rPr>
          <w:noProof/>
        </w:rPr>
        <w:t xml:space="preserve"> o</w:t>
      </w:r>
      <w:r w:rsidR="009F5FFB">
        <w:rPr>
          <w:noProof/>
        </w:rPr>
        <w:t> </w:t>
      </w:r>
      <w:r w:rsidR="009F5FFB" w:rsidRPr="00984A39">
        <w:rPr>
          <w:noProof/>
        </w:rPr>
        <w:t>mię</w:t>
      </w:r>
      <w:r w:rsidR="00174E7F" w:rsidRPr="00984A39">
        <w:rPr>
          <w:noProof/>
        </w:rPr>
        <w:t>dzynarodowym lotnictwie cywilnym</w:t>
      </w:r>
    </w:p>
    <w:p w14:paraId="7184439D" w14:textId="63F6B1DD" w:rsidR="00174E7F" w:rsidRPr="00984A39" w:rsidRDefault="00174E7F" w:rsidP="00174E7F">
      <w:pPr>
        <w:ind w:left="-5"/>
        <w:rPr>
          <w:noProof/>
        </w:rPr>
      </w:pPr>
      <w:r w:rsidRPr="00984A39">
        <w:rPr>
          <w:noProof/>
        </w:rPr>
        <w:t>Celem Konwencji</w:t>
      </w:r>
      <w:r w:rsidR="009F5FFB" w:rsidRPr="00984A39">
        <w:rPr>
          <w:noProof/>
        </w:rPr>
        <w:t xml:space="preserve"> o</w:t>
      </w:r>
      <w:r w:rsidR="009F5FFB">
        <w:rPr>
          <w:noProof/>
        </w:rPr>
        <w:t> </w:t>
      </w:r>
      <w:r w:rsidR="009F5FFB" w:rsidRPr="00984A39">
        <w:rPr>
          <w:noProof/>
        </w:rPr>
        <w:t>mię</w:t>
      </w:r>
      <w:r w:rsidRPr="00984A39">
        <w:rPr>
          <w:noProof/>
        </w:rPr>
        <w:t>dzynarodowym lotnictwie cywilnym („konwencja chicagowska”) jest regulowanie międzynarodowego transportu lotniczego. Konwencja chicagowska, na mocy której utworzono Organizację Międzynarodowego Lotnictwa Cywilnego, weszła</w:t>
      </w:r>
      <w:r w:rsidR="009F5FFB" w:rsidRPr="00984A39">
        <w:rPr>
          <w:noProof/>
        </w:rPr>
        <w:t xml:space="preserve"> w</w:t>
      </w:r>
      <w:r w:rsidR="009F5FFB">
        <w:rPr>
          <w:noProof/>
        </w:rPr>
        <w:t> </w:t>
      </w:r>
      <w:r w:rsidR="009F5FFB" w:rsidRPr="00984A39">
        <w:rPr>
          <w:noProof/>
        </w:rPr>
        <w:t>życ</w:t>
      </w:r>
      <w:r w:rsidRPr="00984A39">
        <w:rPr>
          <w:noProof/>
        </w:rPr>
        <w:t>ie 4 kwietnia 1947 r.</w:t>
      </w:r>
    </w:p>
    <w:p w14:paraId="7A22CBE0" w14:textId="77777777" w:rsidR="00174E7F" w:rsidRPr="00984A39" w:rsidRDefault="00174E7F" w:rsidP="00174E7F">
      <w:pPr>
        <w:ind w:left="-5"/>
        <w:rPr>
          <w:rFonts w:eastAsia="Arial Unicode MS"/>
          <w:noProof/>
        </w:rPr>
      </w:pPr>
      <w:r w:rsidRPr="00984A39">
        <w:rPr>
          <w:noProof/>
        </w:rPr>
        <w:t>Wszystkie państwa członkowskie UE są stronami tej konwencji.</w:t>
      </w:r>
    </w:p>
    <w:p w14:paraId="23F45BAB" w14:textId="6D5E4085" w:rsidR="00174E7F" w:rsidRPr="00984A39" w:rsidRDefault="00E84D33" w:rsidP="00E84D33">
      <w:pPr>
        <w:pStyle w:val="ManualHeading2"/>
        <w:rPr>
          <w:noProof/>
        </w:rPr>
      </w:pPr>
      <w:r w:rsidRPr="00E84D33">
        <w:t>2.2.</w:t>
      </w:r>
      <w:r w:rsidRPr="00E84D33">
        <w:tab/>
      </w:r>
      <w:r w:rsidR="00174E7F" w:rsidRPr="00984A39">
        <w:rPr>
          <w:noProof/>
        </w:rPr>
        <w:t>Organizacja Międzynarodowego Lotnictwa Cywilnego</w:t>
      </w:r>
    </w:p>
    <w:p w14:paraId="706D7C5F" w14:textId="4E68A29D" w:rsidR="00174E7F" w:rsidRPr="00984A39" w:rsidRDefault="00174E7F" w:rsidP="00174E7F">
      <w:pPr>
        <w:rPr>
          <w:rFonts w:eastAsia="Arial Unicode MS"/>
          <w:noProof/>
        </w:rPr>
      </w:pPr>
      <w:r w:rsidRPr="00984A39">
        <w:rPr>
          <w:noProof/>
        </w:rPr>
        <w:t>Organizacja Międzynarodowego Lotnictwa Cywilnego jest wyspecjalizowaną agencją Organizacji Narodów Zjednoczonych. Jej celem jest rozwijanie zasad</w:t>
      </w:r>
      <w:r w:rsidR="009F5FFB" w:rsidRPr="00984A39">
        <w:rPr>
          <w:noProof/>
        </w:rPr>
        <w:t xml:space="preserve"> i</w:t>
      </w:r>
      <w:r w:rsidR="009F5FFB">
        <w:rPr>
          <w:noProof/>
        </w:rPr>
        <w:t> </w:t>
      </w:r>
      <w:r w:rsidR="009F5FFB" w:rsidRPr="00984A39">
        <w:rPr>
          <w:noProof/>
        </w:rPr>
        <w:t>tec</w:t>
      </w:r>
      <w:r w:rsidRPr="00984A39">
        <w:rPr>
          <w:noProof/>
        </w:rPr>
        <w:t>hnik międzynarodowej żeglugi powietrznej oraz wspieranie planowania</w:t>
      </w:r>
      <w:r w:rsidR="009F5FFB" w:rsidRPr="00984A39">
        <w:rPr>
          <w:noProof/>
        </w:rPr>
        <w:t xml:space="preserve"> i</w:t>
      </w:r>
      <w:r w:rsidR="009F5FFB">
        <w:rPr>
          <w:noProof/>
        </w:rPr>
        <w:t> </w:t>
      </w:r>
      <w:r w:rsidR="009F5FFB" w:rsidRPr="00984A39">
        <w:rPr>
          <w:noProof/>
        </w:rPr>
        <w:t>roz</w:t>
      </w:r>
      <w:r w:rsidRPr="00984A39">
        <w:rPr>
          <w:noProof/>
        </w:rPr>
        <w:t xml:space="preserve">woju międzynarodowego transportu lotniczego. </w:t>
      </w:r>
    </w:p>
    <w:p w14:paraId="33492CC4" w14:textId="7D68FC34" w:rsidR="00174E7F" w:rsidRPr="00984A39" w:rsidRDefault="00174E7F" w:rsidP="00174E7F">
      <w:pPr>
        <w:rPr>
          <w:rFonts w:eastAsia="Arial Unicode MS"/>
          <w:noProof/>
        </w:rPr>
      </w:pPr>
      <w:r w:rsidRPr="00984A39">
        <w:rPr>
          <w:noProof/>
        </w:rPr>
        <w:t>Rada ICAO jest stałym organem ICAO,</w:t>
      </w:r>
      <w:r w:rsidR="009F5FFB" w:rsidRPr="00984A39">
        <w:rPr>
          <w:noProof/>
        </w:rPr>
        <w:t xml:space="preserve"> a</w:t>
      </w:r>
      <w:r w:rsidR="009F5FFB">
        <w:rPr>
          <w:noProof/>
        </w:rPr>
        <w:t> </w:t>
      </w:r>
      <w:r w:rsidR="009F5FFB" w:rsidRPr="00984A39">
        <w:rPr>
          <w:noProof/>
        </w:rPr>
        <w:t>jej</w:t>
      </w:r>
      <w:r w:rsidRPr="00984A39">
        <w:rPr>
          <w:noProof/>
        </w:rPr>
        <w:t xml:space="preserve"> członkami jest 36 umawiających się państw wybieranych przez Zgromadzenie ICAO na okres trzech lat</w:t>
      </w:r>
      <w:r w:rsidR="009F5FFB" w:rsidRPr="00984A39">
        <w:rPr>
          <w:noProof/>
        </w:rPr>
        <w:t>. W</w:t>
      </w:r>
      <w:r w:rsidR="009F5FFB">
        <w:rPr>
          <w:noProof/>
        </w:rPr>
        <w:t> </w:t>
      </w:r>
      <w:r w:rsidR="009F5FFB" w:rsidRPr="00984A39">
        <w:rPr>
          <w:noProof/>
        </w:rPr>
        <w:t>lat</w:t>
      </w:r>
      <w:r w:rsidRPr="00984A39">
        <w:rPr>
          <w:noProof/>
        </w:rPr>
        <w:t>ach 2022–2025</w:t>
      </w:r>
      <w:r w:rsidR="009F5FFB" w:rsidRPr="00984A39">
        <w:rPr>
          <w:noProof/>
        </w:rPr>
        <w:t xml:space="preserve"> w</w:t>
      </w:r>
      <w:r w:rsidR="009F5FFB">
        <w:rPr>
          <w:noProof/>
        </w:rPr>
        <w:t> </w:t>
      </w:r>
      <w:r w:rsidR="009F5FFB" w:rsidRPr="00984A39">
        <w:rPr>
          <w:noProof/>
        </w:rPr>
        <w:t>Rad</w:t>
      </w:r>
      <w:r w:rsidRPr="00984A39">
        <w:rPr>
          <w:noProof/>
        </w:rPr>
        <w:t>zie ICAO reprezentowanych jest sześć państw członkowskich UE.</w:t>
      </w:r>
    </w:p>
    <w:p w14:paraId="1947368B" w14:textId="0413415A" w:rsidR="00174E7F" w:rsidRPr="00984A39" w:rsidRDefault="00174E7F" w:rsidP="00174E7F">
      <w:pPr>
        <w:rPr>
          <w:rFonts w:eastAsia="Arial Unicode MS"/>
          <w:noProof/>
        </w:rPr>
      </w:pPr>
      <w:r w:rsidRPr="00984A39">
        <w:rPr>
          <w:noProof/>
        </w:rPr>
        <w:t>Czynności obowiązkowe Rady ICAO, wymienione</w:t>
      </w:r>
      <w:r w:rsidR="009F5FFB" w:rsidRPr="00984A39">
        <w:rPr>
          <w:noProof/>
        </w:rPr>
        <w:t xml:space="preserve"> w</w:t>
      </w:r>
      <w:r w:rsidR="009F5FFB">
        <w:rPr>
          <w:noProof/>
        </w:rPr>
        <w:t> </w:t>
      </w:r>
      <w:r w:rsidR="009F5FFB" w:rsidRPr="00984A39">
        <w:rPr>
          <w:noProof/>
        </w:rPr>
        <w:t>art</w:t>
      </w:r>
      <w:r w:rsidRPr="00984A39">
        <w:rPr>
          <w:noProof/>
        </w:rPr>
        <w:t>. 54 konwencji chicagowskiej, obejmują przyjmowanie międzynarodowych norm</w:t>
      </w:r>
      <w:r w:rsidR="009F5FFB" w:rsidRPr="00984A39">
        <w:rPr>
          <w:noProof/>
        </w:rPr>
        <w:t xml:space="preserve"> i</w:t>
      </w:r>
      <w:r w:rsidR="009F5FFB">
        <w:rPr>
          <w:noProof/>
        </w:rPr>
        <w:t> </w:t>
      </w:r>
      <w:r w:rsidR="009F5FFB" w:rsidRPr="00984A39">
        <w:rPr>
          <w:noProof/>
        </w:rPr>
        <w:t>zal</w:t>
      </w:r>
      <w:r w:rsidRPr="00984A39">
        <w:rPr>
          <w:noProof/>
        </w:rPr>
        <w:t xml:space="preserve">ecanych metod postępowania (ang. </w:t>
      </w:r>
      <w:r w:rsidRPr="00984A39">
        <w:rPr>
          <w:i/>
          <w:iCs/>
          <w:noProof/>
        </w:rPr>
        <w:t>standards and recommended practices</w:t>
      </w:r>
      <w:r w:rsidRPr="00984A39">
        <w:rPr>
          <w:noProof/>
        </w:rPr>
        <w:t>, SARPs), które są oznaczane jako załączniki do konwencji chicagowskiej.</w:t>
      </w:r>
    </w:p>
    <w:p w14:paraId="5C043614" w14:textId="75AA5092" w:rsidR="00174E7F" w:rsidRPr="00984A39" w:rsidRDefault="00174E7F" w:rsidP="00174E7F">
      <w:pPr>
        <w:rPr>
          <w:rFonts w:eastAsia="Arial Unicode MS"/>
          <w:noProof/>
        </w:rPr>
      </w:pPr>
      <w:r w:rsidRPr="00984A39">
        <w:rPr>
          <w:noProof/>
        </w:rPr>
        <w:t>Zgodnie</w:t>
      </w:r>
      <w:r w:rsidR="009F5FFB" w:rsidRPr="00984A39">
        <w:rPr>
          <w:noProof/>
        </w:rPr>
        <w:t xml:space="preserve"> z</w:t>
      </w:r>
      <w:r w:rsidR="009F5FFB">
        <w:rPr>
          <w:noProof/>
        </w:rPr>
        <w:t> </w:t>
      </w:r>
      <w:r w:rsidR="009F5FFB" w:rsidRPr="00984A39">
        <w:rPr>
          <w:noProof/>
        </w:rPr>
        <w:t>art</w:t>
      </w:r>
      <w:r w:rsidRPr="00984A39">
        <w:rPr>
          <w:noProof/>
        </w:rPr>
        <w:t>. 90 konwencji chicagowskiej taki załącznik lub zmiana załącznika stają się skuteczne</w:t>
      </w:r>
      <w:r w:rsidR="009F5FFB" w:rsidRPr="00984A39">
        <w:rPr>
          <w:noProof/>
        </w:rPr>
        <w:t xml:space="preserve"> w</w:t>
      </w:r>
      <w:r w:rsidR="009F5FFB">
        <w:rPr>
          <w:noProof/>
        </w:rPr>
        <w:t> </w:t>
      </w:r>
      <w:r w:rsidR="009F5FFB" w:rsidRPr="00984A39">
        <w:rPr>
          <w:noProof/>
        </w:rPr>
        <w:t>ter</w:t>
      </w:r>
      <w:r w:rsidRPr="00984A39">
        <w:rPr>
          <w:noProof/>
        </w:rPr>
        <w:t>minie trzech miesięcy po ich przedłożeniu umawiającym się państwom ICAO albo po upływie dłuższego okresu określonego przez Radę ICAO, chyba że</w:t>
      </w:r>
      <w:r w:rsidR="009F5FFB" w:rsidRPr="00984A39">
        <w:rPr>
          <w:noProof/>
        </w:rPr>
        <w:t xml:space="preserve"> w</w:t>
      </w:r>
      <w:r w:rsidR="009F5FFB">
        <w:rPr>
          <w:noProof/>
        </w:rPr>
        <w:t> </w:t>
      </w:r>
      <w:r w:rsidR="009F5FFB" w:rsidRPr="00984A39">
        <w:rPr>
          <w:noProof/>
        </w:rPr>
        <w:t>mię</w:t>
      </w:r>
      <w:r w:rsidRPr="00984A39">
        <w:rPr>
          <w:noProof/>
        </w:rPr>
        <w:t>dzyczasie większość umawiających się państw ICAO złoży swój sprzeciw.</w:t>
      </w:r>
    </w:p>
    <w:p w14:paraId="289B9753" w14:textId="2BF41D52" w:rsidR="00174E7F" w:rsidRPr="00984A39" w:rsidRDefault="00174E7F" w:rsidP="00174E7F">
      <w:pPr>
        <w:rPr>
          <w:rFonts w:eastAsia="Arial Unicode MS"/>
          <w:noProof/>
        </w:rPr>
      </w:pPr>
      <w:bookmarkStart w:id="1" w:name="_Hlk124333172"/>
      <w:r w:rsidRPr="00984A39">
        <w:rPr>
          <w:noProof/>
        </w:rPr>
        <w:t>Po przyjęciu takich środków państwa ICAO są zobowiązane do zastosowania się do nich albo do zgłoszenia sprzeciwu lub wszelkich różnic</w:t>
      </w:r>
      <w:r w:rsidR="009F5FFB" w:rsidRPr="00984A39">
        <w:rPr>
          <w:noProof/>
        </w:rPr>
        <w:t xml:space="preserve"> w</w:t>
      </w:r>
      <w:r w:rsidR="009F5FFB">
        <w:rPr>
          <w:noProof/>
        </w:rPr>
        <w:t> </w:t>
      </w:r>
      <w:r w:rsidR="009F5FFB" w:rsidRPr="00984A39">
        <w:rPr>
          <w:noProof/>
        </w:rPr>
        <w:t>sto</w:t>
      </w:r>
      <w:r w:rsidRPr="00984A39">
        <w:rPr>
          <w:noProof/>
        </w:rPr>
        <w:t>sunku do nich, zanim środki te wejdą</w:t>
      </w:r>
      <w:r w:rsidR="009F5FFB" w:rsidRPr="00984A39">
        <w:rPr>
          <w:noProof/>
        </w:rPr>
        <w:t xml:space="preserve"> w</w:t>
      </w:r>
      <w:r w:rsidR="009F5FFB">
        <w:rPr>
          <w:noProof/>
        </w:rPr>
        <w:t> </w:t>
      </w:r>
      <w:r w:rsidR="009F5FFB" w:rsidRPr="00984A39">
        <w:rPr>
          <w:noProof/>
        </w:rPr>
        <w:t>życ</w:t>
      </w:r>
      <w:r w:rsidRPr="00984A39">
        <w:rPr>
          <w:noProof/>
        </w:rPr>
        <w:t>ie</w:t>
      </w:r>
      <w:r w:rsidR="009F5FFB" w:rsidRPr="00984A39">
        <w:rPr>
          <w:noProof/>
        </w:rPr>
        <w:t xml:space="preserve"> i</w:t>
      </w:r>
      <w:r w:rsidR="009F5FFB">
        <w:rPr>
          <w:noProof/>
        </w:rPr>
        <w:t> </w:t>
      </w:r>
      <w:r w:rsidR="009F5FFB" w:rsidRPr="00984A39">
        <w:rPr>
          <w:noProof/>
        </w:rPr>
        <w:t>sta</w:t>
      </w:r>
      <w:r w:rsidRPr="00984A39">
        <w:rPr>
          <w:noProof/>
        </w:rPr>
        <w:t>ną się prawnie wiążące.</w:t>
      </w:r>
    </w:p>
    <w:bookmarkEnd w:id="1"/>
    <w:p w14:paraId="740920DE" w14:textId="278775D0" w:rsidR="00174E7F" w:rsidRPr="00984A39" w:rsidRDefault="00174E7F" w:rsidP="00174E7F">
      <w:pPr>
        <w:rPr>
          <w:rFonts w:eastAsia="Arial Unicode MS"/>
          <w:noProof/>
        </w:rPr>
      </w:pPr>
      <w:r w:rsidRPr="00984A39">
        <w:rPr>
          <w:noProof/>
        </w:rPr>
        <w:t>Zgodnie</w:t>
      </w:r>
      <w:r w:rsidR="009F5FFB" w:rsidRPr="00984A39">
        <w:rPr>
          <w:noProof/>
        </w:rPr>
        <w:t xml:space="preserve"> z</w:t>
      </w:r>
      <w:r w:rsidR="009F5FFB">
        <w:rPr>
          <w:noProof/>
        </w:rPr>
        <w:t> </w:t>
      </w:r>
      <w:r w:rsidR="009F5FFB" w:rsidRPr="00984A39">
        <w:rPr>
          <w:noProof/>
        </w:rPr>
        <w:t>art</w:t>
      </w:r>
      <w:r w:rsidRPr="00984A39">
        <w:rPr>
          <w:noProof/>
        </w:rPr>
        <w:t>. 38 konwencji chicagowskiej każde umawiające się państwo, które uważa za niemożliwe</w:t>
      </w:r>
      <w:r w:rsidR="009F5FFB" w:rsidRPr="00984A39">
        <w:rPr>
          <w:noProof/>
        </w:rPr>
        <w:t xml:space="preserve"> w</w:t>
      </w:r>
      <w:r w:rsidR="009F5FFB">
        <w:rPr>
          <w:noProof/>
        </w:rPr>
        <w:t> </w:t>
      </w:r>
      <w:r w:rsidR="009F5FFB" w:rsidRPr="00984A39">
        <w:rPr>
          <w:noProof/>
        </w:rPr>
        <w:t>pra</w:t>
      </w:r>
      <w:r w:rsidRPr="00984A39">
        <w:rPr>
          <w:noProof/>
        </w:rPr>
        <w:t>ktyce zastosowanie się pod każdym względem do którychkolwiek ze wspomnianych międzynarodowych norm lub zasad postępowania albo całkowite dostosowanie wprowadzonych przez siebie przepisów lub metod postępowania do międzynarodowych norm</w:t>
      </w:r>
      <w:r w:rsidR="009F5FFB" w:rsidRPr="00984A39">
        <w:rPr>
          <w:noProof/>
        </w:rPr>
        <w:t xml:space="preserve"> i</w:t>
      </w:r>
      <w:r w:rsidR="009F5FFB">
        <w:rPr>
          <w:noProof/>
        </w:rPr>
        <w:t> </w:t>
      </w:r>
      <w:r w:rsidR="009F5FFB" w:rsidRPr="00984A39">
        <w:rPr>
          <w:noProof/>
        </w:rPr>
        <w:t>zas</w:t>
      </w:r>
      <w:r w:rsidRPr="00984A39">
        <w:rPr>
          <w:noProof/>
        </w:rPr>
        <w:t>ad postępowania, albo które uważa za konieczne wprowadzenie przepisów lub metod postępowania różniących się pod jakimkolwiek względem od przepisów</w:t>
      </w:r>
      <w:r w:rsidR="009F5FFB" w:rsidRPr="00984A39">
        <w:rPr>
          <w:noProof/>
        </w:rPr>
        <w:t xml:space="preserve"> i</w:t>
      </w:r>
      <w:r w:rsidR="009F5FFB">
        <w:rPr>
          <w:noProof/>
        </w:rPr>
        <w:t> </w:t>
      </w:r>
      <w:r w:rsidR="009F5FFB" w:rsidRPr="00984A39">
        <w:rPr>
          <w:noProof/>
        </w:rPr>
        <w:t>met</w:t>
      </w:r>
      <w:r w:rsidRPr="00984A39">
        <w:rPr>
          <w:noProof/>
        </w:rPr>
        <w:t>od postępowania ustalonych zgodnie</w:t>
      </w:r>
      <w:r w:rsidR="009F5FFB" w:rsidRPr="00984A39">
        <w:rPr>
          <w:noProof/>
        </w:rPr>
        <w:t xml:space="preserve"> z</w:t>
      </w:r>
      <w:r w:rsidR="009F5FFB">
        <w:rPr>
          <w:noProof/>
        </w:rPr>
        <w:t> </w:t>
      </w:r>
      <w:r w:rsidR="009F5FFB" w:rsidRPr="00984A39">
        <w:rPr>
          <w:noProof/>
        </w:rPr>
        <w:t>nor</w:t>
      </w:r>
      <w:r w:rsidRPr="00984A39">
        <w:rPr>
          <w:noProof/>
        </w:rPr>
        <w:t>mami międzynarodowymi, powinno niezwłocznie podać do wiadomości ICAO różnice między jego własną praktyką</w:t>
      </w:r>
      <w:r w:rsidR="009F5FFB" w:rsidRPr="00984A39">
        <w:rPr>
          <w:noProof/>
        </w:rPr>
        <w:t xml:space="preserve"> a</w:t>
      </w:r>
      <w:r w:rsidR="009F5FFB">
        <w:rPr>
          <w:noProof/>
        </w:rPr>
        <w:t> </w:t>
      </w:r>
      <w:r w:rsidR="009F5FFB" w:rsidRPr="00984A39">
        <w:rPr>
          <w:noProof/>
        </w:rPr>
        <w:t>pra</w:t>
      </w:r>
      <w:r w:rsidRPr="00984A39">
        <w:rPr>
          <w:noProof/>
        </w:rPr>
        <w:t>ktyką ustaloną przez normy międzynarodowe.</w:t>
      </w:r>
    </w:p>
    <w:p w14:paraId="1D3EDD10" w14:textId="212396D5" w:rsidR="00174E7F" w:rsidRPr="00984A39" w:rsidRDefault="00E84D33" w:rsidP="00E84D33">
      <w:pPr>
        <w:pStyle w:val="ManualHeading2"/>
        <w:rPr>
          <w:noProof/>
        </w:rPr>
      </w:pPr>
      <w:r w:rsidRPr="00E84D33">
        <w:t>2.3.</w:t>
      </w:r>
      <w:r w:rsidRPr="00E84D33">
        <w:tab/>
      </w:r>
      <w:r w:rsidR="00174E7F" w:rsidRPr="00984A39">
        <w:rPr>
          <w:noProof/>
        </w:rPr>
        <w:t>Planowany akt ICAO</w:t>
      </w:r>
      <w:r w:rsidR="009F5FFB" w:rsidRPr="00984A39">
        <w:rPr>
          <w:noProof/>
        </w:rPr>
        <w:t xml:space="preserve"> i</w:t>
      </w:r>
      <w:r w:rsidR="009F5FFB">
        <w:rPr>
          <w:noProof/>
        </w:rPr>
        <w:t> </w:t>
      </w:r>
      <w:r w:rsidR="009F5FFB" w:rsidRPr="00984A39">
        <w:rPr>
          <w:noProof/>
        </w:rPr>
        <w:t>jeg</w:t>
      </w:r>
      <w:r w:rsidR="00174E7F" w:rsidRPr="00984A39">
        <w:rPr>
          <w:noProof/>
        </w:rPr>
        <w:t>o związek</w:t>
      </w:r>
      <w:r w:rsidR="009F5FFB" w:rsidRPr="00984A39">
        <w:rPr>
          <w:noProof/>
        </w:rPr>
        <w:t xml:space="preserve"> z</w:t>
      </w:r>
      <w:r w:rsidR="009F5FFB">
        <w:rPr>
          <w:noProof/>
        </w:rPr>
        <w:t> </w:t>
      </w:r>
      <w:r w:rsidR="009F5FFB" w:rsidRPr="00984A39">
        <w:rPr>
          <w:noProof/>
        </w:rPr>
        <w:t>obo</w:t>
      </w:r>
      <w:r w:rsidR="00174E7F" w:rsidRPr="00984A39">
        <w:rPr>
          <w:noProof/>
        </w:rPr>
        <w:t>wiązującymi przepisami unijnymi</w:t>
      </w:r>
    </w:p>
    <w:p w14:paraId="0FB35E65" w14:textId="77777777" w:rsidR="00174E7F" w:rsidRPr="00984A39" w:rsidRDefault="00174E7F" w:rsidP="00174E7F">
      <w:pPr>
        <w:spacing w:after="0" w:line="374" w:lineRule="auto"/>
        <w:ind w:left="-5"/>
        <w:jc w:val="left"/>
        <w:rPr>
          <w:noProof/>
        </w:rPr>
      </w:pPr>
      <w:r w:rsidRPr="00984A39">
        <w:rPr>
          <w:noProof/>
        </w:rPr>
        <w:t>Oczekuje się, że podczas swojej 228. lub dowolnej późniejszej sesji Rada ICAO przyjmie:</w:t>
      </w:r>
    </w:p>
    <w:p w14:paraId="6F390947" w14:textId="1D73F5C6" w:rsidR="00174E7F" w:rsidRPr="00984A39" w:rsidRDefault="00174E7F" w:rsidP="00174E7F">
      <w:pPr>
        <w:ind w:left="-5"/>
        <w:rPr>
          <w:noProof/>
        </w:rPr>
      </w:pPr>
      <w:r w:rsidRPr="00984A39">
        <w:rPr>
          <w:noProof/>
        </w:rPr>
        <w:t>-</w:t>
      </w:r>
      <w:r w:rsidRPr="00984A39">
        <w:rPr>
          <w:noProof/>
        </w:rPr>
        <w:tab/>
        <w:t>zmianę nr 93</w:t>
      </w:r>
      <w:r w:rsidR="009F5FFB" w:rsidRPr="00984A39">
        <w:rPr>
          <w:noProof/>
        </w:rPr>
        <w:t xml:space="preserve"> w</w:t>
      </w:r>
      <w:r w:rsidR="009F5FFB">
        <w:rPr>
          <w:noProof/>
        </w:rPr>
        <w:t> </w:t>
      </w:r>
      <w:r w:rsidR="009F5FFB" w:rsidRPr="00984A39">
        <w:rPr>
          <w:noProof/>
        </w:rPr>
        <w:t>zał</w:t>
      </w:r>
      <w:r w:rsidRPr="00984A39">
        <w:rPr>
          <w:noProof/>
        </w:rPr>
        <w:t>ączniku 10 tom I, której przedmiotem jest:</w:t>
      </w:r>
    </w:p>
    <w:p w14:paraId="7A25D8A8" w14:textId="77CC0979" w:rsidR="00174E7F" w:rsidRPr="00984A39" w:rsidRDefault="00174E7F" w:rsidP="00174E7F">
      <w:pPr>
        <w:ind w:left="730"/>
        <w:rPr>
          <w:noProof/>
        </w:rPr>
      </w:pPr>
      <w:r w:rsidRPr="00984A39">
        <w:rPr>
          <w:noProof/>
        </w:rPr>
        <w:t>a) wsparcie wprowadzenia globalnego systemu nawigacji satelitarnej (GNSS)</w:t>
      </w:r>
      <w:r w:rsidR="009F5FFB" w:rsidRPr="00984A39">
        <w:rPr>
          <w:noProof/>
        </w:rPr>
        <w:t xml:space="preserve"> o</w:t>
      </w:r>
      <w:r w:rsidR="009F5FFB">
        <w:rPr>
          <w:noProof/>
        </w:rPr>
        <w:t> </w:t>
      </w:r>
      <w:r w:rsidR="009F5FFB" w:rsidRPr="00984A39">
        <w:rPr>
          <w:noProof/>
        </w:rPr>
        <w:t>pod</w:t>
      </w:r>
      <w:r w:rsidRPr="00984A39">
        <w:rPr>
          <w:noProof/>
        </w:rPr>
        <w:t>wójnej częstotliwości</w:t>
      </w:r>
      <w:r w:rsidR="009F5FFB" w:rsidRPr="00984A39">
        <w:rPr>
          <w:noProof/>
        </w:rPr>
        <w:t xml:space="preserve"> i</w:t>
      </w:r>
      <w:r w:rsidR="009F5FFB">
        <w:rPr>
          <w:noProof/>
        </w:rPr>
        <w:t> </w:t>
      </w:r>
      <w:r w:rsidR="009F5FFB" w:rsidRPr="00984A39">
        <w:rPr>
          <w:noProof/>
        </w:rPr>
        <w:t>mul</w:t>
      </w:r>
      <w:r w:rsidRPr="00984A39">
        <w:rPr>
          <w:noProof/>
        </w:rPr>
        <w:t>tikonstelacji (DFMC) przez dodanie postanowień dotyczących dodatkowych częstotliwości pracy globalnego systemu pozycjonowania (GPS), globalnego systemu nawigacji satelitarnej (GLONASS)</w:t>
      </w:r>
      <w:r w:rsidR="009F5FFB" w:rsidRPr="00984A39">
        <w:rPr>
          <w:noProof/>
        </w:rPr>
        <w:t xml:space="preserve"> i</w:t>
      </w:r>
      <w:r w:rsidR="009F5FFB">
        <w:rPr>
          <w:noProof/>
        </w:rPr>
        <w:t> </w:t>
      </w:r>
      <w:r w:rsidR="009F5FFB" w:rsidRPr="00984A39">
        <w:rPr>
          <w:noProof/>
        </w:rPr>
        <w:t>sys</w:t>
      </w:r>
      <w:r w:rsidRPr="00984A39">
        <w:rPr>
          <w:noProof/>
        </w:rPr>
        <w:t>temu wspomagającego opartego na wyposażeniu satelitarnym (SBAS) oraz przez wprowadzenie postanowień dotyczących nowego systemu nawigacji satelitarnej BeiDou (BDS)</w:t>
      </w:r>
      <w:r w:rsidR="009F5FFB" w:rsidRPr="00984A39">
        <w:rPr>
          <w:noProof/>
        </w:rPr>
        <w:t xml:space="preserve"> i</w:t>
      </w:r>
      <w:r w:rsidR="009F5FFB">
        <w:rPr>
          <w:noProof/>
        </w:rPr>
        <w:t> </w:t>
      </w:r>
      <w:r w:rsidR="009F5FFB" w:rsidRPr="00984A39">
        <w:rPr>
          <w:noProof/>
        </w:rPr>
        <w:t>sys</w:t>
      </w:r>
      <w:r w:rsidRPr="00984A39">
        <w:rPr>
          <w:noProof/>
        </w:rPr>
        <w:t>temu Galileo;</w:t>
      </w:r>
    </w:p>
    <w:p w14:paraId="18F5AC94" w14:textId="77777777" w:rsidR="00174E7F" w:rsidRPr="00984A39" w:rsidRDefault="00174E7F" w:rsidP="00174E7F">
      <w:pPr>
        <w:ind w:left="730"/>
        <w:rPr>
          <w:noProof/>
        </w:rPr>
      </w:pPr>
      <w:r w:rsidRPr="00984A39">
        <w:rPr>
          <w:noProof/>
        </w:rPr>
        <w:t>oraz</w:t>
      </w:r>
    </w:p>
    <w:p w14:paraId="23EA73DF" w14:textId="515039F9" w:rsidR="00174E7F" w:rsidRPr="00984A39" w:rsidRDefault="00174E7F" w:rsidP="00174E7F">
      <w:pPr>
        <w:ind w:left="730"/>
        <w:rPr>
          <w:noProof/>
        </w:rPr>
      </w:pPr>
      <w:r w:rsidRPr="00984A39">
        <w:rPr>
          <w:noProof/>
        </w:rPr>
        <w:t>b) wsparcie ograniczenia wpływu gradientu jonosferycznego na system wspomagający oparty na urządzeniach naziemnych (GBAS), wynikające</w:t>
      </w:r>
      <w:r w:rsidR="009F5FFB" w:rsidRPr="00984A39">
        <w:rPr>
          <w:noProof/>
        </w:rPr>
        <w:t xml:space="preserve"> z</w:t>
      </w:r>
      <w:r w:rsidR="009F5FFB">
        <w:rPr>
          <w:noProof/>
        </w:rPr>
        <w:t> </w:t>
      </w:r>
      <w:r w:rsidR="009F5FFB" w:rsidRPr="00984A39">
        <w:rPr>
          <w:noProof/>
        </w:rPr>
        <w:t>szó</w:t>
      </w:r>
      <w:r w:rsidRPr="00984A39">
        <w:rPr>
          <w:noProof/>
        </w:rPr>
        <w:t>stego spotkania panelu systemów nawigacji (NSP/6).</w:t>
      </w:r>
    </w:p>
    <w:p w14:paraId="746BFE23" w14:textId="77777777" w:rsidR="00174E7F" w:rsidRPr="00984A39" w:rsidRDefault="00174E7F" w:rsidP="00174E7F">
      <w:pPr>
        <w:ind w:left="-5"/>
        <w:rPr>
          <w:noProof/>
        </w:rPr>
      </w:pPr>
      <w:r w:rsidRPr="00984A39">
        <w:rPr>
          <w:noProof/>
        </w:rPr>
        <w:t>Cele planowanych aktów to:</w:t>
      </w:r>
    </w:p>
    <w:p w14:paraId="6E017388" w14:textId="09971E65" w:rsidR="00174E7F" w:rsidRPr="00984A39" w:rsidRDefault="00174E7F" w:rsidP="00156E45">
      <w:pPr>
        <w:pStyle w:val="Tiret0"/>
        <w:numPr>
          <w:ilvl w:val="0"/>
          <w:numId w:val="11"/>
        </w:numPr>
        <w:rPr>
          <w:b/>
          <w:i/>
          <w:noProof/>
        </w:rPr>
      </w:pPr>
      <w:bookmarkStart w:id="2" w:name="_Hlk121236269"/>
      <w:r w:rsidRPr="00984A39">
        <w:rPr>
          <w:b/>
          <w:i/>
          <w:noProof/>
        </w:rPr>
        <w:t>Zmiana nr 93</w:t>
      </w:r>
      <w:r w:rsidR="009F5FFB" w:rsidRPr="00984A39">
        <w:rPr>
          <w:b/>
          <w:i/>
          <w:noProof/>
        </w:rPr>
        <w:t xml:space="preserve"> w</w:t>
      </w:r>
      <w:r w:rsidR="009F5FFB">
        <w:rPr>
          <w:b/>
          <w:i/>
          <w:noProof/>
        </w:rPr>
        <w:t> </w:t>
      </w:r>
      <w:r w:rsidR="009F5FFB" w:rsidRPr="00984A39">
        <w:rPr>
          <w:b/>
          <w:i/>
          <w:noProof/>
        </w:rPr>
        <w:t>zał</w:t>
      </w:r>
      <w:r w:rsidRPr="00984A39">
        <w:rPr>
          <w:b/>
          <w:i/>
          <w:noProof/>
        </w:rPr>
        <w:t xml:space="preserve">ączniku 10 tom I </w:t>
      </w:r>
      <w:bookmarkEnd w:id="2"/>
      <w:r w:rsidRPr="00984A39">
        <w:rPr>
          <w:b/>
          <w:i/>
          <w:noProof/>
        </w:rPr>
        <w:t>dotycząca wsparcia wprowadzenia globalnego systemu nawigacji satelitarnej (GNSS)</w:t>
      </w:r>
      <w:r w:rsidR="009F5FFB" w:rsidRPr="00984A39">
        <w:rPr>
          <w:b/>
          <w:i/>
          <w:noProof/>
        </w:rPr>
        <w:t xml:space="preserve"> o</w:t>
      </w:r>
      <w:r w:rsidR="009F5FFB">
        <w:rPr>
          <w:b/>
          <w:i/>
          <w:noProof/>
        </w:rPr>
        <w:t> </w:t>
      </w:r>
      <w:r w:rsidR="009F5FFB" w:rsidRPr="00984A39">
        <w:rPr>
          <w:b/>
          <w:i/>
          <w:noProof/>
        </w:rPr>
        <w:t>pod</w:t>
      </w:r>
      <w:r w:rsidRPr="00984A39">
        <w:rPr>
          <w:b/>
          <w:i/>
          <w:noProof/>
        </w:rPr>
        <w:t>wójnej częstotliwości</w:t>
      </w:r>
      <w:r w:rsidR="009F5FFB" w:rsidRPr="00984A39">
        <w:rPr>
          <w:b/>
          <w:i/>
          <w:noProof/>
        </w:rPr>
        <w:t xml:space="preserve"> i</w:t>
      </w:r>
      <w:r w:rsidR="009F5FFB">
        <w:rPr>
          <w:b/>
          <w:i/>
          <w:noProof/>
        </w:rPr>
        <w:t> </w:t>
      </w:r>
      <w:r w:rsidR="009F5FFB" w:rsidRPr="00984A39">
        <w:rPr>
          <w:b/>
          <w:i/>
          <w:noProof/>
        </w:rPr>
        <w:t>mul</w:t>
      </w:r>
      <w:r w:rsidRPr="00984A39">
        <w:rPr>
          <w:b/>
          <w:i/>
          <w:noProof/>
        </w:rPr>
        <w:t>tikonstelacji (DFMC) przez dodanie postanowień dotyczących dodatkowych częstotliwości pracy globalnego systemu pozycjonowania (GPS), globalnego systemu nawigacji satelitarnej (GLONASS)</w:t>
      </w:r>
      <w:r w:rsidR="009F5FFB" w:rsidRPr="00984A39">
        <w:rPr>
          <w:b/>
          <w:i/>
          <w:noProof/>
        </w:rPr>
        <w:t xml:space="preserve"> i</w:t>
      </w:r>
      <w:r w:rsidR="009F5FFB">
        <w:rPr>
          <w:b/>
          <w:i/>
          <w:noProof/>
        </w:rPr>
        <w:t> </w:t>
      </w:r>
      <w:r w:rsidR="009F5FFB" w:rsidRPr="00984A39">
        <w:rPr>
          <w:b/>
          <w:i/>
          <w:noProof/>
        </w:rPr>
        <w:t>sys</w:t>
      </w:r>
      <w:r w:rsidRPr="00984A39">
        <w:rPr>
          <w:b/>
          <w:i/>
          <w:noProof/>
        </w:rPr>
        <w:t>temu wspomagającego opartego na wyposażeniu satelitarnym (SBAS) oraz przez wprowadzenie postanowień dotyczących nowego systemu nawigacji satelitarnej BeiDou (BDS)</w:t>
      </w:r>
      <w:r w:rsidR="009F5FFB" w:rsidRPr="00984A39">
        <w:rPr>
          <w:b/>
          <w:i/>
          <w:noProof/>
        </w:rPr>
        <w:t xml:space="preserve"> i</w:t>
      </w:r>
      <w:r w:rsidR="009F5FFB">
        <w:rPr>
          <w:b/>
          <w:i/>
          <w:noProof/>
        </w:rPr>
        <w:t> </w:t>
      </w:r>
      <w:r w:rsidR="009F5FFB" w:rsidRPr="00984A39">
        <w:rPr>
          <w:b/>
          <w:i/>
          <w:noProof/>
        </w:rPr>
        <w:t>sys</w:t>
      </w:r>
      <w:r w:rsidRPr="00984A39">
        <w:rPr>
          <w:b/>
          <w:i/>
          <w:noProof/>
        </w:rPr>
        <w:t>temu Galileo</w:t>
      </w:r>
    </w:p>
    <w:p w14:paraId="48BA1B1F" w14:textId="341A01F8" w:rsidR="00174E7F" w:rsidRPr="00984A39" w:rsidRDefault="00174E7F" w:rsidP="00174E7F">
      <w:pPr>
        <w:ind w:left="360"/>
        <w:rPr>
          <w:noProof/>
        </w:rPr>
      </w:pPr>
      <w:r w:rsidRPr="00984A39">
        <w:rPr>
          <w:noProof/>
        </w:rPr>
        <w:t>Zmiana dotycząca systemu DFMC GNSS ma na celu odzwierciedlenie ciągłego rozwoju globalnej infrastruktury GNSS</w:t>
      </w:r>
      <w:r w:rsidR="009F5FFB" w:rsidRPr="00984A39">
        <w:rPr>
          <w:noProof/>
        </w:rPr>
        <w:t xml:space="preserve"> i</w:t>
      </w:r>
      <w:r w:rsidR="009F5FFB">
        <w:rPr>
          <w:noProof/>
        </w:rPr>
        <w:t> </w:t>
      </w:r>
      <w:r w:rsidR="009F5FFB" w:rsidRPr="00984A39">
        <w:rPr>
          <w:noProof/>
        </w:rPr>
        <w:t>uła</w:t>
      </w:r>
      <w:r w:rsidRPr="00984A39">
        <w:rPr>
          <w:noProof/>
        </w:rPr>
        <w:t>twienie procesu wdrożenia</w:t>
      </w:r>
      <w:r w:rsidR="009F5FFB" w:rsidRPr="00984A39">
        <w:rPr>
          <w:noProof/>
        </w:rPr>
        <w:t xml:space="preserve"> w</w:t>
      </w:r>
      <w:r w:rsidR="009F5FFB">
        <w:rPr>
          <w:noProof/>
        </w:rPr>
        <w:t> </w:t>
      </w:r>
      <w:r w:rsidR="009F5FFB" w:rsidRPr="00984A39">
        <w:rPr>
          <w:noProof/>
        </w:rPr>
        <w:t>kon</w:t>
      </w:r>
      <w:r w:rsidRPr="00984A39">
        <w:rPr>
          <w:noProof/>
        </w:rPr>
        <w:t>tekście międzynarodowego lotnictwa cywilnego</w:t>
      </w:r>
      <w:r w:rsidR="009F5FFB" w:rsidRPr="00984A39">
        <w:rPr>
          <w:noProof/>
        </w:rPr>
        <w:t>. W</w:t>
      </w:r>
      <w:r w:rsidR="009F5FFB">
        <w:rPr>
          <w:noProof/>
        </w:rPr>
        <w:t> </w:t>
      </w:r>
      <w:r w:rsidR="009F5FFB" w:rsidRPr="00984A39">
        <w:rPr>
          <w:noProof/>
        </w:rPr>
        <w:t>ram</w:t>
      </w:r>
      <w:r w:rsidRPr="00984A39">
        <w:rPr>
          <w:noProof/>
        </w:rPr>
        <w:t>ach tego rozwoju liczne konstelacje GNSS, oferujące sygnały</w:t>
      </w:r>
      <w:r w:rsidR="009F5FFB" w:rsidRPr="00984A39">
        <w:rPr>
          <w:noProof/>
        </w:rPr>
        <w:t xml:space="preserve"> o</w:t>
      </w:r>
      <w:r w:rsidR="009F5FFB">
        <w:rPr>
          <w:noProof/>
        </w:rPr>
        <w:t> </w:t>
      </w:r>
      <w:r w:rsidR="009F5FFB" w:rsidRPr="00984A39">
        <w:rPr>
          <w:noProof/>
        </w:rPr>
        <w:t>pod</w:t>
      </w:r>
      <w:r w:rsidRPr="00984A39">
        <w:rPr>
          <w:noProof/>
        </w:rPr>
        <w:t>wójnej częstotliwości, wprowadzane są do użytku przez Stany Zjednoczone (modernizacja GPS), Federację Rosyjską (modernizacja GLONASS), Unię Europejską (konstelacja Galileo)</w:t>
      </w:r>
      <w:r w:rsidR="009F5FFB" w:rsidRPr="00984A39">
        <w:rPr>
          <w:noProof/>
        </w:rPr>
        <w:t xml:space="preserve"> i</w:t>
      </w:r>
      <w:r w:rsidR="009F5FFB">
        <w:rPr>
          <w:noProof/>
        </w:rPr>
        <w:t> </w:t>
      </w:r>
      <w:r w:rsidR="009F5FFB" w:rsidRPr="00984A39">
        <w:rPr>
          <w:noProof/>
        </w:rPr>
        <w:t>Chi</w:t>
      </w:r>
      <w:r w:rsidRPr="00984A39">
        <w:rPr>
          <w:noProof/>
        </w:rPr>
        <w:t>ny (konstelacja systemu nawigacji satelitarnej BeiDou (BDS)). Szereg państw</w:t>
      </w:r>
      <w:r w:rsidR="009F5FFB" w:rsidRPr="00984A39">
        <w:rPr>
          <w:noProof/>
        </w:rPr>
        <w:t xml:space="preserve"> i</w:t>
      </w:r>
      <w:r w:rsidR="009F5FFB">
        <w:rPr>
          <w:noProof/>
        </w:rPr>
        <w:t> </w:t>
      </w:r>
      <w:r w:rsidR="009F5FFB" w:rsidRPr="00984A39">
        <w:rPr>
          <w:noProof/>
        </w:rPr>
        <w:t>reg</w:t>
      </w:r>
      <w:r w:rsidRPr="00984A39">
        <w:rPr>
          <w:noProof/>
        </w:rPr>
        <w:t>ionów planuje również wdrożenie satelitarnych systemów wspomagających DFMC (SBAS). System DFMC GNSS stanowi okazję do dalszego zwiększenia odporności GNSS, osiągów nawigacyjnych</w:t>
      </w:r>
      <w:r w:rsidR="009F5FFB" w:rsidRPr="00984A39">
        <w:rPr>
          <w:noProof/>
        </w:rPr>
        <w:t xml:space="preserve"> i</w:t>
      </w:r>
      <w:r w:rsidR="009F5FFB">
        <w:rPr>
          <w:noProof/>
        </w:rPr>
        <w:t> </w:t>
      </w:r>
      <w:r w:rsidR="009F5FFB" w:rsidRPr="00984A39">
        <w:rPr>
          <w:noProof/>
        </w:rPr>
        <w:t>kor</w:t>
      </w:r>
      <w:r w:rsidRPr="00984A39">
        <w:rPr>
          <w:noProof/>
        </w:rPr>
        <w:t>zyści operacyjnych. Stosowanie podwójnych częstotliwości pomoże zmniejszyć podatność na zakłócenia jonosferyczne</w:t>
      </w:r>
      <w:r w:rsidR="009F5FFB" w:rsidRPr="00984A39">
        <w:rPr>
          <w:noProof/>
        </w:rPr>
        <w:t xml:space="preserve"> i</w:t>
      </w:r>
      <w:r w:rsidR="009F5FFB">
        <w:rPr>
          <w:noProof/>
        </w:rPr>
        <w:t> </w:t>
      </w:r>
      <w:r w:rsidR="009F5FFB" w:rsidRPr="00984A39">
        <w:rPr>
          <w:noProof/>
        </w:rPr>
        <w:t>zak</w:t>
      </w:r>
      <w:r w:rsidRPr="00984A39">
        <w:rPr>
          <w:noProof/>
        </w:rPr>
        <w:t>łócenia częstotliwości radiowych. Dostępność wielu konstelacji przyczyni się do ograniczenia wpływu scyntylacji jonosfery oraz ryzyka, że satelity dostępne</w:t>
      </w:r>
      <w:r w:rsidR="009F5FFB" w:rsidRPr="00984A39">
        <w:rPr>
          <w:noProof/>
        </w:rPr>
        <w:t xml:space="preserve"> w</w:t>
      </w:r>
      <w:r w:rsidR="009F5FFB">
        <w:rPr>
          <w:noProof/>
        </w:rPr>
        <w:t> </w:t>
      </w:r>
      <w:r w:rsidR="009F5FFB" w:rsidRPr="00984A39">
        <w:rPr>
          <w:noProof/>
        </w:rPr>
        <w:t>ram</w:t>
      </w:r>
      <w:r w:rsidRPr="00984A39">
        <w:rPr>
          <w:noProof/>
        </w:rPr>
        <w:t>ach jednej konstelacji będą niewystarczające. Wspomniane usprawnienia techniczne umożliwią osiągnięcie korzyści operacyjnych pod względem bezpieczeństwa</w:t>
      </w:r>
      <w:r w:rsidR="009F5FFB" w:rsidRPr="00984A39">
        <w:rPr>
          <w:noProof/>
        </w:rPr>
        <w:t xml:space="preserve"> i</w:t>
      </w:r>
      <w:r w:rsidR="009F5FFB">
        <w:rPr>
          <w:noProof/>
        </w:rPr>
        <w:t> </w:t>
      </w:r>
      <w:r w:rsidR="009F5FFB" w:rsidRPr="00984A39">
        <w:rPr>
          <w:noProof/>
        </w:rPr>
        <w:t>efe</w:t>
      </w:r>
      <w:r w:rsidRPr="00984A39">
        <w:rPr>
          <w:noProof/>
        </w:rPr>
        <w:t>ktywności, takich jak: większa niezawodność operacyjna</w:t>
      </w:r>
      <w:r w:rsidR="009F5FFB" w:rsidRPr="00984A39">
        <w:rPr>
          <w:noProof/>
        </w:rPr>
        <w:t xml:space="preserve"> w</w:t>
      </w:r>
      <w:r w:rsidR="009F5FFB">
        <w:rPr>
          <w:noProof/>
        </w:rPr>
        <w:t> </w:t>
      </w:r>
      <w:r w:rsidR="009F5FFB" w:rsidRPr="00984A39">
        <w:rPr>
          <w:noProof/>
        </w:rPr>
        <w:t>zas</w:t>
      </w:r>
      <w:r w:rsidRPr="00984A39">
        <w:rPr>
          <w:noProof/>
        </w:rPr>
        <w:t>tosowaniach łączności, nawigacji</w:t>
      </w:r>
      <w:r w:rsidR="009F5FFB" w:rsidRPr="00984A39">
        <w:rPr>
          <w:noProof/>
        </w:rPr>
        <w:t xml:space="preserve"> i</w:t>
      </w:r>
      <w:r w:rsidR="009F5FFB">
        <w:rPr>
          <w:noProof/>
        </w:rPr>
        <w:t> </w:t>
      </w:r>
      <w:r w:rsidR="009F5FFB" w:rsidRPr="00984A39">
        <w:rPr>
          <w:noProof/>
        </w:rPr>
        <w:t>doz</w:t>
      </w:r>
      <w:r w:rsidRPr="00984A39">
        <w:rPr>
          <w:noProof/>
        </w:rPr>
        <w:t>orowania (CNS), szersze upowszechnienie na całym świecie trójwymiarowych (3D) operacji podejścia do lądowania według wskazań przyrządów zgodnie</w:t>
      </w:r>
      <w:r w:rsidR="009F5FFB" w:rsidRPr="00984A39">
        <w:rPr>
          <w:noProof/>
        </w:rPr>
        <w:t xml:space="preserve"> z</w:t>
      </w:r>
      <w:r w:rsidR="009F5FFB">
        <w:rPr>
          <w:noProof/>
        </w:rPr>
        <w:t> </w:t>
      </w:r>
      <w:r w:rsidR="009F5FFB" w:rsidRPr="00984A39">
        <w:rPr>
          <w:noProof/>
        </w:rPr>
        <w:t>glo</w:t>
      </w:r>
      <w:r w:rsidRPr="00984A39">
        <w:rPr>
          <w:noProof/>
        </w:rPr>
        <w:t>balnymi celami</w:t>
      </w:r>
      <w:r w:rsidR="009F5FFB" w:rsidRPr="00984A39">
        <w:rPr>
          <w:noProof/>
        </w:rPr>
        <w:t xml:space="preserve"> w</w:t>
      </w:r>
      <w:r w:rsidR="009F5FFB">
        <w:rPr>
          <w:noProof/>
        </w:rPr>
        <w:t> </w:t>
      </w:r>
      <w:r w:rsidR="009F5FFB" w:rsidRPr="00984A39">
        <w:rPr>
          <w:noProof/>
        </w:rPr>
        <w:t>zak</w:t>
      </w:r>
      <w:r w:rsidRPr="00984A39">
        <w:rPr>
          <w:noProof/>
        </w:rPr>
        <w:t>resie nawigacji opartej na charakterystykach (PBN), wprowadzenie innowacyjnych koncepcji</w:t>
      </w:r>
      <w:r w:rsidR="009F5FFB" w:rsidRPr="00984A39">
        <w:rPr>
          <w:noProof/>
        </w:rPr>
        <w:t xml:space="preserve"> i</w:t>
      </w:r>
      <w:r w:rsidR="009F5FFB">
        <w:rPr>
          <w:noProof/>
        </w:rPr>
        <w:t> </w:t>
      </w:r>
      <w:r w:rsidR="009F5FFB" w:rsidRPr="00984A39">
        <w:rPr>
          <w:noProof/>
        </w:rPr>
        <w:t>zas</w:t>
      </w:r>
      <w:r w:rsidRPr="00984A39">
        <w:rPr>
          <w:noProof/>
        </w:rPr>
        <w:t>tosowań operacyjnych oraz ciągła racjonalizacja konwencjonalnych pomocy nawigacyjnych.</w:t>
      </w:r>
    </w:p>
    <w:p w14:paraId="26AF51B3" w14:textId="34916F27" w:rsidR="00174E7F" w:rsidRPr="00984A39" w:rsidRDefault="00174E7F" w:rsidP="005C0C8E">
      <w:pPr>
        <w:pStyle w:val="Tiret0"/>
        <w:rPr>
          <w:b/>
          <w:i/>
          <w:noProof/>
        </w:rPr>
      </w:pPr>
      <w:r w:rsidRPr="00984A39">
        <w:rPr>
          <w:b/>
          <w:i/>
          <w:noProof/>
        </w:rPr>
        <w:t>Zmiana nr 93</w:t>
      </w:r>
      <w:r w:rsidR="009F5FFB" w:rsidRPr="00984A39">
        <w:rPr>
          <w:b/>
          <w:i/>
          <w:noProof/>
        </w:rPr>
        <w:t xml:space="preserve"> w</w:t>
      </w:r>
      <w:r w:rsidR="009F5FFB">
        <w:rPr>
          <w:b/>
          <w:i/>
          <w:noProof/>
        </w:rPr>
        <w:t> </w:t>
      </w:r>
      <w:r w:rsidR="009F5FFB" w:rsidRPr="00984A39">
        <w:rPr>
          <w:b/>
          <w:i/>
          <w:noProof/>
        </w:rPr>
        <w:t>zał</w:t>
      </w:r>
      <w:r w:rsidRPr="00984A39">
        <w:rPr>
          <w:b/>
          <w:i/>
          <w:noProof/>
        </w:rPr>
        <w:t>ączniku 10 tom I dotycząca wsparcia ograniczenia wpływu gradientu jonosferycznego na system wspomagający oparty na urządzeniach naziemnych (GBAS)</w:t>
      </w:r>
      <w:bookmarkStart w:id="3" w:name="_Hlk122010275"/>
    </w:p>
    <w:p w14:paraId="2EDE06E9" w14:textId="07410A18" w:rsidR="00174E7F" w:rsidRPr="00984A39" w:rsidRDefault="00174E7F" w:rsidP="00174E7F">
      <w:pPr>
        <w:ind w:left="360"/>
        <w:rPr>
          <w:noProof/>
        </w:rPr>
      </w:pPr>
      <w:r w:rsidRPr="00984A39">
        <w:rPr>
          <w:noProof/>
        </w:rPr>
        <w:t>Zmiana ta ma umożliwić portom lotniczym optymalizację zasięgu usługi GBAS, przy założeniu, że utrzymana zostanie odpowiednia dostępność tej usługi. Jest to szczególnie potrzebne</w:t>
      </w:r>
      <w:r w:rsidR="009F5FFB" w:rsidRPr="00984A39">
        <w:rPr>
          <w:noProof/>
        </w:rPr>
        <w:t xml:space="preserve"> w</w:t>
      </w:r>
      <w:r w:rsidR="009F5FFB">
        <w:rPr>
          <w:noProof/>
        </w:rPr>
        <w:t> </w:t>
      </w:r>
      <w:r w:rsidR="009F5FFB" w:rsidRPr="00984A39">
        <w:rPr>
          <w:noProof/>
        </w:rPr>
        <w:t>prz</w:t>
      </w:r>
      <w:r w:rsidRPr="00984A39">
        <w:rPr>
          <w:noProof/>
        </w:rPr>
        <w:t>ypadku dużego portu lotniczego lub pojedynczej stacji naziemnej GBAS obsługującej wiele pasów startowych, ponieważ obecne SARPs pośrednio ograniczają maksymalną dopuszczalną odległość między stacją naziemną</w:t>
      </w:r>
      <w:r w:rsidR="009F5FFB" w:rsidRPr="00984A39">
        <w:rPr>
          <w:noProof/>
        </w:rPr>
        <w:t xml:space="preserve"> a</w:t>
      </w:r>
      <w:r w:rsidR="009F5FFB">
        <w:rPr>
          <w:noProof/>
        </w:rPr>
        <w:t> </w:t>
      </w:r>
      <w:r w:rsidR="009F5FFB" w:rsidRPr="00984A39">
        <w:rPr>
          <w:noProof/>
        </w:rPr>
        <w:t>pro</w:t>
      </w:r>
      <w:r w:rsidRPr="00984A39">
        <w:rPr>
          <w:noProof/>
        </w:rPr>
        <w:t>giem(-ami) drogi startowej.</w:t>
      </w:r>
    </w:p>
    <w:bookmarkEnd w:id="3"/>
    <w:p w14:paraId="16BBEC0B" w14:textId="593401DC" w:rsidR="00174E7F" w:rsidRPr="00984A39" w:rsidRDefault="00174E7F" w:rsidP="0077011D">
      <w:pPr>
        <w:rPr>
          <w:noProof/>
        </w:rPr>
      </w:pPr>
      <w:r w:rsidRPr="00984A39">
        <w:rPr>
          <w:noProof/>
        </w:rPr>
        <w:t>Przewiduje się, że zmiana ta zacznie obowiązywać</w:t>
      </w:r>
      <w:r w:rsidR="009F5FFB" w:rsidRPr="00984A39">
        <w:rPr>
          <w:noProof/>
        </w:rPr>
        <w:t xml:space="preserve"> z</w:t>
      </w:r>
      <w:r w:rsidR="009F5FFB">
        <w:rPr>
          <w:noProof/>
        </w:rPr>
        <w:t> </w:t>
      </w:r>
      <w:r w:rsidR="009F5FFB" w:rsidRPr="00984A39">
        <w:rPr>
          <w:noProof/>
        </w:rPr>
        <w:t>dni</w:t>
      </w:r>
      <w:r w:rsidRPr="00984A39">
        <w:rPr>
          <w:noProof/>
        </w:rPr>
        <w:t>em 2 listopada 20</w:t>
      </w:r>
      <w:r w:rsidRPr="009F5FFB">
        <w:rPr>
          <w:noProof/>
        </w:rPr>
        <w:t>23</w:t>
      </w:r>
      <w:r w:rsidR="009F5FFB" w:rsidRPr="009F5FFB">
        <w:rPr>
          <w:noProof/>
        </w:rPr>
        <w:t> </w:t>
      </w:r>
      <w:r w:rsidRPr="009F5FFB">
        <w:rPr>
          <w:noProof/>
        </w:rPr>
        <w:t>r.</w:t>
      </w:r>
      <w:r w:rsidRPr="00984A39">
        <w:rPr>
          <w:noProof/>
        </w:rPr>
        <w:t xml:space="preserve"> </w:t>
      </w:r>
    </w:p>
    <w:p w14:paraId="425B1BD7" w14:textId="45D1EAA5" w:rsidR="00174E7F" w:rsidRPr="00984A39" w:rsidRDefault="00E84D33" w:rsidP="00E84D33">
      <w:pPr>
        <w:pStyle w:val="ManualHeading1"/>
        <w:rPr>
          <w:rFonts w:eastAsia="Arial Unicode MS"/>
          <w:noProof/>
        </w:rPr>
      </w:pPr>
      <w:r w:rsidRPr="00E84D33">
        <w:t>3.</w:t>
      </w:r>
      <w:r w:rsidRPr="00E84D33">
        <w:tab/>
      </w:r>
      <w:r w:rsidR="00174E7F" w:rsidRPr="00984A39">
        <w:rPr>
          <w:noProof/>
        </w:rPr>
        <w:t>Stanowisko, jakie należy zająć</w:t>
      </w:r>
      <w:r w:rsidR="009F5FFB" w:rsidRPr="00984A39">
        <w:rPr>
          <w:noProof/>
        </w:rPr>
        <w:t xml:space="preserve"> w</w:t>
      </w:r>
      <w:r w:rsidR="009F5FFB">
        <w:rPr>
          <w:noProof/>
        </w:rPr>
        <w:t> </w:t>
      </w:r>
      <w:r w:rsidR="009F5FFB" w:rsidRPr="00984A39">
        <w:rPr>
          <w:noProof/>
        </w:rPr>
        <w:t>imi</w:t>
      </w:r>
      <w:r w:rsidR="00174E7F" w:rsidRPr="00984A39">
        <w:rPr>
          <w:noProof/>
        </w:rPr>
        <w:t>eniu Unii</w:t>
      </w:r>
    </w:p>
    <w:p w14:paraId="3C47E9A3" w14:textId="024FADF9" w:rsidR="00174E7F" w:rsidRPr="00984A39" w:rsidRDefault="00E84D33" w:rsidP="00E84D33">
      <w:pPr>
        <w:pStyle w:val="ManualHeading2"/>
        <w:rPr>
          <w:noProof/>
        </w:rPr>
      </w:pPr>
      <w:r w:rsidRPr="00E84D33">
        <w:t>3.1.</w:t>
      </w:r>
      <w:r w:rsidRPr="00E84D33">
        <w:tab/>
      </w:r>
      <w:r w:rsidR="00174E7F" w:rsidRPr="00984A39">
        <w:rPr>
          <w:noProof/>
        </w:rPr>
        <w:t>Proponowane zmiany</w:t>
      </w:r>
      <w:r w:rsidR="009F5FFB" w:rsidRPr="00984A39">
        <w:rPr>
          <w:noProof/>
        </w:rPr>
        <w:t xml:space="preserve"> i</w:t>
      </w:r>
      <w:r w:rsidR="009F5FFB">
        <w:rPr>
          <w:noProof/>
        </w:rPr>
        <w:t> </w:t>
      </w:r>
      <w:r w:rsidR="009F5FFB" w:rsidRPr="00984A39">
        <w:rPr>
          <w:noProof/>
        </w:rPr>
        <w:t>ich</w:t>
      </w:r>
      <w:r w:rsidR="00174E7F" w:rsidRPr="00984A39">
        <w:rPr>
          <w:noProof/>
        </w:rPr>
        <w:t xml:space="preserve"> związek</w:t>
      </w:r>
      <w:r w:rsidR="009F5FFB" w:rsidRPr="00984A39">
        <w:rPr>
          <w:noProof/>
        </w:rPr>
        <w:t xml:space="preserve"> z</w:t>
      </w:r>
      <w:r w:rsidR="009F5FFB">
        <w:rPr>
          <w:noProof/>
        </w:rPr>
        <w:t> </w:t>
      </w:r>
      <w:r w:rsidR="009F5FFB" w:rsidRPr="00984A39">
        <w:rPr>
          <w:noProof/>
        </w:rPr>
        <w:t>obo</w:t>
      </w:r>
      <w:r w:rsidR="00174E7F" w:rsidRPr="00984A39">
        <w:rPr>
          <w:noProof/>
        </w:rPr>
        <w:t>wiązującymi przepisami Unii</w:t>
      </w:r>
    </w:p>
    <w:p w14:paraId="2DDAE696" w14:textId="015EECDB" w:rsidR="00174E7F" w:rsidRPr="00984A39" w:rsidRDefault="00174E7F" w:rsidP="00174E7F">
      <w:pPr>
        <w:spacing w:after="0"/>
        <w:ind w:left="-5"/>
        <w:rPr>
          <w:b/>
          <w:bCs/>
          <w:i/>
          <w:iCs/>
          <w:noProof/>
        </w:rPr>
      </w:pPr>
      <w:r w:rsidRPr="00984A39">
        <w:rPr>
          <w:b/>
          <w:i/>
          <w:noProof/>
        </w:rPr>
        <w:t>Zmiana nr 93</w:t>
      </w:r>
      <w:r w:rsidR="009F5FFB" w:rsidRPr="00984A39">
        <w:rPr>
          <w:b/>
          <w:i/>
          <w:noProof/>
        </w:rPr>
        <w:t xml:space="preserve"> w</w:t>
      </w:r>
      <w:r w:rsidR="009F5FFB">
        <w:rPr>
          <w:b/>
          <w:i/>
          <w:noProof/>
        </w:rPr>
        <w:t> </w:t>
      </w:r>
      <w:r w:rsidR="009F5FFB" w:rsidRPr="00984A39">
        <w:rPr>
          <w:b/>
          <w:i/>
          <w:noProof/>
        </w:rPr>
        <w:t>zał</w:t>
      </w:r>
      <w:r w:rsidRPr="00984A39">
        <w:rPr>
          <w:b/>
          <w:i/>
          <w:noProof/>
        </w:rPr>
        <w:t xml:space="preserve">ączniku 10 tom I dotycząca </w:t>
      </w:r>
      <w:bookmarkStart w:id="4" w:name="_Hlk121317291"/>
      <w:r w:rsidRPr="00984A39">
        <w:rPr>
          <w:b/>
          <w:i/>
          <w:noProof/>
        </w:rPr>
        <w:t>wsparcia wprowadzenia globalnego systemu nawigacji satelitarnej (GNSS)</w:t>
      </w:r>
      <w:r w:rsidR="009F5FFB" w:rsidRPr="00984A39">
        <w:rPr>
          <w:b/>
          <w:i/>
          <w:noProof/>
        </w:rPr>
        <w:t xml:space="preserve"> o</w:t>
      </w:r>
      <w:r w:rsidR="009F5FFB">
        <w:rPr>
          <w:b/>
          <w:i/>
          <w:noProof/>
        </w:rPr>
        <w:t> </w:t>
      </w:r>
      <w:r w:rsidR="009F5FFB" w:rsidRPr="00984A39">
        <w:rPr>
          <w:b/>
          <w:i/>
          <w:noProof/>
        </w:rPr>
        <w:t>pod</w:t>
      </w:r>
      <w:r w:rsidRPr="00984A39">
        <w:rPr>
          <w:b/>
          <w:i/>
          <w:noProof/>
        </w:rPr>
        <w:t>wójnej częstotliwości</w:t>
      </w:r>
      <w:r w:rsidR="009F5FFB" w:rsidRPr="00984A39">
        <w:rPr>
          <w:b/>
          <w:i/>
          <w:noProof/>
        </w:rPr>
        <w:t xml:space="preserve"> i</w:t>
      </w:r>
      <w:r w:rsidR="009F5FFB">
        <w:rPr>
          <w:b/>
          <w:i/>
          <w:noProof/>
        </w:rPr>
        <w:t> </w:t>
      </w:r>
      <w:r w:rsidR="009F5FFB" w:rsidRPr="00984A39">
        <w:rPr>
          <w:b/>
          <w:i/>
          <w:noProof/>
        </w:rPr>
        <w:t>mul</w:t>
      </w:r>
      <w:r w:rsidRPr="00984A39">
        <w:rPr>
          <w:b/>
          <w:i/>
          <w:noProof/>
        </w:rPr>
        <w:t>tikonstelacji (DFMC) przez dodanie postanowień dotyczących dodatkowych częstotliwości pracy globalnego systemu pozycjonowania (GPS), globalnego systemu nawigacji satelitarnej (GLONASS)</w:t>
      </w:r>
      <w:r w:rsidR="009F5FFB" w:rsidRPr="00984A39">
        <w:rPr>
          <w:b/>
          <w:i/>
          <w:noProof/>
        </w:rPr>
        <w:t xml:space="preserve"> i</w:t>
      </w:r>
      <w:r w:rsidR="009F5FFB">
        <w:rPr>
          <w:b/>
          <w:i/>
          <w:noProof/>
        </w:rPr>
        <w:t> </w:t>
      </w:r>
      <w:r w:rsidR="009F5FFB" w:rsidRPr="00984A39">
        <w:rPr>
          <w:b/>
          <w:i/>
          <w:noProof/>
        </w:rPr>
        <w:t>sys</w:t>
      </w:r>
      <w:r w:rsidRPr="00984A39">
        <w:rPr>
          <w:b/>
          <w:i/>
          <w:noProof/>
        </w:rPr>
        <w:t>temu wspomagającego opartego na wyposażeniu satelitarnym (SBAS) oraz przez wprowadzenie postanowień dotyczących nowego systemu nawigacji satelitarnej BeiDou (BDS)</w:t>
      </w:r>
      <w:r w:rsidR="009F5FFB" w:rsidRPr="00984A39">
        <w:rPr>
          <w:b/>
          <w:i/>
          <w:noProof/>
        </w:rPr>
        <w:t xml:space="preserve"> i</w:t>
      </w:r>
      <w:r w:rsidR="009F5FFB">
        <w:rPr>
          <w:b/>
          <w:i/>
          <w:noProof/>
        </w:rPr>
        <w:t> </w:t>
      </w:r>
      <w:r w:rsidR="009F5FFB" w:rsidRPr="00984A39">
        <w:rPr>
          <w:b/>
          <w:i/>
          <w:noProof/>
        </w:rPr>
        <w:t>sys</w:t>
      </w:r>
      <w:r w:rsidRPr="00984A39">
        <w:rPr>
          <w:b/>
          <w:i/>
          <w:noProof/>
        </w:rPr>
        <w:t>temu Galileo</w:t>
      </w:r>
      <w:bookmarkEnd w:id="4"/>
    </w:p>
    <w:p w14:paraId="41CCD033" w14:textId="6519C58E" w:rsidR="00174E7F" w:rsidRPr="00984A39" w:rsidRDefault="00174E7F" w:rsidP="00174E7F">
      <w:pPr>
        <w:spacing w:after="157"/>
        <w:ind w:left="-5"/>
        <w:rPr>
          <w:noProof/>
        </w:rPr>
      </w:pPr>
      <w:r w:rsidRPr="00984A39">
        <w:rPr>
          <w:noProof/>
        </w:rPr>
        <w:t>Przedmiotowa zmiana</w:t>
      </w:r>
      <w:r w:rsidR="009F5FFB" w:rsidRPr="00984A39">
        <w:rPr>
          <w:noProof/>
        </w:rPr>
        <w:t xml:space="preserve"> w</w:t>
      </w:r>
      <w:r w:rsidR="009F5FFB">
        <w:rPr>
          <w:noProof/>
        </w:rPr>
        <w:t> </w:t>
      </w:r>
      <w:r w:rsidR="009F5FFB" w:rsidRPr="00984A39">
        <w:rPr>
          <w:noProof/>
        </w:rPr>
        <w:t>tom</w:t>
      </w:r>
      <w:r w:rsidRPr="00984A39">
        <w:rPr>
          <w:noProof/>
        </w:rPr>
        <w:t>ie I załącznika 10 ICAO ma wpływ na rozporządzenie wykonawcze Komisji (UE) 2017/373</w:t>
      </w:r>
      <w:r w:rsidR="009F5FFB" w:rsidRPr="00984A39">
        <w:rPr>
          <w:noProof/>
        </w:rPr>
        <w:t xml:space="preserve"> z</w:t>
      </w:r>
      <w:r w:rsidR="009F5FFB">
        <w:rPr>
          <w:noProof/>
        </w:rPr>
        <w:t> </w:t>
      </w:r>
      <w:r w:rsidR="009F5FFB" w:rsidRPr="00984A39">
        <w:rPr>
          <w:noProof/>
        </w:rPr>
        <w:t>dni</w:t>
      </w:r>
      <w:r w:rsidRPr="00984A39">
        <w:rPr>
          <w:noProof/>
        </w:rPr>
        <w:t>a 1 marca 20</w:t>
      </w:r>
      <w:r w:rsidRPr="009F5FFB">
        <w:rPr>
          <w:noProof/>
        </w:rPr>
        <w:t>17</w:t>
      </w:r>
      <w:r w:rsidR="009F5FFB" w:rsidRPr="009F5FFB">
        <w:rPr>
          <w:noProof/>
        </w:rPr>
        <w:t> </w:t>
      </w:r>
      <w:r w:rsidRPr="009F5FFB">
        <w:rPr>
          <w:noProof/>
        </w:rPr>
        <w:t>r.</w:t>
      </w:r>
      <w:r w:rsidRPr="00984A39">
        <w:rPr>
          <w:noProof/>
        </w:rPr>
        <w:t xml:space="preserve"> ustanawiające wspólne wymogi dotyczące instytucji zapewniających zarządzanie ruchem lotniczym/służby żeglugi powietrznej</w:t>
      </w:r>
      <w:r w:rsidR="009F5FFB" w:rsidRPr="00984A39">
        <w:rPr>
          <w:noProof/>
        </w:rPr>
        <w:t xml:space="preserve"> i</w:t>
      </w:r>
      <w:r w:rsidR="009F5FFB">
        <w:rPr>
          <w:noProof/>
        </w:rPr>
        <w:t> </w:t>
      </w:r>
      <w:r w:rsidR="009F5FFB" w:rsidRPr="00984A39">
        <w:rPr>
          <w:noProof/>
        </w:rPr>
        <w:t>inn</w:t>
      </w:r>
      <w:r w:rsidRPr="00984A39">
        <w:rPr>
          <w:noProof/>
        </w:rPr>
        <w:t>e funkcje sieciowe zarządzania ruchem lotniczym oraz nadzoru nad nimi</w:t>
      </w:r>
      <w:r w:rsidR="009F5FFB" w:rsidRPr="00984A39">
        <w:rPr>
          <w:noProof/>
        </w:rPr>
        <w:t>. W</w:t>
      </w:r>
      <w:r w:rsidR="009F5FFB">
        <w:rPr>
          <w:noProof/>
        </w:rPr>
        <w:t> </w:t>
      </w:r>
      <w:r w:rsidR="009F5FFB" w:rsidRPr="00984A39">
        <w:rPr>
          <w:noProof/>
        </w:rPr>
        <w:t>pkt</w:t>
      </w:r>
      <w:r w:rsidRPr="00984A39">
        <w:rPr>
          <w:noProof/>
        </w:rPr>
        <w:t xml:space="preserve"> CNS.TR.100 </w:t>
      </w:r>
      <w:r w:rsidRPr="009F5FFB">
        <w:rPr>
          <w:noProof/>
        </w:rPr>
        <w:t>lit.</w:t>
      </w:r>
      <w:r w:rsidR="009F5FFB" w:rsidRPr="009F5FFB">
        <w:rPr>
          <w:noProof/>
        </w:rPr>
        <w:t> </w:t>
      </w:r>
      <w:r w:rsidRPr="009F5FFB">
        <w:rPr>
          <w:noProof/>
        </w:rPr>
        <w:t>a)</w:t>
      </w:r>
      <w:r w:rsidRPr="00984A39">
        <w:rPr>
          <w:noProof/>
        </w:rPr>
        <w:t xml:space="preserve"> załącznika VIII (część CNS) do rozporządzenia (UE) 2017/373 należy zmodyfikować odniesienie</w:t>
      </w:r>
      <w:r w:rsidR="009F5FFB" w:rsidRPr="00984A39">
        <w:rPr>
          <w:noProof/>
        </w:rPr>
        <w:t xml:space="preserve"> w</w:t>
      </w:r>
      <w:r w:rsidR="009F5FFB">
        <w:rPr>
          <w:noProof/>
        </w:rPr>
        <w:t> </w:t>
      </w:r>
      <w:r w:rsidR="009F5FFB" w:rsidRPr="00984A39">
        <w:rPr>
          <w:noProof/>
        </w:rPr>
        <w:t>cel</w:t>
      </w:r>
      <w:r w:rsidRPr="00984A39">
        <w:rPr>
          <w:noProof/>
        </w:rPr>
        <w:t>u uwzględnienia ostatniej zmiany</w:t>
      </w:r>
      <w:r w:rsidR="009F5FFB" w:rsidRPr="00984A39">
        <w:rPr>
          <w:noProof/>
        </w:rPr>
        <w:t xml:space="preserve"> w</w:t>
      </w:r>
      <w:r w:rsidR="009F5FFB">
        <w:rPr>
          <w:noProof/>
        </w:rPr>
        <w:t> </w:t>
      </w:r>
      <w:r w:rsidR="009F5FFB" w:rsidRPr="00984A39">
        <w:rPr>
          <w:noProof/>
        </w:rPr>
        <w:t>tom</w:t>
      </w:r>
      <w:r w:rsidRPr="00984A39">
        <w:rPr>
          <w:noProof/>
        </w:rPr>
        <w:t>ie I.</w:t>
      </w:r>
    </w:p>
    <w:p w14:paraId="695C07D8" w14:textId="6FFDD2E4" w:rsidR="00174E7F" w:rsidRPr="00984A39" w:rsidRDefault="00174E7F" w:rsidP="00174E7F">
      <w:pPr>
        <w:spacing w:after="0"/>
        <w:ind w:left="-5"/>
        <w:rPr>
          <w:b/>
          <w:bCs/>
          <w:i/>
          <w:iCs/>
          <w:noProof/>
        </w:rPr>
      </w:pPr>
      <w:r w:rsidRPr="00984A39">
        <w:rPr>
          <w:b/>
          <w:i/>
          <w:noProof/>
        </w:rPr>
        <w:t>Zmiana nr 93</w:t>
      </w:r>
      <w:r w:rsidR="009F5FFB" w:rsidRPr="00984A39">
        <w:rPr>
          <w:b/>
          <w:i/>
          <w:noProof/>
        </w:rPr>
        <w:t xml:space="preserve"> w</w:t>
      </w:r>
      <w:r w:rsidR="009F5FFB">
        <w:rPr>
          <w:b/>
          <w:i/>
          <w:noProof/>
        </w:rPr>
        <w:t> </w:t>
      </w:r>
      <w:r w:rsidR="009F5FFB" w:rsidRPr="00984A39">
        <w:rPr>
          <w:b/>
          <w:i/>
          <w:noProof/>
        </w:rPr>
        <w:t>zał</w:t>
      </w:r>
      <w:r w:rsidRPr="00984A39">
        <w:rPr>
          <w:b/>
          <w:i/>
          <w:noProof/>
        </w:rPr>
        <w:t>ączniku 10 tom I dotycząca wsparcia ograniczenia wpływu gradientu jonosferycznego na system wspomagający oparty na urządzeniach naziemnych (GBAS)</w:t>
      </w:r>
    </w:p>
    <w:p w14:paraId="0AA5E913" w14:textId="7D66D464" w:rsidR="00174E7F" w:rsidRPr="00984A39" w:rsidRDefault="00174E7F" w:rsidP="00174E7F">
      <w:pPr>
        <w:spacing w:after="157"/>
        <w:ind w:left="-5"/>
        <w:rPr>
          <w:noProof/>
        </w:rPr>
      </w:pPr>
      <w:r w:rsidRPr="00984A39">
        <w:rPr>
          <w:noProof/>
        </w:rPr>
        <w:t>Przedmiotowa zmiana</w:t>
      </w:r>
      <w:r w:rsidR="009F5FFB" w:rsidRPr="00984A39">
        <w:rPr>
          <w:noProof/>
        </w:rPr>
        <w:t xml:space="preserve"> w</w:t>
      </w:r>
      <w:r w:rsidR="009F5FFB">
        <w:rPr>
          <w:noProof/>
        </w:rPr>
        <w:t> </w:t>
      </w:r>
      <w:r w:rsidR="009F5FFB" w:rsidRPr="00984A39">
        <w:rPr>
          <w:noProof/>
        </w:rPr>
        <w:t>tom</w:t>
      </w:r>
      <w:r w:rsidRPr="00984A39">
        <w:rPr>
          <w:noProof/>
        </w:rPr>
        <w:t>ie I załącznika 10 ICAO również ma wpływ na rozporządzenie wykonawcze Komisji (UE) 2017/373</w:t>
      </w:r>
      <w:r w:rsidR="009F5FFB" w:rsidRPr="00984A39">
        <w:rPr>
          <w:noProof/>
        </w:rPr>
        <w:t xml:space="preserve"> z</w:t>
      </w:r>
      <w:r w:rsidR="009F5FFB">
        <w:rPr>
          <w:noProof/>
        </w:rPr>
        <w:t> </w:t>
      </w:r>
      <w:r w:rsidR="009F5FFB" w:rsidRPr="00984A39">
        <w:rPr>
          <w:noProof/>
        </w:rPr>
        <w:t>dni</w:t>
      </w:r>
      <w:r w:rsidRPr="00984A39">
        <w:rPr>
          <w:noProof/>
        </w:rPr>
        <w:t>a 1 marca 20</w:t>
      </w:r>
      <w:r w:rsidRPr="009F5FFB">
        <w:rPr>
          <w:noProof/>
        </w:rPr>
        <w:t>17</w:t>
      </w:r>
      <w:r w:rsidR="009F5FFB" w:rsidRPr="009F5FFB">
        <w:rPr>
          <w:noProof/>
        </w:rPr>
        <w:t> </w:t>
      </w:r>
      <w:r w:rsidRPr="009F5FFB">
        <w:rPr>
          <w:noProof/>
        </w:rPr>
        <w:t>r.</w:t>
      </w:r>
      <w:r w:rsidRPr="00984A39">
        <w:rPr>
          <w:noProof/>
        </w:rPr>
        <w:t xml:space="preserve"> ustanawiające wspólne wymogi dotyczące instytucji zapewniających zarządzanie ruchem lotniczym/służby żeglugi powietrznej</w:t>
      </w:r>
      <w:r w:rsidR="009F5FFB" w:rsidRPr="00984A39">
        <w:rPr>
          <w:noProof/>
        </w:rPr>
        <w:t xml:space="preserve"> i</w:t>
      </w:r>
      <w:r w:rsidR="009F5FFB">
        <w:rPr>
          <w:noProof/>
        </w:rPr>
        <w:t> </w:t>
      </w:r>
      <w:r w:rsidR="009F5FFB" w:rsidRPr="00984A39">
        <w:rPr>
          <w:noProof/>
        </w:rPr>
        <w:t>inn</w:t>
      </w:r>
      <w:r w:rsidRPr="00984A39">
        <w:rPr>
          <w:noProof/>
        </w:rPr>
        <w:t>e funkcje sieciowe zarządzania ruchem lotniczym oraz nadzoru nad nimi</w:t>
      </w:r>
      <w:r w:rsidR="009F5FFB" w:rsidRPr="00984A39">
        <w:rPr>
          <w:noProof/>
        </w:rPr>
        <w:t>. W</w:t>
      </w:r>
      <w:r w:rsidR="009F5FFB">
        <w:rPr>
          <w:noProof/>
        </w:rPr>
        <w:t> </w:t>
      </w:r>
      <w:r w:rsidR="009F5FFB" w:rsidRPr="00984A39">
        <w:rPr>
          <w:noProof/>
        </w:rPr>
        <w:t>pkt</w:t>
      </w:r>
      <w:r w:rsidRPr="00984A39">
        <w:rPr>
          <w:noProof/>
        </w:rPr>
        <w:t xml:space="preserve"> CNS.TR.100 </w:t>
      </w:r>
      <w:r w:rsidRPr="009F5FFB">
        <w:rPr>
          <w:noProof/>
        </w:rPr>
        <w:t>lit.</w:t>
      </w:r>
      <w:r w:rsidR="009F5FFB" w:rsidRPr="009F5FFB">
        <w:rPr>
          <w:noProof/>
        </w:rPr>
        <w:t> </w:t>
      </w:r>
      <w:r w:rsidRPr="009F5FFB">
        <w:rPr>
          <w:noProof/>
        </w:rPr>
        <w:t>a)</w:t>
      </w:r>
      <w:r w:rsidRPr="00984A39">
        <w:rPr>
          <w:noProof/>
        </w:rPr>
        <w:t xml:space="preserve"> załącznika VIII (część CNS) do rozporządzenia (UE) 2017/373 należy zmodyfikować odniesienie</w:t>
      </w:r>
      <w:r w:rsidR="009F5FFB" w:rsidRPr="00984A39">
        <w:rPr>
          <w:noProof/>
        </w:rPr>
        <w:t xml:space="preserve"> w</w:t>
      </w:r>
      <w:r w:rsidR="009F5FFB">
        <w:rPr>
          <w:noProof/>
        </w:rPr>
        <w:t> </w:t>
      </w:r>
      <w:r w:rsidR="009F5FFB" w:rsidRPr="00984A39">
        <w:rPr>
          <w:noProof/>
        </w:rPr>
        <w:t>cel</w:t>
      </w:r>
      <w:r w:rsidRPr="00984A39">
        <w:rPr>
          <w:noProof/>
        </w:rPr>
        <w:t>u uwzględnienia ostatniej zmiany</w:t>
      </w:r>
      <w:r w:rsidR="009F5FFB" w:rsidRPr="00984A39">
        <w:rPr>
          <w:noProof/>
        </w:rPr>
        <w:t xml:space="preserve"> w</w:t>
      </w:r>
      <w:r w:rsidR="009F5FFB">
        <w:rPr>
          <w:noProof/>
        </w:rPr>
        <w:t> </w:t>
      </w:r>
      <w:r w:rsidR="009F5FFB" w:rsidRPr="00984A39">
        <w:rPr>
          <w:noProof/>
        </w:rPr>
        <w:t>tom</w:t>
      </w:r>
      <w:r w:rsidRPr="00984A39">
        <w:rPr>
          <w:noProof/>
        </w:rPr>
        <w:t>ie I.</w:t>
      </w:r>
    </w:p>
    <w:p w14:paraId="19EB3E32" w14:textId="43ED512B" w:rsidR="00174E7F" w:rsidRPr="00984A39" w:rsidRDefault="00E84D33" w:rsidP="00E84D33">
      <w:pPr>
        <w:pStyle w:val="ManualHeading2"/>
        <w:rPr>
          <w:noProof/>
        </w:rPr>
      </w:pPr>
      <w:r w:rsidRPr="00E84D33">
        <w:t>3.2.</w:t>
      </w:r>
      <w:r w:rsidRPr="00E84D33">
        <w:tab/>
      </w:r>
      <w:r w:rsidR="00174E7F" w:rsidRPr="00984A39">
        <w:rPr>
          <w:noProof/>
        </w:rPr>
        <w:t>Stanowisko, jakie należy zająć</w:t>
      </w:r>
      <w:r w:rsidR="009F5FFB" w:rsidRPr="00984A39">
        <w:rPr>
          <w:noProof/>
        </w:rPr>
        <w:t xml:space="preserve"> w</w:t>
      </w:r>
      <w:r w:rsidR="009F5FFB">
        <w:rPr>
          <w:noProof/>
        </w:rPr>
        <w:t> </w:t>
      </w:r>
      <w:r w:rsidR="009F5FFB" w:rsidRPr="00984A39">
        <w:rPr>
          <w:noProof/>
        </w:rPr>
        <w:t>imi</w:t>
      </w:r>
      <w:r w:rsidR="00174E7F" w:rsidRPr="00984A39">
        <w:rPr>
          <w:noProof/>
        </w:rPr>
        <w:t>eniu Unii</w:t>
      </w:r>
    </w:p>
    <w:p w14:paraId="70BDB1CB" w14:textId="77777777" w:rsidR="00174E7F" w:rsidRPr="00984A39" w:rsidRDefault="00174E7F" w:rsidP="00174E7F">
      <w:pPr>
        <w:ind w:left="-5"/>
        <w:rPr>
          <w:noProof/>
        </w:rPr>
      </w:pPr>
      <w:r w:rsidRPr="00984A39">
        <w:rPr>
          <w:noProof/>
        </w:rPr>
        <w:t>Unia uznaje potrzebę ustanowienia zharmonizowanych ram regulacyjnych na szczeblu międzynarodowym.</w:t>
      </w:r>
    </w:p>
    <w:p w14:paraId="385AAA57" w14:textId="4AC8F13D" w:rsidR="00174E7F" w:rsidRPr="00984A39" w:rsidRDefault="00174E7F" w:rsidP="00174E7F">
      <w:pPr>
        <w:ind w:left="-5"/>
        <w:rPr>
          <w:noProof/>
        </w:rPr>
      </w:pPr>
      <w:bookmarkStart w:id="5" w:name="_Hlk122003866"/>
      <w:r w:rsidRPr="00984A39">
        <w:rPr>
          <w:noProof/>
        </w:rPr>
        <w:t>Ponadto przyjęcie takich norm umożliwi wykorzystanie</w:t>
      </w:r>
      <w:r w:rsidR="009F5FFB" w:rsidRPr="00984A39">
        <w:rPr>
          <w:noProof/>
        </w:rPr>
        <w:t xml:space="preserve"> w</w:t>
      </w:r>
      <w:r w:rsidR="009F5FFB">
        <w:rPr>
          <w:noProof/>
        </w:rPr>
        <w:t> </w:t>
      </w:r>
      <w:r w:rsidR="009F5FFB" w:rsidRPr="00984A39">
        <w:rPr>
          <w:noProof/>
        </w:rPr>
        <w:t>lot</w:t>
      </w:r>
      <w:r w:rsidRPr="00984A39">
        <w:rPr>
          <w:noProof/>
        </w:rPr>
        <w:t>nictwie sztandarowych programów UE GNSS, takich jak Galileo, oraz trwającą modernizację europejskiego systemu wspomagania satelitarnego (EGNOS) na potrzeby wsparcia zastosowań we wszystkich fazach lotu, takich jak nawigacja oparta na charakterystykach, jak przewidziano</w:t>
      </w:r>
      <w:r w:rsidR="009F5FFB" w:rsidRPr="00984A39">
        <w:rPr>
          <w:noProof/>
        </w:rPr>
        <w:t xml:space="preserve"> w</w:t>
      </w:r>
      <w:r w:rsidR="009F5FFB">
        <w:rPr>
          <w:noProof/>
        </w:rPr>
        <w:t> </w:t>
      </w:r>
      <w:r w:rsidR="009F5FFB" w:rsidRPr="00984A39">
        <w:rPr>
          <w:noProof/>
        </w:rPr>
        <w:t>cen</w:t>
      </w:r>
      <w:r w:rsidRPr="00984A39">
        <w:rPr>
          <w:noProof/>
        </w:rPr>
        <w:t>tralnym planie ATM. Zwiększy to również odporność GNSS na zakłócenia zgodnie</w:t>
      </w:r>
      <w:r w:rsidR="009F5FFB" w:rsidRPr="00984A39">
        <w:rPr>
          <w:noProof/>
        </w:rPr>
        <w:t xml:space="preserve"> z</w:t>
      </w:r>
      <w:r w:rsidR="009F5FFB">
        <w:rPr>
          <w:noProof/>
        </w:rPr>
        <w:t> </w:t>
      </w:r>
      <w:r w:rsidR="009F5FFB" w:rsidRPr="00984A39">
        <w:rPr>
          <w:noProof/>
        </w:rPr>
        <w:t>rez</w:t>
      </w:r>
      <w:r w:rsidRPr="00984A39">
        <w:rPr>
          <w:noProof/>
        </w:rPr>
        <w:t>olucjami 41. sesji Zgromadzenia ICAO</w:t>
      </w:r>
      <w:bookmarkEnd w:id="5"/>
      <w:r w:rsidRPr="00984A39">
        <w:rPr>
          <w:noProof/>
        </w:rPr>
        <w:t xml:space="preserve">. </w:t>
      </w:r>
    </w:p>
    <w:p w14:paraId="09458D2C" w14:textId="5541AB6B" w:rsidR="00174E7F" w:rsidRPr="00984A39" w:rsidRDefault="00174E7F" w:rsidP="00174E7F">
      <w:pPr>
        <w:ind w:left="-5"/>
        <w:rPr>
          <w:noProof/>
        </w:rPr>
      </w:pPr>
      <w:r w:rsidRPr="00984A39">
        <w:rPr>
          <w:noProof/>
        </w:rPr>
        <w:t>Przedstawiciele państw członkowskich UE, Komisji Europejskiej</w:t>
      </w:r>
      <w:r w:rsidR="009F5FFB" w:rsidRPr="00984A39">
        <w:rPr>
          <w:noProof/>
        </w:rPr>
        <w:t xml:space="preserve"> i</w:t>
      </w:r>
      <w:r w:rsidR="009F5FFB">
        <w:rPr>
          <w:noProof/>
        </w:rPr>
        <w:t> </w:t>
      </w:r>
      <w:r w:rsidR="009F5FFB" w:rsidRPr="00984A39">
        <w:rPr>
          <w:noProof/>
        </w:rPr>
        <w:t>Age</w:t>
      </w:r>
      <w:r w:rsidRPr="00984A39">
        <w:rPr>
          <w:noProof/>
        </w:rPr>
        <w:t>ncji Unii Europejskiej ds. Bezpieczeństwa Lotniczego (EASA)</w:t>
      </w:r>
      <w:r w:rsidR="009F5FFB" w:rsidRPr="00984A39">
        <w:rPr>
          <w:noProof/>
        </w:rPr>
        <w:t xml:space="preserve"> w</w:t>
      </w:r>
      <w:r w:rsidR="009F5FFB">
        <w:rPr>
          <w:noProof/>
        </w:rPr>
        <w:t> </w:t>
      </w:r>
      <w:r w:rsidR="009F5FFB" w:rsidRPr="00984A39">
        <w:rPr>
          <w:noProof/>
        </w:rPr>
        <w:t>pan</w:t>
      </w:r>
      <w:r w:rsidRPr="00984A39">
        <w:rPr>
          <w:noProof/>
        </w:rPr>
        <w:t>elu systemów nawigacji, wspierani przez ekspertów EUROCONTROL, uczestniczyli</w:t>
      </w:r>
      <w:r w:rsidR="009F5FFB" w:rsidRPr="00984A39">
        <w:rPr>
          <w:noProof/>
        </w:rPr>
        <w:t xml:space="preserve"> w</w:t>
      </w:r>
      <w:r w:rsidR="009F5FFB">
        <w:rPr>
          <w:noProof/>
        </w:rPr>
        <w:t> </w:t>
      </w:r>
      <w:r w:rsidR="009F5FFB" w:rsidRPr="00984A39">
        <w:rPr>
          <w:noProof/>
        </w:rPr>
        <w:t>opr</w:t>
      </w:r>
      <w:r w:rsidRPr="00984A39">
        <w:rPr>
          <w:noProof/>
        </w:rPr>
        <w:t>acowaniu wniosku dotyczącego zmiany nr 93</w:t>
      </w:r>
      <w:r w:rsidR="009F5FFB" w:rsidRPr="00984A39">
        <w:rPr>
          <w:noProof/>
        </w:rPr>
        <w:t xml:space="preserve"> w</w:t>
      </w:r>
      <w:r w:rsidR="009F5FFB">
        <w:rPr>
          <w:noProof/>
        </w:rPr>
        <w:t> </w:t>
      </w:r>
      <w:r w:rsidR="009F5FFB" w:rsidRPr="00984A39">
        <w:rPr>
          <w:noProof/>
        </w:rPr>
        <w:t>zał</w:t>
      </w:r>
      <w:r w:rsidRPr="00984A39">
        <w:rPr>
          <w:noProof/>
        </w:rPr>
        <w:t xml:space="preserve">ączniku 10 tom I. </w:t>
      </w:r>
    </w:p>
    <w:p w14:paraId="4C4581FD" w14:textId="4995AAA4" w:rsidR="00174E7F" w:rsidRPr="00984A39" w:rsidRDefault="00174E7F" w:rsidP="00174E7F">
      <w:pPr>
        <w:ind w:left="-5"/>
        <w:rPr>
          <w:noProof/>
        </w:rPr>
      </w:pPr>
      <w:r w:rsidRPr="00984A39">
        <w:rPr>
          <w:noProof/>
        </w:rPr>
        <w:t>Stanowiskiem, jakie ma zostać zajęte</w:t>
      </w:r>
      <w:r w:rsidR="009F5FFB" w:rsidRPr="00984A39">
        <w:rPr>
          <w:noProof/>
        </w:rPr>
        <w:t xml:space="preserve"> w</w:t>
      </w:r>
      <w:r w:rsidR="009F5FFB">
        <w:rPr>
          <w:noProof/>
        </w:rPr>
        <w:t> </w:t>
      </w:r>
      <w:r w:rsidR="009F5FFB" w:rsidRPr="00984A39">
        <w:rPr>
          <w:noProof/>
        </w:rPr>
        <w:t>imi</w:t>
      </w:r>
      <w:r w:rsidRPr="00984A39">
        <w:rPr>
          <w:noProof/>
        </w:rPr>
        <w:t>eniu Unii, jest zatem poparcie tej zmiany.</w:t>
      </w:r>
    </w:p>
    <w:p w14:paraId="219898CF" w14:textId="15780C64" w:rsidR="00174E7F" w:rsidRPr="00984A39" w:rsidRDefault="00174E7F" w:rsidP="00174E7F">
      <w:pPr>
        <w:rPr>
          <w:rFonts w:eastAsia="Arial Unicode MS"/>
          <w:noProof/>
        </w:rPr>
      </w:pPr>
      <w:r w:rsidRPr="00984A39">
        <w:rPr>
          <w:noProof/>
        </w:rPr>
        <w:t>Dlatego też stanowiskiem, jakie ma być zajęte</w:t>
      </w:r>
      <w:r w:rsidR="009F5FFB" w:rsidRPr="00984A39">
        <w:rPr>
          <w:noProof/>
        </w:rPr>
        <w:t xml:space="preserve"> w</w:t>
      </w:r>
      <w:r w:rsidR="009F5FFB">
        <w:rPr>
          <w:noProof/>
        </w:rPr>
        <w:t> </w:t>
      </w:r>
      <w:r w:rsidR="009F5FFB" w:rsidRPr="00984A39">
        <w:rPr>
          <w:noProof/>
        </w:rPr>
        <w:t>imi</w:t>
      </w:r>
      <w:r w:rsidRPr="00984A39">
        <w:rPr>
          <w:noProof/>
        </w:rPr>
        <w:t>eniu Unii Europejskiej,</w:t>
      </w:r>
      <w:r w:rsidR="009F5FFB" w:rsidRPr="00984A39">
        <w:rPr>
          <w:noProof/>
        </w:rPr>
        <w:t xml:space="preserve"> o</w:t>
      </w:r>
      <w:r w:rsidR="009F5FFB">
        <w:rPr>
          <w:noProof/>
        </w:rPr>
        <w:t> </w:t>
      </w:r>
      <w:r w:rsidR="009F5FFB" w:rsidRPr="00984A39">
        <w:rPr>
          <w:noProof/>
        </w:rPr>
        <w:t>ile</w:t>
      </w:r>
      <w:r w:rsidRPr="00984A39">
        <w:rPr>
          <w:noProof/>
        </w:rPr>
        <w:t xml:space="preserve"> Rada ICAO przyjmie bez wprowadzania istotnych poprawek proponowane zmiany do konwencji chicagowskiej, jest niezgłaszanie sprzeciwu oraz zastosowanie się do przyjętych środków</w:t>
      </w:r>
      <w:r w:rsidR="009F5FFB" w:rsidRPr="00984A39">
        <w:rPr>
          <w:noProof/>
        </w:rPr>
        <w:t xml:space="preserve"> w</w:t>
      </w:r>
      <w:r w:rsidR="009F5FFB">
        <w:rPr>
          <w:noProof/>
        </w:rPr>
        <w:t> </w:t>
      </w:r>
      <w:r w:rsidR="009F5FFB" w:rsidRPr="00984A39">
        <w:rPr>
          <w:noProof/>
        </w:rPr>
        <w:t>odp</w:t>
      </w:r>
      <w:r w:rsidRPr="00984A39">
        <w:rPr>
          <w:noProof/>
        </w:rPr>
        <w:t>owiedzi na odpowiednie pismo ICAO skierowane do państw</w:t>
      </w:r>
      <w:r w:rsidR="009F5FFB" w:rsidRPr="00984A39">
        <w:rPr>
          <w:noProof/>
        </w:rPr>
        <w:t>. W</w:t>
      </w:r>
      <w:r w:rsidR="009F5FFB">
        <w:rPr>
          <w:noProof/>
        </w:rPr>
        <w:t> </w:t>
      </w:r>
      <w:r w:rsidR="009F5FFB" w:rsidRPr="00984A39">
        <w:rPr>
          <w:noProof/>
        </w:rPr>
        <w:t>prz</w:t>
      </w:r>
      <w:r w:rsidRPr="00984A39">
        <w:rPr>
          <w:noProof/>
        </w:rPr>
        <w:t>ypadku gdy przepisy Unii odbiegałyby od nowo przyjętych norm ICAO po przewidywanej dacie rozpoczęcia stosowania tych norm (</w:t>
      </w:r>
      <w:r w:rsidRPr="009F5FFB">
        <w:rPr>
          <w:noProof/>
        </w:rPr>
        <w:t>tj.</w:t>
      </w:r>
      <w:r w:rsidR="009F5FFB" w:rsidRPr="009F5FFB">
        <w:rPr>
          <w:noProof/>
        </w:rPr>
        <w:t> </w:t>
      </w:r>
      <w:r w:rsidRPr="009F5FFB">
        <w:rPr>
          <w:noProof/>
        </w:rPr>
        <w:t>2</w:t>
      </w:r>
      <w:r w:rsidRPr="00984A39">
        <w:rPr>
          <w:noProof/>
        </w:rPr>
        <w:t> listopada 2023 r.), państwa członkowskie powinny powiadomić ICAO</w:t>
      </w:r>
      <w:r w:rsidR="009F5FFB" w:rsidRPr="00984A39">
        <w:rPr>
          <w:noProof/>
        </w:rPr>
        <w:t xml:space="preserve"> o</w:t>
      </w:r>
      <w:r w:rsidR="009F5FFB">
        <w:rPr>
          <w:noProof/>
        </w:rPr>
        <w:t> </w:t>
      </w:r>
      <w:r w:rsidR="009F5FFB" w:rsidRPr="00984A39">
        <w:rPr>
          <w:noProof/>
        </w:rPr>
        <w:t>sta</w:t>
      </w:r>
      <w:r w:rsidRPr="00984A39">
        <w:rPr>
          <w:noProof/>
        </w:rPr>
        <w:t>nowisku Unii</w:t>
      </w:r>
      <w:r w:rsidR="009F5FFB" w:rsidRPr="00984A39">
        <w:rPr>
          <w:noProof/>
        </w:rPr>
        <w:t xml:space="preserve"> w</w:t>
      </w:r>
      <w:r w:rsidR="009F5FFB">
        <w:rPr>
          <w:noProof/>
        </w:rPr>
        <w:t> </w:t>
      </w:r>
      <w:r w:rsidR="009F5FFB" w:rsidRPr="00984A39">
        <w:rPr>
          <w:noProof/>
        </w:rPr>
        <w:t>kwe</w:t>
      </w:r>
      <w:r w:rsidRPr="00984A39">
        <w:rPr>
          <w:noProof/>
        </w:rPr>
        <w:t>stii różnic</w:t>
      </w:r>
      <w:r w:rsidR="009F5FFB" w:rsidRPr="00984A39">
        <w:rPr>
          <w:noProof/>
        </w:rPr>
        <w:t xml:space="preserve"> w</w:t>
      </w:r>
      <w:r w:rsidR="009F5FFB">
        <w:rPr>
          <w:noProof/>
        </w:rPr>
        <w:t> </w:t>
      </w:r>
      <w:r w:rsidR="009F5FFB" w:rsidRPr="00984A39">
        <w:rPr>
          <w:noProof/>
        </w:rPr>
        <w:t>sto</w:t>
      </w:r>
      <w:r w:rsidRPr="00984A39">
        <w:rPr>
          <w:noProof/>
        </w:rPr>
        <w:t>sunku do tych konkretnych norm na podstawie dokumentu przygotowawczego przedłożonego</w:t>
      </w:r>
      <w:r w:rsidR="009F5FFB" w:rsidRPr="00984A39">
        <w:rPr>
          <w:noProof/>
        </w:rPr>
        <w:t xml:space="preserve"> w</w:t>
      </w:r>
      <w:r w:rsidR="009F5FFB">
        <w:rPr>
          <w:noProof/>
        </w:rPr>
        <w:t> </w:t>
      </w:r>
      <w:r w:rsidR="009F5FFB" w:rsidRPr="00984A39">
        <w:rPr>
          <w:noProof/>
        </w:rPr>
        <w:t>odp</w:t>
      </w:r>
      <w:r w:rsidRPr="00984A39">
        <w:rPr>
          <w:noProof/>
        </w:rPr>
        <w:t>owiednim czasie przez Komisję Radzie do dyskusji</w:t>
      </w:r>
      <w:r w:rsidR="009F5FFB" w:rsidRPr="00984A39">
        <w:rPr>
          <w:noProof/>
        </w:rPr>
        <w:t xml:space="preserve"> i</w:t>
      </w:r>
      <w:r w:rsidR="009F5FFB">
        <w:rPr>
          <w:noProof/>
        </w:rPr>
        <w:t> </w:t>
      </w:r>
      <w:r w:rsidR="009F5FFB" w:rsidRPr="00984A39">
        <w:rPr>
          <w:noProof/>
        </w:rPr>
        <w:t>zat</w:t>
      </w:r>
      <w:r w:rsidRPr="00984A39">
        <w:rPr>
          <w:noProof/>
        </w:rPr>
        <w:t>wierdzenia oraz określającego szczegółowe różnice na czas niezbędny do zakończenia procesu wdrażania.</w:t>
      </w:r>
    </w:p>
    <w:p w14:paraId="762B0521" w14:textId="40958A74" w:rsidR="00174E7F" w:rsidRPr="00984A39" w:rsidRDefault="00E84D33" w:rsidP="00E84D33">
      <w:pPr>
        <w:pStyle w:val="ManualHeading1"/>
        <w:rPr>
          <w:noProof/>
        </w:rPr>
      </w:pPr>
      <w:r w:rsidRPr="00E84D33">
        <w:t>4.</w:t>
      </w:r>
      <w:r w:rsidRPr="00E84D33">
        <w:tab/>
      </w:r>
      <w:r w:rsidR="00174E7F" w:rsidRPr="00984A39">
        <w:rPr>
          <w:noProof/>
        </w:rPr>
        <w:t>Podstawa prawna</w:t>
      </w:r>
    </w:p>
    <w:p w14:paraId="6B70AB36" w14:textId="091D3561" w:rsidR="00174E7F" w:rsidRPr="00984A39" w:rsidRDefault="00E84D33" w:rsidP="00E84D33">
      <w:pPr>
        <w:pStyle w:val="ManualHeading2"/>
        <w:rPr>
          <w:noProof/>
        </w:rPr>
      </w:pPr>
      <w:r w:rsidRPr="00E84D33">
        <w:t>4.1.</w:t>
      </w:r>
      <w:r w:rsidRPr="00E84D33">
        <w:tab/>
      </w:r>
      <w:r w:rsidR="00174E7F" w:rsidRPr="00984A39">
        <w:rPr>
          <w:noProof/>
        </w:rPr>
        <w:t>Proceduralna podstawa prawna</w:t>
      </w:r>
    </w:p>
    <w:p w14:paraId="5C6529EE" w14:textId="25CB7391" w:rsidR="00174E7F" w:rsidRPr="00984A39" w:rsidRDefault="00E84D33" w:rsidP="00E84D33">
      <w:pPr>
        <w:pStyle w:val="ManualHeading3"/>
        <w:rPr>
          <w:noProof/>
        </w:rPr>
      </w:pPr>
      <w:r w:rsidRPr="00E84D33">
        <w:t>4.1.1.</w:t>
      </w:r>
      <w:r w:rsidRPr="00E84D33">
        <w:tab/>
      </w:r>
      <w:r w:rsidR="00174E7F" w:rsidRPr="00984A39">
        <w:rPr>
          <w:noProof/>
        </w:rPr>
        <w:t>Zasady</w:t>
      </w:r>
    </w:p>
    <w:p w14:paraId="30067E48" w14:textId="6B60639D" w:rsidR="00174E7F" w:rsidRPr="00984A39" w:rsidRDefault="00174E7F" w:rsidP="0077011D">
      <w:pPr>
        <w:rPr>
          <w:noProof/>
        </w:rPr>
      </w:pPr>
      <w:r w:rsidRPr="00984A39">
        <w:rPr>
          <w:noProof/>
        </w:rPr>
        <w:t>W art. 218 ust. 9 Traktatu</w:t>
      </w:r>
      <w:r w:rsidR="009F5FFB" w:rsidRPr="00984A39">
        <w:rPr>
          <w:noProof/>
        </w:rPr>
        <w:t xml:space="preserve"> o</w:t>
      </w:r>
      <w:r w:rsidR="009F5FFB">
        <w:rPr>
          <w:noProof/>
        </w:rPr>
        <w:t> </w:t>
      </w:r>
      <w:r w:rsidR="009F5FFB" w:rsidRPr="00984A39">
        <w:rPr>
          <w:noProof/>
        </w:rPr>
        <w:t>Fun</w:t>
      </w:r>
      <w:r w:rsidRPr="00984A39">
        <w:rPr>
          <w:noProof/>
        </w:rPr>
        <w:t>kcjonowaniu Unii Europejskiej (TFUE) przewidziano decyzje ustalające „stanowiska, które mają być zajęte</w:t>
      </w:r>
      <w:r w:rsidR="009F5FFB" w:rsidRPr="00984A39">
        <w:rPr>
          <w:noProof/>
        </w:rPr>
        <w:t xml:space="preserve"> w</w:t>
      </w:r>
      <w:r w:rsidR="009F5FFB">
        <w:rPr>
          <w:noProof/>
        </w:rPr>
        <w:t> </w:t>
      </w:r>
      <w:r w:rsidR="009F5FFB" w:rsidRPr="00984A39">
        <w:rPr>
          <w:noProof/>
        </w:rPr>
        <w:t>imi</w:t>
      </w:r>
      <w:r w:rsidRPr="00984A39">
        <w:rPr>
          <w:noProof/>
        </w:rPr>
        <w:t>eniu Unii</w:t>
      </w:r>
      <w:r w:rsidR="009F5FFB" w:rsidRPr="00984A39">
        <w:rPr>
          <w:noProof/>
        </w:rPr>
        <w:t xml:space="preserve"> w</w:t>
      </w:r>
      <w:r w:rsidR="009F5FFB">
        <w:rPr>
          <w:noProof/>
        </w:rPr>
        <w:t> </w:t>
      </w:r>
      <w:r w:rsidR="009F5FFB" w:rsidRPr="00984A39">
        <w:rPr>
          <w:noProof/>
        </w:rPr>
        <w:t>ram</w:t>
      </w:r>
      <w:r w:rsidRPr="00984A39">
        <w:rPr>
          <w:noProof/>
        </w:rPr>
        <w:t>ach organu utworzonego przez umowę, gdy organ ten ma przyjąć akty mające skutki prawne,</w:t>
      </w:r>
      <w:r w:rsidR="009F5FFB" w:rsidRPr="00984A39">
        <w:rPr>
          <w:noProof/>
        </w:rPr>
        <w:t xml:space="preserve"> z</w:t>
      </w:r>
      <w:r w:rsidR="009F5FFB">
        <w:rPr>
          <w:noProof/>
        </w:rPr>
        <w:t> </w:t>
      </w:r>
      <w:r w:rsidR="009F5FFB" w:rsidRPr="00984A39">
        <w:rPr>
          <w:noProof/>
        </w:rPr>
        <w:t>wyj</w:t>
      </w:r>
      <w:r w:rsidRPr="00984A39">
        <w:rPr>
          <w:noProof/>
        </w:rPr>
        <w:t>ątkiem aktów uzupełniających lub zmieniających ramy instytucjonalne umowy”.</w:t>
      </w:r>
    </w:p>
    <w:p w14:paraId="04275C70" w14:textId="77777777" w:rsidR="00174E7F" w:rsidRPr="00984A39" w:rsidRDefault="00174E7F" w:rsidP="0077011D">
      <w:pPr>
        <w:rPr>
          <w:noProof/>
        </w:rPr>
      </w:pPr>
      <w:r w:rsidRPr="00984A39">
        <w:rPr>
          <w:noProof/>
        </w:rPr>
        <w:t>Art. 218 ust. 9 TFUE ma zastosowanie niezależnie od tego, czy Unia jest członkiem odnośnego organu, czy też stroną danej umowy</w:t>
      </w:r>
      <w:r w:rsidRPr="00984A39">
        <w:rPr>
          <w:rStyle w:val="FootnoteReference"/>
          <w:noProof/>
        </w:rPr>
        <w:footnoteReference w:id="1"/>
      </w:r>
      <w:r w:rsidRPr="00984A39">
        <w:rPr>
          <w:noProof/>
        </w:rPr>
        <w:t>.</w:t>
      </w:r>
    </w:p>
    <w:p w14:paraId="7511E4B7" w14:textId="77777777" w:rsidR="00174E7F" w:rsidRPr="00984A39" w:rsidRDefault="00174E7F" w:rsidP="0077011D">
      <w:pPr>
        <w:rPr>
          <w:noProof/>
        </w:rPr>
      </w:pPr>
      <w:r w:rsidRPr="00984A39">
        <w:rPr>
          <w:noProof/>
        </w:rPr>
        <w:t>Pojęcie „akty mające skutki prawne” obejmuje akty, które mają skutki prawne na mocy przepisów prawa międzynarodowego dotyczących danego organu. Obejmuje ono ponadto instrumenty, które nie są wiążące na mocy prawa międzynarodowego, ale mogą „w sposób decydujący wywrzeć wpływ na treść przepisów przyjętych przez prawodawcę Unii”</w:t>
      </w:r>
      <w:r w:rsidRPr="00984A39">
        <w:rPr>
          <w:rStyle w:val="FootnoteReference"/>
          <w:noProof/>
        </w:rPr>
        <w:footnoteReference w:id="2"/>
      </w:r>
      <w:r w:rsidRPr="00984A39">
        <w:rPr>
          <w:noProof/>
        </w:rPr>
        <w:t>.</w:t>
      </w:r>
    </w:p>
    <w:p w14:paraId="4A802AE1" w14:textId="4C103B9A" w:rsidR="00174E7F" w:rsidRPr="00984A39" w:rsidRDefault="00E84D33" w:rsidP="00E84D33">
      <w:pPr>
        <w:pStyle w:val="ManualHeading3"/>
        <w:rPr>
          <w:noProof/>
        </w:rPr>
      </w:pPr>
      <w:r w:rsidRPr="00E84D33">
        <w:t>4.1.2.</w:t>
      </w:r>
      <w:r w:rsidRPr="00E84D33">
        <w:tab/>
      </w:r>
      <w:r w:rsidR="00174E7F" w:rsidRPr="00984A39">
        <w:rPr>
          <w:noProof/>
        </w:rPr>
        <w:t>Zastosowanie</w:t>
      </w:r>
      <w:r w:rsidR="009F5FFB" w:rsidRPr="00984A39">
        <w:rPr>
          <w:noProof/>
        </w:rPr>
        <w:t xml:space="preserve"> w</w:t>
      </w:r>
      <w:r w:rsidR="009F5FFB">
        <w:rPr>
          <w:noProof/>
        </w:rPr>
        <w:t> </w:t>
      </w:r>
      <w:r w:rsidR="009F5FFB" w:rsidRPr="00984A39">
        <w:rPr>
          <w:noProof/>
        </w:rPr>
        <w:t>nin</w:t>
      </w:r>
      <w:r w:rsidR="00174E7F" w:rsidRPr="00984A39">
        <w:rPr>
          <w:noProof/>
        </w:rPr>
        <w:t>iejszej sprawie</w:t>
      </w:r>
    </w:p>
    <w:p w14:paraId="31F9D0E2" w14:textId="4A5DFC07" w:rsidR="00174E7F" w:rsidRPr="00984A39" w:rsidRDefault="00174E7F" w:rsidP="00174E7F">
      <w:pPr>
        <w:ind w:left="-5"/>
        <w:rPr>
          <w:noProof/>
        </w:rPr>
      </w:pPr>
      <w:r w:rsidRPr="00984A39">
        <w:rPr>
          <w:noProof/>
        </w:rPr>
        <w:t>Rada ICAO jest organem utworzonym na mocy umowy,</w:t>
      </w:r>
      <w:r w:rsidR="009F5FFB" w:rsidRPr="00984A39">
        <w:rPr>
          <w:noProof/>
        </w:rPr>
        <w:t xml:space="preserve"> a</w:t>
      </w:r>
      <w:r w:rsidR="009F5FFB">
        <w:rPr>
          <w:noProof/>
        </w:rPr>
        <w:t> </w:t>
      </w:r>
      <w:r w:rsidR="009F5FFB" w:rsidRPr="00984A39">
        <w:rPr>
          <w:noProof/>
        </w:rPr>
        <w:t>mia</w:t>
      </w:r>
      <w:r w:rsidRPr="00984A39">
        <w:rPr>
          <w:noProof/>
        </w:rPr>
        <w:t>nowicie Konwencji</w:t>
      </w:r>
      <w:r w:rsidR="009F5FFB" w:rsidRPr="00984A39">
        <w:rPr>
          <w:noProof/>
        </w:rPr>
        <w:t xml:space="preserve"> o</w:t>
      </w:r>
      <w:r w:rsidR="009F5FFB">
        <w:rPr>
          <w:noProof/>
        </w:rPr>
        <w:t> </w:t>
      </w:r>
      <w:r w:rsidR="009F5FFB" w:rsidRPr="00984A39">
        <w:rPr>
          <w:noProof/>
        </w:rPr>
        <w:t>mię</w:t>
      </w:r>
      <w:r w:rsidRPr="00984A39">
        <w:rPr>
          <w:noProof/>
        </w:rPr>
        <w:t>dzynarodowym lotnictwie cywilnym („konwencja chicagowska”).</w:t>
      </w:r>
    </w:p>
    <w:p w14:paraId="57CF2B18" w14:textId="0908B64F" w:rsidR="00174E7F" w:rsidRPr="00984A39" w:rsidRDefault="00174E7F" w:rsidP="00174E7F">
      <w:pPr>
        <w:ind w:left="-5"/>
        <w:rPr>
          <w:noProof/>
        </w:rPr>
      </w:pPr>
      <w:r w:rsidRPr="00984A39">
        <w:rPr>
          <w:noProof/>
        </w:rPr>
        <w:t>Zgodnie</w:t>
      </w:r>
      <w:r w:rsidR="009F5FFB" w:rsidRPr="00984A39">
        <w:rPr>
          <w:noProof/>
        </w:rPr>
        <w:t xml:space="preserve"> z</w:t>
      </w:r>
      <w:r w:rsidR="009F5FFB">
        <w:rPr>
          <w:noProof/>
        </w:rPr>
        <w:t> </w:t>
      </w:r>
      <w:r w:rsidR="009F5FFB" w:rsidRPr="00984A39">
        <w:rPr>
          <w:noProof/>
        </w:rPr>
        <w:t>art</w:t>
      </w:r>
      <w:r w:rsidRPr="00984A39">
        <w:rPr>
          <w:noProof/>
        </w:rPr>
        <w:t>. 54 konwencji chicagowskiej Rada ICAO przyjmuje międzynarodowe normy</w:t>
      </w:r>
      <w:r w:rsidR="009F5FFB" w:rsidRPr="00984A39">
        <w:rPr>
          <w:noProof/>
        </w:rPr>
        <w:t xml:space="preserve"> i</w:t>
      </w:r>
      <w:r w:rsidR="009F5FFB">
        <w:rPr>
          <w:noProof/>
        </w:rPr>
        <w:t> </w:t>
      </w:r>
      <w:r w:rsidR="009F5FFB" w:rsidRPr="00984A39">
        <w:rPr>
          <w:noProof/>
        </w:rPr>
        <w:t>zal</w:t>
      </w:r>
      <w:r w:rsidRPr="00984A39">
        <w:rPr>
          <w:noProof/>
        </w:rPr>
        <w:t>ecane metody postępowania, oznaczane jako załączniki do konwencji chicagowskiej. Są to akty mające skutki prawne. Ustanowione przez ICAO normy</w:t>
      </w:r>
      <w:r w:rsidR="009F5FFB" w:rsidRPr="00984A39">
        <w:rPr>
          <w:noProof/>
        </w:rPr>
        <w:t xml:space="preserve"> i</w:t>
      </w:r>
      <w:r w:rsidR="009F5FFB">
        <w:rPr>
          <w:noProof/>
        </w:rPr>
        <w:t> </w:t>
      </w:r>
      <w:r w:rsidR="009F5FFB" w:rsidRPr="00984A39">
        <w:rPr>
          <w:noProof/>
        </w:rPr>
        <w:t>zal</w:t>
      </w:r>
      <w:r w:rsidRPr="00984A39">
        <w:rPr>
          <w:noProof/>
        </w:rPr>
        <w:t>ecane metody postępowania, po ich przyjęciu</w:t>
      </w:r>
      <w:r w:rsidR="009F5FFB" w:rsidRPr="00984A39">
        <w:rPr>
          <w:noProof/>
        </w:rPr>
        <w:t xml:space="preserve"> i</w:t>
      </w:r>
      <w:r w:rsidR="009F5FFB">
        <w:rPr>
          <w:noProof/>
        </w:rPr>
        <w:t> </w:t>
      </w:r>
      <w:r w:rsidR="009F5FFB" w:rsidRPr="00984A39">
        <w:rPr>
          <w:noProof/>
        </w:rPr>
        <w:t>wej</w:t>
      </w:r>
      <w:r w:rsidRPr="00984A39">
        <w:rPr>
          <w:noProof/>
        </w:rPr>
        <w:t>ściu</w:t>
      </w:r>
      <w:r w:rsidR="009F5FFB" w:rsidRPr="00984A39">
        <w:rPr>
          <w:noProof/>
        </w:rPr>
        <w:t xml:space="preserve"> w</w:t>
      </w:r>
      <w:r w:rsidR="009F5FFB">
        <w:rPr>
          <w:noProof/>
        </w:rPr>
        <w:t> </w:t>
      </w:r>
      <w:r w:rsidR="009F5FFB" w:rsidRPr="00984A39">
        <w:rPr>
          <w:noProof/>
        </w:rPr>
        <w:t>życ</w:t>
      </w:r>
      <w:r w:rsidRPr="00984A39">
        <w:rPr>
          <w:noProof/>
        </w:rPr>
        <w:t>ie, stają się wiążące dla wszystkich umawiających się państw ICAO. Niektóre skutki prawne tych aktów mogą zależeć od zgłoszeń sprzeciwu</w:t>
      </w:r>
      <w:r w:rsidR="009F5FFB" w:rsidRPr="00984A39">
        <w:rPr>
          <w:noProof/>
        </w:rPr>
        <w:t xml:space="preserve"> i</w:t>
      </w:r>
      <w:r w:rsidR="009F5FFB">
        <w:rPr>
          <w:noProof/>
        </w:rPr>
        <w:t> </w:t>
      </w:r>
      <w:r w:rsidR="009F5FFB" w:rsidRPr="00984A39">
        <w:rPr>
          <w:noProof/>
        </w:rPr>
        <w:t>róż</w:t>
      </w:r>
      <w:r w:rsidRPr="00984A39">
        <w:rPr>
          <w:noProof/>
        </w:rPr>
        <w:t xml:space="preserve">nic oraz od treści tych zgłoszeń. </w:t>
      </w:r>
    </w:p>
    <w:p w14:paraId="41B50C03" w14:textId="78887101" w:rsidR="00DC77D3" w:rsidRPr="00984A39" w:rsidRDefault="00957327" w:rsidP="00DC77D3">
      <w:pPr>
        <w:ind w:left="-5"/>
        <w:rPr>
          <w:noProof/>
        </w:rPr>
      </w:pPr>
      <w:r w:rsidRPr="00984A39">
        <w:rPr>
          <w:noProof/>
        </w:rPr>
        <w:t>Ponadto,</w:t>
      </w:r>
      <w:r w:rsidR="009F5FFB" w:rsidRPr="00984A39">
        <w:rPr>
          <w:noProof/>
        </w:rPr>
        <w:t xml:space="preserve"> w</w:t>
      </w:r>
      <w:r w:rsidR="009F5FFB">
        <w:rPr>
          <w:noProof/>
        </w:rPr>
        <w:t> </w:t>
      </w:r>
      <w:r w:rsidR="009F5FFB" w:rsidRPr="00984A39">
        <w:rPr>
          <w:noProof/>
        </w:rPr>
        <w:t>mia</w:t>
      </w:r>
      <w:r w:rsidRPr="00984A39">
        <w:rPr>
          <w:noProof/>
        </w:rPr>
        <w:t>rę możliwości, wspomniane normy</w:t>
      </w:r>
      <w:r w:rsidR="009F5FFB" w:rsidRPr="00984A39">
        <w:rPr>
          <w:noProof/>
        </w:rPr>
        <w:t xml:space="preserve"> i</w:t>
      </w:r>
      <w:r w:rsidR="009F5FFB">
        <w:rPr>
          <w:noProof/>
        </w:rPr>
        <w:t> </w:t>
      </w:r>
      <w:r w:rsidR="009F5FFB" w:rsidRPr="00984A39">
        <w:rPr>
          <w:noProof/>
        </w:rPr>
        <w:t>zal</w:t>
      </w:r>
      <w:r w:rsidRPr="00984A39">
        <w:rPr>
          <w:noProof/>
        </w:rPr>
        <w:t>ecane metody postępowania są odzwierciedlane</w:t>
      </w:r>
      <w:r w:rsidR="009F5FFB" w:rsidRPr="00984A39">
        <w:rPr>
          <w:noProof/>
        </w:rPr>
        <w:t xml:space="preserve"> w</w:t>
      </w:r>
      <w:r w:rsidR="009F5FFB">
        <w:rPr>
          <w:noProof/>
        </w:rPr>
        <w:t> </w:t>
      </w:r>
      <w:r w:rsidR="009F5FFB" w:rsidRPr="00984A39">
        <w:rPr>
          <w:noProof/>
        </w:rPr>
        <w:t>pra</w:t>
      </w:r>
      <w:r w:rsidRPr="00984A39">
        <w:rPr>
          <w:noProof/>
        </w:rPr>
        <w:t>wie Unii,</w:t>
      </w:r>
      <w:r w:rsidR="009F5FFB" w:rsidRPr="00984A39">
        <w:rPr>
          <w:noProof/>
        </w:rPr>
        <w:t xml:space="preserve"> a</w:t>
      </w:r>
      <w:r w:rsidR="009F5FFB">
        <w:rPr>
          <w:noProof/>
        </w:rPr>
        <w:t> </w:t>
      </w:r>
      <w:r w:rsidR="009F5FFB" w:rsidRPr="00984A39">
        <w:rPr>
          <w:noProof/>
        </w:rPr>
        <w:t>zat</w:t>
      </w:r>
      <w:r w:rsidRPr="00984A39">
        <w:rPr>
          <w:noProof/>
        </w:rPr>
        <w:t>em mogą mieć decydujący wpływ na treść prawodawstwa Unii</w:t>
      </w:r>
      <w:r w:rsidR="009F5FFB" w:rsidRPr="00984A39">
        <w:rPr>
          <w:noProof/>
        </w:rPr>
        <w:t xml:space="preserve"> w</w:t>
      </w:r>
      <w:r w:rsidR="009F5FFB">
        <w:rPr>
          <w:noProof/>
        </w:rPr>
        <w:t> </w:t>
      </w:r>
      <w:r w:rsidR="009F5FFB" w:rsidRPr="00984A39">
        <w:rPr>
          <w:noProof/>
        </w:rPr>
        <w:t>dzi</w:t>
      </w:r>
      <w:r w:rsidRPr="00984A39">
        <w:rPr>
          <w:noProof/>
        </w:rPr>
        <w:t>edzinie lotnictwa cywilnego,</w:t>
      </w:r>
      <w:r w:rsidR="009F5FFB" w:rsidRPr="00984A39">
        <w:rPr>
          <w:noProof/>
        </w:rPr>
        <w:t xml:space="preserve"> a</w:t>
      </w:r>
      <w:r w:rsidR="009F5FFB">
        <w:rPr>
          <w:noProof/>
        </w:rPr>
        <w:t> </w:t>
      </w:r>
      <w:r w:rsidR="009F5FFB" w:rsidRPr="00984A39">
        <w:rPr>
          <w:noProof/>
        </w:rPr>
        <w:t>mia</w:t>
      </w:r>
      <w:r w:rsidRPr="00984A39">
        <w:rPr>
          <w:noProof/>
        </w:rPr>
        <w:t xml:space="preserve">nowicie na rozporządzenie wykonawcze Komisji (UE) 2017/373. </w:t>
      </w:r>
    </w:p>
    <w:p w14:paraId="599AB631" w14:textId="77777777" w:rsidR="00DC77D3" w:rsidRPr="00984A39" w:rsidRDefault="00DC77D3" w:rsidP="00174E7F">
      <w:pPr>
        <w:ind w:left="-5"/>
        <w:rPr>
          <w:noProof/>
        </w:rPr>
      </w:pPr>
      <w:r w:rsidRPr="00984A39">
        <w:rPr>
          <w:noProof/>
        </w:rPr>
        <w:t>Planowane akty nie uzupełniają ani nie zmieniają ram instytucjonalnych umowy.</w:t>
      </w:r>
    </w:p>
    <w:p w14:paraId="1F4C4D3F" w14:textId="6C0EF840" w:rsidR="00174E7F" w:rsidRPr="00984A39" w:rsidRDefault="00DC77D3" w:rsidP="00174E7F">
      <w:pPr>
        <w:ind w:left="-5"/>
        <w:rPr>
          <w:noProof/>
        </w:rPr>
      </w:pPr>
      <w:r w:rsidRPr="00984A39">
        <w:rPr>
          <w:noProof/>
        </w:rPr>
        <w:t>W związku</w:t>
      </w:r>
      <w:r w:rsidR="009F5FFB" w:rsidRPr="00984A39">
        <w:rPr>
          <w:noProof/>
        </w:rPr>
        <w:t xml:space="preserve"> z</w:t>
      </w:r>
      <w:r w:rsidR="009F5FFB">
        <w:rPr>
          <w:noProof/>
        </w:rPr>
        <w:t> </w:t>
      </w:r>
      <w:r w:rsidR="009F5FFB" w:rsidRPr="00984A39">
        <w:rPr>
          <w:noProof/>
        </w:rPr>
        <w:t>tym</w:t>
      </w:r>
      <w:r w:rsidRPr="00984A39">
        <w:rPr>
          <w:noProof/>
        </w:rPr>
        <w:t xml:space="preserve"> proceduralną podstawą prawną proponowanej decyzji</w:t>
      </w:r>
      <w:r w:rsidR="009F5FFB" w:rsidRPr="00984A39">
        <w:rPr>
          <w:noProof/>
        </w:rPr>
        <w:t xml:space="preserve"> w</w:t>
      </w:r>
      <w:r w:rsidR="009F5FFB">
        <w:rPr>
          <w:noProof/>
        </w:rPr>
        <w:t> </w:t>
      </w:r>
      <w:r w:rsidR="009F5FFB" w:rsidRPr="00984A39">
        <w:rPr>
          <w:noProof/>
        </w:rPr>
        <w:t>spr</w:t>
      </w:r>
      <w:r w:rsidRPr="00984A39">
        <w:rPr>
          <w:noProof/>
        </w:rPr>
        <w:t xml:space="preserve">awie stanowiska dotyczącego takich zgłoszeń jest </w:t>
      </w:r>
      <w:r w:rsidRPr="009F5FFB">
        <w:rPr>
          <w:noProof/>
        </w:rPr>
        <w:t>art.</w:t>
      </w:r>
      <w:r w:rsidR="009F5FFB" w:rsidRPr="009F5FFB">
        <w:rPr>
          <w:noProof/>
        </w:rPr>
        <w:t> </w:t>
      </w:r>
      <w:r w:rsidRPr="009F5FFB">
        <w:rPr>
          <w:noProof/>
        </w:rPr>
        <w:t>2</w:t>
      </w:r>
      <w:r w:rsidRPr="00984A39">
        <w:rPr>
          <w:noProof/>
        </w:rPr>
        <w:t xml:space="preserve">18 </w:t>
      </w:r>
      <w:r w:rsidRPr="009F5FFB">
        <w:rPr>
          <w:noProof/>
        </w:rPr>
        <w:t>ust.</w:t>
      </w:r>
      <w:r w:rsidR="009F5FFB" w:rsidRPr="009F5FFB">
        <w:rPr>
          <w:noProof/>
        </w:rPr>
        <w:t> </w:t>
      </w:r>
      <w:r w:rsidRPr="009F5FFB">
        <w:rPr>
          <w:noProof/>
        </w:rPr>
        <w:t>9</w:t>
      </w:r>
      <w:r w:rsidRPr="00984A39">
        <w:rPr>
          <w:noProof/>
        </w:rPr>
        <w:t xml:space="preserve"> TFUE.</w:t>
      </w:r>
    </w:p>
    <w:p w14:paraId="4D3C1C63" w14:textId="7EEFAEC2" w:rsidR="00174E7F" w:rsidRPr="00984A39" w:rsidRDefault="00E84D33" w:rsidP="00E84D33">
      <w:pPr>
        <w:pStyle w:val="ManualHeading2"/>
        <w:rPr>
          <w:noProof/>
        </w:rPr>
      </w:pPr>
      <w:r w:rsidRPr="00E84D33">
        <w:t>4.2.</w:t>
      </w:r>
      <w:r w:rsidRPr="00E84D33">
        <w:tab/>
      </w:r>
      <w:r w:rsidR="00174E7F" w:rsidRPr="00984A39">
        <w:rPr>
          <w:noProof/>
        </w:rPr>
        <w:t>Materialna podstawa prawna</w:t>
      </w:r>
    </w:p>
    <w:p w14:paraId="1619EC24" w14:textId="12165CB8" w:rsidR="00174E7F" w:rsidRPr="00984A39" w:rsidRDefault="00E84D33" w:rsidP="00E84D33">
      <w:pPr>
        <w:pStyle w:val="ManualHeading3"/>
        <w:rPr>
          <w:noProof/>
        </w:rPr>
      </w:pPr>
      <w:r w:rsidRPr="00E84D33">
        <w:t>4.2.1.</w:t>
      </w:r>
      <w:r w:rsidRPr="00E84D33">
        <w:tab/>
      </w:r>
      <w:r w:rsidR="00174E7F" w:rsidRPr="00984A39">
        <w:rPr>
          <w:noProof/>
        </w:rPr>
        <w:t>Zasady</w:t>
      </w:r>
    </w:p>
    <w:p w14:paraId="7B84E350" w14:textId="6A20FFEB" w:rsidR="00174E7F" w:rsidRPr="00984A39" w:rsidRDefault="00174E7F" w:rsidP="0077011D">
      <w:pPr>
        <w:rPr>
          <w:noProof/>
        </w:rPr>
      </w:pPr>
      <w:r w:rsidRPr="00984A39">
        <w:rPr>
          <w:noProof/>
        </w:rPr>
        <w:t>Materialna podstawa prawna decyzji na podstawie art. 218 ust. 9 TFUE zależy przede wszystkim od celu</w:t>
      </w:r>
      <w:r w:rsidR="009F5FFB" w:rsidRPr="00984A39">
        <w:rPr>
          <w:noProof/>
        </w:rPr>
        <w:t xml:space="preserve"> i</w:t>
      </w:r>
      <w:r w:rsidR="009F5FFB">
        <w:rPr>
          <w:noProof/>
        </w:rPr>
        <w:t> </w:t>
      </w:r>
      <w:r w:rsidR="009F5FFB" w:rsidRPr="00984A39">
        <w:rPr>
          <w:noProof/>
        </w:rPr>
        <w:t>tre</w:t>
      </w:r>
      <w:r w:rsidRPr="00984A39">
        <w:rPr>
          <w:noProof/>
        </w:rPr>
        <w:t>ści planowanego aktu,</w:t>
      </w:r>
      <w:r w:rsidR="009F5FFB" w:rsidRPr="00984A39">
        <w:rPr>
          <w:noProof/>
        </w:rPr>
        <w:t xml:space="preserve"> w</w:t>
      </w:r>
      <w:r w:rsidR="009F5FFB">
        <w:rPr>
          <w:noProof/>
        </w:rPr>
        <w:t> </w:t>
      </w:r>
      <w:r w:rsidR="009F5FFB" w:rsidRPr="00984A39">
        <w:rPr>
          <w:noProof/>
        </w:rPr>
        <w:t>odn</w:t>
      </w:r>
      <w:r w:rsidRPr="00984A39">
        <w:rPr>
          <w:noProof/>
        </w:rPr>
        <w:t>iesieniu do którego ma zostać zajęte stanowisko</w:t>
      </w:r>
      <w:r w:rsidR="009F5FFB" w:rsidRPr="00984A39">
        <w:rPr>
          <w:noProof/>
        </w:rPr>
        <w:t xml:space="preserve"> w</w:t>
      </w:r>
      <w:r w:rsidR="009F5FFB">
        <w:rPr>
          <w:noProof/>
        </w:rPr>
        <w:t> </w:t>
      </w:r>
      <w:r w:rsidR="009F5FFB" w:rsidRPr="00984A39">
        <w:rPr>
          <w:noProof/>
        </w:rPr>
        <w:t>imi</w:t>
      </w:r>
      <w:r w:rsidRPr="00984A39">
        <w:rPr>
          <w:noProof/>
        </w:rPr>
        <w:t>eniu Unii. Jeżeli planowany akt ma dwojaki cel lub dwa elementy składowe,</w:t>
      </w:r>
      <w:r w:rsidR="009F5FFB" w:rsidRPr="00984A39">
        <w:rPr>
          <w:noProof/>
        </w:rPr>
        <w:t xml:space="preserve"> a</w:t>
      </w:r>
      <w:r w:rsidR="009F5FFB">
        <w:rPr>
          <w:noProof/>
        </w:rPr>
        <w:t> </w:t>
      </w:r>
      <w:r w:rsidR="009F5FFB" w:rsidRPr="00984A39">
        <w:rPr>
          <w:noProof/>
        </w:rPr>
        <w:t>jed</w:t>
      </w:r>
      <w:r w:rsidRPr="00984A39">
        <w:rPr>
          <w:noProof/>
        </w:rPr>
        <w:t>en</w:t>
      </w:r>
      <w:r w:rsidR="009F5FFB" w:rsidRPr="00984A39">
        <w:rPr>
          <w:noProof/>
        </w:rPr>
        <w:t xml:space="preserve"> z</w:t>
      </w:r>
      <w:r w:rsidR="009F5FFB">
        <w:rPr>
          <w:noProof/>
        </w:rPr>
        <w:t> </w:t>
      </w:r>
      <w:r w:rsidR="009F5FFB" w:rsidRPr="00984A39">
        <w:rPr>
          <w:noProof/>
        </w:rPr>
        <w:t>tyc</w:t>
      </w:r>
      <w:r w:rsidRPr="00984A39">
        <w:rPr>
          <w:noProof/>
        </w:rPr>
        <w:t xml:space="preserve">h celów lub elementów da się określić jako główny, zaś drugi ma jedynie pomocniczy charakter, decyzja przyjęta na mocy </w:t>
      </w:r>
      <w:r w:rsidRPr="009F5FFB">
        <w:rPr>
          <w:noProof/>
        </w:rPr>
        <w:t>art.</w:t>
      </w:r>
      <w:r w:rsidR="009F5FFB" w:rsidRPr="009F5FFB">
        <w:rPr>
          <w:noProof/>
        </w:rPr>
        <w:t> </w:t>
      </w:r>
      <w:r w:rsidRPr="009F5FFB">
        <w:rPr>
          <w:noProof/>
        </w:rPr>
        <w:t>2</w:t>
      </w:r>
      <w:r w:rsidRPr="00984A39">
        <w:rPr>
          <w:noProof/>
        </w:rPr>
        <w:t xml:space="preserve">18 </w:t>
      </w:r>
      <w:r w:rsidRPr="009F5FFB">
        <w:rPr>
          <w:noProof/>
        </w:rPr>
        <w:t>ust.</w:t>
      </w:r>
      <w:r w:rsidR="009F5FFB" w:rsidRPr="009F5FFB">
        <w:rPr>
          <w:noProof/>
        </w:rPr>
        <w:t> </w:t>
      </w:r>
      <w:r w:rsidRPr="009F5FFB">
        <w:rPr>
          <w:noProof/>
        </w:rPr>
        <w:t>9</w:t>
      </w:r>
      <w:r w:rsidRPr="00984A39">
        <w:rPr>
          <w:noProof/>
        </w:rPr>
        <w:t xml:space="preserve"> TFUE musi mieć jedną materialną podstawę prawną, tj. podstawę, której wymaga główny lub dominujący cel lub element składowy.</w:t>
      </w:r>
    </w:p>
    <w:p w14:paraId="341163C8" w14:textId="25E30A7E" w:rsidR="00174E7F" w:rsidRPr="00984A39" w:rsidRDefault="00E84D33" w:rsidP="00E84D33">
      <w:pPr>
        <w:pStyle w:val="ManualHeading3"/>
        <w:rPr>
          <w:noProof/>
        </w:rPr>
      </w:pPr>
      <w:r w:rsidRPr="00E84D33">
        <w:t>4.2.2.</w:t>
      </w:r>
      <w:r w:rsidRPr="00E84D33">
        <w:tab/>
      </w:r>
      <w:r w:rsidR="00174E7F" w:rsidRPr="00984A39">
        <w:rPr>
          <w:noProof/>
        </w:rPr>
        <w:t>Zastosowanie</w:t>
      </w:r>
      <w:r w:rsidR="009F5FFB" w:rsidRPr="00984A39">
        <w:rPr>
          <w:noProof/>
        </w:rPr>
        <w:t xml:space="preserve"> w</w:t>
      </w:r>
      <w:r w:rsidR="009F5FFB">
        <w:rPr>
          <w:noProof/>
        </w:rPr>
        <w:t> </w:t>
      </w:r>
      <w:r w:rsidR="009F5FFB" w:rsidRPr="00984A39">
        <w:rPr>
          <w:noProof/>
        </w:rPr>
        <w:t>nin</w:t>
      </w:r>
      <w:r w:rsidR="00174E7F" w:rsidRPr="00984A39">
        <w:rPr>
          <w:noProof/>
        </w:rPr>
        <w:t>iejszej sprawie</w:t>
      </w:r>
    </w:p>
    <w:p w14:paraId="1A2DC2E7" w14:textId="18940B9C" w:rsidR="00174E7F" w:rsidRPr="00984A39" w:rsidRDefault="00174E7F" w:rsidP="00174E7F">
      <w:pPr>
        <w:ind w:left="-5"/>
        <w:rPr>
          <w:noProof/>
        </w:rPr>
      </w:pPr>
      <w:r w:rsidRPr="00984A39">
        <w:rPr>
          <w:noProof/>
        </w:rPr>
        <w:t>Główny cel</w:t>
      </w:r>
      <w:r w:rsidR="009F5FFB" w:rsidRPr="00984A39">
        <w:rPr>
          <w:noProof/>
        </w:rPr>
        <w:t xml:space="preserve"> i</w:t>
      </w:r>
      <w:r w:rsidR="009F5FFB">
        <w:rPr>
          <w:noProof/>
        </w:rPr>
        <w:t> </w:t>
      </w:r>
      <w:r w:rsidR="009F5FFB" w:rsidRPr="00984A39">
        <w:rPr>
          <w:noProof/>
        </w:rPr>
        <w:t>tre</w:t>
      </w:r>
      <w:r w:rsidRPr="00984A39">
        <w:rPr>
          <w:noProof/>
        </w:rPr>
        <w:t>ść przyjmowanego aktu dotyczą wspólnej polityki transportowej.</w:t>
      </w:r>
    </w:p>
    <w:p w14:paraId="689AEA30" w14:textId="77777777" w:rsidR="00174E7F" w:rsidRPr="00984A39" w:rsidRDefault="00174E7F" w:rsidP="00174E7F">
      <w:pPr>
        <w:rPr>
          <w:noProof/>
        </w:rPr>
      </w:pPr>
      <w:r w:rsidRPr="00984A39">
        <w:rPr>
          <w:noProof/>
        </w:rPr>
        <w:t>Materialną podstawą prawną proponowanej decyzji jest zatem art. 100 ust. 2 TFUE.</w:t>
      </w:r>
    </w:p>
    <w:p w14:paraId="1A171E37" w14:textId="01A80561" w:rsidR="00174E7F" w:rsidRPr="00984A39" w:rsidRDefault="00E84D33" w:rsidP="00E84D33">
      <w:pPr>
        <w:pStyle w:val="ManualHeading2"/>
        <w:rPr>
          <w:noProof/>
        </w:rPr>
      </w:pPr>
      <w:r w:rsidRPr="00E84D33">
        <w:t>4.3.</w:t>
      </w:r>
      <w:r w:rsidRPr="00E84D33">
        <w:tab/>
      </w:r>
      <w:r w:rsidR="00174E7F" w:rsidRPr="00984A39">
        <w:rPr>
          <w:noProof/>
        </w:rPr>
        <w:t>Podsumowanie</w:t>
      </w:r>
    </w:p>
    <w:p w14:paraId="03EED13E" w14:textId="04887682" w:rsidR="00D40464" w:rsidRPr="00984A39" w:rsidRDefault="00D40464" w:rsidP="00D40464">
      <w:pPr>
        <w:ind w:left="-5"/>
        <w:rPr>
          <w:noProof/>
        </w:rPr>
      </w:pPr>
      <w:r w:rsidRPr="00984A39">
        <w:rPr>
          <w:noProof/>
        </w:rPr>
        <w:t>Podstawę prawną decyzji Rady, której dotyczy wniosek, stanowi art. 100 ust. 2 TFUE</w:t>
      </w:r>
      <w:r w:rsidR="009F5FFB" w:rsidRPr="00984A39">
        <w:rPr>
          <w:noProof/>
        </w:rPr>
        <w:t xml:space="preserve"> w</w:t>
      </w:r>
      <w:r w:rsidR="009F5FFB">
        <w:rPr>
          <w:noProof/>
        </w:rPr>
        <w:t> </w:t>
      </w:r>
      <w:r w:rsidR="009F5FFB" w:rsidRPr="00984A39">
        <w:rPr>
          <w:noProof/>
        </w:rPr>
        <w:t>zwi</w:t>
      </w:r>
      <w:r w:rsidRPr="00984A39">
        <w:rPr>
          <w:noProof/>
        </w:rPr>
        <w:t>ązku</w:t>
      </w:r>
      <w:r w:rsidR="009F5FFB" w:rsidRPr="00984A39">
        <w:rPr>
          <w:noProof/>
        </w:rPr>
        <w:t xml:space="preserve"> z</w:t>
      </w:r>
      <w:r w:rsidR="009F5FFB">
        <w:rPr>
          <w:noProof/>
        </w:rPr>
        <w:t> </w:t>
      </w:r>
      <w:r w:rsidR="009F5FFB" w:rsidRPr="00984A39">
        <w:rPr>
          <w:noProof/>
        </w:rPr>
        <w:t>art</w:t>
      </w:r>
      <w:r w:rsidRPr="00984A39">
        <w:rPr>
          <w:noProof/>
        </w:rPr>
        <w:t>. 218 ust. 9 TFUE.</w:t>
      </w:r>
    </w:p>
    <w:p w14:paraId="7BDDDFE8" w14:textId="77777777" w:rsidR="00174E7F" w:rsidRPr="00984A39" w:rsidRDefault="00174E7F" w:rsidP="0077011D">
      <w:pPr>
        <w:rPr>
          <w:noProof/>
        </w:rPr>
        <w:sectPr w:rsidR="00174E7F" w:rsidRPr="00984A39" w:rsidSect="0095413B">
          <w:footerReference w:type="default" r:id="rId9"/>
          <w:footerReference w:type="first" r:id="rId10"/>
          <w:pgSz w:w="11907" w:h="16839"/>
          <w:pgMar w:top="1134" w:right="1417" w:bottom="1134" w:left="1417" w:header="709" w:footer="709" w:gutter="0"/>
          <w:cols w:space="708"/>
          <w:docGrid w:linePitch="360"/>
        </w:sectPr>
      </w:pPr>
    </w:p>
    <w:p w14:paraId="6CB79BA8" w14:textId="7BF92CD7" w:rsidR="00005A5A" w:rsidRDefault="00005A5A" w:rsidP="00005A5A">
      <w:pPr>
        <w:pStyle w:val="Rfrenceinterinstitutionnelle"/>
        <w:rPr>
          <w:noProof/>
        </w:rPr>
      </w:pPr>
      <w:r w:rsidRPr="00005A5A">
        <w:t>2023/0032 (NLE)</w:t>
      </w:r>
    </w:p>
    <w:p w14:paraId="09E3C3D1" w14:textId="29FD1266" w:rsidR="00174E7F" w:rsidRPr="00984A39" w:rsidRDefault="009F5FFB" w:rsidP="009F5FFB">
      <w:pPr>
        <w:pStyle w:val="Statut"/>
        <w:rPr>
          <w:noProof/>
        </w:rPr>
      </w:pPr>
      <w:r w:rsidRPr="009F5FFB">
        <w:rPr>
          <w:noProof/>
        </w:rPr>
        <w:t>Wniosek</w:t>
      </w:r>
    </w:p>
    <w:p w14:paraId="01DBD836" w14:textId="2E845244" w:rsidR="00174E7F" w:rsidRPr="00984A39" w:rsidRDefault="009F5FFB" w:rsidP="009F5FFB">
      <w:pPr>
        <w:pStyle w:val="Typedudocument"/>
        <w:rPr>
          <w:noProof/>
        </w:rPr>
      </w:pPr>
      <w:r w:rsidRPr="009F5FFB">
        <w:rPr>
          <w:noProof/>
        </w:rPr>
        <w:t>DECYZJA RADY</w:t>
      </w:r>
    </w:p>
    <w:p w14:paraId="6A023454" w14:textId="252BFB9D" w:rsidR="00174E7F" w:rsidRPr="00984A39" w:rsidRDefault="009F5FFB" w:rsidP="009F5FFB">
      <w:pPr>
        <w:pStyle w:val="Titreobjet"/>
        <w:rPr>
          <w:noProof/>
        </w:rPr>
      </w:pPr>
      <w:r w:rsidRPr="009F5FFB">
        <w:rPr>
          <w:noProof/>
        </w:rPr>
        <w:t>w sprawie stanowiska, jakie ma zostać zajęte w imieniu Unii Europejskiej na 228. sesji Rady Organizacji Międzynarodowego Lotnictwa Cywilnego (ICAO) w kwestii planowanego przyjęcia zmiany nr 93 w załączniku 10 „Łączność lotnicza” (tom I – Pomoce radionawigacyjne) do Konwencji o międzynarodowym lotnictwie cywilnym</w:t>
      </w:r>
    </w:p>
    <w:p w14:paraId="719E7ADE" w14:textId="77777777" w:rsidR="00174E7F" w:rsidRPr="00984A39" w:rsidRDefault="00174E7F" w:rsidP="0077011D">
      <w:pPr>
        <w:pStyle w:val="Institutionquiagit"/>
        <w:rPr>
          <w:noProof/>
        </w:rPr>
      </w:pPr>
      <w:r w:rsidRPr="00984A39">
        <w:rPr>
          <w:noProof/>
        </w:rPr>
        <w:t>RADA UNII EUROPEJSKIEJ,</w:t>
      </w:r>
    </w:p>
    <w:p w14:paraId="67DC8D42" w14:textId="27FC3966" w:rsidR="00174E7F" w:rsidRPr="00984A39" w:rsidRDefault="00D10F2C" w:rsidP="00D10F2C">
      <w:pPr>
        <w:rPr>
          <w:noProof/>
        </w:rPr>
      </w:pPr>
      <w:r w:rsidRPr="00984A39">
        <w:rPr>
          <w:noProof/>
        </w:rPr>
        <w:t>uwzględniając Traktat</w:t>
      </w:r>
      <w:r w:rsidR="009F5FFB" w:rsidRPr="00984A39">
        <w:rPr>
          <w:noProof/>
        </w:rPr>
        <w:t xml:space="preserve"> o</w:t>
      </w:r>
      <w:r w:rsidR="009F5FFB">
        <w:rPr>
          <w:noProof/>
        </w:rPr>
        <w:t> </w:t>
      </w:r>
      <w:r w:rsidR="009F5FFB" w:rsidRPr="00984A39">
        <w:rPr>
          <w:noProof/>
        </w:rPr>
        <w:t>fun</w:t>
      </w:r>
      <w:r w:rsidRPr="00984A39">
        <w:rPr>
          <w:noProof/>
        </w:rPr>
        <w:t>kcjonowaniu Unii Europejskiej,</w:t>
      </w:r>
      <w:r w:rsidR="009F5FFB" w:rsidRPr="00984A39">
        <w:rPr>
          <w:noProof/>
        </w:rPr>
        <w:t xml:space="preserve"> w</w:t>
      </w:r>
      <w:r w:rsidR="009F5FFB">
        <w:rPr>
          <w:noProof/>
        </w:rPr>
        <w:t> </w:t>
      </w:r>
      <w:r w:rsidR="009F5FFB" w:rsidRPr="00984A39">
        <w:rPr>
          <w:noProof/>
        </w:rPr>
        <w:t>szc</w:t>
      </w:r>
      <w:r w:rsidRPr="00984A39">
        <w:rPr>
          <w:noProof/>
        </w:rPr>
        <w:t>zególności jego art. 100 ust. 2</w:t>
      </w:r>
      <w:r w:rsidR="009F5FFB" w:rsidRPr="00984A39">
        <w:rPr>
          <w:noProof/>
        </w:rPr>
        <w:t xml:space="preserve"> w</w:t>
      </w:r>
      <w:r w:rsidR="009F5FFB">
        <w:rPr>
          <w:noProof/>
        </w:rPr>
        <w:t> </w:t>
      </w:r>
      <w:r w:rsidR="009F5FFB" w:rsidRPr="00984A39">
        <w:rPr>
          <w:noProof/>
        </w:rPr>
        <w:t>zwi</w:t>
      </w:r>
      <w:r w:rsidRPr="00984A39">
        <w:rPr>
          <w:noProof/>
        </w:rPr>
        <w:t>ązku</w:t>
      </w:r>
      <w:r w:rsidR="009F5FFB" w:rsidRPr="00984A39">
        <w:rPr>
          <w:noProof/>
        </w:rPr>
        <w:t xml:space="preserve"> z</w:t>
      </w:r>
      <w:r w:rsidR="009F5FFB">
        <w:rPr>
          <w:noProof/>
        </w:rPr>
        <w:t> </w:t>
      </w:r>
      <w:r w:rsidR="009F5FFB" w:rsidRPr="00984A39">
        <w:rPr>
          <w:noProof/>
        </w:rPr>
        <w:t>art</w:t>
      </w:r>
      <w:r w:rsidRPr="00984A39">
        <w:rPr>
          <w:noProof/>
        </w:rPr>
        <w:t>. 218 ust. 9,</w:t>
      </w:r>
    </w:p>
    <w:p w14:paraId="13240B80" w14:textId="77777777" w:rsidR="00174E7F" w:rsidRPr="00984A39" w:rsidRDefault="00174E7F" w:rsidP="0077011D">
      <w:pPr>
        <w:rPr>
          <w:noProof/>
        </w:rPr>
      </w:pPr>
      <w:r w:rsidRPr="00984A39">
        <w:rPr>
          <w:noProof/>
        </w:rPr>
        <w:t>uwzględniając wniosek Komisji Europejskiej,</w:t>
      </w:r>
    </w:p>
    <w:p w14:paraId="68D9DDE7" w14:textId="77777777" w:rsidR="00174E7F" w:rsidRPr="00984A39" w:rsidRDefault="00174E7F" w:rsidP="0077011D">
      <w:pPr>
        <w:rPr>
          <w:noProof/>
        </w:rPr>
      </w:pPr>
      <w:r w:rsidRPr="00984A39">
        <w:rPr>
          <w:noProof/>
        </w:rPr>
        <w:t>a także mając na uwadze, co następuje:</w:t>
      </w:r>
    </w:p>
    <w:p w14:paraId="0922CDCC" w14:textId="664F0CB9" w:rsidR="00D10F2C" w:rsidRPr="00984A39" w:rsidRDefault="00E84D33" w:rsidP="00E84D33">
      <w:pPr>
        <w:pStyle w:val="ManualConsidrant"/>
        <w:rPr>
          <w:noProof/>
        </w:rPr>
      </w:pPr>
      <w:r w:rsidRPr="00E84D33">
        <w:t>(1)</w:t>
      </w:r>
      <w:r w:rsidRPr="00E84D33">
        <w:tab/>
      </w:r>
      <w:r w:rsidR="00D10F2C" w:rsidRPr="00984A39">
        <w:rPr>
          <w:noProof/>
        </w:rPr>
        <w:t>Konwencja</w:t>
      </w:r>
      <w:r w:rsidR="009F5FFB" w:rsidRPr="00984A39">
        <w:rPr>
          <w:noProof/>
        </w:rPr>
        <w:t xml:space="preserve"> o</w:t>
      </w:r>
      <w:r w:rsidR="009F5FFB">
        <w:rPr>
          <w:noProof/>
        </w:rPr>
        <w:t> </w:t>
      </w:r>
      <w:r w:rsidR="009F5FFB" w:rsidRPr="00984A39">
        <w:rPr>
          <w:noProof/>
        </w:rPr>
        <w:t>mię</w:t>
      </w:r>
      <w:r w:rsidR="00D10F2C" w:rsidRPr="00984A39">
        <w:rPr>
          <w:noProof/>
        </w:rPr>
        <w:t>dzynarodowym lotnictwie cywilnym („konwencja chicagowska”) regulująca międzynarodowy transport lotniczy weszła</w:t>
      </w:r>
      <w:r w:rsidR="009F5FFB" w:rsidRPr="00984A39">
        <w:rPr>
          <w:noProof/>
        </w:rPr>
        <w:t xml:space="preserve"> w</w:t>
      </w:r>
      <w:r w:rsidR="009F5FFB">
        <w:rPr>
          <w:noProof/>
        </w:rPr>
        <w:t> </w:t>
      </w:r>
      <w:r w:rsidR="009F5FFB" w:rsidRPr="00984A39">
        <w:rPr>
          <w:noProof/>
        </w:rPr>
        <w:t>życ</w:t>
      </w:r>
      <w:r w:rsidR="00D10F2C" w:rsidRPr="00984A39">
        <w:rPr>
          <w:noProof/>
        </w:rPr>
        <w:t>ie 4 kwietnia 1947 r. Na jej mocy ustanowiono Organizację Międzynarodowego Lotnictwa Cywilnego (ICAO).</w:t>
      </w:r>
    </w:p>
    <w:p w14:paraId="173DCDA6" w14:textId="1297D83B" w:rsidR="00D10F2C" w:rsidRPr="00984A39" w:rsidRDefault="00E84D33" w:rsidP="00E84D33">
      <w:pPr>
        <w:pStyle w:val="ManualConsidrant"/>
        <w:rPr>
          <w:noProof/>
        </w:rPr>
      </w:pPr>
      <w:r w:rsidRPr="00E84D33">
        <w:t>(2)</w:t>
      </w:r>
      <w:r w:rsidRPr="00E84D33">
        <w:tab/>
      </w:r>
      <w:r w:rsidR="00D10F2C" w:rsidRPr="00984A39">
        <w:rPr>
          <w:noProof/>
        </w:rPr>
        <w:t>Państwa członkowskie są umawiającymi się państwami konwencji chicagowskiej oraz członkami ICAO, natomiast Unia ma status obserwatora</w:t>
      </w:r>
      <w:r w:rsidR="009F5FFB" w:rsidRPr="00984A39">
        <w:rPr>
          <w:noProof/>
        </w:rPr>
        <w:t xml:space="preserve"> w</w:t>
      </w:r>
      <w:r w:rsidR="009F5FFB">
        <w:rPr>
          <w:noProof/>
        </w:rPr>
        <w:t> </w:t>
      </w:r>
      <w:r w:rsidR="009F5FFB" w:rsidRPr="00984A39">
        <w:rPr>
          <w:noProof/>
        </w:rPr>
        <w:t>nie</w:t>
      </w:r>
      <w:r w:rsidR="00D10F2C" w:rsidRPr="00984A39">
        <w:rPr>
          <w:noProof/>
        </w:rPr>
        <w:t>których organach ICAO. W Radzie ICAO reprezentowanych jest obecnie sześć państw członkowskich.</w:t>
      </w:r>
    </w:p>
    <w:p w14:paraId="3907182C" w14:textId="0AF5CBCB" w:rsidR="00D10F2C" w:rsidRPr="00984A39" w:rsidRDefault="00E84D33" w:rsidP="00E84D33">
      <w:pPr>
        <w:pStyle w:val="ManualConsidrant"/>
        <w:rPr>
          <w:noProof/>
        </w:rPr>
      </w:pPr>
      <w:r w:rsidRPr="00E84D33">
        <w:t>(3)</w:t>
      </w:r>
      <w:r w:rsidRPr="00E84D33">
        <w:tab/>
      </w:r>
      <w:r w:rsidR="00D10F2C" w:rsidRPr="00984A39">
        <w:rPr>
          <w:noProof/>
        </w:rPr>
        <w:t>Zgodnie</w:t>
      </w:r>
      <w:r w:rsidR="009F5FFB" w:rsidRPr="00984A39">
        <w:rPr>
          <w:noProof/>
        </w:rPr>
        <w:t xml:space="preserve"> z</w:t>
      </w:r>
      <w:r w:rsidR="009F5FFB">
        <w:rPr>
          <w:noProof/>
        </w:rPr>
        <w:t> </w:t>
      </w:r>
      <w:r w:rsidR="009F5FFB" w:rsidRPr="009F5FFB">
        <w:rPr>
          <w:noProof/>
        </w:rPr>
        <w:t>art</w:t>
      </w:r>
      <w:r w:rsidR="00D10F2C" w:rsidRPr="009F5FFB">
        <w:rPr>
          <w:noProof/>
        </w:rPr>
        <w:t>.</w:t>
      </w:r>
      <w:r w:rsidR="009F5FFB" w:rsidRPr="009F5FFB">
        <w:rPr>
          <w:noProof/>
        </w:rPr>
        <w:t> </w:t>
      </w:r>
      <w:r w:rsidR="00D10F2C" w:rsidRPr="009F5FFB">
        <w:rPr>
          <w:noProof/>
        </w:rPr>
        <w:t>5</w:t>
      </w:r>
      <w:r w:rsidR="00D10F2C" w:rsidRPr="00984A39">
        <w:rPr>
          <w:noProof/>
        </w:rPr>
        <w:t>4 konwencji chicagowskiej Rada ICAO może przyjmować międzynarodowe normy</w:t>
      </w:r>
      <w:r w:rsidR="009F5FFB" w:rsidRPr="00984A39">
        <w:rPr>
          <w:noProof/>
        </w:rPr>
        <w:t xml:space="preserve"> i</w:t>
      </w:r>
      <w:r w:rsidR="009F5FFB">
        <w:rPr>
          <w:noProof/>
        </w:rPr>
        <w:t> </w:t>
      </w:r>
      <w:r w:rsidR="009F5FFB" w:rsidRPr="00984A39">
        <w:rPr>
          <w:noProof/>
        </w:rPr>
        <w:t>zal</w:t>
      </w:r>
      <w:r w:rsidR="00D10F2C" w:rsidRPr="00984A39">
        <w:rPr>
          <w:noProof/>
        </w:rPr>
        <w:t>ecane metody postępowania (SARPs)</w:t>
      </w:r>
      <w:r w:rsidR="009F5FFB" w:rsidRPr="00984A39">
        <w:rPr>
          <w:noProof/>
        </w:rPr>
        <w:t xml:space="preserve"> i</w:t>
      </w:r>
      <w:r w:rsidR="009F5FFB">
        <w:rPr>
          <w:noProof/>
        </w:rPr>
        <w:t> </w:t>
      </w:r>
      <w:r w:rsidR="009F5FFB" w:rsidRPr="00984A39">
        <w:rPr>
          <w:noProof/>
        </w:rPr>
        <w:t>ozn</w:t>
      </w:r>
      <w:r w:rsidR="00D10F2C" w:rsidRPr="00984A39">
        <w:rPr>
          <w:noProof/>
        </w:rPr>
        <w:t>aczać je jako załączniki do konwencji chicagowskiej.</w:t>
      </w:r>
    </w:p>
    <w:p w14:paraId="603712AB" w14:textId="7AF7AEB2" w:rsidR="00D10F2C" w:rsidRPr="00984A39" w:rsidRDefault="00E84D33" w:rsidP="00E84D33">
      <w:pPr>
        <w:pStyle w:val="ManualConsidrant"/>
        <w:rPr>
          <w:noProof/>
        </w:rPr>
      </w:pPr>
      <w:r w:rsidRPr="00E84D33">
        <w:t>(4)</w:t>
      </w:r>
      <w:r w:rsidRPr="00E84D33">
        <w:tab/>
      </w:r>
      <w:r w:rsidR="00D10F2C" w:rsidRPr="00984A39">
        <w:rPr>
          <w:noProof/>
        </w:rPr>
        <w:t>Rada ICAO zamierza przyjąć podczas swojej 228. sesji zmianę nr 93</w:t>
      </w:r>
      <w:r w:rsidR="009F5FFB" w:rsidRPr="00984A39">
        <w:rPr>
          <w:noProof/>
        </w:rPr>
        <w:t xml:space="preserve"> w</w:t>
      </w:r>
      <w:r w:rsidR="009F5FFB">
        <w:rPr>
          <w:noProof/>
        </w:rPr>
        <w:t> </w:t>
      </w:r>
      <w:r w:rsidR="009F5FFB" w:rsidRPr="00984A39">
        <w:rPr>
          <w:noProof/>
        </w:rPr>
        <w:t>tom</w:t>
      </w:r>
      <w:r w:rsidR="00D10F2C" w:rsidRPr="00984A39">
        <w:rPr>
          <w:noProof/>
        </w:rPr>
        <w:t>ie I załącznika 10 do Konwencji</w:t>
      </w:r>
      <w:r w:rsidR="009F5FFB" w:rsidRPr="00984A39">
        <w:rPr>
          <w:noProof/>
        </w:rPr>
        <w:t xml:space="preserve"> o</w:t>
      </w:r>
      <w:r w:rsidR="009F5FFB">
        <w:rPr>
          <w:noProof/>
        </w:rPr>
        <w:t> </w:t>
      </w:r>
      <w:r w:rsidR="009F5FFB" w:rsidRPr="00984A39">
        <w:rPr>
          <w:noProof/>
        </w:rPr>
        <w:t>mię</w:t>
      </w:r>
      <w:r w:rsidR="00D10F2C" w:rsidRPr="00984A39">
        <w:rPr>
          <w:noProof/>
        </w:rPr>
        <w:t>dzynarodowym lotnictwie cywilnym.</w:t>
      </w:r>
    </w:p>
    <w:p w14:paraId="3BD41D49" w14:textId="194158C8" w:rsidR="00D10F2C" w:rsidRPr="00984A39" w:rsidRDefault="00E84D33" w:rsidP="00E84D33">
      <w:pPr>
        <w:pStyle w:val="ManualConsidrant"/>
        <w:rPr>
          <w:noProof/>
        </w:rPr>
      </w:pPr>
      <w:r w:rsidRPr="00E84D33">
        <w:t>(5)</w:t>
      </w:r>
      <w:r w:rsidRPr="00E84D33">
        <w:tab/>
      </w:r>
      <w:r w:rsidR="00D10F2C" w:rsidRPr="00984A39">
        <w:rPr>
          <w:noProof/>
        </w:rPr>
        <w:t xml:space="preserve">Głównym celem zmiany </w:t>
      </w:r>
      <w:r w:rsidR="00D10F2C" w:rsidRPr="009F5FFB">
        <w:rPr>
          <w:noProof/>
        </w:rPr>
        <w:t>nr</w:t>
      </w:r>
      <w:r w:rsidR="009F5FFB" w:rsidRPr="009F5FFB">
        <w:rPr>
          <w:noProof/>
        </w:rPr>
        <w:t> </w:t>
      </w:r>
      <w:r w:rsidR="00D10F2C" w:rsidRPr="009F5FFB">
        <w:rPr>
          <w:noProof/>
        </w:rPr>
        <w:t>9</w:t>
      </w:r>
      <w:r w:rsidR="00D10F2C" w:rsidRPr="00984A39">
        <w:rPr>
          <w:noProof/>
        </w:rPr>
        <w:t>3</w:t>
      </w:r>
      <w:r w:rsidR="009F5FFB" w:rsidRPr="00984A39">
        <w:rPr>
          <w:noProof/>
        </w:rPr>
        <w:t xml:space="preserve"> w</w:t>
      </w:r>
      <w:r w:rsidR="009F5FFB">
        <w:rPr>
          <w:noProof/>
        </w:rPr>
        <w:t> </w:t>
      </w:r>
      <w:r w:rsidR="009F5FFB" w:rsidRPr="00984A39">
        <w:rPr>
          <w:noProof/>
        </w:rPr>
        <w:t>tom</w:t>
      </w:r>
      <w:r w:rsidR="00D10F2C" w:rsidRPr="00984A39">
        <w:rPr>
          <w:noProof/>
        </w:rPr>
        <w:t>ie I załącznika 10 do konwencji chicagowskiej jest wsparcie wprowadzenia globalnego systemu nawigacji satelitarnej (GNSS)</w:t>
      </w:r>
      <w:r w:rsidR="009F5FFB" w:rsidRPr="00984A39">
        <w:rPr>
          <w:noProof/>
        </w:rPr>
        <w:t xml:space="preserve"> o</w:t>
      </w:r>
      <w:r w:rsidR="009F5FFB">
        <w:rPr>
          <w:noProof/>
        </w:rPr>
        <w:t> </w:t>
      </w:r>
      <w:r w:rsidR="009F5FFB" w:rsidRPr="00984A39">
        <w:rPr>
          <w:noProof/>
        </w:rPr>
        <w:t>pod</w:t>
      </w:r>
      <w:r w:rsidR="00D10F2C" w:rsidRPr="00984A39">
        <w:rPr>
          <w:noProof/>
        </w:rPr>
        <w:t>wójnej częstotliwości</w:t>
      </w:r>
      <w:r w:rsidR="009F5FFB" w:rsidRPr="00984A39">
        <w:rPr>
          <w:noProof/>
        </w:rPr>
        <w:t xml:space="preserve"> i</w:t>
      </w:r>
      <w:r w:rsidR="009F5FFB">
        <w:rPr>
          <w:noProof/>
        </w:rPr>
        <w:t> </w:t>
      </w:r>
      <w:r w:rsidR="009F5FFB" w:rsidRPr="00984A39">
        <w:rPr>
          <w:noProof/>
        </w:rPr>
        <w:t>mul</w:t>
      </w:r>
      <w:r w:rsidR="00D10F2C" w:rsidRPr="00984A39">
        <w:rPr>
          <w:noProof/>
        </w:rPr>
        <w:t>tikonstelacji (DFMC) poprzez dodanie postanowień dotyczących dodatkowych częstotliwości pracy globalnego systemu pozycjonowania (GPS), globalnego systemu nawigacji satelitarnej (GLONASS)</w:t>
      </w:r>
      <w:r w:rsidR="009F5FFB" w:rsidRPr="00984A39">
        <w:rPr>
          <w:noProof/>
        </w:rPr>
        <w:t xml:space="preserve"> i</w:t>
      </w:r>
      <w:r w:rsidR="009F5FFB">
        <w:rPr>
          <w:noProof/>
        </w:rPr>
        <w:t> </w:t>
      </w:r>
      <w:r w:rsidR="009F5FFB" w:rsidRPr="00984A39">
        <w:rPr>
          <w:noProof/>
        </w:rPr>
        <w:t>sys</w:t>
      </w:r>
      <w:r w:rsidR="00D10F2C" w:rsidRPr="00984A39">
        <w:rPr>
          <w:noProof/>
        </w:rPr>
        <w:t>temu wspomagającego opartego na wyposażeniu satelitarnym (SBAS) oraz poprzez wprowadzenie postanowień dotyczących nowego systemu nawigacji satelitarnej BeiDou (BDS)</w:t>
      </w:r>
      <w:r w:rsidR="009F5FFB" w:rsidRPr="00984A39">
        <w:rPr>
          <w:noProof/>
        </w:rPr>
        <w:t xml:space="preserve"> i</w:t>
      </w:r>
      <w:r w:rsidR="009F5FFB">
        <w:rPr>
          <w:noProof/>
        </w:rPr>
        <w:t> </w:t>
      </w:r>
      <w:r w:rsidR="009F5FFB" w:rsidRPr="00984A39">
        <w:rPr>
          <w:noProof/>
        </w:rPr>
        <w:t>sys</w:t>
      </w:r>
      <w:r w:rsidR="00D10F2C" w:rsidRPr="00984A39">
        <w:rPr>
          <w:noProof/>
        </w:rPr>
        <w:t>temu Galileo. Chodzi również</w:t>
      </w:r>
      <w:r w:rsidR="009F5FFB" w:rsidRPr="00984A39">
        <w:rPr>
          <w:noProof/>
        </w:rPr>
        <w:t xml:space="preserve"> o</w:t>
      </w:r>
      <w:r w:rsidR="009F5FFB">
        <w:rPr>
          <w:noProof/>
        </w:rPr>
        <w:t> </w:t>
      </w:r>
      <w:r w:rsidR="009F5FFB" w:rsidRPr="00984A39">
        <w:rPr>
          <w:noProof/>
        </w:rPr>
        <w:t>wsp</w:t>
      </w:r>
      <w:r w:rsidR="00D10F2C" w:rsidRPr="00984A39">
        <w:rPr>
          <w:noProof/>
        </w:rPr>
        <w:t>arcie ograniczenia wpływu gradientu jonosferycznego na system wspomagający oparty na urządzeniach naziemnych (GBAS).</w:t>
      </w:r>
    </w:p>
    <w:p w14:paraId="53745A53" w14:textId="51B7F510" w:rsidR="00D10F2C" w:rsidRPr="00984A39" w:rsidRDefault="00E84D33" w:rsidP="00E84D33">
      <w:pPr>
        <w:pStyle w:val="ManualConsidrant"/>
        <w:rPr>
          <w:noProof/>
        </w:rPr>
      </w:pPr>
      <w:r w:rsidRPr="00E84D33">
        <w:t>(6)</w:t>
      </w:r>
      <w:r w:rsidRPr="00E84D33">
        <w:tab/>
      </w:r>
      <w:r w:rsidR="00D10F2C" w:rsidRPr="00984A39">
        <w:rPr>
          <w:noProof/>
        </w:rPr>
        <w:t>Należy ustalić stanowisko, jakie ma zostać zajęte</w:t>
      </w:r>
      <w:r w:rsidR="009F5FFB" w:rsidRPr="00984A39">
        <w:rPr>
          <w:noProof/>
        </w:rPr>
        <w:t xml:space="preserve"> w</w:t>
      </w:r>
      <w:r w:rsidR="009F5FFB">
        <w:rPr>
          <w:noProof/>
        </w:rPr>
        <w:t> </w:t>
      </w:r>
      <w:r w:rsidR="009F5FFB" w:rsidRPr="00984A39">
        <w:rPr>
          <w:noProof/>
        </w:rPr>
        <w:t>imi</w:t>
      </w:r>
      <w:r w:rsidR="00D10F2C" w:rsidRPr="00984A39">
        <w:rPr>
          <w:noProof/>
        </w:rPr>
        <w:t>eniu Unii</w:t>
      </w:r>
      <w:r w:rsidR="009F5FFB" w:rsidRPr="00984A39">
        <w:rPr>
          <w:noProof/>
        </w:rPr>
        <w:t xml:space="preserve"> w</w:t>
      </w:r>
      <w:r w:rsidR="009F5FFB">
        <w:rPr>
          <w:noProof/>
        </w:rPr>
        <w:t> </w:t>
      </w:r>
      <w:r w:rsidR="009F5FFB" w:rsidRPr="00984A39">
        <w:rPr>
          <w:noProof/>
        </w:rPr>
        <w:t>ram</w:t>
      </w:r>
      <w:r w:rsidR="00D10F2C" w:rsidRPr="00984A39">
        <w:rPr>
          <w:noProof/>
        </w:rPr>
        <w:t>ach Rady ICAO, ponieważ zmiana nr 93</w:t>
      </w:r>
      <w:r w:rsidR="009F5FFB" w:rsidRPr="00984A39">
        <w:rPr>
          <w:noProof/>
        </w:rPr>
        <w:t xml:space="preserve"> w</w:t>
      </w:r>
      <w:r w:rsidR="009F5FFB">
        <w:rPr>
          <w:noProof/>
        </w:rPr>
        <w:t> </w:t>
      </w:r>
      <w:r w:rsidR="009F5FFB" w:rsidRPr="00984A39">
        <w:rPr>
          <w:noProof/>
        </w:rPr>
        <w:t>tom</w:t>
      </w:r>
      <w:r w:rsidR="00D10F2C" w:rsidRPr="00984A39">
        <w:rPr>
          <w:noProof/>
        </w:rPr>
        <w:t>ie I załącznika 10 do Konwencji</w:t>
      </w:r>
      <w:r w:rsidR="009F5FFB" w:rsidRPr="00984A39">
        <w:rPr>
          <w:noProof/>
        </w:rPr>
        <w:t xml:space="preserve"> o</w:t>
      </w:r>
      <w:r w:rsidR="009F5FFB">
        <w:rPr>
          <w:noProof/>
        </w:rPr>
        <w:t> </w:t>
      </w:r>
      <w:r w:rsidR="009F5FFB" w:rsidRPr="00984A39">
        <w:rPr>
          <w:noProof/>
        </w:rPr>
        <w:t>mię</w:t>
      </w:r>
      <w:r w:rsidR="00D10F2C" w:rsidRPr="00984A39">
        <w:rPr>
          <w:noProof/>
        </w:rPr>
        <w:t>dzynarodowym lotnictwie cywilnym będzie wiążąca na mocy prawa międzynarodowego</w:t>
      </w:r>
      <w:r w:rsidR="009F5FFB" w:rsidRPr="00984A39">
        <w:rPr>
          <w:noProof/>
        </w:rPr>
        <w:t xml:space="preserve"> i</w:t>
      </w:r>
      <w:r w:rsidR="009F5FFB">
        <w:rPr>
          <w:noProof/>
        </w:rPr>
        <w:t> </w:t>
      </w:r>
      <w:r w:rsidR="009F5FFB" w:rsidRPr="00984A39">
        <w:rPr>
          <w:noProof/>
        </w:rPr>
        <w:t>moż</w:t>
      </w:r>
      <w:r w:rsidR="00D10F2C" w:rsidRPr="00984A39">
        <w:rPr>
          <w:noProof/>
        </w:rPr>
        <w:t>e mieć decydujący wpływ na treść prawa Unii,</w:t>
      </w:r>
      <w:r w:rsidR="009F5FFB" w:rsidRPr="00984A39">
        <w:rPr>
          <w:noProof/>
        </w:rPr>
        <w:t xml:space="preserve"> a</w:t>
      </w:r>
      <w:r w:rsidR="009F5FFB">
        <w:rPr>
          <w:noProof/>
        </w:rPr>
        <w:t> </w:t>
      </w:r>
      <w:r w:rsidR="009F5FFB" w:rsidRPr="00984A39">
        <w:rPr>
          <w:noProof/>
        </w:rPr>
        <w:t>mia</w:t>
      </w:r>
      <w:r w:rsidR="00D10F2C" w:rsidRPr="00984A39">
        <w:rPr>
          <w:noProof/>
        </w:rPr>
        <w:t>nowicie na rozporządzenie wykonawcze Komisji (UE) 2017/373(</w:t>
      </w:r>
      <w:r w:rsidR="00D10F2C" w:rsidRPr="00984A39">
        <w:rPr>
          <w:rStyle w:val="FootnoteReference"/>
          <w:noProof/>
        </w:rPr>
        <w:footnoteReference w:id="3"/>
      </w:r>
      <w:r w:rsidR="00D10F2C" w:rsidRPr="00984A39">
        <w:rPr>
          <w:noProof/>
        </w:rPr>
        <w:t>).</w:t>
      </w:r>
    </w:p>
    <w:p w14:paraId="31BA1611" w14:textId="23F6E4E5" w:rsidR="00D10F2C" w:rsidRPr="00984A39" w:rsidRDefault="00E84D33" w:rsidP="00E84D33">
      <w:pPr>
        <w:pStyle w:val="ManualConsidrant"/>
        <w:rPr>
          <w:noProof/>
        </w:rPr>
      </w:pPr>
      <w:r w:rsidRPr="00E84D33">
        <w:t>(7)</w:t>
      </w:r>
      <w:r w:rsidRPr="00E84D33">
        <w:tab/>
      </w:r>
      <w:r w:rsidR="00D10F2C" w:rsidRPr="00984A39">
        <w:rPr>
          <w:noProof/>
        </w:rPr>
        <w:t xml:space="preserve">Stanowisko Unii </w:t>
      </w:r>
      <w:r w:rsidR="00D10F2C" w:rsidRPr="009F5FFB">
        <w:rPr>
          <w:noProof/>
        </w:rPr>
        <w:t>na</w:t>
      </w:r>
      <w:r w:rsidR="009F5FFB" w:rsidRPr="009F5FFB">
        <w:rPr>
          <w:noProof/>
        </w:rPr>
        <w:t> </w:t>
      </w:r>
      <w:r w:rsidR="00D10F2C" w:rsidRPr="009F5FFB">
        <w:rPr>
          <w:noProof/>
        </w:rPr>
        <w:t>2</w:t>
      </w:r>
      <w:r w:rsidR="00D10F2C" w:rsidRPr="00984A39">
        <w:rPr>
          <w:noProof/>
        </w:rPr>
        <w:t>28. sesji Rady ICAO lub na jakiejkolwiek kolejnej sesji</w:t>
      </w:r>
      <w:r w:rsidR="009F5FFB" w:rsidRPr="00984A39">
        <w:rPr>
          <w:noProof/>
        </w:rPr>
        <w:t xml:space="preserve"> w</w:t>
      </w:r>
      <w:r w:rsidR="009F5FFB">
        <w:rPr>
          <w:noProof/>
        </w:rPr>
        <w:t> </w:t>
      </w:r>
      <w:r w:rsidR="009F5FFB" w:rsidRPr="00984A39">
        <w:rPr>
          <w:noProof/>
        </w:rPr>
        <w:t>kwe</w:t>
      </w:r>
      <w:r w:rsidR="00D10F2C" w:rsidRPr="00984A39">
        <w:rPr>
          <w:noProof/>
        </w:rPr>
        <w:t>stii przyjęcia planowanej zmiany nr 93</w:t>
      </w:r>
      <w:r w:rsidR="009F5FFB" w:rsidRPr="00984A39">
        <w:rPr>
          <w:noProof/>
        </w:rPr>
        <w:t xml:space="preserve"> w</w:t>
      </w:r>
      <w:r w:rsidR="009F5FFB">
        <w:rPr>
          <w:noProof/>
        </w:rPr>
        <w:t> </w:t>
      </w:r>
      <w:r w:rsidR="009F5FFB" w:rsidRPr="00984A39">
        <w:rPr>
          <w:noProof/>
        </w:rPr>
        <w:t>tom</w:t>
      </w:r>
      <w:r w:rsidR="00D10F2C" w:rsidRPr="00984A39">
        <w:rPr>
          <w:noProof/>
        </w:rPr>
        <w:t>ie I załącznika 10 do konwencji chicagowskiej, jak określono</w:t>
      </w:r>
      <w:r w:rsidR="009F5FFB" w:rsidRPr="00984A39">
        <w:rPr>
          <w:noProof/>
        </w:rPr>
        <w:t xml:space="preserve"> w</w:t>
      </w:r>
      <w:r w:rsidR="009F5FFB">
        <w:rPr>
          <w:noProof/>
        </w:rPr>
        <w:t> </w:t>
      </w:r>
      <w:r w:rsidR="009F5FFB" w:rsidRPr="00984A39">
        <w:rPr>
          <w:noProof/>
        </w:rPr>
        <w:t>piś</w:t>
      </w:r>
      <w:r w:rsidR="00D10F2C" w:rsidRPr="00984A39">
        <w:rPr>
          <w:noProof/>
        </w:rPr>
        <w:t>mie skierowanym do państw nr 2021/41, powinno polegać na poparciu tej zmiany</w:t>
      </w:r>
      <w:r w:rsidR="009F5FFB" w:rsidRPr="00984A39">
        <w:rPr>
          <w:noProof/>
        </w:rPr>
        <w:t xml:space="preserve"> w</w:t>
      </w:r>
      <w:r w:rsidR="009F5FFB">
        <w:rPr>
          <w:noProof/>
        </w:rPr>
        <w:t> </w:t>
      </w:r>
      <w:r w:rsidR="009F5FFB" w:rsidRPr="00984A39">
        <w:rPr>
          <w:noProof/>
        </w:rPr>
        <w:t>cał</w:t>
      </w:r>
      <w:r w:rsidR="00D10F2C" w:rsidRPr="00984A39">
        <w:rPr>
          <w:noProof/>
        </w:rPr>
        <w:t>ości</w:t>
      </w:r>
      <w:r w:rsidR="009F5FFB" w:rsidRPr="00984A39">
        <w:rPr>
          <w:noProof/>
        </w:rPr>
        <w:t xml:space="preserve"> i</w:t>
      </w:r>
      <w:r w:rsidR="009F5FFB">
        <w:rPr>
          <w:noProof/>
        </w:rPr>
        <w:t> </w:t>
      </w:r>
      <w:r w:rsidR="009F5FFB" w:rsidRPr="00984A39">
        <w:rPr>
          <w:noProof/>
        </w:rPr>
        <w:t>zas</w:t>
      </w:r>
      <w:r w:rsidR="00D10F2C" w:rsidRPr="00984A39">
        <w:rPr>
          <w:noProof/>
        </w:rPr>
        <w:t>tosowaniu się do niej. Stanowisko Unii powinno zostać wyrażone przez działające wspólnie</w:t>
      </w:r>
      <w:r w:rsidR="009F5FFB" w:rsidRPr="00984A39">
        <w:rPr>
          <w:noProof/>
        </w:rPr>
        <w:t xml:space="preserve"> w</w:t>
      </w:r>
      <w:r w:rsidR="009F5FFB">
        <w:rPr>
          <w:noProof/>
        </w:rPr>
        <w:t> </w:t>
      </w:r>
      <w:r w:rsidR="009F5FFB" w:rsidRPr="00984A39">
        <w:rPr>
          <w:noProof/>
        </w:rPr>
        <w:t>int</w:t>
      </w:r>
      <w:r w:rsidR="00D10F2C" w:rsidRPr="00984A39">
        <w:rPr>
          <w:noProof/>
        </w:rPr>
        <w:t>eresie Unii państwa członkowskie UE będące członkami Rady ICAO.</w:t>
      </w:r>
    </w:p>
    <w:p w14:paraId="4AED63F1" w14:textId="08E713FF" w:rsidR="00D10F2C" w:rsidRPr="00984A39" w:rsidRDefault="00E84D33" w:rsidP="00E84D33">
      <w:pPr>
        <w:pStyle w:val="ManualConsidrant"/>
        <w:rPr>
          <w:noProof/>
        </w:rPr>
      </w:pPr>
      <w:r w:rsidRPr="00E84D33">
        <w:t>(8)</w:t>
      </w:r>
      <w:r w:rsidRPr="00E84D33">
        <w:tab/>
      </w:r>
      <w:r w:rsidR="00D10F2C" w:rsidRPr="00984A39">
        <w:rPr>
          <w:noProof/>
        </w:rPr>
        <w:t>Po jej przyjęciu</w:t>
      </w:r>
      <w:r w:rsidR="009F5FFB" w:rsidRPr="00984A39">
        <w:rPr>
          <w:noProof/>
        </w:rPr>
        <w:t xml:space="preserve"> i</w:t>
      </w:r>
      <w:r w:rsidR="009F5FFB">
        <w:rPr>
          <w:noProof/>
        </w:rPr>
        <w:t> </w:t>
      </w:r>
      <w:r w:rsidR="009F5FFB" w:rsidRPr="00984A39">
        <w:rPr>
          <w:noProof/>
        </w:rPr>
        <w:t>wej</w:t>
      </w:r>
      <w:r w:rsidR="00D10F2C" w:rsidRPr="00984A39">
        <w:rPr>
          <w:noProof/>
        </w:rPr>
        <w:t>ściu</w:t>
      </w:r>
      <w:r w:rsidR="009F5FFB" w:rsidRPr="00984A39">
        <w:rPr>
          <w:noProof/>
        </w:rPr>
        <w:t xml:space="preserve"> w</w:t>
      </w:r>
      <w:r w:rsidR="009F5FFB">
        <w:rPr>
          <w:noProof/>
        </w:rPr>
        <w:t> </w:t>
      </w:r>
      <w:r w:rsidR="009F5FFB" w:rsidRPr="00984A39">
        <w:rPr>
          <w:noProof/>
        </w:rPr>
        <w:t>życ</w:t>
      </w:r>
      <w:r w:rsidR="00D10F2C" w:rsidRPr="00984A39">
        <w:rPr>
          <w:noProof/>
        </w:rPr>
        <w:t>ie zmiana nr 93</w:t>
      </w:r>
      <w:r w:rsidR="009F5FFB" w:rsidRPr="00984A39">
        <w:rPr>
          <w:noProof/>
        </w:rPr>
        <w:t xml:space="preserve"> w</w:t>
      </w:r>
      <w:r w:rsidR="009F5FFB">
        <w:rPr>
          <w:noProof/>
        </w:rPr>
        <w:t> </w:t>
      </w:r>
      <w:r w:rsidR="009F5FFB" w:rsidRPr="00984A39">
        <w:rPr>
          <w:noProof/>
        </w:rPr>
        <w:t>tom</w:t>
      </w:r>
      <w:r w:rsidR="00D10F2C" w:rsidRPr="00984A39">
        <w:rPr>
          <w:noProof/>
        </w:rPr>
        <w:t>ie I załącznika 10 do konwencji chicagowskiej stanie się wiążąca dla wszystkich państw członkowskich ICAO,</w:t>
      </w:r>
      <w:r w:rsidR="009F5FFB" w:rsidRPr="00984A39">
        <w:rPr>
          <w:noProof/>
        </w:rPr>
        <w:t xml:space="preserve"> w</w:t>
      </w:r>
      <w:r w:rsidR="009F5FFB">
        <w:rPr>
          <w:noProof/>
        </w:rPr>
        <w:t> </w:t>
      </w:r>
      <w:r w:rsidR="009F5FFB" w:rsidRPr="00984A39">
        <w:rPr>
          <w:noProof/>
        </w:rPr>
        <w:t>tym</w:t>
      </w:r>
      <w:r w:rsidR="00D10F2C" w:rsidRPr="00984A39">
        <w:rPr>
          <w:noProof/>
        </w:rPr>
        <w:t xml:space="preserve"> wszystkich państw członkowskich UE.</w:t>
      </w:r>
    </w:p>
    <w:p w14:paraId="101FDF42" w14:textId="03705E87" w:rsidR="00D10F2C" w:rsidRPr="00984A39" w:rsidRDefault="00E84D33" w:rsidP="00E84D33">
      <w:pPr>
        <w:pStyle w:val="ManualConsidrant"/>
        <w:rPr>
          <w:noProof/>
        </w:rPr>
      </w:pPr>
      <w:r w:rsidRPr="00E84D33">
        <w:t>(9)</w:t>
      </w:r>
      <w:r w:rsidRPr="00E84D33">
        <w:tab/>
      </w:r>
      <w:r w:rsidR="00D10F2C" w:rsidRPr="00984A39">
        <w:rPr>
          <w:noProof/>
        </w:rPr>
        <w:t>Zgodnie</w:t>
      </w:r>
      <w:r w:rsidR="009F5FFB" w:rsidRPr="00984A39">
        <w:rPr>
          <w:noProof/>
        </w:rPr>
        <w:t xml:space="preserve"> z</w:t>
      </w:r>
      <w:r w:rsidR="009F5FFB">
        <w:rPr>
          <w:noProof/>
        </w:rPr>
        <w:t> </w:t>
      </w:r>
      <w:r w:rsidR="009F5FFB" w:rsidRPr="00984A39">
        <w:rPr>
          <w:noProof/>
        </w:rPr>
        <w:t>art</w:t>
      </w:r>
      <w:r w:rsidR="00D10F2C" w:rsidRPr="00984A39">
        <w:rPr>
          <w:noProof/>
        </w:rPr>
        <w:t>. 38 konwencji chicagowskiej każde państwo, które uważa za niemożliwe</w:t>
      </w:r>
      <w:r w:rsidR="009F5FFB" w:rsidRPr="00984A39">
        <w:rPr>
          <w:noProof/>
        </w:rPr>
        <w:t xml:space="preserve"> w</w:t>
      </w:r>
      <w:r w:rsidR="009F5FFB">
        <w:rPr>
          <w:noProof/>
        </w:rPr>
        <w:t> </w:t>
      </w:r>
      <w:r w:rsidR="009F5FFB" w:rsidRPr="00984A39">
        <w:rPr>
          <w:noProof/>
        </w:rPr>
        <w:t>pra</w:t>
      </w:r>
      <w:r w:rsidR="00D10F2C" w:rsidRPr="00984A39">
        <w:rPr>
          <w:noProof/>
        </w:rPr>
        <w:t>ktyce zastosowanie się pod każdym względem do którychkolwiek ze wspomnianych międzynarodowych norm lub zasad postępowania albo całkowite dostosowanie wprowadzonych przez siebie przepisów lub metod postępowania do międzynarodowych norm</w:t>
      </w:r>
      <w:r w:rsidR="009F5FFB" w:rsidRPr="00984A39">
        <w:rPr>
          <w:noProof/>
        </w:rPr>
        <w:t xml:space="preserve"> i</w:t>
      </w:r>
      <w:r w:rsidR="009F5FFB">
        <w:rPr>
          <w:noProof/>
        </w:rPr>
        <w:t> </w:t>
      </w:r>
      <w:r w:rsidR="009F5FFB" w:rsidRPr="00984A39">
        <w:rPr>
          <w:noProof/>
        </w:rPr>
        <w:t>zas</w:t>
      </w:r>
      <w:r w:rsidR="00D10F2C" w:rsidRPr="00984A39">
        <w:rPr>
          <w:noProof/>
        </w:rPr>
        <w:t>ad postępowania, albo które uważa za konieczne wprowadzenie przepisów lub metod postępowania różniących się pod jakimkolwiek względem od przepisów</w:t>
      </w:r>
      <w:r w:rsidR="009F5FFB" w:rsidRPr="00984A39">
        <w:rPr>
          <w:noProof/>
        </w:rPr>
        <w:t xml:space="preserve"> i</w:t>
      </w:r>
      <w:r w:rsidR="009F5FFB">
        <w:rPr>
          <w:noProof/>
        </w:rPr>
        <w:t> </w:t>
      </w:r>
      <w:r w:rsidR="009F5FFB" w:rsidRPr="00984A39">
        <w:rPr>
          <w:noProof/>
        </w:rPr>
        <w:t>met</w:t>
      </w:r>
      <w:r w:rsidR="00D10F2C" w:rsidRPr="00984A39">
        <w:rPr>
          <w:noProof/>
        </w:rPr>
        <w:t>od postępowania ustalonych zgodnie</w:t>
      </w:r>
      <w:r w:rsidR="009F5FFB" w:rsidRPr="00984A39">
        <w:rPr>
          <w:noProof/>
        </w:rPr>
        <w:t xml:space="preserve"> z</w:t>
      </w:r>
      <w:r w:rsidR="009F5FFB">
        <w:rPr>
          <w:noProof/>
        </w:rPr>
        <w:t> </w:t>
      </w:r>
      <w:r w:rsidR="009F5FFB" w:rsidRPr="00984A39">
        <w:rPr>
          <w:noProof/>
        </w:rPr>
        <w:t>nor</w:t>
      </w:r>
      <w:r w:rsidR="00D10F2C" w:rsidRPr="00984A39">
        <w:rPr>
          <w:noProof/>
        </w:rPr>
        <w:t>mami międzynarodowymi, powinno niezwłocznie zgłosić ICAO różnice między jego własną praktyką</w:t>
      </w:r>
      <w:r w:rsidR="009F5FFB" w:rsidRPr="00984A39">
        <w:rPr>
          <w:noProof/>
        </w:rPr>
        <w:t xml:space="preserve"> a</w:t>
      </w:r>
      <w:r w:rsidR="009F5FFB">
        <w:rPr>
          <w:noProof/>
        </w:rPr>
        <w:t> </w:t>
      </w:r>
      <w:r w:rsidR="009F5FFB" w:rsidRPr="00984A39">
        <w:rPr>
          <w:noProof/>
        </w:rPr>
        <w:t>pra</w:t>
      </w:r>
      <w:r w:rsidR="00D10F2C" w:rsidRPr="00984A39">
        <w:rPr>
          <w:noProof/>
        </w:rPr>
        <w:t>ktyką ustaloną przez normy międzynarodowe.</w:t>
      </w:r>
    </w:p>
    <w:p w14:paraId="31C49E20" w14:textId="2E4E0DB3" w:rsidR="00D10F2C" w:rsidRPr="00984A39" w:rsidRDefault="00E84D33" w:rsidP="00E84D33">
      <w:pPr>
        <w:pStyle w:val="ManualConsidrant"/>
        <w:rPr>
          <w:noProof/>
        </w:rPr>
      </w:pPr>
      <w:r w:rsidRPr="00E84D33">
        <w:t>(10)</w:t>
      </w:r>
      <w:r w:rsidRPr="00E84D33">
        <w:tab/>
      </w:r>
      <w:r w:rsidR="00D10F2C" w:rsidRPr="00984A39">
        <w:rPr>
          <w:noProof/>
        </w:rPr>
        <w:t>Zgodnie</w:t>
      </w:r>
      <w:r w:rsidR="009F5FFB" w:rsidRPr="00984A39">
        <w:rPr>
          <w:noProof/>
        </w:rPr>
        <w:t xml:space="preserve"> z</w:t>
      </w:r>
      <w:r w:rsidR="009F5FFB">
        <w:rPr>
          <w:noProof/>
        </w:rPr>
        <w:t> </w:t>
      </w:r>
      <w:r w:rsidR="009F5FFB" w:rsidRPr="00984A39">
        <w:rPr>
          <w:noProof/>
        </w:rPr>
        <w:t>art</w:t>
      </w:r>
      <w:r w:rsidR="00D10F2C" w:rsidRPr="00984A39">
        <w:rPr>
          <w:noProof/>
        </w:rPr>
        <w:t>. 90 konwencji chicagowskiej taki załącznik lub zmiana załącznika stają się skuteczne</w:t>
      </w:r>
      <w:r w:rsidR="009F5FFB" w:rsidRPr="00984A39">
        <w:rPr>
          <w:noProof/>
        </w:rPr>
        <w:t xml:space="preserve"> w</w:t>
      </w:r>
      <w:r w:rsidR="009F5FFB">
        <w:rPr>
          <w:noProof/>
        </w:rPr>
        <w:t> </w:t>
      </w:r>
      <w:r w:rsidR="009F5FFB" w:rsidRPr="00984A39">
        <w:rPr>
          <w:noProof/>
        </w:rPr>
        <w:t>ter</w:t>
      </w:r>
      <w:r w:rsidR="00D10F2C" w:rsidRPr="00984A39">
        <w:rPr>
          <w:noProof/>
        </w:rPr>
        <w:t>minie trzech miesięcy po ich przedłożeniu umawiającym się państwom ICAO albo po upływie dłuższego okresu określonego przez Radę ICAO, chyba że</w:t>
      </w:r>
      <w:r w:rsidR="009F5FFB" w:rsidRPr="00984A39">
        <w:rPr>
          <w:noProof/>
        </w:rPr>
        <w:t xml:space="preserve"> w</w:t>
      </w:r>
      <w:r w:rsidR="009F5FFB">
        <w:rPr>
          <w:noProof/>
        </w:rPr>
        <w:t> </w:t>
      </w:r>
      <w:r w:rsidR="009F5FFB" w:rsidRPr="00984A39">
        <w:rPr>
          <w:noProof/>
        </w:rPr>
        <w:t>mię</w:t>
      </w:r>
      <w:r w:rsidR="00D10F2C" w:rsidRPr="00984A39">
        <w:rPr>
          <w:noProof/>
        </w:rPr>
        <w:t>dzyczasie większość umawiających się państw ICAO złoży swój sprzeciw.</w:t>
      </w:r>
    </w:p>
    <w:p w14:paraId="5EF2FF79" w14:textId="2254E7D1" w:rsidR="00D10F2C" w:rsidRPr="00984A39" w:rsidRDefault="00E84D33" w:rsidP="00E84D33">
      <w:pPr>
        <w:pStyle w:val="ManualConsidrant"/>
        <w:rPr>
          <w:noProof/>
        </w:rPr>
      </w:pPr>
      <w:r w:rsidRPr="00E84D33">
        <w:t>(11)</w:t>
      </w:r>
      <w:r w:rsidRPr="00E84D33">
        <w:tab/>
      </w:r>
      <w:r w:rsidR="00D10F2C" w:rsidRPr="00984A39">
        <w:rPr>
          <w:noProof/>
        </w:rPr>
        <w:t>Stanowisko Unii po przyjęciu przez Radę ICAO zmiany nr 93</w:t>
      </w:r>
      <w:r w:rsidR="009F5FFB" w:rsidRPr="00984A39">
        <w:rPr>
          <w:noProof/>
        </w:rPr>
        <w:t xml:space="preserve"> w</w:t>
      </w:r>
      <w:r w:rsidR="009F5FFB">
        <w:rPr>
          <w:noProof/>
        </w:rPr>
        <w:t> </w:t>
      </w:r>
      <w:r w:rsidR="009F5FFB" w:rsidRPr="00984A39">
        <w:rPr>
          <w:noProof/>
        </w:rPr>
        <w:t>tom</w:t>
      </w:r>
      <w:r w:rsidR="00D10F2C" w:rsidRPr="00984A39">
        <w:rPr>
          <w:noProof/>
        </w:rPr>
        <w:t>ie I załącznika 10 do konwencji chicagowskiej, co ma zostać ogłoszone przez Sekretarza Generalnego ICAO</w:t>
      </w:r>
      <w:r w:rsidR="009F5FFB" w:rsidRPr="00984A39">
        <w:rPr>
          <w:noProof/>
        </w:rPr>
        <w:t xml:space="preserve"> w</w:t>
      </w:r>
      <w:r w:rsidR="009F5FFB">
        <w:rPr>
          <w:noProof/>
        </w:rPr>
        <w:t> </w:t>
      </w:r>
      <w:r w:rsidR="009F5FFB" w:rsidRPr="00984A39">
        <w:rPr>
          <w:noProof/>
        </w:rPr>
        <w:t>dro</w:t>
      </w:r>
      <w:r w:rsidR="00D10F2C" w:rsidRPr="00984A39">
        <w:rPr>
          <w:noProof/>
        </w:rPr>
        <w:t>dze procedury pisma ICAO skierowanego do państw, powinno polegać na niezgłaszaniu sprzeciwu wobec przedmiotowej zmiany</w:t>
      </w:r>
      <w:r w:rsidR="009F5FFB" w:rsidRPr="00984A39">
        <w:rPr>
          <w:noProof/>
        </w:rPr>
        <w:t xml:space="preserve"> i</w:t>
      </w:r>
      <w:r w:rsidR="009F5FFB">
        <w:rPr>
          <w:noProof/>
        </w:rPr>
        <w:t> </w:t>
      </w:r>
      <w:r w:rsidR="009F5FFB" w:rsidRPr="00984A39">
        <w:rPr>
          <w:noProof/>
        </w:rPr>
        <w:t>zas</w:t>
      </w:r>
      <w:r w:rsidR="00D10F2C" w:rsidRPr="00984A39">
        <w:rPr>
          <w:noProof/>
        </w:rPr>
        <w:t>tosowaniu się do niej</w:t>
      </w:r>
      <w:r w:rsidR="009F5FFB" w:rsidRPr="00984A39">
        <w:rPr>
          <w:noProof/>
        </w:rPr>
        <w:t>. W</w:t>
      </w:r>
      <w:r w:rsidR="009F5FFB">
        <w:rPr>
          <w:noProof/>
        </w:rPr>
        <w:t> </w:t>
      </w:r>
      <w:r w:rsidR="009F5FFB" w:rsidRPr="00984A39">
        <w:rPr>
          <w:noProof/>
        </w:rPr>
        <w:t>prz</w:t>
      </w:r>
      <w:r w:rsidR="00D10F2C" w:rsidRPr="00984A39">
        <w:rPr>
          <w:noProof/>
        </w:rPr>
        <w:t>ypadku gdy przepisy unijne odbiegałyby od nowo przyjętych SARPs po przewidywanej dacie rozpoczęcia ich stosowania, należy zgłosić ICAO różnice</w:t>
      </w:r>
      <w:r w:rsidR="009F5FFB" w:rsidRPr="00984A39">
        <w:rPr>
          <w:noProof/>
        </w:rPr>
        <w:t xml:space="preserve"> w</w:t>
      </w:r>
      <w:r w:rsidR="009F5FFB">
        <w:rPr>
          <w:noProof/>
        </w:rPr>
        <w:t> </w:t>
      </w:r>
      <w:r w:rsidR="009F5FFB" w:rsidRPr="00984A39">
        <w:rPr>
          <w:noProof/>
        </w:rPr>
        <w:t>sto</w:t>
      </w:r>
      <w:r w:rsidR="00D10F2C" w:rsidRPr="00984A39">
        <w:rPr>
          <w:noProof/>
        </w:rPr>
        <w:t>sunku do konkretnych SARPs. Stanowisko Unii</w:t>
      </w:r>
      <w:r w:rsidR="009F5FFB" w:rsidRPr="00984A39">
        <w:rPr>
          <w:noProof/>
        </w:rPr>
        <w:t xml:space="preserve"> w</w:t>
      </w:r>
      <w:r w:rsidR="009F5FFB">
        <w:rPr>
          <w:noProof/>
        </w:rPr>
        <w:t> </w:t>
      </w:r>
      <w:r w:rsidR="009F5FFB" w:rsidRPr="00984A39">
        <w:rPr>
          <w:noProof/>
        </w:rPr>
        <w:t>kwe</w:t>
      </w:r>
      <w:r w:rsidR="00D10F2C" w:rsidRPr="00984A39">
        <w:rPr>
          <w:noProof/>
        </w:rPr>
        <w:t>stii takich różnic powinno opierać się na pisemnym dokumencie przedłożonym przez Komisję Radzie do dyskusji</w:t>
      </w:r>
      <w:r w:rsidR="009F5FFB" w:rsidRPr="00984A39">
        <w:rPr>
          <w:noProof/>
        </w:rPr>
        <w:t xml:space="preserve"> i</w:t>
      </w:r>
      <w:r w:rsidR="009F5FFB">
        <w:rPr>
          <w:noProof/>
        </w:rPr>
        <w:t> </w:t>
      </w:r>
      <w:r w:rsidR="009F5FFB" w:rsidRPr="00984A39">
        <w:rPr>
          <w:noProof/>
        </w:rPr>
        <w:t>zat</w:t>
      </w:r>
      <w:r w:rsidR="00D10F2C" w:rsidRPr="00984A39">
        <w:rPr>
          <w:noProof/>
        </w:rPr>
        <w:t xml:space="preserve">wierdzenia. </w:t>
      </w:r>
    </w:p>
    <w:p w14:paraId="2B3FBA99" w14:textId="5CC8E70E" w:rsidR="00174E7F" w:rsidRPr="00984A39" w:rsidRDefault="00E84D33" w:rsidP="00E84D33">
      <w:pPr>
        <w:pStyle w:val="ManualConsidrant"/>
        <w:rPr>
          <w:noProof/>
        </w:rPr>
      </w:pPr>
      <w:r w:rsidRPr="00E84D33">
        <w:t>(12)</w:t>
      </w:r>
      <w:r w:rsidRPr="00E84D33">
        <w:tab/>
      </w:r>
      <w:r w:rsidR="00D10F2C" w:rsidRPr="00984A39">
        <w:rPr>
          <w:noProof/>
        </w:rPr>
        <w:t>Stanowisko to powinno zostać wyrażone przez działające wspólnie</w:t>
      </w:r>
      <w:r w:rsidR="009F5FFB" w:rsidRPr="00984A39">
        <w:rPr>
          <w:noProof/>
        </w:rPr>
        <w:t xml:space="preserve"> w</w:t>
      </w:r>
      <w:r w:rsidR="009F5FFB">
        <w:rPr>
          <w:noProof/>
        </w:rPr>
        <w:t> </w:t>
      </w:r>
      <w:r w:rsidR="009F5FFB" w:rsidRPr="00984A39">
        <w:rPr>
          <w:noProof/>
        </w:rPr>
        <w:t>int</w:t>
      </w:r>
      <w:r w:rsidR="00D10F2C" w:rsidRPr="00984A39">
        <w:rPr>
          <w:noProof/>
        </w:rPr>
        <w:t>eresie Unii wszystkie państwa członkowskie UE,</w:t>
      </w:r>
    </w:p>
    <w:p w14:paraId="46E639CD" w14:textId="77777777" w:rsidR="00FD1D73" w:rsidRPr="00984A39" w:rsidRDefault="00FD1D73" w:rsidP="00FD1D73">
      <w:pPr>
        <w:rPr>
          <w:noProof/>
        </w:rPr>
      </w:pPr>
    </w:p>
    <w:p w14:paraId="09444C7C" w14:textId="77777777" w:rsidR="00174E7F" w:rsidRPr="00984A39" w:rsidRDefault="00174E7F" w:rsidP="0077011D">
      <w:pPr>
        <w:pStyle w:val="Formuledadoption"/>
        <w:rPr>
          <w:noProof/>
        </w:rPr>
      </w:pPr>
      <w:r w:rsidRPr="00984A39">
        <w:rPr>
          <w:noProof/>
        </w:rPr>
        <w:t>PRZYJMUJE NINIEJSZĄ DECYZJĘ:</w:t>
      </w:r>
    </w:p>
    <w:p w14:paraId="1C36F0D0" w14:textId="77777777" w:rsidR="00174E7F" w:rsidRPr="00984A39" w:rsidRDefault="00174E7F" w:rsidP="0077011D">
      <w:pPr>
        <w:pStyle w:val="Titrearticle"/>
        <w:rPr>
          <w:noProof/>
        </w:rPr>
      </w:pPr>
      <w:r w:rsidRPr="00984A39">
        <w:rPr>
          <w:noProof/>
        </w:rPr>
        <w:t>Artykuł 1</w:t>
      </w:r>
    </w:p>
    <w:p w14:paraId="02C12525" w14:textId="740B76DD" w:rsidR="00D10F2C" w:rsidRPr="00984A39" w:rsidRDefault="009F5FFB" w:rsidP="009F5FFB">
      <w:pPr>
        <w:pStyle w:val="Point0"/>
        <w:rPr>
          <w:noProof/>
        </w:rPr>
      </w:pPr>
      <w:r>
        <w:rPr>
          <w:noProof/>
        </w:rPr>
        <w:t>1)</w:t>
      </w:r>
      <w:r>
        <w:rPr>
          <w:noProof/>
        </w:rPr>
        <w:tab/>
      </w:r>
      <w:r w:rsidR="00D10F2C" w:rsidRPr="00984A39">
        <w:rPr>
          <w:noProof/>
        </w:rPr>
        <w:t>Stanowiskiem, jakie należy zająć</w:t>
      </w:r>
      <w:r w:rsidRPr="00984A39">
        <w:rPr>
          <w:noProof/>
        </w:rPr>
        <w:t xml:space="preserve"> w</w:t>
      </w:r>
      <w:r>
        <w:rPr>
          <w:noProof/>
        </w:rPr>
        <w:t> </w:t>
      </w:r>
      <w:r w:rsidRPr="00984A39">
        <w:rPr>
          <w:noProof/>
        </w:rPr>
        <w:t>imi</w:t>
      </w:r>
      <w:r w:rsidR="00D10F2C" w:rsidRPr="00984A39">
        <w:rPr>
          <w:noProof/>
        </w:rPr>
        <w:t>eniu Unii na 228. sesji Rady ICAO lub na jakiejkolwiek kolejnej sesji, jest poparcie</w:t>
      </w:r>
      <w:r w:rsidRPr="00984A39">
        <w:rPr>
          <w:noProof/>
        </w:rPr>
        <w:t xml:space="preserve"> w</w:t>
      </w:r>
      <w:r>
        <w:rPr>
          <w:noProof/>
        </w:rPr>
        <w:t> </w:t>
      </w:r>
      <w:r w:rsidRPr="00984A39">
        <w:rPr>
          <w:noProof/>
        </w:rPr>
        <w:t>cał</w:t>
      </w:r>
      <w:r w:rsidR="00D10F2C" w:rsidRPr="00984A39">
        <w:rPr>
          <w:noProof/>
        </w:rPr>
        <w:t>ości proponowanej zmiany nr 93</w:t>
      </w:r>
      <w:r w:rsidRPr="00984A39">
        <w:rPr>
          <w:noProof/>
        </w:rPr>
        <w:t xml:space="preserve"> w</w:t>
      </w:r>
      <w:r>
        <w:rPr>
          <w:noProof/>
        </w:rPr>
        <w:t> </w:t>
      </w:r>
      <w:r w:rsidRPr="00984A39">
        <w:rPr>
          <w:noProof/>
        </w:rPr>
        <w:t>tom</w:t>
      </w:r>
      <w:r w:rsidR="00D10F2C" w:rsidRPr="00984A39">
        <w:rPr>
          <w:noProof/>
        </w:rPr>
        <w:t>ie I załącznika 10 do konwencji chicagowskiej.</w:t>
      </w:r>
    </w:p>
    <w:p w14:paraId="46BABE27" w14:textId="3EE0E544" w:rsidR="00D10F2C" w:rsidRPr="00984A39" w:rsidRDefault="009F5FFB" w:rsidP="009F5FFB">
      <w:pPr>
        <w:pStyle w:val="Point0"/>
        <w:rPr>
          <w:noProof/>
        </w:rPr>
      </w:pPr>
      <w:r>
        <w:rPr>
          <w:noProof/>
        </w:rPr>
        <w:t>2)</w:t>
      </w:r>
      <w:r>
        <w:rPr>
          <w:noProof/>
        </w:rPr>
        <w:tab/>
      </w:r>
      <w:r w:rsidR="00D10F2C" w:rsidRPr="00984A39">
        <w:rPr>
          <w:noProof/>
        </w:rPr>
        <w:t>Stanowiskiem, jakie należy zająć</w:t>
      </w:r>
      <w:r w:rsidRPr="00984A39">
        <w:rPr>
          <w:noProof/>
        </w:rPr>
        <w:t xml:space="preserve"> w</w:t>
      </w:r>
      <w:r>
        <w:rPr>
          <w:noProof/>
        </w:rPr>
        <w:t> </w:t>
      </w:r>
      <w:r w:rsidRPr="00984A39">
        <w:rPr>
          <w:noProof/>
        </w:rPr>
        <w:t>imi</w:t>
      </w:r>
      <w:r w:rsidR="00D10F2C" w:rsidRPr="00984A39">
        <w:rPr>
          <w:noProof/>
        </w:rPr>
        <w:t>eniu Unii,</w:t>
      </w:r>
      <w:r w:rsidRPr="00984A39">
        <w:rPr>
          <w:noProof/>
        </w:rPr>
        <w:t xml:space="preserve"> o</w:t>
      </w:r>
      <w:r>
        <w:rPr>
          <w:noProof/>
        </w:rPr>
        <w:t> </w:t>
      </w:r>
      <w:r w:rsidRPr="00984A39">
        <w:rPr>
          <w:noProof/>
        </w:rPr>
        <w:t>ile</w:t>
      </w:r>
      <w:r w:rsidR="00D10F2C" w:rsidRPr="00984A39">
        <w:rPr>
          <w:noProof/>
        </w:rPr>
        <w:t xml:space="preserve"> Rada ICAO przyjmie bez wprowadzania istotnych poprawek proponowaną zmianę nr 93</w:t>
      </w:r>
      <w:r w:rsidRPr="00984A39">
        <w:rPr>
          <w:noProof/>
        </w:rPr>
        <w:t xml:space="preserve"> w</w:t>
      </w:r>
      <w:r>
        <w:rPr>
          <w:noProof/>
        </w:rPr>
        <w:t> </w:t>
      </w:r>
      <w:r w:rsidRPr="00984A39">
        <w:rPr>
          <w:noProof/>
        </w:rPr>
        <w:t>tom</w:t>
      </w:r>
      <w:r w:rsidR="00D10F2C" w:rsidRPr="00984A39">
        <w:rPr>
          <w:noProof/>
        </w:rPr>
        <w:t>ie I załącznika 10 do konwencji chicagowskiej,</w:t>
      </w:r>
      <w:r w:rsidRPr="00984A39">
        <w:rPr>
          <w:noProof/>
        </w:rPr>
        <w:t xml:space="preserve"> o</w:t>
      </w:r>
      <w:r>
        <w:rPr>
          <w:noProof/>
        </w:rPr>
        <w:t> </w:t>
      </w:r>
      <w:r w:rsidRPr="00984A39">
        <w:rPr>
          <w:noProof/>
        </w:rPr>
        <w:t>któ</w:t>
      </w:r>
      <w:r w:rsidR="00D10F2C" w:rsidRPr="00984A39">
        <w:rPr>
          <w:noProof/>
        </w:rPr>
        <w:t>rej mowa</w:t>
      </w:r>
      <w:r w:rsidRPr="00984A39">
        <w:rPr>
          <w:noProof/>
        </w:rPr>
        <w:t xml:space="preserve"> w</w:t>
      </w:r>
      <w:r>
        <w:rPr>
          <w:noProof/>
        </w:rPr>
        <w:t> </w:t>
      </w:r>
      <w:r w:rsidRPr="009F5FFB">
        <w:rPr>
          <w:noProof/>
        </w:rPr>
        <w:t>ust</w:t>
      </w:r>
      <w:r w:rsidR="00D10F2C" w:rsidRPr="009F5FFB">
        <w:rPr>
          <w:noProof/>
        </w:rPr>
        <w:t>.</w:t>
      </w:r>
      <w:r w:rsidRPr="009F5FFB">
        <w:rPr>
          <w:noProof/>
        </w:rPr>
        <w:t> </w:t>
      </w:r>
      <w:r w:rsidR="00D10F2C" w:rsidRPr="009F5FFB">
        <w:rPr>
          <w:noProof/>
        </w:rPr>
        <w:t>1</w:t>
      </w:r>
      <w:r w:rsidR="00D10F2C" w:rsidRPr="00984A39">
        <w:rPr>
          <w:noProof/>
        </w:rPr>
        <w:t>, jest niezgłaszanie sprzeciwu oraz zastosowanie się do przyjętego środka</w:t>
      </w:r>
      <w:r w:rsidRPr="00984A39">
        <w:rPr>
          <w:noProof/>
        </w:rPr>
        <w:t xml:space="preserve"> w</w:t>
      </w:r>
      <w:r>
        <w:rPr>
          <w:noProof/>
        </w:rPr>
        <w:t> </w:t>
      </w:r>
      <w:r w:rsidRPr="00984A39">
        <w:rPr>
          <w:noProof/>
        </w:rPr>
        <w:t>odp</w:t>
      </w:r>
      <w:r w:rsidR="00D10F2C" w:rsidRPr="00984A39">
        <w:rPr>
          <w:noProof/>
        </w:rPr>
        <w:t>owiedzi na odpowiednie pismo ICAO skierowane do państw</w:t>
      </w:r>
      <w:r w:rsidRPr="00984A39">
        <w:rPr>
          <w:noProof/>
        </w:rPr>
        <w:t>. W</w:t>
      </w:r>
      <w:r>
        <w:rPr>
          <w:noProof/>
        </w:rPr>
        <w:t> </w:t>
      </w:r>
      <w:r w:rsidRPr="00984A39">
        <w:rPr>
          <w:noProof/>
        </w:rPr>
        <w:t>prz</w:t>
      </w:r>
      <w:r w:rsidR="00D10F2C" w:rsidRPr="00984A39">
        <w:rPr>
          <w:noProof/>
        </w:rPr>
        <w:t>ypadku gdy przepisy Unii odbiegałyby od nowo przyjętych SARPs po przewidywanej dacie rozpoczęcia stosowania tych SARPs, należy zgłosić ICAO różnice</w:t>
      </w:r>
      <w:r w:rsidRPr="00984A39">
        <w:rPr>
          <w:noProof/>
        </w:rPr>
        <w:t xml:space="preserve"> w</w:t>
      </w:r>
      <w:r>
        <w:rPr>
          <w:noProof/>
        </w:rPr>
        <w:t> </w:t>
      </w:r>
      <w:r w:rsidRPr="00984A39">
        <w:rPr>
          <w:noProof/>
        </w:rPr>
        <w:t>sto</w:t>
      </w:r>
      <w:r w:rsidR="00D10F2C" w:rsidRPr="00984A39">
        <w:rPr>
          <w:noProof/>
        </w:rPr>
        <w:t>sunku do konkretnych SARPs zgodnie</w:t>
      </w:r>
      <w:r w:rsidRPr="00984A39">
        <w:rPr>
          <w:noProof/>
        </w:rPr>
        <w:t xml:space="preserve"> z</w:t>
      </w:r>
      <w:r>
        <w:rPr>
          <w:noProof/>
        </w:rPr>
        <w:t> </w:t>
      </w:r>
      <w:r w:rsidRPr="009F5FFB">
        <w:rPr>
          <w:noProof/>
        </w:rPr>
        <w:t>art</w:t>
      </w:r>
      <w:r w:rsidR="00D10F2C" w:rsidRPr="009F5FFB">
        <w:rPr>
          <w:noProof/>
        </w:rPr>
        <w:t>.</w:t>
      </w:r>
      <w:r w:rsidRPr="009F5FFB">
        <w:rPr>
          <w:noProof/>
        </w:rPr>
        <w:t> </w:t>
      </w:r>
      <w:r w:rsidR="00D10F2C" w:rsidRPr="009F5FFB">
        <w:rPr>
          <w:noProof/>
        </w:rPr>
        <w:t>3</w:t>
      </w:r>
      <w:r w:rsidR="00D10F2C" w:rsidRPr="00984A39">
        <w:rPr>
          <w:noProof/>
        </w:rPr>
        <w:t>8 konwencji chicagowskiej.</w:t>
      </w:r>
    </w:p>
    <w:p w14:paraId="051DC37A" w14:textId="5151B5C5" w:rsidR="00174E7F" w:rsidRPr="00984A39" w:rsidRDefault="006562E4" w:rsidP="00D10F2C">
      <w:pPr>
        <w:jc w:val="left"/>
        <w:rPr>
          <w:i/>
          <w:noProof/>
        </w:rPr>
      </w:pPr>
      <w:r w:rsidRPr="00984A39">
        <w:rPr>
          <w:noProof/>
        </w:rPr>
        <w:t>W takim przypadku Komisja,</w:t>
      </w:r>
      <w:r w:rsidR="009F5FFB" w:rsidRPr="00984A39">
        <w:rPr>
          <w:noProof/>
        </w:rPr>
        <w:t xml:space="preserve"> w</w:t>
      </w:r>
      <w:r w:rsidR="009F5FFB">
        <w:rPr>
          <w:noProof/>
        </w:rPr>
        <w:t> </w:t>
      </w:r>
      <w:r w:rsidR="009F5FFB" w:rsidRPr="00984A39">
        <w:rPr>
          <w:noProof/>
        </w:rPr>
        <w:t>odp</w:t>
      </w:r>
      <w:r w:rsidRPr="00984A39">
        <w:rPr>
          <w:noProof/>
        </w:rPr>
        <w:t>owiednim czasie i co najmniej dwa miesiące przed terminem zgłaszania różnic wyznaczonym przez ICAO, przedkłada Radzie do dyskusji</w:t>
      </w:r>
      <w:r w:rsidR="009F5FFB" w:rsidRPr="00984A39">
        <w:rPr>
          <w:noProof/>
        </w:rPr>
        <w:t xml:space="preserve"> i</w:t>
      </w:r>
      <w:r w:rsidR="009F5FFB">
        <w:rPr>
          <w:noProof/>
        </w:rPr>
        <w:t> </w:t>
      </w:r>
      <w:r w:rsidR="009F5FFB" w:rsidRPr="00984A39">
        <w:rPr>
          <w:noProof/>
        </w:rPr>
        <w:t>zat</w:t>
      </w:r>
      <w:r w:rsidRPr="00984A39">
        <w:rPr>
          <w:noProof/>
        </w:rPr>
        <w:t>wierdzenia dokument przygotowawczy określający stanowisko Unii</w:t>
      </w:r>
      <w:r w:rsidR="009F5FFB" w:rsidRPr="00984A39">
        <w:rPr>
          <w:noProof/>
        </w:rPr>
        <w:t xml:space="preserve"> w</w:t>
      </w:r>
      <w:r w:rsidR="009F5FFB">
        <w:rPr>
          <w:noProof/>
        </w:rPr>
        <w:t> </w:t>
      </w:r>
      <w:r w:rsidR="009F5FFB" w:rsidRPr="00984A39">
        <w:rPr>
          <w:noProof/>
        </w:rPr>
        <w:t>kwe</w:t>
      </w:r>
      <w:r w:rsidRPr="00984A39">
        <w:rPr>
          <w:noProof/>
        </w:rPr>
        <w:t>stii konkretnych różnic, które państwa członkowskie mają zgłosić ICAO</w:t>
      </w:r>
      <w:r w:rsidR="009F5FFB" w:rsidRPr="00984A39">
        <w:rPr>
          <w:noProof/>
        </w:rPr>
        <w:t xml:space="preserve"> w</w:t>
      </w:r>
      <w:r w:rsidR="009F5FFB">
        <w:rPr>
          <w:noProof/>
        </w:rPr>
        <w:t> </w:t>
      </w:r>
      <w:r w:rsidR="009F5FFB" w:rsidRPr="00984A39">
        <w:rPr>
          <w:noProof/>
        </w:rPr>
        <w:t>imi</w:t>
      </w:r>
      <w:r w:rsidRPr="00984A39">
        <w:rPr>
          <w:noProof/>
        </w:rPr>
        <w:t>eniu Unii.</w:t>
      </w:r>
    </w:p>
    <w:p w14:paraId="61E0D99D" w14:textId="77777777" w:rsidR="00174E7F" w:rsidRPr="00984A39" w:rsidRDefault="00174E7F" w:rsidP="0077011D">
      <w:pPr>
        <w:pStyle w:val="Titrearticle"/>
        <w:rPr>
          <w:noProof/>
        </w:rPr>
      </w:pPr>
      <w:r w:rsidRPr="00984A39">
        <w:rPr>
          <w:noProof/>
        </w:rPr>
        <w:t>Artykuł 2</w:t>
      </w:r>
    </w:p>
    <w:p w14:paraId="0A094204" w14:textId="5C5848AA" w:rsidR="00D10F2C" w:rsidRPr="00984A39" w:rsidRDefault="00D10F2C" w:rsidP="00D10F2C">
      <w:pPr>
        <w:spacing w:after="0"/>
        <w:ind w:left="-5"/>
        <w:rPr>
          <w:noProof/>
        </w:rPr>
      </w:pPr>
      <w:r w:rsidRPr="00984A39">
        <w:rPr>
          <w:noProof/>
        </w:rPr>
        <w:t>Stanowisko,</w:t>
      </w:r>
      <w:r w:rsidR="009F5FFB" w:rsidRPr="00984A39">
        <w:rPr>
          <w:noProof/>
        </w:rPr>
        <w:t xml:space="preserve"> o</w:t>
      </w:r>
      <w:r w:rsidR="009F5FFB">
        <w:rPr>
          <w:noProof/>
        </w:rPr>
        <w:t> </w:t>
      </w:r>
      <w:r w:rsidR="009F5FFB" w:rsidRPr="00984A39">
        <w:rPr>
          <w:noProof/>
        </w:rPr>
        <w:t>któ</w:t>
      </w:r>
      <w:r w:rsidRPr="00984A39">
        <w:rPr>
          <w:noProof/>
        </w:rPr>
        <w:t>rym mowa</w:t>
      </w:r>
      <w:r w:rsidR="009F5FFB" w:rsidRPr="00984A39">
        <w:rPr>
          <w:noProof/>
        </w:rPr>
        <w:t xml:space="preserve"> w</w:t>
      </w:r>
      <w:r w:rsidR="009F5FFB">
        <w:rPr>
          <w:noProof/>
        </w:rPr>
        <w:t> </w:t>
      </w:r>
      <w:r w:rsidR="009F5FFB" w:rsidRPr="009F5FFB">
        <w:rPr>
          <w:noProof/>
        </w:rPr>
        <w:t>art</w:t>
      </w:r>
      <w:r w:rsidRPr="009F5FFB">
        <w:rPr>
          <w:noProof/>
        </w:rPr>
        <w:t>.</w:t>
      </w:r>
      <w:r w:rsidR="009F5FFB" w:rsidRPr="009F5FFB">
        <w:rPr>
          <w:noProof/>
        </w:rPr>
        <w:t> </w:t>
      </w:r>
      <w:r w:rsidRPr="009F5FFB">
        <w:rPr>
          <w:noProof/>
        </w:rPr>
        <w:t>1</w:t>
      </w:r>
      <w:r w:rsidRPr="00984A39">
        <w:rPr>
          <w:noProof/>
        </w:rPr>
        <w:t xml:space="preserve"> </w:t>
      </w:r>
      <w:r w:rsidRPr="009F5FFB">
        <w:rPr>
          <w:noProof/>
        </w:rPr>
        <w:t>ust.</w:t>
      </w:r>
      <w:r w:rsidR="009F5FFB" w:rsidRPr="009F5FFB">
        <w:rPr>
          <w:noProof/>
        </w:rPr>
        <w:t> </w:t>
      </w:r>
      <w:r w:rsidRPr="009F5FFB">
        <w:rPr>
          <w:noProof/>
        </w:rPr>
        <w:t>1</w:t>
      </w:r>
      <w:r w:rsidRPr="00984A39">
        <w:rPr>
          <w:noProof/>
        </w:rPr>
        <w:t>, wyrażają działające wspólnie</w:t>
      </w:r>
      <w:r w:rsidR="009F5FFB" w:rsidRPr="00984A39">
        <w:rPr>
          <w:noProof/>
        </w:rPr>
        <w:t xml:space="preserve"> w</w:t>
      </w:r>
      <w:r w:rsidR="009F5FFB">
        <w:rPr>
          <w:noProof/>
        </w:rPr>
        <w:t> </w:t>
      </w:r>
      <w:r w:rsidR="009F5FFB" w:rsidRPr="00984A39">
        <w:rPr>
          <w:noProof/>
        </w:rPr>
        <w:t>int</w:t>
      </w:r>
      <w:r w:rsidRPr="00984A39">
        <w:rPr>
          <w:noProof/>
        </w:rPr>
        <w:t>eresie UE państwa członkowskie Unii, które są członkami Rady ICAO.</w:t>
      </w:r>
    </w:p>
    <w:p w14:paraId="20364F19" w14:textId="44DB5CFA" w:rsidR="00D10F2C" w:rsidRPr="00984A39" w:rsidRDefault="00D10F2C" w:rsidP="00D10F2C">
      <w:pPr>
        <w:spacing w:after="348"/>
        <w:ind w:left="-5"/>
        <w:rPr>
          <w:noProof/>
        </w:rPr>
      </w:pPr>
      <w:r w:rsidRPr="00984A39">
        <w:rPr>
          <w:noProof/>
        </w:rPr>
        <w:t>Stanowisko,</w:t>
      </w:r>
      <w:r w:rsidR="009F5FFB" w:rsidRPr="00984A39">
        <w:rPr>
          <w:noProof/>
        </w:rPr>
        <w:t xml:space="preserve"> o</w:t>
      </w:r>
      <w:r w:rsidR="009F5FFB">
        <w:rPr>
          <w:noProof/>
        </w:rPr>
        <w:t> </w:t>
      </w:r>
      <w:r w:rsidR="009F5FFB" w:rsidRPr="00984A39">
        <w:rPr>
          <w:noProof/>
        </w:rPr>
        <w:t>któ</w:t>
      </w:r>
      <w:r w:rsidRPr="00984A39">
        <w:rPr>
          <w:noProof/>
        </w:rPr>
        <w:t>rym mowa</w:t>
      </w:r>
      <w:r w:rsidR="009F5FFB" w:rsidRPr="00984A39">
        <w:rPr>
          <w:noProof/>
        </w:rPr>
        <w:t xml:space="preserve"> w</w:t>
      </w:r>
      <w:r w:rsidR="009F5FFB">
        <w:rPr>
          <w:noProof/>
        </w:rPr>
        <w:t> </w:t>
      </w:r>
      <w:r w:rsidR="009F5FFB" w:rsidRPr="00984A39">
        <w:rPr>
          <w:noProof/>
        </w:rPr>
        <w:t>art</w:t>
      </w:r>
      <w:r w:rsidRPr="00984A39">
        <w:rPr>
          <w:noProof/>
        </w:rPr>
        <w:t xml:space="preserve">. 1 </w:t>
      </w:r>
      <w:r w:rsidRPr="009F5FFB">
        <w:rPr>
          <w:noProof/>
        </w:rPr>
        <w:t>ust.</w:t>
      </w:r>
      <w:r w:rsidR="009F5FFB" w:rsidRPr="009F5FFB">
        <w:rPr>
          <w:noProof/>
        </w:rPr>
        <w:t> </w:t>
      </w:r>
      <w:r w:rsidRPr="009F5FFB">
        <w:rPr>
          <w:noProof/>
        </w:rPr>
        <w:t>2</w:t>
      </w:r>
      <w:r w:rsidRPr="00984A39">
        <w:rPr>
          <w:noProof/>
        </w:rPr>
        <w:t>, wyrażają działające wspólnie</w:t>
      </w:r>
      <w:r w:rsidR="009F5FFB" w:rsidRPr="00984A39">
        <w:rPr>
          <w:noProof/>
        </w:rPr>
        <w:t xml:space="preserve"> w</w:t>
      </w:r>
      <w:r w:rsidR="009F5FFB">
        <w:rPr>
          <w:noProof/>
        </w:rPr>
        <w:t> </w:t>
      </w:r>
      <w:r w:rsidR="009F5FFB" w:rsidRPr="00984A39">
        <w:rPr>
          <w:noProof/>
        </w:rPr>
        <w:t>int</w:t>
      </w:r>
      <w:r w:rsidRPr="00984A39">
        <w:rPr>
          <w:noProof/>
        </w:rPr>
        <w:t>eresie Unii wszystkie państwa członkowskie UE.</w:t>
      </w:r>
    </w:p>
    <w:p w14:paraId="5E853C09" w14:textId="77777777" w:rsidR="00174E7F" w:rsidRPr="00984A39" w:rsidRDefault="00174E7F" w:rsidP="009A1B44">
      <w:pPr>
        <w:pStyle w:val="Titrearticle"/>
        <w:rPr>
          <w:noProof/>
        </w:rPr>
      </w:pPr>
      <w:r w:rsidRPr="00984A39">
        <w:rPr>
          <w:noProof/>
        </w:rPr>
        <w:t>Artykuł 3</w:t>
      </w:r>
    </w:p>
    <w:p w14:paraId="385D09D3" w14:textId="77777777" w:rsidR="00174E7F" w:rsidRPr="00984A39" w:rsidRDefault="00174E7F" w:rsidP="0077011D">
      <w:pPr>
        <w:rPr>
          <w:noProof/>
        </w:rPr>
      </w:pPr>
      <w:r w:rsidRPr="00984A39">
        <w:rPr>
          <w:noProof/>
        </w:rPr>
        <w:t>Niniejsza decyzja skierowana jest do państw członkowskich.</w:t>
      </w:r>
    </w:p>
    <w:p w14:paraId="644EB459" w14:textId="54288613" w:rsidR="00174E7F" w:rsidRPr="00984A39" w:rsidRDefault="003B3D11" w:rsidP="009A1B44">
      <w:pPr>
        <w:pStyle w:val="Fait"/>
        <w:rPr>
          <w:noProof/>
        </w:rPr>
      </w:pPr>
      <w:r w:rsidRPr="003B3D11">
        <w:t xml:space="preserve">Sporządzono w Brukseli dnia </w:t>
      </w:r>
      <w:r w:rsidRPr="003B3D11">
        <w:rPr>
          <w:rStyle w:val="Marker"/>
        </w:rPr>
        <w:t>[…]</w:t>
      </w:r>
      <w:r w:rsidRPr="003B3D11">
        <w:t xml:space="preserve"> r.</w:t>
      </w:r>
    </w:p>
    <w:p w14:paraId="3A69AC39" w14:textId="77777777" w:rsidR="00174E7F" w:rsidRPr="00984A39" w:rsidRDefault="00174E7F" w:rsidP="009A1B44">
      <w:pPr>
        <w:pStyle w:val="Institutionquisigne"/>
        <w:rPr>
          <w:noProof/>
        </w:rPr>
      </w:pPr>
      <w:r w:rsidRPr="00984A39">
        <w:rPr>
          <w:noProof/>
        </w:rPr>
        <w:tab/>
        <w:t>W imieniu Rady</w:t>
      </w:r>
    </w:p>
    <w:p w14:paraId="0300E426" w14:textId="77777777" w:rsidR="00174E7F" w:rsidRPr="00984A39" w:rsidRDefault="00174E7F" w:rsidP="00174E7F">
      <w:pPr>
        <w:pStyle w:val="Personnequisigne"/>
        <w:rPr>
          <w:noProof/>
        </w:rPr>
      </w:pPr>
      <w:r w:rsidRPr="00984A39">
        <w:rPr>
          <w:noProof/>
        </w:rPr>
        <w:tab/>
        <w:t>Przewodniczący</w:t>
      </w:r>
    </w:p>
    <w:sectPr w:rsidR="00174E7F" w:rsidRPr="00984A39" w:rsidSect="0095413B">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07F7C" w16cid:durableId="2770FD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DED26" w14:textId="77777777" w:rsidR="000E545F" w:rsidRDefault="000E545F" w:rsidP="00174E7F">
      <w:pPr>
        <w:spacing w:before="0" w:after="0"/>
      </w:pPr>
      <w:r>
        <w:separator/>
      </w:r>
    </w:p>
  </w:endnote>
  <w:endnote w:type="continuationSeparator" w:id="0">
    <w:p w14:paraId="7C860059" w14:textId="77777777" w:rsidR="000E545F" w:rsidRDefault="000E545F" w:rsidP="00174E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E7FAC" w14:textId="5544B7BE" w:rsidR="002F63BA" w:rsidRPr="0095413B" w:rsidRDefault="0095413B" w:rsidP="0095413B">
    <w:pPr>
      <w:pStyle w:val="Footer"/>
      <w:rPr>
        <w:rFonts w:ascii="Arial" w:hAnsi="Arial" w:cs="Arial"/>
        <w:b/>
        <w:sz w:val="48"/>
      </w:rPr>
    </w:pPr>
    <w:r w:rsidRPr="0095413B">
      <w:rPr>
        <w:rFonts w:ascii="Arial" w:hAnsi="Arial" w:cs="Arial"/>
        <w:b/>
        <w:sz w:val="48"/>
      </w:rPr>
      <w:t>PL</w:t>
    </w:r>
    <w:r w:rsidRPr="0095413B">
      <w:rPr>
        <w:rFonts w:ascii="Arial" w:hAnsi="Arial" w:cs="Arial"/>
        <w:b/>
        <w:sz w:val="48"/>
      </w:rPr>
      <w:tab/>
    </w:r>
    <w:r w:rsidRPr="0095413B">
      <w:rPr>
        <w:rFonts w:ascii="Arial" w:hAnsi="Arial" w:cs="Arial"/>
        <w:b/>
        <w:sz w:val="48"/>
      </w:rPr>
      <w:tab/>
    </w:r>
    <w:r w:rsidRPr="0095413B">
      <w:tab/>
    </w:r>
    <w:r w:rsidRPr="0095413B">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051C" w14:textId="6C78EAF5" w:rsidR="0095413B" w:rsidRPr="0095413B" w:rsidRDefault="0095413B" w:rsidP="0095413B">
    <w:pPr>
      <w:pStyle w:val="Footer"/>
      <w:rPr>
        <w:rFonts w:ascii="Arial" w:hAnsi="Arial" w:cs="Arial"/>
        <w:b/>
        <w:sz w:val="48"/>
      </w:rPr>
    </w:pPr>
    <w:r w:rsidRPr="0095413B">
      <w:rPr>
        <w:rFonts w:ascii="Arial" w:hAnsi="Arial" w:cs="Arial"/>
        <w:b/>
        <w:sz w:val="48"/>
      </w:rPr>
      <w:t>PL</w:t>
    </w:r>
    <w:r w:rsidRPr="0095413B">
      <w:rPr>
        <w:rFonts w:ascii="Arial" w:hAnsi="Arial" w:cs="Arial"/>
        <w:b/>
        <w:sz w:val="48"/>
      </w:rPr>
      <w:tab/>
    </w:r>
    <w:r>
      <w:fldChar w:fldCharType="begin"/>
    </w:r>
    <w:r>
      <w:instrText xml:space="preserve"> PAGE  \* MERGEFORMAT </w:instrText>
    </w:r>
    <w:r>
      <w:fldChar w:fldCharType="separate"/>
    </w:r>
    <w:r w:rsidR="009A1B44">
      <w:rPr>
        <w:noProof/>
      </w:rPr>
      <w:t>8</w:t>
    </w:r>
    <w:r>
      <w:fldChar w:fldCharType="end"/>
    </w:r>
    <w:r>
      <w:tab/>
    </w:r>
    <w:r w:rsidRPr="0095413B">
      <w:tab/>
    </w:r>
    <w:r w:rsidRPr="0095413B">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F6A4" w14:textId="77777777" w:rsidR="0095413B" w:rsidRPr="0095413B" w:rsidRDefault="0095413B" w:rsidP="00954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A140C" w14:textId="77777777" w:rsidR="000E545F" w:rsidRDefault="000E545F" w:rsidP="00174E7F">
      <w:pPr>
        <w:spacing w:before="0" w:after="0"/>
      </w:pPr>
      <w:r>
        <w:separator/>
      </w:r>
    </w:p>
  </w:footnote>
  <w:footnote w:type="continuationSeparator" w:id="0">
    <w:p w14:paraId="027DB56A" w14:textId="77777777" w:rsidR="000E545F" w:rsidRDefault="000E545F" w:rsidP="00174E7F">
      <w:pPr>
        <w:spacing w:before="0" w:after="0"/>
      </w:pPr>
      <w:r>
        <w:continuationSeparator/>
      </w:r>
    </w:p>
  </w:footnote>
  <w:footnote w:id="1">
    <w:p w14:paraId="240C6703" w14:textId="36E883B0" w:rsidR="00174E7F" w:rsidRPr="00B035F8" w:rsidRDefault="00174E7F" w:rsidP="0077011D">
      <w:pPr>
        <w:pStyle w:val="FootnoteText"/>
      </w:pPr>
      <w:r>
        <w:rPr>
          <w:rStyle w:val="FootnoteReference"/>
        </w:rPr>
        <w:footnoteRef/>
      </w:r>
      <w:r>
        <w:tab/>
        <w:t>Wyrok Trybunału Sprawiedliwości</w:t>
      </w:r>
      <w:r w:rsidR="009F5FFB">
        <w:t xml:space="preserve"> z dni</w:t>
      </w:r>
      <w:r>
        <w:t>a 7 października 20</w:t>
      </w:r>
      <w:r w:rsidRPr="009F5FFB">
        <w:t>14</w:t>
      </w:r>
      <w:r w:rsidR="009F5FFB" w:rsidRPr="009F5FFB">
        <w:t> </w:t>
      </w:r>
      <w:r w:rsidRPr="009F5FFB">
        <w:t>r.</w:t>
      </w:r>
      <w:r w:rsidR="009F5FFB">
        <w:t xml:space="preserve"> w spr</w:t>
      </w:r>
      <w:r>
        <w:t xml:space="preserve">awie C-399/12, Niemcy przeciwko Radzie, ECLI:EU:C:2014:2258, </w:t>
      </w:r>
      <w:r w:rsidRPr="009F5FFB">
        <w:t>pkt</w:t>
      </w:r>
      <w:r w:rsidR="009F5FFB" w:rsidRPr="009F5FFB">
        <w:t> </w:t>
      </w:r>
      <w:r w:rsidRPr="009F5FFB">
        <w:t>6</w:t>
      </w:r>
      <w:r>
        <w:t xml:space="preserve">4. </w:t>
      </w:r>
    </w:p>
  </w:footnote>
  <w:footnote w:id="2">
    <w:p w14:paraId="0AD8A8F2" w14:textId="71F5817F" w:rsidR="00174E7F" w:rsidRPr="00B035F8" w:rsidRDefault="00174E7F" w:rsidP="0077011D">
      <w:pPr>
        <w:pStyle w:val="FootnoteText"/>
      </w:pPr>
      <w:r>
        <w:rPr>
          <w:rStyle w:val="FootnoteReference"/>
        </w:rPr>
        <w:footnoteRef/>
      </w:r>
      <w:r>
        <w:tab/>
        <w:t>Wyrok Trybunału Sprawiedliwości</w:t>
      </w:r>
      <w:r w:rsidR="009F5FFB">
        <w:t xml:space="preserve"> z dni</w:t>
      </w:r>
      <w:r>
        <w:t>a 7 października 20</w:t>
      </w:r>
      <w:r w:rsidRPr="009F5FFB">
        <w:t>14</w:t>
      </w:r>
      <w:r w:rsidR="009F5FFB" w:rsidRPr="009F5FFB">
        <w:t> </w:t>
      </w:r>
      <w:r w:rsidRPr="009F5FFB">
        <w:t>r.</w:t>
      </w:r>
      <w:r>
        <w:t xml:space="preserve">, C-399/12 Niemcy/Rada, ECLI:EU:C:2014:2258, </w:t>
      </w:r>
      <w:r w:rsidRPr="009F5FFB">
        <w:t>pkt</w:t>
      </w:r>
      <w:r w:rsidR="009F5FFB" w:rsidRPr="009F5FFB">
        <w:t> </w:t>
      </w:r>
      <w:r w:rsidRPr="009F5FFB">
        <w:t>6</w:t>
      </w:r>
      <w:r>
        <w:t xml:space="preserve">1–64. </w:t>
      </w:r>
    </w:p>
  </w:footnote>
  <w:footnote w:id="3">
    <w:p w14:paraId="34D61100" w14:textId="6531D729" w:rsidR="00D10F2C" w:rsidRPr="0012272E" w:rsidRDefault="00D10F2C" w:rsidP="00D10F2C">
      <w:pPr>
        <w:pStyle w:val="FootnoteText"/>
        <w:ind w:left="0"/>
      </w:pPr>
      <w:r>
        <w:rPr>
          <w:rStyle w:val="FootnoteReference"/>
        </w:rPr>
        <w:footnoteRef/>
      </w:r>
      <w:r>
        <w:tab/>
        <w:t>Rozporządzenie wykonawcze Komisji (UE) 2017/373</w:t>
      </w:r>
      <w:r w:rsidR="009F5FFB">
        <w:t xml:space="preserve"> z dni</w:t>
      </w:r>
      <w:r>
        <w:t>a 1 marca 2017 r. ustanawiające wspólne wymogi dotyczące instytucji zapewniających zarządzanie ruchem lotniczym/służby żeglugi powietrznej</w:t>
      </w:r>
      <w:r w:rsidR="009F5FFB">
        <w:t xml:space="preserve"> i inn</w:t>
      </w:r>
      <w:r>
        <w:t>e funkcje sieciowe zarządzania ruchem lotniczym oraz nadzoru nad nimi, uchylające rozporządzenie (WE) nr 482/2008, rozporządzenia wykonawcze (UE) nr 1034/2011, (UE) nr 1035/2011 i (UE) 2016/1377 oraz zmieniające rozporządzenie (UE) nr 677/2011 (</w:t>
      </w:r>
      <w:hyperlink r:id="rId1" w:history="1">
        <w:r>
          <w:rPr>
            <w:rStyle w:val="Hyperlink"/>
          </w:rPr>
          <w:t>Dz.U. L 62</w:t>
        </w:r>
        <w:r w:rsidR="009F5FFB">
          <w:rPr>
            <w:rStyle w:val="Hyperlink"/>
          </w:rPr>
          <w:t xml:space="preserve"> z 8</w:t>
        </w:r>
        <w:r>
          <w:rPr>
            <w:rStyle w:val="Hyperlink"/>
          </w:rPr>
          <w:t>.3.2017, s. 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BBE894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62A9D5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3C8062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6AE544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8E8982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BC4D1E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1425D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734E2B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docVars>
    <w:docVar w:name="CR_RefLast" w:val="0"/>
    <w:docVar w:name="DQCDateTime" w:val="2023-02-02 10:17:1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F8AE2BE2-717E-47E8-AAC2-71DFDF8A5207"/>
    <w:docVar w:name="LW_COVERPAGE_TYPE" w:val="1"/>
    <w:docVar w:name="LW_CROSSREFERENCE" w:val="&lt;UNUSED&gt;"/>
    <w:docVar w:name="LW_DocType" w:val="COM"/>
    <w:docVar w:name="LW_EMISSION" w:val="10.2.2023"/>
    <w:docVar w:name="LW_EMISSION_ISODATE" w:val="2023-02-10"/>
    <w:docVar w:name="LW_EMISSION_LOCATION" w:val="BRX"/>
    <w:docVar w:name="LW_EMISSION_PREFIX" w:val="Bruksela, dnia "/>
    <w:docVar w:name="LW_EMISSION_SUFFIX" w:val=" r."/>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NLE"/>
    <w:docVar w:name="LW_REF.II.NEW.CP_NUMBER" w:val="0032"/>
    <w:docVar w:name="LW_REF.II.NEW.CP_YEAR" w:val="2023"/>
    <w:docVar w:name="LW_REF.INST.NEW" w:val="COM"/>
    <w:docVar w:name="LW_REF.INST.NEW_ADOPTED" w:val="final"/>
    <w:docVar w:name="LW_REF.INST.NEW_TEXT" w:val="(2023)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stanowiska, jakie ma zostać zajęte w imieniu Unii Europejskiej na 228. sesji Rady Organizacji Międzynarodowego Lotnictwa Cywilnego (ICAO) w kwestii planowanego przyjęcia zmiany nr 93 w załączniku 10 „Łączność lotnicza” (tom I – Pomoce radionawigacyjne) do Konwencji o międzynarodowym lotnictwie cywilnym"/>
    <w:docVar w:name="LW_TYPE.DOC.CP" w:val="DECYZJA RADY"/>
    <w:docVar w:name="LwApiVersions" w:val="LW4CoDe 1.23.2.0; LW 8.0, Build 20211117"/>
  </w:docVars>
  <w:rsids>
    <w:rsidRoot w:val="00174E7F"/>
    <w:rsid w:val="00005A5A"/>
    <w:rsid w:val="0002498E"/>
    <w:rsid w:val="00034534"/>
    <w:rsid w:val="00072872"/>
    <w:rsid w:val="00076D00"/>
    <w:rsid w:val="00084A80"/>
    <w:rsid w:val="000A4B67"/>
    <w:rsid w:val="000E545F"/>
    <w:rsid w:val="001065DD"/>
    <w:rsid w:val="001065F5"/>
    <w:rsid w:val="001238EF"/>
    <w:rsid w:val="00156E45"/>
    <w:rsid w:val="00173A73"/>
    <w:rsid w:val="00174E7F"/>
    <w:rsid w:val="0018594F"/>
    <w:rsid w:val="00197613"/>
    <w:rsid w:val="001A65DE"/>
    <w:rsid w:val="001C049E"/>
    <w:rsid w:val="001C168C"/>
    <w:rsid w:val="00214471"/>
    <w:rsid w:val="00225AA1"/>
    <w:rsid w:val="00233DC7"/>
    <w:rsid w:val="0023510D"/>
    <w:rsid w:val="00247779"/>
    <w:rsid w:val="00247A5A"/>
    <w:rsid w:val="002671CB"/>
    <w:rsid w:val="00285931"/>
    <w:rsid w:val="00285BEE"/>
    <w:rsid w:val="0029533F"/>
    <w:rsid w:val="002B30AF"/>
    <w:rsid w:val="002C3C98"/>
    <w:rsid w:val="002F63BA"/>
    <w:rsid w:val="0030280F"/>
    <w:rsid w:val="003161B6"/>
    <w:rsid w:val="0033344A"/>
    <w:rsid w:val="003838F7"/>
    <w:rsid w:val="003A39D6"/>
    <w:rsid w:val="003B2703"/>
    <w:rsid w:val="003B3D11"/>
    <w:rsid w:val="003C70C0"/>
    <w:rsid w:val="003C7C4A"/>
    <w:rsid w:val="003F28BD"/>
    <w:rsid w:val="00407653"/>
    <w:rsid w:val="0042648E"/>
    <w:rsid w:val="00483E14"/>
    <w:rsid w:val="004936D2"/>
    <w:rsid w:val="004A6397"/>
    <w:rsid w:val="00522E9B"/>
    <w:rsid w:val="005253A2"/>
    <w:rsid w:val="00526EC9"/>
    <w:rsid w:val="005378DF"/>
    <w:rsid w:val="00543777"/>
    <w:rsid w:val="00560201"/>
    <w:rsid w:val="0057349B"/>
    <w:rsid w:val="0057390F"/>
    <w:rsid w:val="005762AF"/>
    <w:rsid w:val="005875B3"/>
    <w:rsid w:val="005B1EB6"/>
    <w:rsid w:val="005C0C8E"/>
    <w:rsid w:val="00604B97"/>
    <w:rsid w:val="006064C3"/>
    <w:rsid w:val="006562E4"/>
    <w:rsid w:val="00686664"/>
    <w:rsid w:val="007334A3"/>
    <w:rsid w:val="00761986"/>
    <w:rsid w:val="0077011D"/>
    <w:rsid w:val="00773331"/>
    <w:rsid w:val="007932EF"/>
    <w:rsid w:val="007A50FC"/>
    <w:rsid w:val="007E05B0"/>
    <w:rsid w:val="00835250"/>
    <w:rsid w:val="008407AC"/>
    <w:rsid w:val="00874D22"/>
    <w:rsid w:val="008A2914"/>
    <w:rsid w:val="008E06BA"/>
    <w:rsid w:val="008E4D8E"/>
    <w:rsid w:val="008E7F68"/>
    <w:rsid w:val="009325A2"/>
    <w:rsid w:val="0095413B"/>
    <w:rsid w:val="00957327"/>
    <w:rsid w:val="00984A39"/>
    <w:rsid w:val="009A1B44"/>
    <w:rsid w:val="009A5DAC"/>
    <w:rsid w:val="009E2FBF"/>
    <w:rsid w:val="009F5FFB"/>
    <w:rsid w:val="00A21107"/>
    <w:rsid w:val="00A66047"/>
    <w:rsid w:val="00AA3056"/>
    <w:rsid w:val="00AB2127"/>
    <w:rsid w:val="00B750AE"/>
    <w:rsid w:val="00C02735"/>
    <w:rsid w:val="00C12301"/>
    <w:rsid w:val="00C37433"/>
    <w:rsid w:val="00C63514"/>
    <w:rsid w:val="00CB0611"/>
    <w:rsid w:val="00CB0D30"/>
    <w:rsid w:val="00CF34F8"/>
    <w:rsid w:val="00D0122D"/>
    <w:rsid w:val="00D10F2C"/>
    <w:rsid w:val="00D13E5B"/>
    <w:rsid w:val="00D20381"/>
    <w:rsid w:val="00D21958"/>
    <w:rsid w:val="00D318F2"/>
    <w:rsid w:val="00D32E15"/>
    <w:rsid w:val="00D40464"/>
    <w:rsid w:val="00DC77D3"/>
    <w:rsid w:val="00E0477B"/>
    <w:rsid w:val="00E050BB"/>
    <w:rsid w:val="00E45F95"/>
    <w:rsid w:val="00E526A6"/>
    <w:rsid w:val="00E84D33"/>
    <w:rsid w:val="00EB772B"/>
    <w:rsid w:val="00ED076F"/>
    <w:rsid w:val="00EF024B"/>
    <w:rsid w:val="00F4008F"/>
    <w:rsid w:val="00F445E3"/>
    <w:rsid w:val="00FA376D"/>
    <w:rsid w:val="00FC38F8"/>
    <w:rsid w:val="00FD1D73"/>
    <w:rsid w:val="00FD43F0"/>
    <w:rsid w:val="00FD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5AF834"/>
  <w15:docId w15:val="{8BE047E0-705E-4310-A942-B6EFCCAC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E7F"/>
    <w:pPr>
      <w:spacing w:before="0" w:after="108" w:line="250" w:lineRule="auto"/>
      <w:ind w:left="720" w:hanging="10"/>
      <w:contextualSpacing/>
    </w:pPr>
    <w:rPr>
      <w:rFonts w:eastAsia="Times New Roman"/>
      <w:color w:val="000000"/>
    </w:rPr>
  </w:style>
  <w:style w:type="character" w:styleId="Hyperlink">
    <w:name w:val="Hyperlink"/>
    <w:basedOn w:val="DefaultParagraphFont"/>
    <w:uiPriority w:val="99"/>
    <w:unhideWhenUsed/>
    <w:rsid w:val="00D10F2C"/>
    <w:rPr>
      <w:color w:val="0000FF" w:themeColor="hyperlink"/>
      <w:u w:val="single"/>
    </w:rPr>
  </w:style>
  <w:style w:type="paragraph" w:styleId="Caption">
    <w:name w:val="caption"/>
    <w:basedOn w:val="Normal"/>
    <w:next w:val="Normal"/>
    <w:uiPriority w:val="35"/>
    <w:semiHidden/>
    <w:unhideWhenUsed/>
    <w:qFormat/>
    <w:rsid w:val="00AA305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A3056"/>
    <w:pPr>
      <w:spacing w:after="0"/>
    </w:pPr>
  </w:style>
  <w:style w:type="paragraph" w:styleId="ListBullet">
    <w:name w:val="List Bullet"/>
    <w:basedOn w:val="Normal"/>
    <w:uiPriority w:val="99"/>
    <w:semiHidden/>
    <w:unhideWhenUsed/>
    <w:rsid w:val="00AA3056"/>
    <w:pPr>
      <w:numPr>
        <w:numId w:val="3"/>
      </w:numPr>
      <w:contextualSpacing/>
    </w:pPr>
  </w:style>
  <w:style w:type="paragraph" w:styleId="ListBullet2">
    <w:name w:val="List Bullet 2"/>
    <w:basedOn w:val="Normal"/>
    <w:uiPriority w:val="99"/>
    <w:semiHidden/>
    <w:unhideWhenUsed/>
    <w:rsid w:val="00AA3056"/>
    <w:pPr>
      <w:numPr>
        <w:numId w:val="4"/>
      </w:numPr>
      <w:contextualSpacing/>
    </w:pPr>
  </w:style>
  <w:style w:type="paragraph" w:styleId="ListBullet3">
    <w:name w:val="List Bullet 3"/>
    <w:basedOn w:val="Normal"/>
    <w:uiPriority w:val="99"/>
    <w:semiHidden/>
    <w:unhideWhenUsed/>
    <w:rsid w:val="00AA3056"/>
    <w:pPr>
      <w:numPr>
        <w:numId w:val="5"/>
      </w:numPr>
      <w:contextualSpacing/>
    </w:pPr>
  </w:style>
  <w:style w:type="paragraph" w:styleId="ListBullet4">
    <w:name w:val="List Bullet 4"/>
    <w:basedOn w:val="Normal"/>
    <w:uiPriority w:val="99"/>
    <w:semiHidden/>
    <w:unhideWhenUsed/>
    <w:rsid w:val="00AA3056"/>
    <w:pPr>
      <w:numPr>
        <w:numId w:val="6"/>
      </w:numPr>
      <w:contextualSpacing/>
    </w:pPr>
  </w:style>
  <w:style w:type="paragraph" w:styleId="ListNumber">
    <w:name w:val="List Number"/>
    <w:basedOn w:val="Normal"/>
    <w:uiPriority w:val="99"/>
    <w:semiHidden/>
    <w:unhideWhenUsed/>
    <w:rsid w:val="00AA3056"/>
    <w:pPr>
      <w:numPr>
        <w:numId w:val="7"/>
      </w:numPr>
      <w:contextualSpacing/>
    </w:pPr>
  </w:style>
  <w:style w:type="paragraph" w:styleId="ListNumber2">
    <w:name w:val="List Number 2"/>
    <w:basedOn w:val="Normal"/>
    <w:uiPriority w:val="99"/>
    <w:semiHidden/>
    <w:unhideWhenUsed/>
    <w:rsid w:val="00AA3056"/>
    <w:pPr>
      <w:numPr>
        <w:numId w:val="8"/>
      </w:numPr>
      <w:contextualSpacing/>
    </w:pPr>
  </w:style>
  <w:style w:type="paragraph" w:styleId="ListNumber3">
    <w:name w:val="List Number 3"/>
    <w:basedOn w:val="Normal"/>
    <w:uiPriority w:val="99"/>
    <w:semiHidden/>
    <w:unhideWhenUsed/>
    <w:rsid w:val="00AA3056"/>
    <w:pPr>
      <w:numPr>
        <w:numId w:val="9"/>
      </w:numPr>
      <w:contextualSpacing/>
    </w:pPr>
  </w:style>
  <w:style w:type="paragraph" w:styleId="ListNumber4">
    <w:name w:val="List Number 4"/>
    <w:basedOn w:val="Normal"/>
    <w:uiPriority w:val="99"/>
    <w:semiHidden/>
    <w:unhideWhenUsed/>
    <w:rsid w:val="00AA3056"/>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pl-P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0C8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C8E"/>
    <w:rPr>
      <w:rFonts w:ascii="Segoe UI" w:hAnsi="Segoe UI" w:cs="Segoe UI"/>
      <w:sz w:val="18"/>
      <w:szCs w:val="18"/>
      <w:lang w:val="pl-PL"/>
    </w:rPr>
  </w:style>
  <w:style w:type="paragraph" w:styleId="CommentSubject">
    <w:name w:val="annotation subject"/>
    <w:basedOn w:val="CommentText"/>
    <w:next w:val="CommentText"/>
    <w:link w:val="CommentSubjectChar"/>
    <w:uiPriority w:val="99"/>
    <w:semiHidden/>
    <w:unhideWhenUsed/>
    <w:rsid w:val="001065DD"/>
    <w:rPr>
      <w:b/>
      <w:bCs/>
    </w:rPr>
  </w:style>
  <w:style w:type="character" w:customStyle="1" w:styleId="CommentSubjectChar">
    <w:name w:val="Comment Subject Char"/>
    <w:basedOn w:val="CommentTextChar"/>
    <w:link w:val="CommentSubject"/>
    <w:uiPriority w:val="99"/>
    <w:semiHidden/>
    <w:rsid w:val="001065DD"/>
    <w:rPr>
      <w:rFonts w:ascii="Times New Roman" w:hAnsi="Times New Roman" w:cs="Times New Roman"/>
      <w:b/>
      <w:bCs/>
      <w:sz w:val="20"/>
      <w:szCs w:val="20"/>
      <w:lang w:val="pl-PL"/>
    </w:rPr>
  </w:style>
  <w:style w:type="paragraph" w:styleId="Header">
    <w:name w:val="header"/>
    <w:basedOn w:val="Normal"/>
    <w:link w:val="HeaderChar"/>
    <w:uiPriority w:val="99"/>
    <w:unhideWhenUsed/>
    <w:rsid w:val="0095413B"/>
    <w:pPr>
      <w:tabs>
        <w:tab w:val="center" w:pos="4535"/>
        <w:tab w:val="right" w:pos="9071"/>
      </w:tabs>
      <w:spacing w:before="0"/>
    </w:pPr>
  </w:style>
  <w:style w:type="character" w:customStyle="1" w:styleId="HeaderChar">
    <w:name w:val="Header Char"/>
    <w:basedOn w:val="DefaultParagraphFont"/>
    <w:link w:val="Header"/>
    <w:uiPriority w:val="99"/>
    <w:rsid w:val="0095413B"/>
    <w:rPr>
      <w:rFonts w:ascii="Times New Roman" w:hAnsi="Times New Roman" w:cs="Times New Roman"/>
      <w:sz w:val="24"/>
      <w:lang w:val="pl-PL"/>
    </w:rPr>
  </w:style>
  <w:style w:type="paragraph" w:styleId="Footer">
    <w:name w:val="footer"/>
    <w:basedOn w:val="Normal"/>
    <w:link w:val="FooterChar"/>
    <w:uiPriority w:val="99"/>
    <w:unhideWhenUsed/>
    <w:rsid w:val="0095413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5413B"/>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5413B"/>
    <w:pPr>
      <w:tabs>
        <w:tab w:val="center" w:pos="7285"/>
        <w:tab w:val="right" w:pos="14003"/>
      </w:tabs>
      <w:spacing w:before="0"/>
    </w:pPr>
  </w:style>
  <w:style w:type="paragraph" w:customStyle="1" w:styleId="FooterLandscape">
    <w:name w:val="FooterLandscape"/>
    <w:basedOn w:val="Normal"/>
    <w:rsid w:val="0095413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5413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5413B"/>
    <w:pPr>
      <w:spacing w:before="0"/>
      <w:jc w:val="right"/>
    </w:pPr>
    <w:rPr>
      <w:sz w:val="28"/>
    </w:rPr>
  </w:style>
  <w:style w:type="paragraph" w:customStyle="1" w:styleId="FooterSensitivity">
    <w:name w:val="Footer Sensitivity"/>
    <w:basedOn w:val="Normal"/>
    <w:rsid w:val="0095413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076D00"/>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PL/TXT/?uri=OJ:L:2017:06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147</TotalTime>
  <Pages>9</Pages>
  <Words>2650</Words>
  <Characters>17151</Characters>
  <Application>Microsoft Office Word</Application>
  <DocSecurity>0</DocSecurity>
  <Lines>295</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53</cp:revision>
  <dcterms:created xsi:type="dcterms:W3CDTF">2023-01-17T12:27:00Z</dcterms:created>
  <dcterms:modified xsi:type="dcterms:W3CDTF">2023-02-02T09:17:00Z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2023-01-11T11:11:04Z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4a4b62fc-f9e9-4f22-b6f7-399d7e40692d</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