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0F95" w14:textId="14E13980" w:rsidR="00220A4F" w:rsidRPr="0095334B" w:rsidRDefault="00002184" w:rsidP="00002184">
      <w:pPr>
        <w:pStyle w:val="Pagedecouverture"/>
        <w:rPr>
          <w:noProof/>
        </w:rPr>
      </w:pPr>
      <w:r>
        <w:rPr>
          <w:noProof/>
        </w:rPr>
        <w:pict w14:anchorId="4E7F4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07A210E7-4610-42E9-91B9-98DA52FEB2CA" style="width:455.25pt;height:383.25pt">
            <v:imagedata r:id="rId8" o:title=""/>
          </v:shape>
        </w:pict>
      </w:r>
    </w:p>
    <w:p w14:paraId="1F63A936" w14:textId="77777777" w:rsidR="00220A4F" w:rsidRPr="0095334B" w:rsidRDefault="00220A4F" w:rsidP="00220A4F">
      <w:pPr>
        <w:rPr>
          <w:noProof/>
        </w:rPr>
        <w:sectPr w:rsidR="00220A4F" w:rsidRPr="0095334B" w:rsidSect="00002184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D5F4D8A" w14:textId="77777777" w:rsidR="00220A4F" w:rsidRPr="0095334B" w:rsidRDefault="00220A4F" w:rsidP="00BB6B30">
      <w:pPr>
        <w:pStyle w:val="Exposdesmotifstitre"/>
        <w:rPr>
          <w:noProof/>
        </w:rPr>
      </w:pPr>
      <w:bookmarkStart w:id="0" w:name="_GoBack"/>
      <w:bookmarkEnd w:id="0"/>
      <w:r w:rsidRPr="0095334B">
        <w:rPr>
          <w:noProof/>
        </w:rPr>
        <w:lastRenderedPageBreak/>
        <w:t>DÔVODOVÁ SPRÁVA</w:t>
      </w:r>
    </w:p>
    <w:p w14:paraId="5C2E8790" w14:textId="2980C44C" w:rsidR="00220A4F" w:rsidRPr="0095334B" w:rsidRDefault="00B3616F" w:rsidP="00B3616F">
      <w:pPr>
        <w:pStyle w:val="ManualHeading1"/>
        <w:rPr>
          <w:rFonts w:eastAsia="Arial Unicode MS"/>
          <w:noProof/>
        </w:rPr>
      </w:pPr>
      <w:r w:rsidRPr="00B3616F">
        <w:t>1.</w:t>
      </w:r>
      <w:r w:rsidRPr="00B3616F">
        <w:tab/>
      </w:r>
      <w:r w:rsidR="00220A4F" w:rsidRPr="0095334B">
        <w:rPr>
          <w:noProof/>
        </w:rPr>
        <w:t>Predmet návrhu</w:t>
      </w:r>
    </w:p>
    <w:p w14:paraId="001396C1" w14:textId="567D0E5F" w:rsidR="00220A4F" w:rsidRPr="0095334B" w:rsidRDefault="00220A4F" w:rsidP="00220A4F">
      <w:pPr>
        <w:rPr>
          <w:rFonts w:eastAsia="Arial Unicode MS"/>
          <w:noProof/>
        </w:rPr>
      </w:pPr>
      <w:r w:rsidRPr="0095334B">
        <w:rPr>
          <w:noProof/>
        </w:rPr>
        <w:t xml:space="preserve">Tento návrh sa týka rozhodnutia Rady o pozícii, ktorá sa má zaujať v mene Európskej únie v Rade Medzinárodnej organizácie civilného letectva (ICAO), pokiaľ ide o návrhy na zmenu zväzkov I – III prílohy 16 k Chicagskemu dohovoru, pokiaľ ide o štandardy a odporúčania týkajúce sa ochrany životného prostredia. </w:t>
      </w:r>
    </w:p>
    <w:p w14:paraId="0A8B0BC2" w14:textId="56CDA005" w:rsidR="00220A4F" w:rsidRPr="0095334B" w:rsidRDefault="00B3616F" w:rsidP="00B3616F">
      <w:pPr>
        <w:pStyle w:val="ManualHeading1"/>
        <w:rPr>
          <w:noProof/>
        </w:rPr>
      </w:pPr>
      <w:r w:rsidRPr="00B3616F">
        <w:t>2.</w:t>
      </w:r>
      <w:r w:rsidRPr="00B3616F">
        <w:tab/>
      </w:r>
      <w:r w:rsidR="00220A4F" w:rsidRPr="0095334B">
        <w:rPr>
          <w:noProof/>
        </w:rPr>
        <w:t>Kontext návrhu</w:t>
      </w:r>
    </w:p>
    <w:p w14:paraId="134EDA50" w14:textId="2D209A56" w:rsidR="00220A4F" w:rsidRPr="0095334B" w:rsidRDefault="00B3616F" w:rsidP="00B3616F">
      <w:pPr>
        <w:pStyle w:val="ManualHeading2"/>
        <w:rPr>
          <w:noProof/>
        </w:rPr>
      </w:pPr>
      <w:r w:rsidRPr="00B3616F">
        <w:t>2.1.</w:t>
      </w:r>
      <w:r w:rsidRPr="00B3616F">
        <w:tab/>
      </w:r>
      <w:r w:rsidR="00220A4F" w:rsidRPr="0095334B">
        <w:rPr>
          <w:noProof/>
        </w:rPr>
        <w:t>Dohovor o medzinárodnom civilnom letectve</w:t>
      </w:r>
    </w:p>
    <w:p w14:paraId="5319DF1C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Cieľom Dohovoru o medzinárodnom civilnom letectve (ďalej len „Chicagsky dohovor“) je regulovať medzinárodnú leteckú dopravu. Nadobudol platnosť 4. apríla 1947 a zriadila sa ním ICAO.</w:t>
      </w:r>
    </w:p>
    <w:p w14:paraId="229117B9" w14:textId="77777777" w:rsidR="00220A4F" w:rsidRPr="0095334B" w:rsidRDefault="00220A4F" w:rsidP="00220A4F">
      <w:pPr>
        <w:rPr>
          <w:rFonts w:eastAsia="Arial Unicode MS"/>
          <w:noProof/>
        </w:rPr>
      </w:pPr>
      <w:r w:rsidRPr="0095334B">
        <w:rPr>
          <w:noProof/>
        </w:rPr>
        <w:t>Všetky členské štáty EÚ sú stranami Chicagskeho dohovoru.</w:t>
      </w:r>
    </w:p>
    <w:p w14:paraId="3347E0B6" w14:textId="13A146AA" w:rsidR="00220A4F" w:rsidRPr="0095334B" w:rsidRDefault="00B3616F" w:rsidP="00B3616F">
      <w:pPr>
        <w:pStyle w:val="ManualHeading2"/>
        <w:rPr>
          <w:noProof/>
        </w:rPr>
      </w:pPr>
      <w:r w:rsidRPr="00B3616F">
        <w:t>2.2.</w:t>
      </w:r>
      <w:r w:rsidRPr="00B3616F">
        <w:tab/>
      </w:r>
      <w:r w:rsidR="00220A4F" w:rsidRPr="0095334B">
        <w:rPr>
          <w:noProof/>
        </w:rPr>
        <w:t>Medzinárodná organizácia civilného letectva</w:t>
      </w:r>
    </w:p>
    <w:p w14:paraId="67846B0D" w14:textId="77777777" w:rsidR="007279C5" w:rsidRPr="0095334B" w:rsidRDefault="00220A4F" w:rsidP="00220A4F">
      <w:pPr>
        <w:rPr>
          <w:noProof/>
        </w:rPr>
      </w:pPr>
      <w:r w:rsidRPr="0095334B">
        <w:rPr>
          <w:noProof/>
        </w:rPr>
        <w:t xml:space="preserve">Organizácia ICAO je špecializovanou agentúrou Organizácie Spojených národov. K jej cieľom patrí rozvíjať zásady a techniky medzinárodnej leteckej navigácie a podporovať plánovanie a rozvoj medzinárodnej leteckej dopravy. </w:t>
      </w:r>
    </w:p>
    <w:p w14:paraId="5E0BAFC2" w14:textId="77777777" w:rsidR="007279C5" w:rsidRPr="0095334B" w:rsidRDefault="00465299" w:rsidP="00220A4F">
      <w:pPr>
        <w:rPr>
          <w:noProof/>
        </w:rPr>
      </w:pPr>
      <w:r w:rsidRPr="0095334B">
        <w:rPr>
          <w:noProof/>
        </w:rPr>
        <w:t>Podľa článku 54 Chicagskeho dohovoru patrí k povinným funkciám Rady ICAO prijímanie medzinárodných štandardov a odporúčaní v podobe príloh k Chicagskemu dohovoru.</w:t>
      </w:r>
    </w:p>
    <w:p w14:paraId="01627DBF" w14:textId="77777777" w:rsidR="00465299" w:rsidRPr="0095334B" w:rsidRDefault="00465299" w:rsidP="00220A4F">
      <w:pPr>
        <w:rPr>
          <w:noProof/>
        </w:rPr>
      </w:pPr>
      <w:r w:rsidRPr="0095334B">
        <w:rPr>
          <w:noProof/>
        </w:rPr>
        <w:t>Rada ICAO je stálym orgánom ICAO, ktorého členmi je 36 zmluvných štátov zvolených zhromaždením ICAO na obdobie troch rokov. V Rade ICAO je zastúpených niekoľko členských štátov.</w:t>
      </w:r>
    </w:p>
    <w:p w14:paraId="3A7EBAD0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 xml:space="preserve">EÚ je pozorovateľom </w:t>
      </w:r>
      <w:r w:rsidRPr="0095334B">
        <w:rPr>
          <w:i/>
          <w:noProof/>
        </w:rPr>
        <w:t>ad hoc</w:t>
      </w:r>
      <w:r w:rsidRPr="0095334B">
        <w:rPr>
          <w:noProof/>
        </w:rPr>
        <w:t xml:space="preserve"> v mnohých orgánoch ICAO (zhromaždenia a iné technické orgány).</w:t>
      </w:r>
    </w:p>
    <w:p w14:paraId="2AD1A0C5" w14:textId="1573B988" w:rsidR="00220A4F" w:rsidRPr="0095334B" w:rsidRDefault="00B3616F" w:rsidP="00B3616F">
      <w:pPr>
        <w:pStyle w:val="ManualHeading2"/>
        <w:rPr>
          <w:noProof/>
        </w:rPr>
      </w:pPr>
      <w:r w:rsidRPr="00B3616F">
        <w:t>2.3.</w:t>
      </w:r>
      <w:r w:rsidRPr="00B3616F">
        <w:tab/>
      </w:r>
      <w:r w:rsidR="00465299" w:rsidRPr="0095334B">
        <w:rPr>
          <w:noProof/>
        </w:rPr>
        <w:t xml:space="preserve">Pripravovaný akt Rady Medzinárodnej organizácie civilného letectva </w:t>
      </w:r>
    </w:p>
    <w:p w14:paraId="47117763" w14:textId="77777777" w:rsidR="00220A4F" w:rsidRPr="0095334B" w:rsidRDefault="00220A4F" w:rsidP="00220A4F">
      <w:pPr>
        <w:spacing w:after="0"/>
        <w:rPr>
          <w:noProof/>
        </w:rPr>
      </w:pPr>
      <w:r w:rsidRPr="0095334B">
        <w:rPr>
          <w:noProof/>
        </w:rPr>
        <w:t>Rada ICAO prijala medzinárodné štandardy a odporúčania (SARP) v oblasti ochrany životného prostredia ako prílohu 16 k Chicagskemu dohovoru. Príloha 16 má štyri zväzky s týmto rozsahom pôsobnosti:</w:t>
      </w:r>
    </w:p>
    <w:p w14:paraId="041DF84C" w14:textId="77777777" w:rsidR="00465299" w:rsidRPr="0095334B" w:rsidRDefault="00220A4F" w:rsidP="00292812">
      <w:pPr>
        <w:pStyle w:val="Tiret0"/>
        <w:numPr>
          <w:ilvl w:val="0"/>
          <w:numId w:val="12"/>
        </w:numPr>
        <w:rPr>
          <w:noProof/>
        </w:rPr>
      </w:pPr>
      <w:r w:rsidRPr="0095334B">
        <w:rPr>
          <w:noProof/>
        </w:rPr>
        <w:t>zväzok I obsahuje štandardy a odporúčania týkajúce sa hluku z lietadiel,</w:t>
      </w:r>
    </w:p>
    <w:p w14:paraId="0CCB1B3C" w14:textId="77777777" w:rsidR="00465299" w:rsidRPr="0095334B" w:rsidRDefault="00220A4F" w:rsidP="00E96DFD">
      <w:pPr>
        <w:pStyle w:val="Tiret0"/>
        <w:rPr>
          <w:noProof/>
        </w:rPr>
      </w:pPr>
      <w:r w:rsidRPr="0095334B">
        <w:rPr>
          <w:noProof/>
        </w:rPr>
        <w:t>zväzok II obsahuje štandardy a odporúčania týkajúce sa emisií z motorov lietadiel,</w:t>
      </w:r>
    </w:p>
    <w:p w14:paraId="66E072EF" w14:textId="77777777" w:rsidR="00465299" w:rsidRPr="0095334B" w:rsidRDefault="00220A4F" w:rsidP="00E96DFD">
      <w:pPr>
        <w:pStyle w:val="Tiret0"/>
        <w:rPr>
          <w:noProof/>
        </w:rPr>
      </w:pPr>
      <w:r w:rsidRPr="0095334B">
        <w:rPr>
          <w:noProof/>
        </w:rPr>
        <w:t>zväzok III obsahuje štandardy a odporúčania týkajúce sa emisií CO</w:t>
      </w:r>
      <w:r w:rsidRPr="0095334B">
        <w:rPr>
          <w:noProof/>
          <w:vertAlign w:val="subscript"/>
        </w:rPr>
        <w:t>2</w:t>
      </w:r>
      <w:r w:rsidRPr="0095334B">
        <w:rPr>
          <w:noProof/>
        </w:rPr>
        <w:t xml:space="preserve"> z letúnov,</w:t>
      </w:r>
    </w:p>
    <w:p w14:paraId="4BA6261F" w14:textId="77777777" w:rsidR="00220A4F" w:rsidRPr="0095334B" w:rsidRDefault="00220A4F" w:rsidP="00E2073E">
      <w:pPr>
        <w:pStyle w:val="Tiret0"/>
        <w:numPr>
          <w:ilvl w:val="0"/>
          <w:numId w:val="11"/>
        </w:numPr>
        <w:rPr>
          <w:noProof/>
        </w:rPr>
      </w:pPr>
      <w:r w:rsidRPr="0095334B">
        <w:rPr>
          <w:noProof/>
        </w:rPr>
        <w:t>zväzok IV obsahuje štandardy a odporúčania týkajúce sa systému kompenzácie a znižovania emisií uhlíka v medzinárodnom letectve (CORSIA).</w:t>
      </w:r>
    </w:p>
    <w:p w14:paraId="4011514C" w14:textId="77777777" w:rsidR="00465299" w:rsidRPr="0095334B" w:rsidRDefault="00220A4F" w:rsidP="00220A4F">
      <w:pPr>
        <w:spacing w:after="0"/>
        <w:rPr>
          <w:noProof/>
        </w:rPr>
      </w:pPr>
      <w:r w:rsidRPr="0095334B">
        <w:rPr>
          <w:noProof/>
        </w:rPr>
        <w:t>Rada ICAO by mala na svojom 228. zasadaní 13. – 31. marca 2023 zvážiť možné zmeny týchto zväzkov. Štátom ICAO boli v júli 2022 zaslané obežníky</w:t>
      </w:r>
      <w:r w:rsidRPr="0095334B">
        <w:rPr>
          <w:rStyle w:val="FootnoteReference"/>
          <w:noProof/>
        </w:rPr>
        <w:footnoteReference w:id="1"/>
      </w:r>
      <w:r w:rsidRPr="0095334B">
        <w:rPr>
          <w:noProof/>
        </w:rPr>
        <w:t xml:space="preserve"> s očakávanými zmenami na pripomienkovanie. </w:t>
      </w:r>
    </w:p>
    <w:p w14:paraId="7368A8DF" w14:textId="2E0F210D" w:rsidR="00220A4F" w:rsidRPr="0095334B" w:rsidRDefault="00B3616F" w:rsidP="00B3616F">
      <w:pPr>
        <w:pStyle w:val="ManualHeading1"/>
        <w:rPr>
          <w:rFonts w:eastAsia="Arial Unicode MS"/>
          <w:noProof/>
        </w:rPr>
      </w:pPr>
      <w:r w:rsidRPr="00B3616F">
        <w:t>3.</w:t>
      </w:r>
      <w:r w:rsidRPr="00B3616F">
        <w:tab/>
      </w:r>
      <w:r w:rsidR="00220A4F" w:rsidRPr="0095334B">
        <w:rPr>
          <w:noProof/>
        </w:rPr>
        <w:t>Pozícia, ktorá sa má zaujať v mene Únie</w:t>
      </w:r>
    </w:p>
    <w:p w14:paraId="1123722B" w14:textId="77777777" w:rsidR="00220A4F" w:rsidRPr="0095334B" w:rsidRDefault="00220A4F" w:rsidP="00220A4F">
      <w:pPr>
        <w:pStyle w:val="ManualHeading2"/>
        <w:rPr>
          <w:noProof/>
        </w:rPr>
      </w:pPr>
      <w:r w:rsidRPr="0095334B">
        <w:rPr>
          <w:noProof/>
        </w:rPr>
        <w:t>3.1. Súvislosti</w:t>
      </w:r>
    </w:p>
    <w:p w14:paraId="17DF988A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Komisia je v súlade s článkom 19 ods. 3 nariadenia (EÚ) 2018/1139</w:t>
      </w:r>
      <w:r w:rsidRPr="0095334B">
        <w:rPr>
          <w:rStyle w:val="FootnoteReference"/>
          <w:noProof/>
        </w:rPr>
        <w:footnoteReference w:id="2"/>
      </w:r>
      <w:r w:rsidRPr="0095334B">
        <w:rPr>
          <w:noProof/>
        </w:rPr>
        <w:t xml:space="preserve"> splnomocnená prijímať delegované akty s cieľom meniť odkazy na ustanovenia Chicagskeho dohovoru uvedené v článku 9 ods. 2 prvom pododseku daného nariadenia a aktualizovať ich vzhľadom na následné zmeny uvedených ustanovení, ktoré nadobudnú platnosť po 4. júli 2018 a ktoré budú uplatniteľné vo všetkých členských štátoch, pokiaľ sa takýmito úpravami nerozšíri rozsah pôsobnosti daného nariadenia.</w:t>
      </w:r>
    </w:p>
    <w:p w14:paraId="77EBB375" w14:textId="3CD1300A" w:rsidR="00220A4F" w:rsidRPr="0095334B" w:rsidRDefault="00220A4F" w:rsidP="00220A4F">
      <w:pPr>
        <w:rPr>
          <w:noProof/>
        </w:rPr>
      </w:pPr>
      <w:r w:rsidRPr="0095334B">
        <w:rPr>
          <w:noProof/>
        </w:rPr>
        <w:t>Rozhodnutím Rady (EÚ) 2016/915 z 30. mája 2016</w:t>
      </w:r>
      <w:r w:rsidRPr="0095334B">
        <w:rPr>
          <w:rStyle w:val="FootnoteReference"/>
          <w:noProof/>
        </w:rPr>
        <w:footnoteReference w:id="3"/>
      </w:r>
      <w:r w:rsidRPr="0095334B">
        <w:rPr>
          <w:noProof/>
        </w:rPr>
        <w:t xml:space="preserve"> zmeneným rozhodnutím Rady (EÚ) 2020/768 z 9. júna 2020</w:t>
      </w:r>
      <w:r w:rsidRPr="0095334B">
        <w:rPr>
          <w:rStyle w:val="FootnoteReference"/>
          <w:bCs/>
          <w:noProof/>
        </w:rPr>
        <w:footnoteReference w:id="4"/>
      </w:r>
      <w:r w:rsidRPr="0095334B">
        <w:rPr>
          <w:noProof/>
        </w:rPr>
        <w:t xml:space="preserve"> sa stanovila pozícia Únie, pokiaľ ide o medzinárodný nástroj, ktorý majú vypracovať orgány ICAO a ktorý má viesť k vykonávaniu jednotného globálneho trhového opatrenia na emisie z medzinárodnej leteckej dopravy od roku 2020, t. j. systém kompenzácie a znižovania emisií uhlíka v medzinárodnom letectve (ďalej len „CORSIA“). Uvedené rozhodnutie zostáva v platnosti. Preto sa používa ako základ na stanovenie pozície Únie, pokiaľ ide o zmeny zväzku IV prílohy 16.</w:t>
      </w:r>
    </w:p>
    <w:p w14:paraId="28507ABA" w14:textId="77777777" w:rsidR="00220A4F" w:rsidRPr="0095334B" w:rsidRDefault="00220A4F" w:rsidP="00220A4F">
      <w:pPr>
        <w:pStyle w:val="ManualHeading2"/>
        <w:rPr>
          <w:noProof/>
        </w:rPr>
      </w:pPr>
      <w:r w:rsidRPr="0095334B">
        <w:rPr>
          <w:noProof/>
        </w:rPr>
        <w:t>3.2. Pozícia, ktorá sa má zaujať v mene Únie</w:t>
      </w:r>
    </w:p>
    <w:p w14:paraId="328108B7" w14:textId="72E3F1CA" w:rsidR="00220A4F" w:rsidRPr="0095334B" w:rsidRDefault="00220A4F" w:rsidP="00220A4F">
      <w:pPr>
        <w:rPr>
          <w:noProof/>
        </w:rPr>
      </w:pPr>
      <w:r w:rsidRPr="0095334B">
        <w:rPr>
          <w:noProof/>
        </w:rPr>
        <w:t xml:space="preserve">Pred 228. zasadaním Rady ICAO, ktoré sa uskutoční 13. – 31. marca 2023, je potrebné prijať pozíciu v mene Únie s cieľom umožniť členským štátom zúčastňovať sa na rozhodnutiach o navrhovaných zmenách zväzkov I – III prílohy 16 k Chicagskemu dohovoru. </w:t>
      </w:r>
    </w:p>
    <w:p w14:paraId="1B38117A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Pokiaľ ide o zmeny zväzku I, očakávané navrhované zmeny, ako sa uvádzajú v uvedenom obežníku, zahŕňajú:</w:t>
      </w:r>
    </w:p>
    <w:p w14:paraId="51032340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a) zmeny týkajúce sa správneho používania modálnych slovies na zosúladenie zväzku I prílohy 16 so smernicami pre zasadnutia pre leteckú navigáciu na úrovni divízií a s rokovacím poriadkom pre ich vedenie (dok. 8143), časť II, Formulácia návrhov medzinárodných štandardov, odporúčaní a postupov;</w:t>
      </w:r>
    </w:p>
    <w:p w14:paraId="006C355B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b) odporúčané usmernenia pre meranie hlučnosti vznášajúcich sa vrtuľníkov ako súčasť dodatku H zväzku I prílohy 16;</w:t>
      </w:r>
    </w:p>
    <w:p w14:paraId="52479523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c) zmeny s cieľom riešiť obmedzenia špecifikácií, pokiaľ ide o úpravy skúšobného dňa SPL (úroveň akustického tlaku) podľa referenčných podmienok, a</w:t>
      </w:r>
    </w:p>
    <w:p w14:paraId="1F313895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d) menšie opravy typografických chýb.</w:t>
      </w:r>
    </w:p>
    <w:p w14:paraId="3E547B67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Pokiaľ ide o zmeny zväzku II, očakávané navrhované zmeny, ako sa uvádzajú v uvedenom obežníku, zahŕňajú:</w:t>
      </w:r>
    </w:p>
    <w:p w14:paraId="4A0EFF00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a) reštrukturalizáciu a aktualizácie relevantných odkazov zavedených v súlade so smernicami pre zasadnutia pre leteckú navigáciu na úrovni divízií a s rokovacím poriadkom pre ich vedenie (dok. 8143), časť II, Formulácia návrhov medzinárodných štandardov, odporúčaní a postupov;</w:t>
      </w:r>
    </w:p>
    <w:p w14:paraId="3C598202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b) aktualizácie týkajúce sa jazykovej konzistentnosti, ktorými sa okrem iného zavádza správne používanie modálnych slovies a jednotné uplatňovanie poznámok a odporúčaní v súlade so smernicami pre zasadnutia pre leteckú navigáciu na úrovni divízií a s rokovacím poriadkom pre ich vedenie (dok. 8143), časť II, Formulácia návrhov medzinárodných štandardov, odporúčaní a postupov;</w:t>
      </w:r>
    </w:p>
    <w:p w14:paraId="50DD6CDA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c) jazykové zlepšenia v oblasti uplatniteľnosti s cieľom zohľadniť okrem iného uplatniteľnosť štandardov pre dymové číslo a hmotnostnú koncentráciu neprchavých tuhých častíc (nvPM) na motory;</w:t>
      </w:r>
    </w:p>
    <w:p w14:paraId="59A5D723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d) zavedenie novej definície pre pojem „rovnocenný postup“ s následnými zmenami v záujme konzistentnosti v zväzku II prílohy 16;</w:t>
      </w:r>
    </w:p>
    <w:p w14:paraId="4A3B41CA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e) definície, opisy, odkazy a jazykové úpravy, okrem iného vrátane podrobnejších vysvetlení, metodických opisov, priebežných procedurálnych krokov a dodatočných poznámok a odporúčaní;</w:t>
      </w:r>
    </w:p>
    <w:p w14:paraId="5E57C7AF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f) zlepšenia týkajúce sa postupu merania nvPM v súlade s najnovšími aktualizáciami v SAE ARP 6320A a AIR 6241A o priebežnom odbere vzoriek a meraní emisií nvPM z turbínových motorov lietadiel a</w:t>
      </w:r>
    </w:p>
    <w:p w14:paraId="68947497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g) opravy všeobecných technických, nomenklatúrnych a typografických chýb s cieľom zlepšiť zrozumiteľnosť a konzistentnosť v celom dokumente.</w:t>
      </w:r>
    </w:p>
    <w:p w14:paraId="2249B3E7" w14:textId="77777777" w:rsidR="00A81584" w:rsidRPr="0095334B" w:rsidRDefault="00220A4F" w:rsidP="00220A4F">
      <w:pPr>
        <w:rPr>
          <w:noProof/>
        </w:rPr>
      </w:pPr>
      <w:r w:rsidRPr="0095334B">
        <w:rPr>
          <w:noProof/>
        </w:rPr>
        <w:t>Pokiaľ ide o zmeny zväzku III, očakávané navrhované zmeny, ako sa uvádzajú v uvedenom obežníku, zahŕňajú:</w:t>
      </w:r>
    </w:p>
    <w:p w14:paraId="00875FBE" w14:textId="77777777" w:rsidR="00A81584" w:rsidRPr="0095334B" w:rsidRDefault="00A81584" w:rsidP="00220A4F">
      <w:pPr>
        <w:rPr>
          <w:noProof/>
        </w:rPr>
      </w:pPr>
      <w:r w:rsidRPr="0095334B">
        <w:rPr>
          <w:noProof/>
        </w:rPr>
        <w:t>a) definíciu, opis, odkazy a jazykové úpravy, ktorých cieľom je okrem iného zabrániť možnému nesprávnemu výkladu a zaviesť dodatočné vysvetlenia týkajúce sa referenčného geometrického faktora (RGF);</w:t>
      </w:r>
    </w:p>
    <w:p w14:paraId="64709FB0" w14:textId="77777777" w:rsidR="00220A4F" w:rsidRPr="0095334B" w:rsidRDefault="00A81584" w:rsidP="00220A4F">
      <w:pPr>
        <w:rPr>
          <w:noProof/>
        </w:rPr>
      </w:pPr>
      <w:r w:rsidRPr="0095334B">
        <w:rPr>
          <w:noProof/>
        </w:rPr>
        <w:t>b) zmeny v záujme konzistentnosti po zavedení novej definície pre pojem „rovnocenný postup“ v zväzku III prílohy 16.</w:t>
      </w:r>
    </w:p>
    <w:p w14:paraId="68F424AA" w14:textId="77777777" w:rsidR="005A26EA" w:rsidRPr="0095334B" w:rsidRDefault="00220A4F" w:rsidP="005A26EA">
      <w:pPr>
        <w:rPr>
          <w:noProof/>
        </w:rPr>
      </w:pPr>
      <w:r w:rsidRPr="0095334B">
        <w:rPr>
          <w:noProof/>
        </w:rPr>
        <w:t xml:space="preserve">Predpokladá sa, že všetky navrhované zmeny sa začnú uplatňovať 1. januára 2024. </w:t>
      </w:r>
    </w:p>
    <w:p w14:paraId="792F7515" w14:textId="31E61251" w:rsidR="00560DEF" w:rsidRPr="0095334B" w:rsidRDefault="00CF7801" w:rsidP="005A26EA">
      <w:pPr>
        <w:rPr>
          <w:noProof/>
        </w:rPr>
      </w:pPr>
      <w:r w:rsidRPr="0095334B">
        <w:rPr>
          <w:noProof/>
        </w:rPr>
        <w:t xml:space="preserve">Predmet pripravovaného aktu sa týka oblasti, v ktorej má Únia výlučnú vonkajšiu právomoc na základe poslednej časti článku 3 ods. 2 ZFEÚ, keďže pripravované akty môžu ovplyvniť spoločné pravidlá alebo zmeniť rozsah ich pôsobnosti, konkrétne: </w:t>
      </w:r>
    </w:p>
    <w:p w14:paraId="2CAB92FA" w14:textId="77777777" w:rsidR="00AF0C5B" w:rsidRPr="0095334B" w:rsidRDefault="00AF0C5B" w:rsidP="005A26EA">
      <w:pPr>
        <w:rPr>
          <w:noProof/>
        </w:rPr>
      </w:pPr>
      <w:r w:rsidRPr="0095334B">
        <w:rPr>
          <w:noProof/>
        </w:rPr>
        <w:t>– nariadenie Európskeho parlamentu a Rady (EÚ) 2018/1139 zo 4. júla 2018 o spoločných pravidlách v oblasti civilného letectva, ktorým sa zriaďuje Agentúra Európskej únie pre bezpečnosť letectva</w:t>
      </w:r>
      <w:r w:rsidRPr="0095334B">
        <w:rPr>
          <w:rStyle w:val="FootnoteReference"/>
          <w:noProof/>
        </w:rPr>
        <w:footnoteReference w:id="5"/>
      </w:r>
      <w:r w:rsidRPr="0095334B">
        <w:rPr>
          <w:noProof/>
        </w:rPr>
        <w:t>,</w:t>
      </w:r>
    </w:p>
    <w:p w14:paraId="4D324D79" w14:textId="3D8F23A2" w:rsidR="00AF0C5B" w:rsidRPr="0095334B" w:rsidRDefault="00AF0C5B" w:rsidP="005A26EA">
      <w:pPr>
        <w:rPr>
          <w:noProof/>
        </w:rPr>
      </w:pPr>
      <w:r w:rsidRPr="0095334B">
        <w:rPr>
          <w:noProof/>
        </w:rPr>
        <w:t>– nariadenie Komisie (EÚ) č. 748/2012 z 3. augusta 2012 stanovujúce vykonávacie pravidlá osvedčovania letovej spôsobilosti a environmentálneho osvedčovania lietadiel a prislúchajúcich výrobkov, častí a zariadení, ako aj osvedčovania projekčných a výrobných organizácií</w:t>
      </w:r>
      <w:r w:rsidRPr="0095334B">
        <w:rPr>
          <w:rStyle w:val="FootnoteReference"/>
          <w:noProof/>
        </w:rPr>
        <w:footnoteReference w:id="6"/>
      </w:r>
      <w:r w:rsidRPr="0095334B">
        <w:rPr>
          <w:noProof/>
        </w:rPr>
        <w:t>.</w:t>
      </w:r>
    </w:p>
    <w:p w14:paraId="3FFAB3CF" w14:textId="625974FB" w:rsidR="005A26EA" w:rsidRPr="0095334B" w:rsidRDefault="00560DEF" w:rsidP="005A26EA">
      <w:pPr>
        <w:rPr>
          <w:noProof/>
        </w:rPr>
      </w:pPr>
      <w:r w:rsidRPr="0095334B">
        <w:rPr>
          <w:noProof/>
        </w:rPr>
        <w:t>So zreteľom na príslušné právne predpisy Únie by pozíciou, ktorá sa má zaujať v mene Únie v Rade ICAO, mala byť podpora navrhovaných zmien zväzkov I, II a III.</w:t>
      </w:r>
    </w:p>
    <w:p w14:paraId="5BF640BA" w14:textId="77777777" w:rsidR="00CF7801" w:rsidRPr="0095334B" w:rsidRDefault="00CF7801" w:rsidP="005A26EA">
      <w:pPr>
        <w:rPr>
          <w:noProof/>
        </w:rPr>
      </w:pPr>
    </w:p>
    <w:p w14:paraId="46F01791" w14:textId="54E9F2A9" w:rsidR="00220A4F" w:rsidRPr="0095334B" w:rsidRDefault="00B3616F" w:rsidP="00B3616F">
      <w:pPr>
        <w:pStyle w:val="ManualHeading1"/>
        <w:rPr>
          <w:noProof/>
        </w:rPr>
      </w:pPr>
      <w:r w:rsidRPr="00B3616F">
        <w:t>4.</w:t>
      </w:r>
      <w:r w:rsidRPr="00B3616F">
        <w:tab/>
      </w:r>
      <w:r w:rsidR="00220A4F" w:rsidRPr="0095334B">
        <w:rPr>
          <w:noProof/>
        </w:rPr>
        <w:t>Súlad s ostatnými politikami Únie</w:t>
      </w:r>
    </w:p>
    <w:p w14:paraId="03C4E1CF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 xml:space="preserve">Navrhované rozhodnutie je v súlade s ostatnými politikami Únie a dopĺňa ich – najmä v oblasti energetiky, životného prostredia a dopravy. </w:t>
      </w:r>
    </w:p>
    <w:p w14:paraId="3317644B" w14:textId="1CE9EB05" w:rsidR="00220A4F" w:rsidRPr="0095334B" w:rsidRDefault="00B3616F" w:rsidP="00B3616F">
      <w:pPr>
        <w:pStyle w:val="ManualHeading1"/>
        <w:rPr>
          <w:noProof/>
        </w:rPr>
      </w:pPr>
      <w:r w:rsidRPr="00B3616F">
        <w:t>5.</w:t>
      </w:r>
      <w:r w:rsidRPr="00B3616F">
        <w:tab/>
      </w:r>
      <w:r w:rsidR="00220A4F" w:rsidRPr="0095334B">
        <w:rPr>
          <w:noProof/>
        </w:rPr>
        <w:t>Právny základ</w:t>
      </w:r>
    </w:p>
    <w:p w14:paraId="236F5D86" w14:textId="7C6A8129" w:rsidR="00220A4F" w:rsidRPr="0095334B" w:rsidRDefault="00B3616F" w:rsidP="00B3616F">
      <w:pPr>
        <w:pStyle w:val="ManualHeading2"/>
        <w:rPr>
          <w:noProof/>
        </w:rPr>
      </w:pPr>
      <w:r w:rsidRPr="00B3616F">
        <w:t>5.1.</w:t>
      </w:r>
      <w:r w:rsidRPr="00B3616F">
        <w:tab/>
      </w:r>
      <w:r w:rsidR="00220A4F" w:rsidRPr="0095334B">
        <w:rPr>
          <w:noProof/>
        </w:rPr>
        <w:t>Procesnoprávny základ</w:t>
      </w:r>
    </w:p>
    <w:p w14:paraId="0263B413" w14:textId="77777777" w:rsidR="007931AE" w:rsidRPr="0095334B" w:rsidRDefault="007931AE" w:rsidP="00220A4F">
      <w:pPr>
        <w:rPr>
          <w:i/>
          <w:iCs/>
          <w:noProof/>
        </w:rPr>
      </w:pPr>
      <w:r w:rsidRPr="0095334B">
        <w:rPr>
          <w:i/>
          <w:noProof/>
        </w:rPr>
        <w:t>5.1.1. Zásady</w:t>
      </w:r>
    </w:p>
    <w:p w14:paraId="460000F0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V článku 218 ods. 9 Zmluvy o fungovaní Európskej únie (ZFEÚ) sa stanovujú rozhodnutia, ktorými sa určujú „</w:t>
      </w:r>
      <w:r w:rsidRPr="0095334B">
        <w:rPr>
          <w:i/>
          <w:noProof/>
        </w:rPr>
        <w:t>pozície, ktoré sa majú prijať v mene Únie v rámci orgánu zriadeného dohodou, keď je tento orgán vyzvaný prijať akty s právnymi účinkami s výnimkou aktov dopĺňajúcich alebo meniacich inštitucionálny rámec danej dohody</w:t>
      </w:r>
      <w:r w:rsidRPr="0095334B">
        <w:rPr>
          <w:noProof/>
        </w:rPr>
        <w:t>.“</w:t>
      </w:r>
    </w:p>
    <w:p w14:paraId="0930CE56" w14:textId="77777777" w:rsidR="00220A4F" w:rsidRPr="0095334B" w:rsidRDefault="00220A4F" w:rsidP="00220A4F">
      <w:pPr>
        <w:rPr>
          <w:noProof/>
        </w:rPr>
      </w:pPr>
      <w:r w:rsidRPr="0095334B">
        <w:rPr>
          <w:noProof/>
        </w:rPr>
        <w:t>Článok 218 ods. 9 ZFEÚ sa uplatňuje bez ohľadu na to, či je Únia členom predmetného orgánu alebo zmluvnou stranou dohody</w:t>
      </w:r>
      <w:r w:rsidRPr="0095334B">
        <w:rPr>
          <w:rStyle w:val="FootnoteReference"/>
          <w:noProof/>
        </w:rPr>
        <w:footnoteReference w:id="7"/>
      </w:r>
      <w:r w:rsidRPr="0095334B">
        <w:rPr>
          <w:noProof/>
        </w:rPr>
        <w:t>.</w:t>
      </w:r>
    </w:p>
    <w:p w14:paraId="306866E0" w14:textId="77777777" w:rsidR="00560DEF" w:rsidRPr="0095334B" w:rsidRDefault="00560DEF" w:rsidP="00220A4F">
      <w:pPr>
        <w:rPr>
          <w:noProof/>
        </w:rPr>
      </w:pPr>
      <w:r w:rsidRPr="0095334B">
        <w:rPr>
          <w:noProof/>
        </w:rPr>
        <w:t>Pojem „akty s právnymi účinkami“ zahŕňa akty, ktoré majú právne účinky na základe pravidiel medzinárodného práva, ktorým sa riadi predmetný orgán. Zahŕňa aj nástroje, ktoré nemajú záväzný účinok podľa medzinárodného práva, ale „</w:t>
      </w:r>
      <w:r w:rsidRPr="0095334B">
        <w:rPr>
          <w:i/>
          <w:noProof/>
        </w:rPr>
        <w:t>môžu rozhodujúcim spôsobom ovplyvniť obsah právnej úpravy prijatej normotvorcom EÚ</w:t>
      </w:r>
      <w:r w:rsidRPr="0095334B">
        <w:rPr>
          <w:noProof/>
        </w:rPr>
        <w:t>“</w:t>
      </w:r>
      <w:r w:rsidRPr="0095334B">
        <w:rPr>
          <w:rStyle w:val="FootnoteReference"/>
          <w:noProof/>
        </w:rPr>
        <w:footnoteReference w:id="8"/>
      </w:r>
      <w:r w:rsidRPr="0095334B">
        <w:rPr>
          <w:noProof/>
        </w:rPr>
        <w:t>.</w:t>
      </w:r>
    </w:p>
    <w:p w14:paraId="303F6A9B" w14:textId="77777777" w:rsidR="007931AE" w:rsidRPr="0095334B" w:rsidRDefault="007931AE" w:rsidP="00220A4F">
      <w:pPr>
        <w:rPr>
          <w:i/>
          <w:iCs/>
          <w:noProof/>
        </w:rPr>
      </w:pPr>
      <w:r w:rsidRPr="0095334B">
        <w:rPr>
          <w:i/>
          <w:noProof/>
        </w:rPr>
        <w:t xml:space="preserve">5.1.2. Uplatnenie na tento prípad </w:t>
      </w:r>
    </w:p>
    <w:p w14:paraId="0BE97DE0" w14:textId="77777777" w:rsidR="007931AE" w:rsidRPr="0095334B" w:rsidRDefault="007931AE" w:rsidP="00220A4F">
      <w:pPr>
        <w:rPr>
          <w:noProof/>
        </w:rPr>
      </w:pPr>
      <w:r w:rsidRPr="0095334B">
        <w:rPr>
          <w:noProof/>
        </w:rPr>
        <w:t xml:space="preserve">Rada ICAO je orgán zriadený dohodou, konkrétne Chicagskym dohovorom. </w:t>
      </w:r>
    </w:p>
    <w:p w14:paraId="178EAB62" w14:textId="77777777" w:rsidR="00EF5FCA" w:rsidRPr="0095334B" w:rsidRDefault="00EF5FCA" w:rsidP="00220A4F">
      <w:pPr>
        <w:rPr>
          <w:noProof/>
        </w:rPr>
      </w:pPr>
      <w:r w:rsidRPr="0095334B">
        <w:rPr>
          <w:noProof/>
        </w:rPr>
        <w:t xml:space="preserve">Pripravované akty majú právne účinky na účely článku 218 ods. 9 ZFEÚ. </w:t>
      </w:r>
    </w:p>
    <w:p w14:paraId="57517A22" w14:textId="4B15F80B" w:rsidR="00CF7801" w:rsidRPr="0095334B" w:rsidRDefault="007931AE" w:rsidP="00EF5FCA">
      <w:pPr>
        <w:rPr>
          <w:noProof/>
        </w:rPr>
      </w:pPr>
      <w:r w:rsidRPr="0095334B">
        <w:rPr>
          <w:noProof/>
        </w:rPr>
        <w:t xml:space="preserve">Podľa článku 54 Chicagskeho dohovoru Rada ICAO prijíma medzinárodné štandardy a odporúčania (SARP) v podobe príloh k Chicagskemu dohovoru. Takéto štandardy a odporúčania sú záväzné podľa medzinárodného práva v súlade s článkom 90 Chicagskeho dohovoru, pretože sa stanú záväznými pre všetky zmluvné strany ICAO, pokiaľ väčšina týchto zmluvných strán ICAO nevyjadrí svoj nesúhlas v Rade ICAO. </w:t>
      </w:r>
    </w:p>
    <w:p w14:paraId="6BC758A5" w14:textId="59DAD8B9" w:rsidR="007931AE" w:rsidRPr="0095334B" w:rsidRDefault="00EF5FCA" w:rsidP="00EF5FCA">
      <w:pPr>
        <w:rPr>
          <w:noProof/>
        </w:rPr>
      </w:pPr>
      <w:r w:rsidRPr="0095334B">
        <w:rPr>
          <w:noProof/>
        </w:rPr>
        <w:t>Okrem toho môžu pripravované akty tým, že by mohli viesť k zmenám, rozhodujúcim spôsobom ovplyvniť obsah právnych predpisov EÚ, konkrétne nariadenia (EÚ) 2018/1139 a nariadenia Komisie (EÚ) č. 748/2012 v rozsahu, v akom výslovne odkazujú na zväzky I – III prílohy 16 k Chicagskemu dohovoru.</w:t>
      </w:r>
    </w:p>
    <w:p w14:paraId="59A09A2A" w14:textId="77777777" w:rsidR="00EF5FCA" w:rsidRPr="0095334B" w:rsidRDefault="00EF5FCA" w:rsidP="00D36E5B">
      <w:pPr>
        <w:ind w:left="-5"/>
        <w:rPr>
          <w:noProof/>
        </w:rPr>
      </w:pPr>
      <w:r w:rsidRPr="0095334B">
        <w:rPr>
          <w:noProof/>
        </w:rPr>
        <w:t>Pripravované akty nedopĺňajú ani nemenia inštitucionálny rámec dohody.</w:t>
      </w:r>
    </w:p>
    <w:p w14:paraId="01473094" w14:textId="77777777" w:rsidR="007931AE" w:rsidRPr="0095334B" w:rsidRDefault="007931AE" w:rsidP="00220A4F">
      <w:pPr>
        <w:rPr>
          <w:noProof/>
        </w:rPr>
      </w:pPr>
      <w:r w:rsidRPr="0095334B">
        <w:rPr>
          <w:noProof/>
        </w:rPr>
        <w:t>Prijatie pozície Únie k takýmto oznámeniam preto patrí do rozsahu pôsobnosti článku 218 ods. 9 ZFEÚ.</w:t>
      </w:r>
    </w:p>
    <w:p w14:paraId="231F3FC9" w14:textId="77777777" w:rsidR="007931AE" w:rsidRPr="0095334B" w:rsidRDefault="007931AE" w:rsidP="00220A4F">
      <w:pPr>
        <w:rPr>
          <w:noProof/>
        </w:rPr>
      </w:pPr>
    </w:p>
    <w:p w14:paraId="00DEC755" w14:textId="2B6C7FAB" w:rsidR="00220A4F" w:rsidRPr="0095334B" w:rsidRDefault="00B3616F" w:rsidP="00B3616F">
      <w:pPr>
        <w:pStyle w:val="ManualHeading2"/>
        <w:rPr>
          <w:noProof/>
        </w:rPr>
      </w:pPr>
      <w:r w:rsidRPr="00B3616F">
        <w:t>5.2.</w:t>
      </w:r>
      <w:r w:rsidRPr="00B3616F">
        <w:tab/>
      </w:r>
      <w:r w:rsidR="00220A4F" w:rsidRPr="0095334B">
        <w:rPr>
          <w:noProof/>
        </w:rPr>
        <w:t>Hmotnoprávny základ</w:t>
      </w:r>
    </w:p>
    <w:p w14:paraId="7D91C787" w14:textId="77777777" w:rsidR="007931AE" w:rsidRPr="0095334B" w:rsidRDefault="007931AE" w:rsidP="00220A4F">
      <w:pPr>
        <w:spacing w:before="0" w:after="240"/>
        <w:rPr>
          <w:i/>
          <w:iCs/>
          <w:noProof/>
        </w:rPr>
      </w:pPr>
      <w:r w:rsidRPr="0095334B">
        <w:rPr>
          <w:i/>
          <w:noProof/>
        </w:rPr>
        <w:t>5.2.1. Zásada</w:t>
      </w:r>
    </w:p>
    <w:p w14:paraId="5CA07EB7" w14:textId="77777777" w:rsidR="007931AE" w:rsidRPr="0095334B" w:rsidRDefault="007931AE" w:rsidP="00220A4F">
      <w:pPr>
        <w:spacing w:before="0" w:after="240"/>
        <w:rPr>
          <w:noProof/>
        </w:rPr>
      </w:pPr>
      <w:r w:rsidRPr="0095334B">
        <w:rPr>
          <w:noProof/>
        </w:rPr>
        <w:t xml:space="preserve">Hmotnoprávny základ rozhodnutia podľa článku 218 ods. 9 ZFEÚ závisí predovšetkým od cieľa a obsahu prijatého aktu, v súvislosti s ktorým sa zaujíma pozícia v mene Únie. </w:t>
      </w:r>
    </w:p>
    <w:p w14:paraId="142A190F" w14:textId="77777777" w:rsidR="00EF5FCA" w:rsidRPr="0095334B" w:rsidRDefault="00EF5FCA" w:rsidP="00D36E5B">
      <w:pPr>
        <w:rPr>
          <w:noProof/>
        </w:rPr>
      </w:pPr>
      <w:r w:rsidRPr="0095334B">
        <w:rPr>
          <w:noProof/>
        </w:rPr>
        <w:t>Ak pripravovaný akt sleduje dva ciele alebo obsahuje dve zložky a ak jeden z týchto cieľov alebo jednu z týchto zložiek možno určiť ako hlavnú, zatiaľ čo druhý cieľ alebo druhá zložka je len vedľajšia, rozhodnutie podľa článku 218 ods. 9 ZFEÚ musí byť založené na jedinom hmotnoprávnom základe, a to na tom, ktorý si vyžaduje hlavný alebo prevažujúci cieľ alebo zložka.</w:t>
      </w:r>
    </w:p>
    <w:p w14:paraId="2E10217A" w14:textId="77777777" w:rsidR="007931AE" w:rsidRPr="0095334B" w:rsidRDefault="007931AE" w:rsidP="00220A4F">
      <w:pPr>
        <w:spacing w:before="0" w:after="240"/>
        <w:rPr>
          <w:i/>
          <w:iCs/>
          <w:noProof/>
        </w:rPr>
      </w:pPr>
      <w:r w:rsidRPr="0095334B">
        <w:rPr>
          <w:i/>
          <w:noProof/>
        </w:rPr>
        <w:t>5.2.2. Uplatnenie na tento prípad</w:t>
      </w:r>
    </w:p>
    <w:p w14:paraId="44E2CBAC" w14:textId="1750DC2C" w:rsidR="00220A4F" w:rsidRPr="0095334B" w:rsidRDefault="00EF5FCA" w:rsidP="00E72248">
      <w:pPr>
        <w:ind w:left="-5"/>
        <w:rPr>
          <w:noProof/>
        </w:rPr>
      </w:pPr>
      <w:r w:rsidRPr="0095334B">
        <w:rPr>
          <w:noProof/>
        </w:rPr>
        <w:t xml:space="preserve">Hlavný cieľ a obsah prijatého aktu sa týkajú dopravnej politiky. </w:t>
      </w:r>
    </w:p>
    <w:p w14:paraId="2B810467" w14:textId="74E9077E" w:rsidR="00484F19" w:rsidRPr="0095334B" w:rsidRDefault="00220A4F" w:rsidP="00E72248">
      <w:pPr>
        <w:ind w:left="-5"/>
        <w:rPr>
          <w:noProof/>
        </w:rPr>
      </w:pPr>
      <w:r w:rsidRPr="0095334B">
        <w:rPr>
          <w:noProof/>
        </w:rPr>
        <w:t>Hmotnoprávnym základom navrhovaného rozhodnutia je článok 100 ods. 2 ZFEÚ. V súlade s týmto článkom môžu Európsky parlament a Rada, konajúc v súlade s riadnym legislatívnym postupom, prijať vhodné ustanovenia pre leteckú dopravu.</w:t>
      </w:r>
    </w:p>
    <w:p w14:paraId="4BAC605F" w14:textId="0F92B159" w:rsidR="00220A4F" w:rsidRPr="0095334B" w:rsidRDefault="00220A4F" w:rsidP="00736AA9">
      <w:pPr>
        <w:rPr>
          <w:noProof/>
        </w:rPr>
      </w:pPr>
    </w:p>
    <w:p w14:paraId="2EFA0304" w14:textId="3C192350" w:rsidR="00220A4F" w:rsidRPr="0095334B" w:rsidRDefault="00B3616F" w:rsidP="00B3616F">
      <w:pPr>
        <w:pStyle w:val="ManualHeading2"/>
        <w:rPr>
          <w:noProof/>
        </w:rPr>
      </w:pPr>
      <w:r w:rsidRPr="00B3616F">
        <w:t>5.3.</w:t>
      </w:r>
      <w:r w:rsidRPr="00B3616F">
        <w:tab/>
      </w:r>
      <w:r w:rsidR="00220A4F" w:rsidRPr="0095334B">
        <w:rPr>
          <w:noProof/>
        </w:rPr>
        <w:t>Záver</w:t>
      </w:r>
    </w:p>
    <w:p w14:paraId="48527683" w14:textId="2AD15394" w:rsidR="00220A4F" w:rsidRPr="0095334B" w:rsidRDefault="00220A4F" w:rsidP="00220A4F">
      <w:pPr>
        <w:rPr>
          <w:noProof/>
        </w:rPr>
      </w:pPr>
      <w:r w:rsidRPr="0095334B">
        <w:rPr>
          <w:noProof/>
        </w:rPr>
        <w:t>Právnym základom navrhovaného rozhodnutia by mal byť článok 100 ods. 2 ZFEÚ v spojení s článkom 218 ods. 9 ZFEÚ.</w:t>
      </w:r>
    </w:p>
    <w:p w14:paraId="1E995310" w14:textId="77777777" w:rsidR="00220A4F" w:rsidRPr="0095334B" w:rsidRDefault="00220A4F" w:rsidP="00FD40BA">
      <w:pPr>
        <w:rPr>
          <w:noProof/>
        </w:rPr>
        <w:sectPr w:rsidR="00220A4F" w:rsidRPr="0095334B" w:rsidSect="00002184"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20A9F4A3" w14:textId="515EC2B2" w:rsidR="00850577" w:rsidRDefault="00850577" w:rsidP="00850577">
      <w:pPr>
        <w:pStyle w:val="Rfrenceinterinstitutionnelle"/>
        <w:rPr>
          <w:noProof/>
        </w:rPr>
      </w:pPr>
      <w:r w:rsidRPr="00850577">
        <w:t>2023/0030 (NLE)</w:t>
      </w:r>
    </w:p>
    <w:p w14:paraId="7B144D9F" w14:textId="43514AA8" w:rsidR="00220A4F" w:rsidRPr="0095334B" w:rsidRDefault="0095334B" w:rsidP="0095334B">
      <w:pPr>
        <w:pStyle w:val="Statut"/>
        <w:rPr>
          <w:noProof/>
        </w:rPr>
      </w:pPr>
      <w:r w:rsidRPr="0095334B">
        <w:rPr>
          <w:noProof/>
        </w:rPr>
        <w:t>Návrh</w:t>
      </w:r>
    </w:p>
    <w:p w14:paraId="54F2D189" w14:textId="13556F97" w:rsidR="00220A4F" w:rsidRPr="0095334B" w:rsidRDefault="0095334B" w:rsidP="0095334B">
      <w:pPr>
        <w:pStyle w:val="Typedudocument"/>
        <w:rPr>
          <w:noProof/>
        </w:rPr>
      </w:pPr>
      <w:r w:rsidRPr="0095334B">
        <w:rPr>
          <w:noProof/>
        </w:rPr>
        <w:t>ROZHODNUTIE RADY</w:t>
      </w:r>
    </w:p>
    <w:p w14:paraId="025D4984" w14:textId="6E515AA1" w:rsidR="00220A4F" w:rsidRPr="0095334B" w:rsidRDefault="0095334B" w:rsidP="0095334B">
      <w:pPr>
        <w:pStyle w:val="Titreobjet"/>
        <w:rPr>
          <w:noProof/>
        </w:rPr>
      </w:pPr>
      <w:r w:rsidRPr="0095334B">
        <w:rPr>
          <w:noProof/>
        </w:rPr>
        <w:t>o pozícii, ktorá sa má zaujať v mene Európskej únie v Rade Medzinárodnej organizácie civilného letectva v súvislosti s návrhmi na zmenu zväzkov I – III prílohy 16 k Chicagskemu dohovoru, pokiaľ ide o štandardy a odporúčania týkajúce sa ochrany životného prostredia</w:t>
      </w:r>
    </w:p>
    <w:p w14:paraId="4FDA1123" w14:textId="77777777" w:rsidR="00220A4F" w:rsidRPr="0095334B" w:rsidRDefault="00220A4F" w:rsidP="00BE7CB9">
      <w:pPr>
        <w:pStyle w:val="Institutionquiagit"/>
        <w:rPr>
          <w:noProof/>
        </w:rPr>
      </w:pPr>
      <w:r w:rsidRPr="0095334B">
        <w:rPr>
          <w:noProof/>
        </w:rPr>
        <w:t>RADA EURÓPSKEJ ÚNIE,</w:t>
      </w:r>
    </w:p>
    <w:p w14:paraId="7BD050CB" w14:textId="3B801056" w:rsidR="0094111E" w:rsidRPr="0095334B" w:rsidRDefault="0094111E" w:rsidP="00BE7CB9">
      <w:pPr>
        <w:rPr>
          <w:noProof/>
        </w:rPr>
      </w:pPr>
      <w:r w:rsidRPr="0095334B">
        <w:rPr>
          <w:noProof/>
        </w:rPr>
        <w:t>so zreteľom na Zmluvu o fungovaní Európskej únie, a najmä na jej článok 100 ods. 2 v spojení s jej článkom 218 ods. 9,</w:t>
      </w:r>
    </w:p>
    <w:p w14:paraId="01B86DDE" w14:textId="77777777" w:rsidR="00220A4F" w:rsidRPr="0095334B" w:rsidRDefault="00220A4F" w:rsidP="00BE7CB9">
      <w:pPr>
        <w:rPr>
          <w:noProof/>
        </w:rPr>
      </w:pPr>
      <w:r w:rsidRPr="0095334B">
        <w:rPr>
          <w:noProof/>
        </w:rPr>
        <w:t>so zreteľom na návrh Európskej komisie,</w:t>
      </w:r>
    </w:p>
    <w:p w14:paraId="1B5B8357" w14:textId="77777777" w:rsidR="00220A4F" w:rsidRPr="0095334B" w:rsidRDefault="00220A4F" w:rsidP="00BE7CB9">
      <w:pPr>
        <w:rPr>
          <w:noProof/>
        </w:rPr>
      </w:pPr>
      <w:r w:rsidRPr="0095334B">
        <w:rPr>
          <w:noProof/>
        </w:rPr>
        <w:t>keďže:</w:t>
      </w:r>
    </w:p>
    <w:p w14:paraId="20CA6219" w14:textId="6A438A2F" w:rsidR="0094111E" w:rsidRPr="0095334B" w:rsidRDefault="00B3616F" w:rsidP="00B3616F">
      <w:pPr>
        <w:pStyle w:val="Point0"/>
        <w:rPr>
          <w:noProof/>
        </w:rPr>
      </w:pPr>
      <w:r w:rsidRPr="00B3616F">
        <w:t>(1)</w:t>
      </w:r>
      <w:r w:rsidRPr="00B3616F">
        <w:tab/>
      </w:r>
      <w:r w:rsidR="0094111E" w:rsidRPr="0095334B">
        <w:rPr>
          <w:noProof/>
        </w:rPr>
        <w:t>Dohovor o medzinárodnom civilnom letectve (ďalej len „Chicagsky dohovor“), ktorý upravuje medzinárodnú leteckú dopravu, nadobudol platnosť 4. apríla 1947. Týmto dohovorom bola zriadená Medzinárodná organizácia civilného letectva (ďalej len „ICAO“).</w:t>
      </w:r>
    </w:p>
    <w:p w14:paraId="0F221A20" w14:textId="12DE03C6" w:rsidR="0094111E" w:rsidRPr="0095334B" w:rsidRDefault="00B3616F" w:rsidP="00B3616F">
      <w:pPr>
        <w:pStyle w:val="Point0"/>
        <w:rPr>
          <w:noProof/>
        </w:rPr>
      </w:pPr>
      <w:r w:rsidRPr="00B3616F">
        <w:t>(2)</w:t>
      </w:r>
      <w:r w:rsidRPr="00B3616F">
        <w:tab/>
      </w:r>
      <w:r w:rsidR="0094111E" w:rsidRPr="0095334B">
        <w:rPr>
          <w:noProof/>
        </w:rPr>
        <w:t>Všetky členské štáty sú zmluvnými štátmi Chicagskeho dohovoru a členmi ICAO, pričom Únia má v určitých orgánoch ICAO štatút pozorovateľa.</w:t>
      </w:r>
    </w:p>
    <w:p w14:paraId="2A50E437" w14:textId="7CA9A2F8" w:rsidR="007931AE" w:rsidRPr="0095334B" w:rsidRDefault="00B3616F" w:rsidP="00B3616F">
      <w:pPr>
        <w:pStyle w:val="Point0"/>
        <w:rPr>
          <w:noProof/>
        </w:rPr>
      </w:pPr>
      <w:r w:rsidRPr="00B3616F">
        <w:t>(3)</w:t>
      </w:r>
      <w:r w:rsidRPr="00B3616F">
        <w:tab/>
      </w:r>
      <w:r w:rsidR="007931AE" w:rsidRPr="0095334B">
        <w:rPr>
          <w:noProof/>
        </w:rPr>
        <w:t>Podľa článku 54 Chicagskeho dohovoru môže Rada ICAO prijímať medzinárodné štandardy a odporúčania.</w:t>
      </w:r>
    </w:p>
    <w:p w14:paraId="7C4FDA5C" w14:textId="1446D6C3" w:rsidR="0094111E" w:rsidRPr="0095334B" w:rsidRDefault="00B3616F" w:rsidP="00B3616F">
      <w:pPr>
        <w:pStyle w:val="Point0"/>
        <w:rPr>
          <w:noProof/>
        </w:rPr>
      </w:pPr>
      <w:r w:rsidRPr="00B3616F">
        <w:t>(4)</w:t>
      </w:r>
      <w:r w:rsidRPr="00B3616F">
        <w:tab/>
      </w:r>
      <w:r w:rsidR="0094111E" w:rsidRPr="0095334B">
        <w:rPr>
          <w:noProof/>
        </w:rPr>
        <w:t>Rada ICAO prijala medzinárodné štandardy a odporúčania (SARP) v oblasti ochrany životného prostredia ako prílohu 16 k Chicagskemu dohovoru (zväzky I – IV).</w:t>
      </w:r>
    </w:p>
    <w:p w14:paraId="1E78E719" w14:textId="6F04553C" w:rsidR="007931AE" w:rsidRPr="0095334B" w:rsidRDefault="00B3616F" w:rsidP="00B3616F">
      <w:pPr>
        <w:pStyle w:val="Point0"/>
        <w:rPr>
          <w:noProof/>
        </w:rPr>
      </w:pPr>
      <w:r w:rsidRPr="00B3616F">
        <w:t>(5)</w:t>
      </w:r>
      <w:r w:rsidRPr="00B3616F">
        <w:tab/>
      </w:r>
      <w:r w:rsidR="007931AE" w:rsidRPr="0095334B">
        <w:rPr>
          <w:noProof/>
        </w:rPr>
        <w:t>Rada ICAO má na svojom 228. zasadaní, ktoré sa uskutoční 13. – 31. marca, prijať niekoľko zmien zväzkov I až III prílohy 16 k Chicagskemu dohovoru.</w:t>
      </w:r>
    </w:p>
    <w:p w14:paraId="1F465E4F" w14:textId="64DC35AF" w:rsidR="00D41696" w:rsidRPr="0095334B" w:rsidRDefault="00B3616F" w:rsidP="00B3616F">
      <w:pPr>
        <w:pStyle w:val="Point0"/>
        <w:rPr>
          <w:noProof/>
        </w:rPr>
      </w:pPr>
      <w:r w:rsidRPr="00B3616F">
        <w:t>(6)</w:t>
      </w:r>
      <w:r w:rsidRPr="00B3616F">
        <w:tab/>
      </w:r>
      <w:r w:rsidR="007931AE" w:rsidRPr="0095334B">
        <w:rPr>
          <w:noProof/>
        </w:rPr>
        <w:t>Je vhodné stanoviť pozíciu, ktorá sa má zaujať v mene Únie v Rade ICAO, keďže navrhované zmeny majú právny účinok vzhľadom na to, že sú záväzné podľa medzinárodného práva a môžu rozhodujúcim spôsobom ovplyvniť obsah práva Únie, konkrétne nariadenie (EÚ) 2018/1139 a nariad</w:t>
      </w:r>
      <w:r w:rsidR="00AF2FAB">
        <w:rPr>
          <w:noProof/>
        </w:rPr>
        <w:t xml:space="preserve">enie Komisie (EÚ) č. 748/2012. </w:t>
      </w:r>
    </w:p>
    <w:p w14:paraId="699CC753" w14:textId="623D4DBD" w:rsidR="007931AE" w:rsidRPr="0095334B" w:rsidRDefault="00B3616F" w:rsidP="00B3616F">
      <w:pPr>
        <w:pStyle w:val="Point0"/>
        <w:rPr>
          <w:noProof/>
        </w:rPr>
      </w:pPr>
      <w:r w:rsidRPr="00B3616F">
        <w:t>(7)</w:t>
      </w:r>
      <w:r w:rsidRPr="00B3616F">
        <w:tab/>
      </w:r>
      <w:r w:rsidR="007931AE" w:rsidRPr="0095334B">
        <w:rPr>
          <w:noProof/>
        </w:rPr>
        <w:t>Pozíciou, ktorá sa má zaujať v mene Únie, by mala byť podpora zmien zväzkov I až III.</w:t>
      </w:r>
    </w:p>
    <w:p w14:paraId="3E97B80F" w14:textId="08D15883" w:rsidR="0094111E" w:rsidRPr="0095334B" w:rsidRDefault="00B3616F" w:rsidP="00B3616F">
      <w:pPr>
        <w:pStyle w:val="Point0"/>
        <w:rPr>
          <w:noProof/>
        </w:rPr>
      </w:pPr>
      <w:r w:rsidRPr="00B3616F">
        <w:t>(8)</w:t>
      </w:r>
      <w:r w:rsidRPr="00B3616F">
        <w:tab/>
      </w:r>
      <w:r w:rsidR="0094111E" w:rsidRPr="0095334B">
        <w:rPr>
          <w:noProof/>
        </w:rPr>
        <w:t>Pozíciu Únie by mali vyjadriť členské štáty Únie, ktoré sú členmi Rady ICAO, konajúc spoločne v mene Únie.</w:t>
      </w:r>
    </w:p>
    <w:p w14:paraId="32270507" w14:textId="2906E6CF" w:rsidR="000A2A63" w:rsidRPr="0095334B" w:rsidRDefault="00B3616F" w:rsidP="00B3616F">
      <w:pPr>
        <w:pStyle w:val="Point0"/>
        <w:rPr>
          <w:noProof/>
        </w:rPr>
      </w:pPr>
      <w:r w:rsidRPr="00B3616F">
        <w:t>(9)</w:t>
      </w:r>
      <w:r w:rsidRPr="00B3616F">
        <w:tab/>
      </w:r>
      <w:r w:rsidR="000A2A63" w:rsidRPr="0095334B">
        <w:rPr>
          <w:noProof/>
        </w:rPr>
        <w:t>Pozíciou Únie po prijatí zmien zväzkov I – III prílohy 16 k Chicagskemu dohovoru Radou ICAO, ktorú má oznámiť generálny tajomník ICAO prostredníctvom obežníka ICAO, by malo byť nevyjadriť nesúhlas a oznámiť súlad s danými opatreniami. Ak by sa právne predpisy Únie odchyľovali od novoprijatých štandardov a odporúčaní po plánovanom dátume uplatňovania uvedených štandardov a odporúčaní, rozdiel oproti uvedeným konkrétnym štandardom a odpo</w:t>
      </w:r>
      <w:r w:rsidR="00AF2FAB">
        <w:rPr>
          <w:noProof/>
        </w:rPr>
        <w:t>rúčaniam by sa mal oznámiť ICAO.</w:t>
      </w:r>
    </w:p>
    <w:p w14:paraId="5D7CE96B" w14:textId="77777777" w:rsidR="00220A4F" w:rsidRPr="0095334B" w:rsidRDefault="00220A4F" w:rsidP="00D222D6">
      <w:pPr>
        <w:rPr>
          <w:noProof/>
        </w:rPr>
      </w:pPr>
    </w:p>
    <w:p w14:paraId="1C13A323" w14:textId="77777777" w:rsidR="00220A4F" w:rsidRPr="0095334B" w:rsidRDefault="00220A4F" w:rsidP="00BE7CB9">
      <w:pPr>
        <w:pStyle w:val="Formuledadoption"/>
        <w:rPr>
          <w:noProof/>
        </w:rPr>
      </w:pPr>
      <w:r w:rsidRPr="0095334B">
        <w:rPr>
          <w:noProof/>
        </w:rPr>
        <w:t>PRIJALA TOTO ROZHODNUTIE:</w:t>
      </w:r>
    </w:p>
    <w:p w14:paraId="38663375" w14:textId="1A4FC220" w:rsidR="00220A4F" w:rsidRPr="0095334B" w:rsidRDefault="00220A4F" w:rsidP="00BE7CB9">
      <w:pPr>
        <w:pStyle w:val="Titrearticle"/>
        <w:rPr>
          <w:noProof/>
        </w:rPr>
      </w:pPr>
      <w:r w:rsidRPr="0095334B">
        <w:rPr>
          <w:noProof/>
        </w:rPr>
        <w:t>Článok 1</w:t>
      </w:r>
    </w:p>
    <w:p w14:paraId="00D705B1" w14:textId="0F59492B" w:rsidR="00097AC0" w:rsidRPr="0095334B" w:rsidRDefault="00AF2FAB" w:rsidP="00AF2FAB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="00097AC0" w:rsidRPr="0095334B">
        <w:rPr>
          <w:noProof/>
        </w:rPr>
        <w:t>Pozícia, ktorá sa má zaujať v mene Únie na 228. zasadaní Rady ICAO alebo na ktoromkoľvek nasledujúcom zasadaní v súvislosti so zväzkami I – III prílohy 16 k Dohovoru o medzinárodnom civilnom letectve, pokiaľ ide o zmeny týchto zväzkov, je podporiť navrhované zmeny v celom ich rozsahu.</w:t>
      </w:r>
    </w:p>
    <w:p w14:paraId="44325965" w14:textId="7AEAA8B0" w:rsidR="00BB3DB2" w:rsidRPr="0095334B" w:rsidRDefault="00AF2FAB" w:rsidP="00AF2FAB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="00BB3DB2" w:rsidRPr="0095334B">
        <w:rPr>
          <w:noProof/>
        </w:rPr>
        <w:t>Pozícia, ktorá sa má zaujať v mene Únie, pokiaľ Rada ICAO bez zásadnej zmeny prijme navrhované zmeny zväzkov I – III prílohy 16 k Dohovoru o medzinárodnom civilnom letectve uvedenému v odseku 1, je nevyjadriť nesúhlas a oznámiť súlad s prijatým opatrením v odpovedi na príslušný obežník ICAO. Ak by sa právne predpisy Únie odchyľovali od novoprijatých štandardov a odporúčaní po plánovanom dátume uplatňovania uvedených štandardov a odporúčaní, rozdiel oproti uvedeným konkrétnym štandardom a odporúčaniam sa oznámi ICAO. V takom prípade Komisia v primeranom čase a najmenej dva mesiace pred akýmkoľvek termínom stanoveným ICAO na oznámenie rozdielov predloží Rade na prerokovanie a schválenie prípravný dokument, v ktorom sa stanovia podrobné rozdiely, ktoré majú členské štáty oznámiť ICAO v mene Únie.</w:t>
      </w:r>
    </w:p>
    <w:p w14:paraId="2901E841" w14:textId="77777777" w:rsidR="00D41696" w:rsidRPr="0095334B" w:rsidRDefault="00D41696" w:rsidP="00D41696">
      <w:pPr>
        <w:rPr>
          <w:i/>
          <w:noProof/>
        </w:rPr>
      </w:pPr>
    </w:p>
    <w:p w14:paraId="4937E18D" w14:textId="77777777" w:rsidR="00220A4F" w:rsidRPr="0095334B" w:rsidRDefault="0094111E" w:rsidP="00BE7CB9">
      <w:pPr>
        <w:pStyle w:val="Titrearticle"/>
        <w:rPr>
          <w:noProof/>
        </w:rPr>
      </w:pPr>
      <w:r w:rsidRPr="0095334B">
        <w:rPr>
          <w:noProof/>
        </w:rPr>
        <w:t>Článok 2</w:t>
      </w:r>
    </w:p>
    <w:p w14:paraId="7FD4B330" w14:textId="1BB514B5" w:rsidR="0094111E" w:rsidRPr="0095334B" w:rsidRDefault="0094111E" w:rsidP="0094111E">
      <w:pPr>
        <w:rPr>
          <w:noProof/>
        </w:rPr>
      </w:pPr>
      <w:r w:rsidRPr="0095334B">
        <w:rPr>
          <w:noProof/>
        </w:rPr>
        <w:t>Pozíciu uvedenú v článku 1 ods. 1 vyjadria členské štáty Únie, ktoré sú členmi Rady Medzinárodnej organizácie civilného letectva, konajúc spoločne v mene Únie.</w:t>
      </w:r>
    </w:p>
    <w:p w14:paraId="0CE828EB" w14:textId="332CE0C3" w:rsidR="002A4A67" w:rsidRPr="0095334B" w:rsidRDefault="002A4A67" w:rsidP="0094111E">
      <w:pPr>
        <w:rPr>
          <w:noProof/>
        </w:rPr>
      </w:pPr>
      <w:r w:rsidRPr="0095334B">
        <w:rPr>
          <w:noProof/>
        </w:rPr>
        <w:t>Pozíciu uvedenú v článku 1 ods. 2 vyjadria všetky členské štáty Únie.</w:t>
      </w:r>
    </w:p>
    <w:p w14:paraId="1DEB37E5" w14:textId="77777777" w:rsidR="00220A4F" w:rsidRPr="0095334B" w:rsidRDefault="00220A4F" w:rsidP="00F720FE">
      <w:pPr>
        <w:pStyle w:val="Titrearticle"/>
        <w:rPr>
          <w:noProof/>
        </w:rPr>
      </w:pPr>
      <w:r w:rsidRPr="0095334B">
        <w:rPr>
          <w:noProof/>
        </w:rPr>
        <w:t>Článok 3</w:t>
      </w:r>
    </w:p>
    <w:p w14:paraId="63CBFE9E" w14:textId="77777777" w:rsidR="00220A4F" w:rsidRPr="0095334B" w:rsidRDefault="00220A4F" w:rsidP="00BE7CB9">
      <w:pPr>
        <w:rPr>
          <w:noProof/>
        </w:rPr>
      </w:pPr>
      <w:r w:rsidRPr="0095334B">
        <w:rPr>
          <w:noProof/>
        </w:rPr>
        <w:t>Toto rozhodnutie je určené členským štátom.</w:t>
      </w:r>
    </w:p>
    <w:p w14:paraId="23F3D69B" w14:textId="386CDCFF" w:rsidR="00220A4F" w:rsidRPr="0095334B" w:rsidRDefault="00863794" w:rsidP="00F720FE">
      <w:pPr>
        <w:pStyle w:val="Fait"/>
        <w:rPr>
          <w:noProof/>
        </w:rPr>
      </w:pPr>
      <w:r w:rsidRPr="00863794">
        <w:t>V Bruseli</w:t>
      </w:r>
    </w:p>
    <w:p w14:paraId="5C7CBEAA" w14:textId="77777777" w:rsidR="00220A4F" w:rsidRPr="0095334B" w:rsidRDefault="00220A4F" w:rsidP="00F720FE">
      <w:pPr>
        <w:pStyle w:val="Institutionquisigne"/>
        <w:rPr>
          <w:noProof/>
        </w:rPr>
      </w:pPr>
      <w:r w:rsidRPr="0095334B">
        <w:rPr>
          <w:noProof/>
        </w:rPr>
        <w:tab/>
        <w:t>Za Radu</w:t>
      </w:r>
    </w:p>
    <w:p w14:paraId="38AB6F1A" w14:textId="77777777" w:rsidR="00220A4F" w:rsidRPr="0095334B" w:rsidRDefault="00220A4F" w:rsidP="00220A4F">
      <w:pPr>
        <w:pStyle w:val="Personnequisigne"/>
        <w:rPr>
          <w:noProof/>
        </w:rPr>
      </w:pPr>
      <w:r w:rsidRPr="0095334B">
        <w:rPr>
          <w:noProof/>
        </w:rPr>
        <w:tab/>
        <w:t>predseda/predsedníčka</w:t>
      </w:r>
    </w:p>
    <w:sectPr w:rsidR="00220A4F" w:rsidRPr="0095334B" w:rsidSect="00002184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07F3" w14:textId="77777777" w:rsidR="009A5BEC" w:rsidRDefault="009A5BEC" w:rsidP="00220A4F">
      <w:pPr>
        <w:spacing w:before="0" w:after="0"/>
      </w:pPr>
      <w:r>
        <w:separator/>
      </w:r>
    </w:p>
  </w:endnote>
  <w:endnote w:type="continuationSeparator" w:id="0">
    <w:p w14:paraId="436D118A" w14:textId="77777777" w:rsidR="009A5BEC" w:rsidRDefault="009A5BEC" w:rsidP="00220A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57285" w14:textId="56885198" w:rsidR="00B62E89" w:rsidRPr="00002184" w:rsidRDefault="00002184" w:rsidP="00002184">
    <w:pPr>
      <w:pStyle w:val="Footer"/>
      <w:rPr>
        <w:rFonts w:ascii="Arial" w:hAnsi="Arial" w:cs="Arial"/>
        <w:b/>
        <w:sz w:val="48"/>
      </w:rPr>
    </w:pPr>
    <w:r w:rsidRPr="00002184">
      <w:rPr>
        <w:rFonts w:ascii="Arial" w:hAnsi="Arial" w:cs="Arial"/>
        <w:b/>
        <w:sz w:val="48"/>
      </w:rPr>
      <w:t>SK</w:t>
    </w:r>
    <w:r w:rsidRPr="00002184">
      <w:rPr>
        <w:rFonts w:ascii="Arial" w:hAnsi="Arial" w:cs="Arial"/>
        <w:b/>
        <w:sz w:val="48"/>
      </w:rPr>
      <w:tab/>
    </w:r>
    <w:r w:rsidRPr="00002184">
      <w:rPr>
        <w:rFonts w:ascii="Arial" w:hAnsi="Arial" w:cs="Arial"/>
        <w:b/>
        <w:sz w:val="48"/>
      </w:rPr>
      <w:tab/>
    </w:r>
    <w:r w:rsidRPr="00002184">
      <w:tab/>
    </w:r>
    <w:r w:rsidRPr="00002184">
      <w:rPr>
        <w:rFonts w:ascii="Arial" w:hAnsi="Arial" w:cs="Arial"/>
        <w:b/>
        <w:sz w:val="48"/>
      </w:rPr>
      <w:t>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70AF" w14:textId="53C3F38A" w:rsidR="00002184" w:rsidRPr="00002184" w:rsidRDefault="00002184" w:rsidP="00002184">
    <w:pPr>
      <w:pStyle w:val="Footer"/>
      <w:rPr>
        <w:rFonts w:ascii="Arial" w:hAnsi="Arial" w:cs="Arial"/>
        <w:b/>
        <w:sz w:val="48"/>
      </w:rPr>
    </w:pPr>
    <w:r w:rsidRPr="00002184">
      <w:rPr>
        <w:rFonts w:ascii="Arial" w:hAnsi="Arial" w:cs="Arial"/>
        <w:b/>
        <w:sz w:val="48"/>
      </w:rPr>
      <w:t>SK</w:t>
    </w:r>
    <w:r w:rsidRPr="00002184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720FE">
      <w:rPr>
        <w:noProof/>
      </w:rPr>
      <w:t>7</w:t>
    </w:r>
    <w:r>
      <w:fldChar w:fldCharType="end"/>
    </w:r>
    <w:r>
      <w:tab/>
    </w:r>
    <w:r w:rsidRPr="00002184">
      <w:tab/>
    </w:r>
    <w:r w:rsidRPr="00002184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20208" w14:textId="77777777" w:rsidR="00002184" w:rsidRPr="00002184" w:rsidRDefault="00002184" w:rsidP="00002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B4F6" w14:textId="77777777" w:rsidR="009A5BEC" w:rsidRDefault="009A5BEC" w:rsidP="00220A4F">
      <w:pPr>
        <w:spacing w:before="0" w:after="0"/>
      </w:pPr>
      <w:r>
        <w:separator/>
      </w:r>
    </w:p>
  </w:footnote>
  <w:footnote w:type="continuationSeparator" w:id="0">
    <w:p w14:paraId="145BA8B1" w14:textId="77777777" w:rsidR="009A5BEC" w:rsidRDefault="009A5BEC" w:rsidP="00220A4F">
      <w:pPr>
        <w:spacing w:before="0" w:after="0"/>
      </w:pPr>
      <w:r>
        <w:continuationSeparator/>
      </w:r>
    </w:p>
  </w:footnote>
  <w:footnote w:id="1">
    <w:p w14:paraId="3D73E0FA" w14:textId="77777777" w:rsidR="00220A4F" w:rsidRPr="00D06FE7" w:rsidRDefault="00220A4F" w:rsidP="00220A4F">
      <w:pPr>
        <w:pStyle w:val="FootnoteText"/>
      </w:pPr>
      <w:r>
        <w:rPr>
          <w:rStyle w:val="FootnoteReference"/>
        </w:rPr>
        <w:footnoteRef/>
      </w:r>
      <w:r>
        <w:tab/>
        <w:t>SL 22/58, SL 22/59, SL 22/60 a SL 22/61.</w:t>
      </w:r>
    </w:p>
  </w:footnote>
  <w:footnote w:id="2">
    <w:p w14:paraId="218A9FCD" w14:textId="77777777" w:rsidR="00220A4F" w:rsidRPr="00FD05CF" w:rsidRDefault="00220A4F" w:rsidP="00AF2FAB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Nariadenie Európskeho parlamentu a Rady (EÚ) 2018/1139 zo 4. júla 2018 o spoločných pravidlách v oblasti civilného letectva, ktorým sa zriaďuje Agentúra Európskej únie pre bezpečnosť letectva (Ú. v. EÚ L 212, 22.8.2018, s. 1).</w:t>
      </w:r>
    </w:p>
  </w:footnote>
  <w:footnote w:id="3">
    <w:p w14:paraId="5E21522A" w14:textId="77777777" w:rsidR="00220A4F" w:rsidRPr="008A262F" w:rsidRDefault="00220A4F" w:rsidP="00AF2FAB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Rozhodnutie Rady (EÚ) 2016/915 z 30. mája 2016 o pozícii, ktorá sa má v mene Európskej únie zaujať, pokiaľ ide o medzinárodný nástroj, ktorý majú vypracovať orgány ICAO a ktorý má viesť k vykonávaniu jednotného globálneho trhového opatrenia na emisie z medzinárodnej leteckej dopravy od roku 2020 (Ú. v. EÚ L 153, 10.6.2016, s. 32).</w:t>
      </w:r>
    </w:p>
  </w:footnote>
  <w:footnote w:id="4">
    <w:p w14:paraId="3F59F52B" w14:textId="77777777" w:rsidR="00220A4F" w:rsidRPr="005B5F68" w:rsidRDefault="00220A4F" w:rsidP="00AF2FAB">
      <w:pPr>
        <w:pStyle w:val="FootnoteText"/>
        <w:ind w:left="567" w:hanging="567"/>
        <w:rPr>
          <w:b/>
        </w:rPr>
      </w:pPr>
      <w:r>
        <w:rPr>
          <w:rStyle w:val="FootnoteReference"/>
        </w:rPr>
        <w:footnoteRef/>
      </w:r>
      <w:r>
        <w:tab/>
        <w:t>Rozhodnutie Rady (EÚ) 2020/768 z 9. júna 2020, ktorým sa mení rozhodnutie (EÚ) 2016/915, pokiaľ ide o referenčné obdobie, ktoré sa má použiť na meranie rastu emisií CO</w:t>
      </w:r>
      <w:r>
        <w:rPr>
          <w:vertAlign w:val="subscript"/>
        </w:rPr>
        <w:t>2</w:t>
      </w:r>
      <w:r>
        <w:t xml:space="preserve"> s cieľom zohľadniť dôsledky pandémie COVID-19 v kontexte systému CORSIA (Ú. v. EÚ L 187, 12.6.2021, s. 10).</w:t>
      </w:r>
    </w:p>
  </w:footnote>
  <w:footnote w:id="5">
    <w:p w14:paraId="791F3946" w14:textId="443EA1F7" w:rsidR="00AF0C5B" w:rsidRPr="00E72248" w:rsidRDefault="00AF0C5B" w:rsidP="00AF2FAB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Ú.</w:t>
      </w:r>
      <w:r w:rsidR="00AF2FAB">
        <w:t xml:space="preserve"> v. EÚ L 212, 22.8.2018, s. 1. </w:t>
      </w:r>
    </w:p>
  </w:footnote>
  <w:footnote w:id="6">
    <w:p w14:paraId="3DE53DA6" w14:textId="77777777" w:rsidR="00AF0C5B" w:rsidRPr="00E72248" w:rsidRDefault="00AF0C5B" w:rsidP="00AF2FAB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Ú. v. EÚ L 224, 21.8.2012, s. 1.</w:t>
      </w:r>
    </w:p>
  </w:footnote>
  <w:footnote w:id="7">
    <w:p w14:paraId="687D75BC" w14:textId="77777777" w:rsidR="00220A4F" w:rsidRDefault="00220A4F" w:rsidP="00AF2FAB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 xml:space="preserve">Rozsudok Súdneho dvora zo 7. októbra 2014, Nemecko/Rada, C-399/12, ECLI:EU:C:2014:2258, bod 64. </w:t>
      </w:r>
    </w:p>
  </w:footnote>
  <w:footnote w:id="8">
    <w:p w14:paraId="301AAA5A" w14:textId="77777777" w:rsidR="00560DEF" w:rsidRPr="00560DEF" w:rsidRDefault="00560DEF" w:rsidP="00AF2FAB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Rozsudok Súdneho dvora zo 7. októbra 2014, Nemecko/Rada, C-399/12, ECLI:EU:C:2014:2258, body 61 až 64.</w:t>
      </w:r>
    </w:p>
    <w:p w14:paraId="0A061E9B" w14:textId="77777777" w:rsidR="00560DEF" w:rsidRPr="00054B44" w:rsidRDefault="00560DEF">
      <w:pPr>
        <w:pStyle w:val="FootnoteText"/>
        <w:rPr>
          <w:lang w:val="pt-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5DEF1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C0C8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51677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4E0A2F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3103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A846B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9DA3D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EF05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21"/>
  </w:num>
  <w:num w:numId="18">
    <w:abstractNumId w:val="11"/>
  </w:num>
  <w:num w:numId="19">
    <w:abstractNumId w:val="13"/>
  </w:num>
  <w:num w:numId="20">
    <w:abstractNumId w:val="14"/>
  </w:num>
  <w:num w:numId="21">
    <w:abstractNumId w:val="9"/>
  </w:num>
  <w:num w:numId="22">
    <w:abstractNumId w:val="20"/>
  </w:num>
  <w:num w:numId="23">
    <w:abstractNumId w:val="8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  <w:num w:numId="28">
    <w:abstractNumId w:val="16"/>
  </w:num>
  <w:num w:numId="29">
    <w:abstractNumId w:val="22"/>
  </w:num>
  <w:num w:numId="30">
    <w:abstractNumId w:val="19"/>
  </w:num>
  <w:num w:numId="31">
    <w:abstractNumId w:val="12"/>
  </w:num>
  <w:num w:numId="32">
    <w:abstractNumId w:val="21"/>
  </w:num>
  <w:num w:numId="33">
    <w:abstractNumId w:val="11"/>
  </w:num>
  <w:num w:numId="34">
    <w:abstractNumId w:val="13"/>
  </w:num>
  <w:num w:numId="35">
    <w:abstractNumId w:val="14"/>
  </w:num>
  <w:num w:numId="36">
    <w:abstractNumId w:val="9"/>
  </w:num>
  <w:num w:numId="37">
    <w:abstractNumId w:val="20"/>
  </w:num>
  <w:num w:numId="38">
    <w:abstractNumId w:val="8"/>
  </w:num>
  <w:num w:numId="39">
    <w:abstractNumId w:val="15"/>
  </w:num>
  <w:num w:numId="40">
    <w:abstractNumId w:val="17"/>
  </w:num>
  <w:num w:numId="41">
    <w:abstractNumId w:val="18"/>
  </w:num>
  <w:num w:numId="42">
    <w:abstractNumId w:val="10"/>
  </w:num>
  <w:num w:numId="43">
    <w:abstractNumId w:val="16"/>
  </w:num>
  <w:num w:numId="4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pl-PL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02-08 11:30:5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07A210E7-4610-42E9-91B9-98DA52FEB2CA"/>
    <w:docVar w:name="LW_COVERPAGE_TYPE" w:val="1"/>
    <w:docVar w:name="LW_CROSSREFERENCE" w:val="&lt;UNUSED&gt;"/>
    <w:docVar w:name="LW_DocType" w:val="COM"/>
    <w:docVar w:name="LW_EMISSION" w:val="10. 2. 2023"/>
    <w:docVar w:name="LW_EMISSION_ISODATE" w:val="2023-02-10"/>
    <w:docVar w:name="LW_EMISSION_LOCATION" w:val="BRX"/>
    <w:docVar w:name="LW_EMISSION_PREFIX" w:val="V Bruseli"/>
    <w:docVar w:name="LW_EMISSION_SUFFIX" w:val=" "/>
    <w:docVar w:name="LW_ID_DOCMODEL" w:val="SJ-043"/>
    <w:docVar w:name="LW_ID_DOCSIGNATURE" w:val="SJ-019"/>
    <w:docVar w:name="LW_ID_DOCSTRUCTURE" w:val="COM/PL/ORG"/>
    <w:docVar w:name="LW_ID_DOCTYPE" w:val="SJ-043"/>
    <w:docVar w:name="LW_ID_STATUT" w:val="SJ-019"/>
    <w:docVar w:name="LW_INSERT_EXP.MOTIFS.NEW" w:val="1"/>
    <w:docVar w:name="LW_INTERETEEE.CP" w:val="&lt;UNUSED&gt;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30"/>
    <w:docVar w:name="LW_REF.II.NEW.CP_YEAR" w:val="2023"/>
    <w:docVar w:name="LW_REF.INST.NEW" w:val="COM"/>
    <w:docVar w:name="LW_REF.INST.NEW_ADOPTED" w:val="final"/>
    <w:docVar w:name="LW_REF.INST.NEW_TEXT" w:val="(2023) 6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Návrh"/>
    <w:docVar w:name="LW_SUPERTITRE" w:val="&lt;UNUSED&gt;"/>
    <w:docVar w:name="LW_TITRE.OBJ.CP" w:val="o pozícii, ktorá sa má zaujať v mene Európskej únie v Rade Medzinárodnej organizácie civilného letectva v súvislosti s návrhmi na zmenu zväzkov I – III prílohy 16 k Chicagskemu dohovoru, pokiaľ ide o štandardy a odporúčania týkajúce sa ochrany životného prostredia"/>
    <w:docVar w:name="LW_TYPE.DOC.CP" w:val="ROZHODNUTIE RADY"/>
    <w:docVar w:name="LwApiVersions" w:val="LW4CoDe 1.23.2.0; LW 8.0, Build 20211117"/>
  </w:docVars>
  <w:rsids>
    <w:rsidRoot w:val="00220A4F"/>
    <w:rsid w:val="00002184"/>
    <w:rsid w:val="00007FF2"/>
    <w:rsid w:val="00014497"/>
    <w:rsid w:val="00017738"/>
    <w:rsid w:val="00054B44"/>
    <w:rsid w:val="00097AC0"/>
    <w:rsid w:val="000A17D2"/>
    <w:rsid w:val="000A2A63"/>
    <w:rsid w:val="000B2DE0"/>
    <w:rsid w:val="000B4ED3"/>
    <w:rsid w:val="000C2DF7"/>
    <w:rsid w:val="000F2477"/>
    <w:rsid w:val="001065F5"/>
    <w:rsid w:val="001238EF"/>
    <w:rsid w:val="00131061"/>
    <w:rsid w:val="001743B7"/>
    <w:rsid w:val="00196E74"/>
    <w:rsid w:val="00197613"/>
    <w:rsid w:val="001B1138"/>
    <w:rsid w:val="0021758E"/>
    <w:rsid w:val="00220A4F"/>
    <w:rsid w:val="002308B9"/>
    <w:rsid w:val="00233DC7"/>
    <w:rsid w:val="0024115C"/>
    <w:rsid w:val="002422B2"/>
    <w:rsid w:val="00247779"/>
    <w:rsid w:val="002666DC"/>
    <w:rsid w:val="00285BEE"/>
    <w:rsid w:val="00292812"/>
    <w:rsid w:val="0029533F"/>
    <w:rsid w:val="002A4A67"/>
    <w:rsid w:val="002A77C6"/>
    <w:rsid w:val="002B30AF"/>
    <w:rsid w:val="002D0205"/>
    <w:rsid w:val="002D72FC"/>
    <w:rsid w:val="0033344A"/>
    <w:rsid w:val="00335E84"/>
    <w:rsid w:val="00380A7F"/>
    <w:rsid w:val="00383304"/>
    <w:rsid w:val="00383E69"/>
    <w:rsid w:val="00385CD1"/>
    <w:rsid w:val="00411EE9"/>
    <w:rsid w:val="004259D7"/>
    <w:rsid w:val="0042648E"/>
    <w:rsid w:val="00433A67"/>
    <w:rsid w:val="00465299"/>
    <w:rsid w:val="004655A1"/>
    <w:rsid w:val="00484F19"/>
    <w:rsid w:val="004936D2"/>
    <w:rsid w:val="004A492F"/>
    <w:rsid w:val="004B195D"/>
    <w:rsid w:val="004C59C8"/>
    <w:rsid w:val="004C7549"/>
    <w:rsid w:val="00560DEF"/>
    <w:rsid w:val="005A26EA"/>
    <w:rsid w:val="005B0E77"/>
    <w:rsid w:val="005B1EB6"/>
    <w:rsid w:val="005B61C7"/>
    <w:rsid w:val="005F7702"/>
    <w:rsid w:val="00621AFA"/>
    <w:rsid w:val="00631C99"/>
    <w:rsid w:val="00660FC9"/>
    <w:rsid w:val="00694859"/>
    <w:rsid w:val="006C7A54"/>
    <w:rsid w:val="007279C5"/>
    <w:rsid w:val="007309F3"/>
    <w:rsid w:val="00733565"/>
    <w:rsid w:val="00757AD5"/>
    <w:rsid w:val="0077135E"/>
    <w:rsid w:val="00773331"/>
    <w:rsid w:val="007931AE"/>
    <w:rsid w:val="007932EF"/>
    <w:rsid w:val="00795292"/>
    <w:rsid w:val="007C6525"/>
    <w:rsid w:val="007D65A0"/>
    <w:rsid w:val="007E05B0"/>
    <w:rsid w:val="00802AA4"/>
    <w:rsid w:val="00810EAB"/>
    <w:rsid w:val="00811402"/>
    <w:rsid w:val="008147E8"/>
    <w:rsid w:val="008329D9"/>
    <w:rsid w:val="00850577"/>
    <w:rsid w:val="00863794"/>
    <w:rsid w:val="00874D22"/>
    <w:rsid w:val="008949C1"/>
    <w:rsid w:val="008A2914"/>
    <w:rsid w:val="008E4D8E"/>
    <w:rsid w:val="00901865"/>
    <w:rsid w:val="00924620"/>
    <w:rsid w:val="0094111E"/>
    <w:rsid w:val="0095334B"/>
    <w:rsid w:val="00967660"/>
    <w:rsid w:val="0097107E"/>
    <w:rsid w:val="0097725C"/>
    <w:rsid w:val="009A4CAB"/>
    <w:rsid w:val="009A5BEC"/>
    <w:rsid w:val="009B2590"/>
    <w:rsid w:val="009C030E"/>
    <w:rsid w:val="009E7E5B"/>
    <w:rsid w:val="009F5998"/>
    <w:rsid w:val="00A0033F"/>
    <w:rsid w:val="00A16C53"/>
    <w:rsid w:val="00A214B9"/>
    <w:rsid w:val="00A35EB9"/>
    <w:rsid w:val="00A44AEE"/>
    <w:rsid w:val="00A4758C"/>
    <w:rsid w:val="00A611B3"/>
    <w:rsid w:val="00A81584"/>
    <w:rsid w:val="00A82DAB"/>
    <w:rsid w:val="00AD3727"/>
    <w:rsid w:val="00AD592E"/>
    <w:rsid w:val="00AD6281"/>
    <w:rsid w:val="00AE2175"/>
    <w:rsid w:val="00AF0C5B"/>
    <w:rsid w:val="00AF2FAB"/>
    <w:rsid w:val="00AF6838"/>
    <w:rsid w:val="00B3616F"/>
    <w:rsid w:val="00B556BF"/>
    <w:rsid w:val="00B62E89"/>
    <w:rsid w:val="00B63054"/>
    <w:rsid w:val="00B63DCE"/>
    <w:rsid w:val="00B7221A"/>
    <w:rsid w:val="00B7228E"/>
    <w:rsid w:val="00B85851"/>
    <w:rsid w:val="00BA1491"/>
    <w:rsid w:val="00BB3DB2"/>
    <w:rsid w:val="00BC1730"/>
    <w:rsid w:val="00BD402C"/>
    <w:rsid w:val="00C10B23"/>
    <w:rsid w:val="00C12301"/>
    <w:rsid w:val="00C179B8"/>
    <w:rsid w:val="00CF7801"/>
    <w:rsid w:val="00D0603E"/>
    <w:rsid w:val="00D20381"/>
    <w:rsid w:val="00D222D6"/>
    <w:rsid w:val="00D27BDF"/>
    <w:rsid w:val="00D36E5B"/>
    <w:rsid w:val="00D41696"/>
    <w:rsid w:val="00D731D5"/>
    <w:rsid w:val="00DC7DF5"/>
    <w:rsid w:val="00DD51BB"/>
    <w:rsid w:val="00DF0403"/>
    <w:rsid w:val="00E03C2A"/>
    <w:rsid w:val="00E130B5"/>
    <w:rsid w:val="00E15F33"/>
    <w:rsid w:val="00E2073E"/>
    <w:rsid w:val="00E24A0C"/>
    <w:rsid w:val="00E2657C"/>
    <w:rsid w:val="00E36223"/>
    <w:rsid w:val="00E63545"/>
    <w:rsid w:val="00E72248"/>
    <w:rsid w:val="00E96DFD"/>
    <w:rsid w:val="00EF2102"/>
    <w:rsid w:val="00EF5FCA"/>
    <w:rsid w:val="00F053C3"/>
    <w:rsid w:val="00F52586"/>
    <w:rsid w:val="00F720FE"/>
    <w:rsid w:val="00F9767E"/>
    <w:rsid w:val="00FA69AD"/>
    <w:rsid w:val="00FC3091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871EB2"/>
  <w15:docId w15:val="{7B8633FF-E65A-4BA0-8293-01FD25AB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k-SK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D731D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731D5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D731D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731D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731D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731D5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731D5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731D5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731D5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731D5"/>
    <w:pPr>
      <w:numPr>
        <w:numId w:val="8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65"/>
    <w:rPr>
      <w:rFonts w:ascii="Segoe UI" w:hAnsi="Segoe UI" w:cs="Segoe UI"/>
      <w:sz w:val="18"/>
      <w:szCs w:val="18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2D6"/>
    <w:rPr>
      <w:rFonts w:ascii="Times New Roman" w:hAnsi="Times New Roman" w:cs="Times New Roman"/>
      <w:b/>
      <w:bCs/>
      <w:sz w:val="20"/>
      <w:szCs w:val="20"/>
      <w:lang w:val="sk-SK"/>
    </w:rPr>
  </w:style>
  <w:style w:type="character" w:styleId="Hyperlink">
    <w:name w:val="Hyperlink"/>
    <w:basedOn w:val="DefaultParagraphFont"/>
    <w:uiPriority w:val="99"/>
    <w:unhideWhenUsed/>
    <w:rsid w:val="00D222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52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DEF"/>
    <w:rPr>
      <w:color w:val="605E5C"/>
      <w:shd w:val="clear" w:color="auto" w:fill="E1DFDD"/>
    </w:rPr>
  </w:style>
  <w:style w:type="paragraph" w:customStyle="1" w:styleId="Default">
    <w:name w:val="Default"/>
    <w:rsid w:val="00CF7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184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2184"/>
    <w:rPr>
      <w:rFonts w:ascii="Times New Roman" w:hAnsi="Times New Roman" w:cs="Times New Roman"/>
      <w:sz w:val="24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002184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002184"/>
    <w:rPr>
      <w:rFonts w:ascii="Times New Roman" w:hAnsi="Times New Roman" w:cs="Times New Roman"/>
      <w:sz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002184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002184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0021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002184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0021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0"/>
      </w:numPr>
    </w:pPr>
  </w:style>
  <w:style w:type="paragraph" w:customStyle="1" w:styleId="Tiret1">
    <w:name w:val="Tiret 1"/>
    <w:basedOn w:val="Point1"/>
    <w:pPr>
      <w:numPr>
        <w:numId w:val="31"/>
      </w:numPr>
    </w:pPr>
  </w:style>
  <w:style w:type="paragraph" w:customStyle="1" w:styleId="Tiret2">
    <w:name w:val="Tiret 2"/>
    <w:basedOn w:val="Point2"/>
    <w:pPr>
      <w:numPr>
        <w:numId w:val="32"/>
      </w:numPr>
    </w:pPr>
  </w:style>
  <w:style w:type="paragraph" w:customStyle="1" w:styleId="Tiret3">
    <w:name w:val="Tiret 3"/>
    <w:basedOn w:val="Point3"/>
    <w:pPr>
      <w:numPr>
        <w:numId w:val="33"/>
      </w:numPr>
    </w:pPr>
  </w:style>
  <w:style w:type="paragraph" w:customStyle="1" w:styleId="Tiret4">
    <w:name w:val="Tiret 4"/>
    <w:basedOn w:val="Point4"/>
    <w:pPr>
      <w:numPr>
        <w:numId w:val="34"/>
      </w:numPr>
    </w:pPr>
  </w:style>
  <w:style w:type="paragraph" w:customStyle="1" w:styleId="Tiret5">
    <w:name w:val="Tiret 5"/>
    <w:basedOn w:val="Point5"/>
    <w:pPr>
      <w:numPr>
        <w:numId w:val="3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8"/>
      </w:numPr>
    </w:pPr>
  </w:style>
  <w:style w:type="paragraph" w:customStyle="1" w:styleId="Point1number">
    <w:name w:val="Point 1 (number)"/>
    <w:basedOn w:val="Normal"/>
    <w:pPr>
      <w:numPr>
        <w:ilvl w:val="2"/>
        <w:numId w:val="38"/>
      </w:numPr>
    </w:pPr>
  </w:style>
  <w:style w:type="paragraph" w:customStyle="1" w:styleId="Point2number">
    <w:name w:val="Point 2 (number)"/>
    <w:basedOn w:val="Normal"/>
    <w:pPr>
      <w:numPr>
        <w:ilvl w:val="4"/>
        <w:numId w:val="38"/>
      </w:numPr>
    </w:pPr>
  </w:style>
  <w:style w:type="paragraph" w:customStyle="1" w:styleId="Point3number">
    <w:name w:val="Point 3 (number)"/>
    <w:basedOn w:val="Normal"/>
    <w:pPr>
      <w:numPr>
        <w:ilvl w:val="6"/>
        <w:numId w:val="38"/>
      </w:numPr>
    </w:pPr>
  </w:style>
  <w:style w:type="paragraph" w:customStyle="1" w:styleId="Point0letter">
    <w:name w:val="Point 0 (letter)"/>
    <w:basedOn w:val="Normal"/>
    <w:pPr>
      <w:numPr>
        <w:ilvl w:val="1"/>
        <w:numId w:val="38"/>
      </w:numPr>
    </w:pPr>
  </w:style>
  <w:style w:type="paragraph" w:customStyle="1" w:styleId="Point1letter">
    <w:name w:val="Point 1 (letter)"/>
    <w:basedOn w:val="Normal"/>
    <w:pPr>
      <w:numPr>
        <w:ilvl w:val="3"/>
        <w:numId w:val="38"/>
      </w:numPr>
    </w:pPr>
  </w:style>
  <w:style w:type="paragraph" w:customStyle="1" w:styleId="Point2letter">
    <w:name w:val="Point 2 (letter)"/>
    <w:basedOn w:val="Normal"/>
    <w:pPr>
      <w:numPr>
        <w:ilvl w:val="5"/>
        <w:numId w:val="38"/>
      </w:numPr>
    </w:pPr>
  </w:style>
  <w:style w:type="paragraph" w:customStyle="1" w:styleId="Point3letter">
    <w:name w:val="Point 3 (letter)"/>
    <w:basedOn w:val="Normal"/>
    <w:pPr>
      <w:numPr>
        <w:ilvl w:val="7"/>
        <w:numId w:val="38"/>
      </w:numPr>
    </w:pPr>
  </w:style>
  <w:style w:type="paragraph" w:customStyle="1" w:styleId="Point4letter">
    <w:name w:val="Point 4 (letter)"/>
    <w:basedOn w:val="Normal"/>
    <w:pPr>
      <w:numPr>
        <w:ilvl w:val="8"/>
        <w:numId w:val="38"/>
      </w:numPr>
    </w:pPr>
  </w:style>
  <w:style w:type="paragraph" w:customStyle="1" w:styleId="Bullet0">
    <w:name w:val="Bullet 0"/>
    <w:basedOn w:val="Normal"/>
    <w:pPr>
      <w:numPr>
        <w:numId w:val="39"/>
      </w:numPr>
    </w:pPr>
  </w:style>
  <w:style w:type="paragraph" w:customStyle="1" w:styleId="Bullet1">
    <w:name w:val="Bullet 1"/>
    <w:basedOn w:val="Normal"/>
    <w:pPr>
      <w:numPr>
        <w:numId w:val="40"/>
      </w:numPr>
    </w:pPr>
  </w:style>
  <w:style w:type="paragraph" w:customStyle="1" w:styleId="Bullet2">
    <w:name w:val="Bullet 2"/>
    <w:basedOn w:val="Normal"/>
    <w:pPr>
      <w:numPr>
        <w:numId w:val="41"/>
      </w:numPr>
    </w:pPr>
  </w:style>
  <w:style w:type="paragraph" w:customStyle="1" w:styleId="Bullet3">
    <w:name w:val="Bullet 3"/>
    <w:basedOn w:val="Normal"/>
    <w:pPr>
      <w:numPr>
        <w:numId w:val="42"/>
      </w:numPr>
    </w:pPr>
  </w:style>
  <w:style w:type="paragraph" w:customStyle="1" w:styleId="Bullet4">
    <w:name w:val="Bullet 4"/>
    <w:basedOn w:val="Normal"/>
    <w:pPr>
      <w:numPr>
        <w:numId w:val="4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C227-2641-42C7-812E-A42BF656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14</TotalTime>
  <Pages>8</Pages>
  <Words>2076</Words>
  <Characters>11985</Characters>
  <Application>Microsoft Office Word</Application>
  <DocSecurity>0</DocSecurity>
  <Lines>235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53</cp:revision>
  <dcterms:created xsi:type="dcterms:W3CDTF">2023-02-06T14:50:00Z</dcterms:created>
  <dcterms:modified xsi:type="dcterms:W3CDTF">2023-02-08T10:30:00Z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8.1, Build 20220902</vt:lpwstr>
  </property>
  <property fmtid="{D5CDD505-2E9C-101B-9397-08002B2CF9AE}" pid="5" name="Created using">
    <vt:lpwstr>LW 8.1, Build 20220902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2022-12-21T11:23:01Z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84a4234c-4b69-4899-af1e-bad1c697c8f7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Green (DQC version 03)</vt:lpwstr>
  </property>
</Properties>
</file>