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D5" w:rsidRDefault="00685D53" w:rsidP="00B80890">
      <w:pPr>
        <w:pStyle w:val="Pagedecouverture"/>
        <w:rPr>
          <w:noProof/>
        </w:rPr>
      </w:pPr>
      <w:bookmarkStart w:id="0" w:name="_GoBack"/>
      <w:bookmarkEnd w:id="0"/>
      <w:r>
        <w:rPr>
          <w:noProof/>
        </w:rPr>
        <w:pict w14:anchorId="7AFF7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0E9DEB0-D07F-4E52-B052-8E948FF29F39" style="width:455.25pt;height:454.05pt">
            <v:imagedata r:id="rId8" o:title=""/>
          </v:shape>
        </w:pict>
      </w:r>
    </w:p>
    <w:p w:rsidR="00571BD5" w:rsidRDefault="00571BD5" w:rsidP="00571BD5">
      <w:pPr>
        <w:rPr>
          <w:noProof/>
        </w:rPr>
        <w:sectPr w:rsidR="00571BD5" w:rsidSect="00F221E9">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571BD5" w:rsidRDefault="00571BD5" w:rsidP="006537B0">
      <w:pPr>
        <w:pStyle w:val="Exposdesmotifstitre"/>
        <w:rPr>
          <w:noProof/>
        </w:rPr>
      </w:pPr>
      <w:r w:rsidRPr="006F770D">
        <w:rPr>
          <w:noProof/>
        </w:rPr>
        <w:lastRenderedPageBreak/>
        <w:t>EXPLANATORY MEMORANDUM</w:t>
      </w:r>
    </w:p>
    <w:p w:rsidR="00571BD5" w:rsidRPr="006F770D" w:rsidRDefault="00571BD5" w:rsidP="006537B0">
      <w:pPr>
        <w:pStyle w:val="ManualHeading1"/>
        <w:rPr>
          <w:noProof/>
        </w:rPr>
      </w:pPr>
      <w:r w:rsidRPr="00C567EE">
        <w:rPr>
          <w:noProof/>
        </w:rPr>
        <w:t>1.</w:t>
      </w:r>
      <w:r w:rsidRPr="00C567EE">
        <w:rPr>
          <w:noProof/>
        </w:rPr>
        <w:tab/>
      </w:r>
      <w:r w:rsidRPr="006F770D">
        <w:rPr>
          <w:noProof/>
        </w:rPr>
        <w:t>CONTEXT OF THE PROPOSAL</w:t>
      </w:r>
    </w:p>
    <w:p w:rsidR="00571BD5" w:rsidRPr="00044058" w:rsidRDefault="00571BD5" w:rsidP="006537B0">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8F2B7C" w:rsidRDefault="008F2B7C" w:rsidP="008F2B7C">
      <w:pPr>
        <w:rPr>
          <w:noProof/>
          <w:color w:val="000000"/>
          <w:szCs w:val="24"/>
          <w:lang w:val="en-IE"/>
        </w:rPr>
      </w:pPr>
      <w:r>
        <w:rPr>
          <w:noProof/>
        </w:rPr>
        <w:t xml:space="preserve">As one of the key elements of the </w:t>
      </w:r>
      <w:hyperlink r:id="rId15" w:history="1">
        <w:r>
          <w:rPr>
            <w:rStyle w:val="Hyperlink"/>
            <w:b/>
            <w:noProof/>
          </w:rPr>
          <w:t>European Green Deal</w:t>
        </w:r>
      </w:hyperlink>
      <w:r>
        <w:rPr>
          <w:bCs/>
          <w:noProof/>
        </w:rPr>
        <w:t>,</w:t>
      </w:r>
      <w:r>
        <w:rPr>
          <w:noProof/>
        </w:rPr>
        <w:t xml:space="preserve"> which </w:t>
      </w:r>
      <w:r w:rsidR="00D076E2">
        <w:rPr>
          <w:noProof/>
        </w:rPr>
        <w:t>sets</w:t>
      </w:r>
      <w:r>
        <w:rPr>
          <w:noProof/>
        </w:rPr>
        <w:t xml:space="preserve"> the Commission’s commitment to tackling climate and environmental-related challenges,</w:t>
      </w:r>
      <w:r w:rsidRPr="008F2B7C">
        <w:rPr>
          <w:noProof/>
          <w:lang w:val="en-IE"/>
        </w:rPr>
        <w:t xml:space="preserve">  </w:t>
      </w:r>
      <w:r>
        <w:rPr>
          <w:noProof/>
        </w:rPr>
        <w:t>t</w:t>
      </w:r>
      <w:r>
        <w:rPr>
          <w:noProof/>
          <w:szCs w:val="24"/>
        </w:rPr>
        <w:t xml:space="preserve">he </w:t>
      </w:r>
      <w:hyperlink r:id="rId16" w:history="1">
        <w:r>
          <w:rPr>
            <w:rStyle w:val="Hyperlink"/>
            <w:b/>
            <w:noProof/>
            <w:szCs w:val="24"/>
          </w:rPr>
          <w:t>European Climate Law</w:t>
        </w:r>
      </w:hyperlink>
      <w:r>
        <w:rPr>
          <w:bCs/>
          <w:noProof/>
          <w:szCs w:val="24"/>
        </w:rPr>
        <w:t xml:space="preserve"> </w:t>
      </w:r>
      <w:r>
        <w:rPr>
          <w:noProof/>
          <w:szCs w:val="24"/>
        </w:rPr>
        <w:t>enshrines in legislation the EU's commitment to reach the climate neutrality target by 2050 and raise the intermediate ambition by setting the target of at least 55% net emission reduction by 2030 compared to 1990.</w:t>
      </w:r>
      <w:r>
        <w:rPr>
          <w:noProof/>
        </w:rPr>
        <w:t xml:space="preserve"> </w:t>
      </w:r>
      <w:r>
        <w:rPr>
          <w:noProof/>
          <w:szCs w:val="24"/>
        </w:rPr>
        <w:t xml:space="preserve">This is in line with the EU’s commitment to global climate action under the Paris Agreement. </w:t>
      </w:r>
      <w:r>
        <w:rPr>
          <w:noProof/>
        </w:rPr>
        <w:t xml:space="preserve">The crisis linked to the invasion of Ukraine by Russia makes the case to reduce EU dependency on fossil fuel even stronger, as highlighted in the </w:t>
      </w:r>
      <w:hyperlink r:id="rId17" w:history="1">
        <w:r>
          <w:rPr>
            <w:rStyle w:val="Hyperlink"/>
            <w:b/>
            <w:bCs/>
            <w:noProof/>
            <w:szCs w:val="24"/>
            <w:lang w:val="en-IE"/>
          </w:rPr>
          <w:t>REPowerEU plan</w:t>
        </w:r>
      </w:hyperlink>
      <w:r>
        <w:rPr>
          <w:noProof/>
          <w:color w:val="000000"/>
        </w:rPr>
        <w:t>, setting</w:t>
      </w:r>
      <w:r>
        <w:rPr>
          <w:noProof/>
          <w:color w:val="000000"/>
          <w:szCs w:val="24"/>
          <w:lang w:val="en-IE"/>
        </w:rPr>
        <w:t xml:space="preserve"> out actions to save energy, diversify supply, substitute fossil fuels and carry out smart investments and reforms in all economic sectors. </w:t>
      </w:r>
    </w:p>
    <w:p w:rsidR="008F2B7C" w:rsidRDefault="008F2B7C" w:rsidP="008F2B7C">
      <w:pPr>
        <w:rPr>
          <w:noProof/>
        </w:rPr>
      </w:pPr>
      <w:r>
        <w:rPr>
          <w:noProof/>
        </w:rPr>
        <w:t xml:space="preserve">Road transport, in particular, is responsible for one fifth of the total greenhouse gas emissions in the EU, and its emissions show an increasing trend. The case for moving to </w:t>
      </w:r>
      <w:hyperlink r:id="rId18" w:history="1">
        <w:r>
          <w:rPr>
            <w:rStyle w:val="Hyperlink"/>
            <w:b/>
            <w:bCs/>
            <w:noProof/>
          </w:rPr>
          <w:t>zero-emission mobility</w:t>
        </w:r>
      </w:hyperlink>
      <w:r>
        <w:rPr>
          <w:noProof/>
        </w:rPr>
        <w:t xml:space="preserve"> becomes even stronger and clearer in view of reducing as quickly as possible EU energy dependency, considering that road transport is also responsible for one third of all final energy consumed in the EU. </w:t>
      </w:r>
      <w:r>
        <w:rPr>
          <w:noProof/>
          <w:color w:val="000000"/>
          <w:szCs w:val="24"/>
          <w:lang w:val="en-IE"/>
        </w:rPr>
        <w:t>In this respect, the REPowerEU Plan underlines the need to enhance energy savings and efficiencies in the transport sector and accelerate the transition towards zero-emission vehicles combining electrification and fossil-free hydrogen to replace fossil fuels.</w:t>
      </w:r>
    </w:p>
    <w:p w:rsidR="008F2B7C" w:rsidRDefault="008F2B7C" w:rsidP="008F2B7C">
      <w:pPr>
        <w:shd w:val="clear" w:color="auto" w:fill="FFFFFF"/>
        <w:rPr>
          <w:noProof/>
          <w:szCs w:val="24"/>
        </w:rPr>
      </w:pPr>
      <w:r>
        <w:rPr>
          <w:noProof/>
        </w:rPr>
        <w:t xml:space="preserve">In order to deliver on these increased climate targets, in July 2021 the Commission adopted a comprehensive </w:t>
      </w:r>
      <w:hyperlink r:id="rId19" w:history="1">
        <w:r>
          <w:rPr>
            <w:rStyle w:val="Hyperlink"/>
            <w:noProof/>
          </w:rPr>
          <w:t>package of consistent policy proposals</w:t>
        </w:r>
      </w:hyperlink>
      <w:r>
        <w:rPr>
          <w:noProof/>
        </w:rPr>
        <w:t xml:space="preserve"> as part of the</w:t>
      </w:r>
      <w:r>
        <w:rPr>
          <w:noProof/>
          <w:szCs w:val="24"/>
        </w:rPr>
        <w:t xml:space="preserve"> </w:t>
      </w:r>
      <w:hyperlink r:id="rId20" w:history="1">
        <w:r>
          <w:rPr>
            <w:rStyle w:val="Hyperlink"/>
            <w:b/>
            <w:noProof/>
          </w:rPr>
          <w:t>'Fit for 55' package</w:t>
        </w:r>
      </w:hyperlink>
      <w:r>
        <w:rPr>
          <w:rStyle w:val="Hyperlink"/>
          <w:b/>
          <w:noProof/>
        </w:rPr>
        <w:t>’</w:t>
      </w:r>
      <w:r>
        <w:rPr>
          <w:b/>
          <w:noProof/>
        </w:rPr>
        <w:t>.</w:t>
      </w:r>
      <w:r>
        <w:rPr>
          <w:bCs/>
          <w:noProof/>
        </w:rPr>
        <w:t xml:space="preserve"> </w:t>
      </w:r>
    </w:p>
    <w:p w:rsidR="008F2B7C" w:rsidRDefault="008F2B7C" w:rsidP="008F2B7C">
      <w:pPr>
        <w:autoSpaceDE w:val="0"/>
        <w:autoSpaceDN w:val="0"/>
        <w:adjustRightInd w:val="0"/>
        <w:rPr>
          <w:rStyle w:val="None"/>
          <w:noProof/>
        </w:rPr>
      </w:pPr>
      <w:r>
        <w:rPr>
          <w:noProof/>
        </w:rPr>
        <w:t xml:space="preserve">. </w:t>
      </w:r>
      <w:r w:rsidR="00D076E2">
        <w:rPr>
          <w:noProof/>
        </w:rPr>
        <w:t xml:space="preserve">Transport </w:t>
      </w:r>
      <w:r>
        <w:rPr>
          <w:noProof/>
        </w:rPr>
        <w:t>is also responsible for more than two thirds of all NOx emissions and accounts for a significant proportion (around 10 % or more) of the total emissions of other pollutants. Road transport, in particular, continues to account for a significant proportion of emissions of all the main air pollutants (with the exception of SO</w:t>
      </w:r>
      <w:r>
        <w:rPr>
          <w:noProof/>
          <w:vertAlign w:val="subscript"/>
        </w:rPr>
        <w:t>x</w:t>
      </w:r>
      <w:r>
        <w:rPr>
          <w:noProof/>
        </w:rPr>
        <w:t>).</w:t>
      </w:r>
    </w:p>
    <w:p w:rsidR="008F2B7C" w:rsidRDefault="008F2B7C" w:rsidP="008F2B7C">
      <w:pPr>
        <w:autoSpaceDE w:val="0"/>
        <w:autoSpaceDN w:val="0"/>
        <w:adjustRightInd w:val="0"/>
        <w:rPr>
          <w:noProof/>
        </w:rPr>
      </w:pPr>
      <w:r>
        <w:rPr>
          <w:noProof/>
        </w:rPr>
        <w:t>Without further measures, this sector will not provide a sufficient contribution to the climate and zero pollution objectives for 2030 and 2050 and to reduce EU energy dependency. The policy scenarios that underpin the Climate target Plan and the Fit for 55 package show that increased ambition will be necessary for the reduction of CO</w:t>
      </w:r>
      <w:r>
        <w:rPr>
          <w:noProof/>
          <w:vertAlign w:val="subscript"/>
        </w:rPr>
        <w:t>2</w:t>
      </w:r>
      <w:r>
        <w:rPr>
          <w:noProof/>
        </w:rPr>
        <w:t xml:space="preserve"> emissions from HDVs, alongside policies to improve the freight transport systems, including modal shift. </w:t>
      </w:r>
    </w:p>
    <w:p w:rsidR="00FF1AFF" w:rsidRDefault="00FF1AFF" w:rsidP="008F2B7C">
      <w:pPr>
        <w:rPr>
          <w:noProof/>
        </w:rPr>
      </w:pPr>
      <w:r>
        <w:rPr>
          <w:noProof/>
        </w:rPr>
        <w:t>The heavy-duty vehicle (HDV) sector is responsible for more than a quarter of GHG emissions from road transport in the EU and for over 6% of total EU GHG emissions. In 2019, GHG emissions from HDVs were 44% and 37% higher than emissions from total aviation and maritime transport respectively</w:t>
      </w:r>
    </w:p>
    <w:p w:rsidR="008F2B7C" w:rsidRDefault="00FF1AFF" w:rsidP="008F2B7C">
      <w:pPr>
        <w:rPr>
          <w:noProof/>
        </w:rPr>
      </w:pPr>
      <w:r>
        <w:rPr>
          <w:noProof/>
        </w:rPr>
        <w:t>Overall t</w:t>
      </w:r>
      <w:r w:rsidR="008F2B7C">
        <w:rPr>
          <w:noProof/>
        </w:rPr>
        <w:t>he automotive industry is of key importance for the EU economy and accounts for over 7% of the EU's GDP. It provides jobs - directly or indirectly, in manufacturing, sales, maintenance, construction and transport and transport services - to 14.6 million Europeans.</w:t>
      </w:r>
      <w:r w:rsidR="0096476F">
        <w:rPr>
          <w:noProof/>
        </w:rPr>
        <w:t xml:space="preserve"> </w:t>
      </w:r>
      <w:r w:rsidR="008F2B7C">
        <w:rPr>
          <w:noProof/>
        </w:rPr>
        <w:t>The EU is among the world's biggest producers of motor vehicles and demonstrates technological leadership in this sector. EU automotive investment in R&amp;D amounts to €60.9 billion annually.</w:t>
      </w:r>
      <w:r w:rsidR="0096476F">
        <w:rPr>
          <w:noProof/>
        </w:rPr>
        <w:t xml:space="preserve"> </w:t>
      </w:r>
      <w:r w:rsidR="00432477">
        <w:rPr>
          <w:noProof/>
        </w:rPr>
        <w:t>The importance of the heavy-duty sector within the automotive industry is significant, with many major production sites for heavy-duty vehicles in the EU. While the number of annually produced new heavy-duty vehicles in the EU of about 500 000 units is significantly smaller than the number of cars, the value added per unit produced is significantly higher for heavy-duty vehicles.</w:t>
      </w:r>
    </w:p>
    <w:p w:rsidR="008F2B7C" w:rsidRDefault="008F2B7C" w:rsidP="008F2B7C">
      <w:pPr>
        <w:autoSpaceDE w:val="0"/>
        <w:autoSpaceDN w:val="0"/>
        <w:adjustRightInd w:val="0"/>
        <w:rPr>
          <w:noProof/>
        </w:rPr>
      </w:pPr>
      <w:r>
        <w:rPr>
          <w:noProof/>
        </w:rPr>
        <w:lastRenderedPageBreak/>
        <w:t>The automotive sector is undergoing a significant structural transformation, including changes in clean and digital technologies, in particular the shift from internal combustion engines towards zero- and low-emission technologies, as well as increasingly connected vehicles. The ambition should be to empower the automotive sector to continue and strengthen its leadership in the technologies of the future</w:t>
      </w:r>
      <w:r w:rsidR="00AB5820">
        <w:rPr>
          <w:noProof/>
          <w:szCs w:val="24"/>
        </w:rPr>
        <w:t>.</w:t>
      </w:r>
      <w:r>
        <w:rPr>
          <w:noProof/>
        </w:rPr>
        <w:t xml:space="preserve"> </w:t>
      </w:r>
    </w:p>
    <w:p w:rsidR="008F2B7C" w:rsidRDefault="008F2B7C" w:rsidP="008F2B7C">
      <w:pPr>
        <w:rPr>
          <w:noProof/>
          <w:szCs w:val="24"/>
        </w:rPr>
      </w:pPr>
      <w:r>
        <w:rPr>
          <w:noProof/>
        </w:rPr>
        <w:t xml:space="preserve">The HDV </w:t>
      </w:r>
      <w:r>
        <w:rPr>
          <w:b/>
          <w:noProof/>
        </w:rPr>
        <w:t>CO</w:t>
      </w:r>
      <w:r>
        <w:rPr>
          <w:b/>
          <w:noProof/>
          <w:vertAlign w:val="subscript"/>
        </w:rPr>
        <w:t>2</w:t>
      </w:r>
      <w:r>
        <w:rPr>
          <w:b/>
          <w:noProof/>
        </w:rPr>
        <w:t xml:space="preserve"> emission standards </w:t>
      </w:r>
      <w:r>
        <w:rPr>
          <w:noProof/>
        </w:rPr>
        <w:t>are key drivers for reducing CO</w:t>
      </w:r>
      <w:r>
        <w:rPr>
          <w:noProof/>
          <w:vertAlign w:val="subscript"/>
        </w:rPr>
        <w:t>2</w:t>
      </w:r>
      <w:r>
        <w:rPr>
          <w:noProof/>
        </w:rPr>
        <w:t xml:space="preserve"> emissions in the sector. </w:t>
      </w:r>
      <w:r>
        <w:rPr>
          <w:noProof/>
          <w:szCs w:val="24"/>
        </w:rPr>
        <w:t xml:space="preserve">The </w:t>
      </w:r>
      <w:r>
        <w:rPr>
          <w:b/>
          <w:noProof/>
          <w:szCs w:val="24"/>
        </w:rPr>
        <w:t>general objective</w:t>
      </w:r>
      <w:r>
        <w:rPr>
          <w:noProof/>
          <w:szCs w:val="24"/>
        </w:rPr>
        <w:t xml:space="preserve"> of this proposal is to provide new emission standards to reduce CO</w:t>
      </w:r>
      <w:r>
        <w:rPr>
          <w:noProof/>
          <w:szCs w:val="24"/>
          <w:vertAlign w:val="subscript"/>
        </w:rPr>
        <w:t>2</w:t>
      </w:r>
      <w:r>
        <w:rPr>
          <w:noProof/>
          <w:szCs w:val="24"/>
        </w:rPr>
        <w:t xml:space="preserve"> emissions and contribute to the shift to zero-emission mobility in the broader context of increased EU climate ambition by 2030 and EU climate neutrality by 2050. </w:t>
      </w:r>
    </w:p>
    <w:p w:rsidR="008F2B7C" w:rsidRDefault="008F2B7C" w:rsidP="008F2B7C">
      <w:pPr>
        <w:rPr>
          <w:rFonts w:eastAsia="Times New Roman"/>
          <w:noProof/>
          <w:szCs w:val="24"/>
        </w:rPr>
      </w:pPr>
      <w:r>
        <w:rPr>
          <w:noProof/>
          <w:szCs w:val="24"/>
        </w:rPr>
        <w:t>The proposal serves</w:t>
      </w:r>
      <w:r>
        <w:rPr>
          <w:b/>
          <w:noProof/>
          <w:szCs w:val="24"/>
        </w:rPr>
        <w:t xml:space="preserve"> three specific objectives. </w:t>
      </w:r>
      <w:r>
        <w:rPr>
          <w:noProof/>
          <w:szCs w:val="24"/>
        </w:rPr>
        <w:t xml:space="preserve">The first is </w:t>
      </w:r>
      <w:r>
        <w:rPr>
          <w:rStyle w:val="None"/>
          <w:noProof/>
        </w:rPr>
        <w:t xml:space="preserve">to </w:t>
      </w:r>
      <w:r>
        <w:rPr>
          <w:rStyle w:val="None"/>
          <w:b/>
          <w:noProof/>
        </w:rPr>
        <w:t>reduce CO</w:t>
      </w:r>
      <w:r>
        <w:rPr>
          <w:rStyle w:val="None"/>
          <w:b/>
          <w:noProof/>
          <w:vertAlign w:val="subscript"/>
        </w:rPr>
        <w:t>2</w:t>
      </w:r>
      <w:r>
        <w:rPr>
          <w:rStyle w:val="None"/>
          <w:b/>
          <w:noProof/>
          <w:szCs w:val="24"/>
        </w:rPr>
        <w:t xml:space="preserve"> emissions</w:t>
      </w:r>
      <w:r>
        <w:rPr>
          <w:rStyle w:val="Hyperlink8"/>
          <w:noProof/>
          <w:szCs w:val="24"/>
        </w:rPr>
        <w:t xml:space="preserve"> from heavy-duty vehicles cost-effectively</w:t>
      </w:r>
      <w:r>
        <w:rPr>
          <w:rStyle w:val="None"/>
          <w:noProof/>
          <w:szCs w:val="24"/>
        </w:rPr>
        <w:t>, in line with the EU climate goals while contributing to improving EU energy security</w:t>
      </w:r>
      <w:r>
        <w:rPr>
          <w:noProof/>
          <w:szCs w:val="24"/>
        </w:rPr>
        <w:t>. Considering that the effect of the HDV CO</w:t>
      </w:r>
      <w:r>
        <w:rPr>
          <w:noProof/>
          <w:szCs w:val="24"/>
          <w:vertAlign w:val="subscript"/>
        </w:rPr>
        <w:t>2</w:t>
      </w:r>
      <w:r>
        <w:rPr>
          <w:noProof/>
          <w:szCs w:val="24"/>
        </w:rPr>
        <w:t xml:space="preserve"> emission standards on the reduction of emissions from the stock of vehicles is not immediate, and considering the dynamics of the fleet renewal, early action is important to ensure the achievement of the long-term objective. </w:t>
      </w:r>
    </w:p>
    <w:p w:rsidR="008F2B7C" w:rsidRDefault="008F2B7C" w:rsidP="008F2B7C">
      <w:pPr>
        <w:rPr>
          <w:rFonts w:eastAsia="Times New Roman"/>
          <w:noProof/>
          <w:szCs w:val="24"/>
        </w:rPr>
      </w:pPr>
      <w:r>
        <w:rPr>
          <w:noProof/>
          <w:szCs w:val="24"/>
        </w:rPr>
        <w:t xml:space="preserve">The second specific objective is to provide benefits </w:t>
      </w:r>
      <w:r>
        <w:rPr>
          <w:rStyle w:val="Hyperlink8"/>
          <w:noProof/>
          <w:szCs w:val="24"/>
        </w:rPr>
        <w:t xml:space="preserve">for European </w:t>
      </w:r>
      <w:r>
        <w:rPr>
          <w:rStyle w:val="None"/>
          <w:b/>
          <w:noProof/>
          <w:szCs w:val="24"/>
        </w:rPr>
        <w:t xml:space="preserve">transport operators and users, </w:t>
      </w:r>
      <w:r>
        <w:rPr>
          <w:rFonts w:eastAsiaTheme="minorEastAsia"/>
          <w:noProof/>
          <w:color w:val="000000" w:themeColor="text1"/>
          <w:lang w:val="en-IE"/>
        </w:rPr>
        <w:t>most of which are SMEs,</w:t>
      </w:r>
      <w:r>
        <w:rPr>
          <w:rStyle w:val="Hyperlink8"/>
          <w:b/>
          <w:noProof/>
          <w:szCs w:val="24"/>
        </w:rPr>
        <w:t xml:space="preserve"> </w:t>
      </w:r>
      <w:r>
        <w:rPr>
          <w:rStyle w:val="Hyperlink8"/>
          <w:noProof/>
          <w:szCs w:val="24"/>
        </w:rPr>
        <w:t>resulting</w:t>
      </w:r>
      <w:r>
        <w:rPr>
          <w:rStyle w:val="Hyperlink8"/>
          <w:b/>
          <w:noProof/>
          <w:szCs w:val="24"/>
        </w:rPr>
        <w:t xml:space="preserve"> </w:t>
      </w:r>
      <w:r>
        <w:rPr>
          <w:rStyle w:val="Hyperlink8"/>
          <w:noProof/>
          <w:szCs w:val="24"/>
        </w:rPr>
        <w:t>from a wider deployment of more energy-efficient vehicles</w:t>
      </w:r>
      <w:r>
        <w:rPr>
          <w:noProof/>
          <w:szCs w:val="24"/>
        </w:rPr>
        <w:t>. The HDV CO</w:t>
      </w:r>
      <w:r>
        <w:rPr>
          <w:noProof/>
          <w:szCs w:val="24"/>
          <w:vertAlign w:val="subscript"/>
        </w:rPr>
        <w:t>2</w:t>
      </w:r>
      <w:r>
        <w:rPr>
          <w:noProof/>
          <w:szCs w:val="24"/>
        </w:rPr>
        <w:t xml:space="preserve"> emission performance standards trigger manufacturers to increase the supply of zero-emission vehicles so that consumers can benefit from more affordable zero-emission vehicle models and significant energy savings from their use, hence decreasing the total cost of ownership of such vehicles. </w:t>
      </w:r>
    </w:p>
    <w:p w:rsidR="008F2B7C" w:rsidRDefault="008F2B7C" w:rsidP="008F2B7C">
      <w:pPr>
        <w:rPr>
          <w:noProof/>
          <w:szCs w:val="24"/>
        </w:rPr>
      </w:pPr>
      <w:r>
        <w:rPr>
          <w:noProof/>
          <w:szCs w:val="24"/>
        </w:rPr>
        <w:t xml:space="preserve">The third specific objective is to </w:t>
      </w:r>
      <w:r>
        <w:rPr>
          <w:rStyle w:val="Hyperlink8"/>
          <w:noProof/>
          <w:szCs w:val="24"/>
        </w:rPr>
        <w:t xml:space="preserve">strengthen the EU’s industrial </w:t>
      </w:r>
      <w:r>
        <w:rPr>
          <w:rStyle w:val="None"/>
          <w:b/>
          <w:noProof/>
          <w:szCs w:val="24"/>
        </w:rPr>
        <w:t>technological and innovation leadership</w:t>
      </w:r>
      <w:r>
        <w:rPr>
          <w:rStyle w:val="Hyperlink8"/>
          <w:noProof/>
          <w:szCs w:val="24"/>
        </w:rPr>
        <w:t xml:space="preserve"> by channelling investments into zero-emission technologies</w:t>
      </w:r>
      <w:r>
        <w:rPr>
          <w:noProof/>
          <w:szCs w:val="24"/>
        </w:rPr>
        <w:t xml:space="preserve">. While the automotive sector has been successful in developing and manufacturing advanced internal combustion engine vehicle technologies and marketing them worldwide, it needs to increasingly channel investments in zero-emission technologies to become a leading actor in the ongoing global transition towards zero-emission mobility. </w:t>
      </w:r>
    </w:p>
    <w:p w:rsidR="00571BD5" w:rsidRPr="002D5EE2" w:rsidRDefault="00571BD5" w:rsidP="006537B0">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rsidR="001C7855" w:rsidRDefault="001C7855" w:rsidP="001C7855">
      <w:pPr>
        <w:rPr>
          <w:noProof/>
          <w:szCs w:val="24"/>
        </w:rPr>
      </w:pPr>
      <w:r>
        <w:rPr>
          <w:noProof/>
          <w:szCs w:val="24"/>
        </w:rPr>
        <w:t xml:space="preserve">This initiative is closely interlinked with the proposals adopted under the ‘fit for 55’ package. </w:t>
      </w:r>
    </w:p>
    <w:p w:rsidR="00201B60" w:rsidRPr="00540B65" w:rsidRDefault="001C7855" w:rsidP="00201B60">
      <w:pPr>
        <w:rPr>
          <w:noProof/>
          <w:szCs w:val="24"/>
        </w:rPr>
      </w:pPr>
      <w:r>
        <w:rPr>
          <w:noProof/>
          <w:szCs w:val="24"/>
        </w:rPr>
        <w:t>By ensuring a reduction of road transport emissions, the CO</w:t>
      </w:r>
      <w:r>
        <w:rPr>
          <w:noProof/>
          <w:szCs w:val="24"/>
          <w:vertAlign w:val="subscript"/>
        </w:rPr>
        <w:t>2</w:t>
      </w:r>
      <w:r>
        <w:rPr>
          <w:noProof/>
          <w:szCs w:val="24"/>
        </w:rPr>
        <w:t xml:space="preserve"> emission standards notably support Member States in meeting their targets under </w:t>
      </w:r>
      <w:r w:rsidRPr="00540B65">
        <w:rPr>
          <w:noProof/>
          <w:szCs w:val="24"/>
        </w:rPr>
        <w:t xml:space="preserve">the </w:t>
      </w:r>
      <w:r w:rsidRPr="000A03A0">
        <w:rPr>
          <w:noProof/>
          <w:szCs w:val="24"/>
        </w:rPr>
        <w:t>Effort Sharing Regulation</w:t>
      </w:r>
      <w:r w:rsidRPr="00540B65">
        <w:rPr>
          <w:noProof/>
          <w:szCs w:val="24"/>
        </w:rPr>
        <w:t xml:space="preserve">. Since they incentivise </w:t>
      </w:r>
      <w:r w:rsidR="00BF02C9">
        <w:rPr>
          <w:noProof/>
          <w:szCs w:val="24"/>
        </w:rPr>
        <w:t xml:space="preserve">the </w:t>
      </w:r>
      <w:r w:rsidRPr="00540B65">
        <w:rPr>
          <w:noProof/>
          <w:szCs w:val="24"/>
        </w:rPr>
        <w:t>electrification of vehicles</w:t>
      </w:r>
      <w:r w:rsidR="00BF02C9">
        <w:rPr>
          <w:noProof/>
          <w:szCs w:val="24"/>
        </w:rPr>
        <w:t>,</w:t>
      </w:r>
      <w:r w:rsidRPr="00540B65">
        <w:rPr>
          <w:noProof/>
          <w:szCs w:val="24"/>
        </w:rPr>
        <w:t xml:space="preserve"> they contribute both to the energy efficiency objectives and by providing a complementary route to using renewable energy also to the renewables objective.</w:t>
      </w:r>
      <w:r w:rsidR="00201B60">
        <w:rPr>
          <w:noProof/>
          <w:szCs w:val="24"/>
        </w:rPr>
        <w:t xml:space="preserve"> </w:t>
      </w:r>
      <w:r w:rsidR="00201B60" w:rsidRPr="001710BB">
        <w:rPr>
          <w:noProof/>
          <w:lang w:val="en-IE"/>
        </w:rPr>
        <w:t xml:space="preserve">The proposal is also in line with the proposals that came out of the Conference on the Future of Europe, in particular proposals 3 and 4 on climate change, energy, transport, which explicitly </w:t>
      </w:r>
      <w:r w:rsidR="00201B60">
        <w:rPr>
          <w:noProof/>
          <w:lang w:val="en-IE"/>
        </w:rPr>
        <w:t>underline</w:t>
      </w:r>
      <w:r w:rsidR="00201B60" w:rsidRPr="001710BB">
        <w:rPr>
          <w:noProof/>
          <w:lang w:val="en-IE"/>
        </w:rPr>
        <w:t xml:space="preserve"> to further reduce dependencies from oil and gas and to promote the use of electric vehicles as well as investments in the necessary recharging infrastructure</w:t>
      </w:r>
      <w:r w:rsidR="00201B60">
        <w:rPr>
          <w:noProof/>
          <w:lang w:val="en-IE"/>
        </w:rPr>
        <w:t>.</w:t>
      </w:r>
    </w:p>
    <w:p w:rsidR="001C7855" w:rsidRPr="00540B65" w:rsidRDefault="001C7855" w:rsidP="001C7855">
      <w:pPr>
        <w:rPr>
          <w:noProof/>
          <w:szCs w:val="24"/>
        </w:rPr>
      </w:pPr>
      <w:r w:rsidRPr="00540B65">
        <w:rPr>
          <w:noProof/>
          <w:szCs w:val="24"/>
        </w:rPr>
        <w:t>There are clear complementarities between the CO</w:t>
      </w:r>
      <w:r w:rsidRPr="00540B65">
        <w:rPr>
          <w:noProof/>
          <w:szCs w:val="24"/>
          <w:vertAlign w:val="subscript"/>
        </w:rPr>
        <w:t>2</w:t>
      </w:r>
      <w:r w:rsidRPr="00540B65">
        <w:rPr>
          <w:noProof/>
          <w:szCs w:val="24"/>
        </w:rPr>
        <w:t xml:space="preserve"> emission standards and the emissions trading for buildings and road transport. The CO</w:t>
      </w:r>
      <w:r w:rsidRPr="00540B65">
        <w:rPr>
          <w:noProof/>
          <w:szCs w:val="24"/>
          <w:vertAlign w:val="subscript"/>
        </w:rPr>
        <w:t>2</w:t>
      </w:r>
      <w:r w:rsidRPr="00540B65">
        <w:rPr>
          <w:noProof/>
          <w:szCs w:val="24"/>
        </w:rPr>
        <w:t xml:space="preserve"> emission standards address the supply of more fuel</w:t>
      </w:r>
      <w:r w:rsidR="00BF02C9">
        <w:rPr>
          <w:noProof/>
          <w:szCs w:val="24"/>
        </w:rPr>
        <w:t>-</w:t>
      </w:r>
      <w:r w:rsidRPr="00540B65">
        <w:rPr>
          <w:noProof/>
          <w:szCs w:val="24"/>
        </w:rPr>
        <w:t>efficient and zero-emission vehicles, setting requirements on vehicle manufacturers with regard to their new vehicle fleets. The extension of emissions trading concerns the fuel use in the entire vehicle stock. It could increase both the demand for more fuel-efficient vehicles and for zero</w:t>
      </w:r>
      <w:r w:rsidR="00BF02C9">
        <w:rPr>
          <w:noProof/>
          <w:szCs w:val="24"/>
        </w:rPr>
        <w:t>-</w:t>
      </w:r>
      <w:r w:rsidRPr="00540B65">
        <w:rPr>
          <w:noProof/>
          <w:szCs w:val="24"/>
        </w:rPr>
        <w:t>emission vehicles, thus facilitating the fulfilment of the CO</w:t>
      </w:r>
      <w:r w:rsidRPr="00540B65">
        <w:rPr>
          <w:noProof/>
          <w:szCs w:val="24"/>
          <w:vertAlign w:val="subscript"/>
        </w:rPr>
        <w:t>2</w:t>
      </w:r>
      <w:r w:rsidRPr="00540B65">
        <w:rPr>
          <w:noProof/>
          <w:szCs w:val="24"/>
        </w:rPr>
        <w:t xml:space="preserve"> efficiency objectives of the vehicle manufacturers.</w:t>
      </w:r>
    </w:p>
    <w:p w:rsidR="001C7855" w:rsidRDefault="001C7855" w:rsidP="001C7855">
      <w:pPr>
        <w:rPr>
          <w:noProof/>
          <w:szCs w:val="24"/>
        </w:rPr>
      </w:pPr>
      <w:r w:rsidRPr="00540B65">
        <w:rPr>
          <w:noProof/>
          <w:szCs w:val="24"/>
        </w:rPr>
        <w:lastRenderedPageBreak/>
        <w:t>The CO</w:t>
      </w:r>
      <w:r w:rsidRPr="00540B65">
        <w:rPr>
          <w:noProof/>
          <w:szCs w:val="24"/>
          <w:vertAlign w:val="subscript"/>
        </w:rPr>
        <w:t>2</w:t>
      </w:r>
      <w:r w:rsidRPr="00540B65">
        <w:rPr>
          <w:noProof/>
          <w:szCs w:val="24"/>
        </w:rPr>
        <w:t xml:space="preserve"> emission standards, supplying new zero-emission vehicles to the market, are also a complementary measure to the</w:t>
      </w:r>
      <w:r w:rsidRPr="000A03A0">
        <w:rPr>
          <w:noProof/>
          <w:szCs w:val="24"/>
        </w:rPr>
        <w:t xml:space="preserve"> Renewable Energy Directive</w:t>
      </w:r>
      <w:r>
        <w:rPr>
          <w:noProof/>
          <w:szCs w:val="24"/>
        </w:rPr>
        <w:t>, which incentivises the uptake of renewable and low</w:t>
      </w:r>
      <w:r w:rsidR="00BF02C9">
        <w:rPr>
          <w:noProof/>
          <w:szCs w:val="24"/>
        </w:rPr>
        <w:t>-</w:t>
      </w:r>
      <w:r>
        <w:rPr>
          <w:noProof/>
          <w:szCs w:val="24"/>
        </w:rPr>
        <w:t xml:space="preserve">carbon fuels for the combustion engine vehicles in the stock. </w:t>
      </w:r>
    </w:p>
    <w:p w:rsidR="001C7855" w:rsidRDefault="001C7855" w:rsidP="001C7855">
      <w:pPr>
        <w:rPr>
          <w:noProof/>
          <w:szCs w:val="24"/>
        </w:rPr>
      </w:pPr>
      <w:r>
        <w:rPr>
          <w:noProof/>
          <w:szCs w:val="24"/>
        </w:rPr>
        <w:t>There are also important synergies between CO</w:t>
      </w:r>
      <w:r>
        <w:rPr>
          <w:noProof/>
          <w:szCs w:val="24"/>
          <w:vertAlign w:val="subscript"/>
        </w:rPr>
        <w:t>2</w:t>
      </w:r>
      <w:r>
        <w:rPr>
          <w:noProof/>
          <w:szCs w:val="24"/>
        </w:rPr>
        <w:t xml:space="preserve"> emission standards and a strengthened emissions trading system (ETS)</w:t>
      </w:r>
      <w:r w:rsidR="00BF02C9">
        <w:rPr>
          <w:noProof/>
          <w:szCs w:val="24"/>
        </w:rPr>
        <w:t>,</w:t>
      </w:r>
      <w:r>
        <w:rPr>
          <w:noProof/>
          <w:szCs w:val="24"/>
        </w:rPr>
        <w:t xml:space="preserve"> and the Renewable Energy Directive. The emissions trading system and the Renewable Energy Directive will drive </w:t>
      </w:r>
      <w:r w:rsidR="00BF02C9">
        <w:rPr>
          <w:noProof/>
          <w:szCs w:val="24"/>
        </w:rPr>
        <w:t xml:space="preserve">the </w:t>
      </w:r>
      <w:r>
        <w:rPr>
          <w:noProof/>
          <w:szCs w:val="24"/>
        </w:rPr>
        <w:t>decarbonisation of power generation so that zero-emission vehicles, incentivised by the CO</w:t>
      </w:r>
      <w:r>
        <w:rPr>
          <w:noProof/>
          <w:szCs w:val="24"/>
          <w:vertAlign w:val="subscript"/>
        </w:rPr>
        <w:t>2</w:t>
      </w:r>
      <w:r>
        <w:rPr>
          <w:noProof/>
          <w:szCs w:val="24"/>
        </w:rPr>
        <w:t xml:space="preserve"> emission standards, are progressively powered by renewable energy sources</w:t>
      </w:r>
      <w:r w:rsidR="00BF02C9">
        <w:rPr>
          <w:noProof/>
          <w:szCs w:val="24"/>
        </w:rPr>
        <w:t>,</w:t>
      </w:r>
      <w:r>
        <w:rPr>
          <w:noProof/>
          <w:szCs w:val="24"/>
        </w:rPr>
        <w:t xml:space="preserve"> thus achieving decarbonisation of full well-to-wheel emissions.</w:t>
      </w:r>
    </w:p>
    <w:p w:rsidR="0010553E" w:rsidRDefault="0010553E" w:rsidP="0010553E">
      <w:pPr>
        <w:rPr>
          <w:noProof/>
          <w:szCs w:val="24"/>
        </w:rPr>
      </w:pPr>
      <w:r>
        <w:rPr>
          <w:noProof/>
          <w:szCs w:val="24"/>
        </w:rPr>
        <w:t>Important synergies also exist with the Euro 7 emission type approval</w:t>
      </w:r>
      <w:r w:rsidR="006725DE">
        <w:rPr>
          <w:noProof/>
          <w:szCs w:val="24"/>
        </w:rPr>
        <w:t xml:space="preserve"> proposal</w:t>
      </w:r>
      <w:r>
        <w:rPr>
          <w:noProof/>
          <w:szCs w:val="24"/>
        </w:rPr>
        <w:t xml:space="preserve">, ensuring that all vehicles are as clean as technologically and economically feasible. This is particularly important since even </w:t>
      </w:r>
      <w:r w:rsidR="00EB36B4">
        <w:rPr>
          <w:noProof/>
          <w:szCs w:val="24"/>
        </w:rPr>
        <w:t>z</w:t>
      </w:r>
      <w:r>
        <w:rPr>
          <w:noProof/>
          <w:szCs w:val="24"/>
        </w:rPr>
        <w:t xml:space="preserve">ero </w:t>
      </w:r>
      <w:r w:rsidR="00EB36B4">
        <w:rPr>
          <w:noProof/>
          <w:szCs w:val="24"/>
        </w:rPr>
        <w:t>e</w:t>
      </w:r>
      <w:r>
        <w:rPr>
          <w:noProof/>
          <w:szCs w:val="24"/>
        </w:rPr>
        <w:t xml:space="preserve">mission </w:t>
      </w:r>
      <w:r w:rsidR="00EB36B4">
        <w:rPr>
          <w:noProof/>
          <w:szCs w:val="24"/>
        </w:rPr>
        <w:t>v</w:t>
      </w:r>
      <w:r>
        <w:rPr>
          <w:noProof/>
          <w:szCs w:val="24"/>
        </w:rPr>
        <w:t xml:space="preserve">ehicles, still emit microplastics from tyres and particles from brake systems. </w:t>
      </w:r>
      <w:r w:rsidR="006725DE">
        <w:rPr>
          <w:noProof/>
          <w:szCs w:val="24"/>
        </w:rPr>
        <w:t>It is proposed to regulate t</w:t>
      </w:r>
      <w:r>
        <w:rPr>
          <w:noProof/>
          <w:szCs w:val="24"/>
        </w:rPr>
        <w:t xml:space="preserve">hese non-exhaust emissions in Euro 7. </w:t>
      </w:r>
    </w:p>
    <w:p w:rsidR="001C7855" w:rsidRDefault="001C7855" w:rsidP="001C7855">
      <w:pPr>
        <w:rPr>
          <w:noProof/>
          <w:szCs w:val="24"/>
        </w:rPr>
      </w:pPr>
      <w:r>
        <w:rPr>
          <w:noProof/>
          <w:szCs w:val="24"/>
        </w:rPr>
        <w:t>Finally, while the CO</w:t>
      </w:r>
      <w:r>
        <w:rPr>
          <w:noProof/>
          <w:szCs w:val="24"/>
          <w:vertAlign w:val="subscript"/>
        </w:rPr>
        <w:t>2</w:t>
      </w:r>
      <w:r>
        <w:rPr>
          <w:noProof/>
          <w:szCs w:val="24"/>
        </w:rPr>
        <w:t xml:space="preserve"> emission standards ensure the supply of zero-emission vehicles, the </w:t>
      </w:r>
      <w:r w:rsidRPr="003E74F5">
        <w:rPr>
          <w:b/>
          <w:noProof/>
          <w:szCs w:val="24"/>
        </w:rPr>
        <w:t xml:space="preserve">Alternative Fuels Infrastructure </w:t>
      </w:r>
      <w:r>
        <w:rPr>
          <w:b/>
          <w:noProof/>
          <w:szCs w:val="24"/>
        </w:rPr>
        <w:t>Regulation</w:t>
      </w:r>
      <w:r w:rsidR="008670C1">
        <w:rPr>
          <w:b/>
          <w:noProof/>
          <w:szCs w:val="24"/>
        </w:rPr>
        <w:t xml:space="preserve"> </w:t>
      </w:r>
      <w:r>
        <w:rPr>
          <w:noProof/>
          <w:szCs w:val="24"/>
        </w:rPr>
        <w:t xml:space="preserve">is a necessary complementary instrument to address the market barrier </w:t>
      </w:r>
      <w:r w:rsidR="00BF02C9">
        <w:rPr>
          <w:noProof/>
          <w:szCs w:val="24"/>
        </w:rPr>
        <w:t xml:space="preserve">to </w:t>
      </w:r>
      <w:r>
        <w:rPr>
          <w:noProof/>
          <w:szCs w:val="24"/>
        </w:rPr>
        <w:t xml:space="preserve">the deployment of infrastructure. </w:t>
      </w:r>
    </w:p>
    <w:p w:rsidR="001C7855" w:rsidRDefault="001C7855" w:rsidP="001C7855">
      <w:pPr>
        <w:rPr>
          <w:noProof/>
          <w:szCs w:val="24"/>
        </w:rPr>
      </w:pPr>
      <w:r>
        <w:rPr>
          <w:noProof/>
          <w:szCs w:val="24"/>
        </w:rPr>
        <w:t>A combination of energy taxation, investment in charging and refuelling infrastructure, new carbon pricing and updated CO</w:t>
      </w:r>
      <w:r>
        <w:rPr>
          <w:noProof/>
          <w:szCs w:val="24"/>
          <w:vertAlign w:val="subscript"/>
        </w:rPr>
        <w:t>2</w:t>
      </w:r>
      <w:r>
        <w:rPr>
          <w:noProof/>
          <w:szCs w:val="24"/>
        </w:rPr>
        <w:t xml:space="preserve"> standards leads to a balanced and cost-effective approach for the reduction of emissions from road transport, addressing market barriers and failures as well as providing investors certainty to invest in zero-emission technologies.</w:t>
      </w:r>
    </w:p>
    <w:p w:rsidR="00571BD5" w:rsidRPr="002D5EE2" w:rsidRDefault="00571BD5" w:rsidP="006537B0">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rsidR="001C7855" w:rsidRDefault="001C7855" w:rsidP="001C7855">
      <w:pPr>
        <w:rPr>
          <w:noProof/>
          <w:szCs w:val="24"/>
        </w:rPr>
      </w:pPr>
      <w:r>
        <w:rPr>
          <w:noProof/>
          <w:szCs w:val="24"/>
        </w:rPr>
        <w:t>This proposal is consistent with all EU actions and policies and help</w:t>
      </w:r>
      <w:r w:rsidR="00BF02C9">
        <w:rPr>
          <w:noProof/>
          <w:szCs w:val="24"/>
        </w:rPr>
        <w:t>s</w:t>
      </w:r>
      <w:r>
        <w:rPr>
          <w:noProof/>
          <w:szCs w:val="24"/>
        </w:rPr>
        <w:t xml:space="preserve"> the EU achieve the increased 2030 target and a successful and just transition towards the 2050 climate neutrality</w:t>
      </w:r>
      <w:r w:rsidR="00BF02C9">
        <w:rPr>
          <w:noProof/>
          <w:szCs w:val="24"/>
        </w:rPr>
        <w:t xml:space="preserve"> target</w:t>
      </w:r>
      <w:r>
        <w:rPr>
          <w:noProof/>
          <w:szCs w:val="24"/>
        </w:rPr>
        <w:t xml:space="preserve">, as stated by the Commission in the European Green Deal Communication. </w:t>
      </w:r>
    </w:p>
    <w:p w:rsidR="008F2B7C" w:rsidRDefault="008F2B7C" w:rsidP="008F2B7C">
      <w:pPr>
        <w:rPr>
          <w:noProof/>
          <w:szCs w:val="24"/>
        </w:rPr>
      </w:pPr>
      <w:r>
        <w:rPr>
          <w:noProof/>
          <w:szCs w:val="24"/>
        </w:rPr>
        <w:t xml:space="preserve">Together with the proposal that is part of the ‘fit for 55’ package, the Next Generation EU, the REPowerEU Plan and the Multiannual Financial Framework for 2021-2027, it will help achieve the twin green and digital transitions that Europe is aiming for. The combination of these policies will accelerate the shift to a clean and sustainable economy, linking climate action and economic growth. The initiative is also consistent with the Union policies on a clean and circular economy, sustainable and smart mobility and the </w:t>
      </w:r>
      <w:r>
        <w:rPr>
          <w:noProof/>
        </w:rPr>
        <w:t>objectives of the Zero Pollution Action Plan</w:t>
      </w:r>
      <w:r>
        <w:rPr>
          <w:rStyle w:val="FootnoteReference"/>
          <w:noProof/>
        </w:rPr>
        <w:footnoteReference w:id="2"/>
      </w:r>
      <w:r>
        <w:rPr>
          <w:noProof/>
        </w:rPr>
        <w:t>. As accelerating the uptake of zero-emission HDVs will lead to reductions in air pollution, with co-benefits for water and soil too out of reduced pollution via atmospheric deposition, the initiative contributes to clean air objectives, including to the stricter air quality standards in the proposed revision</w:t>
      </w:r>
      <w:r>
        <w:rPr>
          <w:rStyle w:val="FootnoteReference"/>
          <w:noProof/>
        </w:rPr>
        <w:footnoteReference w:id="3"/>
      </w:r>
      <w:r>
        <w:rPr>
          <w:noProof/>
        </w:rPr>
        <w:t xml:space="preserve"> of the Ambient Air Quality Directives</w:t>
      </w:r>
      <w:r>
        <w:rPr>
          <w:noProof/>
          <w:szCs w:val="24"/>
        </w:rPr>
        <w:t xml:space="preserve">. </w:t>
      </w:r>
    </w:p>
    <w:p w:rsidR="00432477" w:rsidRDefault="001C7855" w:rsidP="00432477">
      <w:pPr>
        <w:autoSpaceDE w:val="0"/>
        <w:autoSpaceDN w:val="0"/>
        <w:spacing w:before="40" w:after="40"/>
        <w:rPr>
          <w:noProof/>
          <w:sz w:val="22"/>
          <w:lang w:val="en-IE"/>
        </w:rPr>
      </w:pPr>
      <w:r>
        <w:rPr>
          <w:noProof/>
          <w:szCs w:val="24"/>
        </w:rPr>
        <w:t xml:space="preserve">As announced in its Communication </w:t>
      </w:r>
      <w:r>
        <w:rPr>
          <w:b/>
          <w:noProof/>
        </w:rPr>
        <w:t>Updating the 2020 New Industrial Strategy: Building a stronger Single Market for Europe’s recovery</w:t>
      </w:r>
      <w:r w:rsidRPr="00C9020F">
        <w:rPr>
          <w:rStyle w:val="FootnoteReference"/>
          <w:noProof/>
        </w:rPr>
        <w:footnoteReference w:id="4"/>
      </w:r>
      <w:r>
        <w:rPr>
          <w:noProof/>
        </w:rPr>
        <w:t xml:space="preserve">, the Commission is engaging together with public authorities, stakeholders and social partners in a co-creation process to identify the green and digital transition pathways that will support the scale-up of the manufacturing of zero-emission vehicles, the rapid deployment of alternative fuels infrastructure and the associated up- and re-skilling of workers. </w:t>
      </w:r>
      <w:r w:rsidR="0069693A" w:rsidRPr="00A4241B">
        <w:rPr>
          <w:noProof/>
        </w:rPr>
        <w:t xml:space="preserve">The </w:t>
      </w:r>
      <w:r w:rsidR="0069693A" w:rsidRPr="00DD6761">
        <w:rPr>
          <w:noProof/>
        </w:rPr>
        <w:t>Green Deal Industrial Plan</w:t>
      </w:r>
      <w:r w:rsidR="00524A44">
        <w:rPr>
          <w:rStyle w:val="FootnoteReference"/>
          <w:noProof/>
        </w:rPr>
        <w:footnoteReference w:id="5"/>
      </w:r>
      <w:r w:rsidR="0069693A" w:rsidRPr="00DD6761">
        <w:rPr>
          <w:noProof/>
        </w:rPr>
        <w:t> will enhance the competitiveness of Europe's net-zero industry and support the fast transition to climate neutrality.</w:t>
      </w:r>
      <w:r w:rsidR="00432477">
        <w:rPr>
          <w:noProof/>
        </w:rPr>
        <w:t xml:space="preserve"> </w:t>
      </w:r>
      <w:r w:rsidR="00432477">
        <w:rPr>
          <w:noProof/>
          <w:szCs w:val="24"/>
        </w:rPr>
        <w:t xml:space="preserve">Such </w:t>
      </w:r>
      <w:r w:rsidR="00524A44">
        <w:rPr>
          <w:noProof/>
          <w:szCs w:val="24"/>
        </w:rPr>
        <w:t>p</w:t>
      </w:r>
      <w:r w:rsidR="00432477">
        <w:rPr>
          <w:noProof/>
          <w:szCs w:val="24"/>
        </w:rPr>
        <w:t xml:space="preserve">lan aims to provide a more supportive environment for the scaling up of the </w:t>
      </w:r>
      <w:r w:rsidR="00432477">
        <w:rPr>
          <w:noProof/>
          <w:szCs w:val="24"/>
        </w:rPr>
        <w:lastRenderedPageBreak/>
        <w:t>EU's manufacturing capacity for the net-zero technologies and products required to meet Europe's ambitious climate targets.</w:t>
      </w:r>
      <w:r w:rsidR="00432477">
        <w:rPr>
          <w:rFonts w:ascii="Segoe UI" w:hAnsi="Segoe UI" w:cs="Segoe UI"/>
          <w:noProof/>
          <w:color w:val="000000"/>
          <w:sz w:val="20"/>
          <w:szCs w:val="20"/>
        </w:rPr>
        <w:t xml:space="preserve"> </w:t>
      </w:r>
    </w:p>
    <w:p w:rsidR="001C7855" w:rsidRDefault="001C7855" w:rsidP="001C7855">
      <w:pPr>
        <w:rPr>
          <w:noProof/>
        </w:rPr>
      </w:pPr>
      <w:r>
        <w:rPr>
          <w:noProof/>
        </w:rPr>
        <w:t xml:space="preserve">This initiative is also consistent with the EU’s policy for research and innovation. Support </w:t>
      </w:r>
      <w:r w:rsidR="00BF02C9">
        <w:rPr>
          <w:noProof/>
        </w:rPr>
        <w:t xml:space="preserve">for </w:t>
      </w:r>
      <w:r>
        <w:rPr>
          <w:noProof/>
        </w:rPr>
        <w:t xml:space="preserve">the development of zero-emission technologies is also foreseen under the EU’s Framework Programme for Research and Innovation, and in particular through Horizon Europe partnerships. </w:t>
      </w:r>
    </w:p>
    <w:p w:rsidR="005D683A" w:rsidRDefault="005D683A" w:rsidP="001C7855">
      <w:pPr>
        <w:rPr>
          <w:noProof/>
        </w:rPr>
      </w:pPr>
      <w:r w:rsidRPr="005D683A">
        <w:rPr>
          <w:noProof/>
        </w:rPr>
        <w:t>The initiative is consistent with EU funding for zero or low emission vehicles and clean transport. Funding via the Cohesion Fund, the European Regional Development Fund and the Just Transition Fund joinly amounts to € 8.2 billion for clean urban transport infrastructure, € 5.1 billion for clean urban transport rolling stock, € 1.1 billion for alternative fuels infrastructure, € 408 million for the digitalisation of urban transport - greenhouse gas emissions, and € 141 million for the digitalisation of road transport - greenhouse gas emissions. Furthermore, support from the Recovery and Resilience Facility amounts to € 7.7 billion for clean urban transport infrastructure, € 5.4 billion for clean urban transport rolling stock, € 60 million for the digitalisation of transport when dedicated in part to the reduction of greenhouse gas emissions in urban transport, € 380 million for the digitalisation of transport when dedicated in part to the reduction of greenhouse gas emissions in road transport, and € 7.6 billion for zero or low emission vehicles.</w:t>
      </w:r>
    </w:p>
    <w:p w:rsidR="00AF6F64" w:rsidRPr="00AF6F64" w:rsidRDefault="00AF6F64" w:rsidP="001C7855">
      <w:pPr>
        <w:rPr>
          <w:noProof/>
        </w:rPr>
      </w:pPr>
      <w:r w:rsidRPr="00AF6F64">
        <w:rPr>
          <w:noProof/>
        </w:rPr>
        <w:t>On 12 January 2023, the Foreign Subsidies Regulation  entered into force. This new set of rules for addressing distortions caused by foreign subsidies will allow the EU to remain open to trade and investment, while ensuring a level playing field for all companies operating in the Single Market</w:t>
      </w:r>
      <w:r>
        <w:rPr>
          <w:noProof/>
        </w:rPr>
        <w:t>.</w:t>
      </w:r>
    </w:p>
    <w:p w:rsidR="00571BD5" w:rsidRPr="002D5EE2" w:rsidRDefault="00571BD5" w:rsidP="006537B0">
      <w:pPr>
        <w:pStyle w:val="ManualHeading1"/>
        <w:rPr>
          <w:noProof/>
        </w:rPr>
      </w:pPr>
      <w:r w:rsidRPr="002D5EE2">
        <w:rPr>
          <w:noProof/>
        </w:rPr>
        <w:t>2.</w:t>
      </w:r>
      <w:r w:rsidRPr="002D5EE2">
        <w:rPr>
          <w:noProof/>
        </w:rPr>
        <w:tab/>
        <w:t>LEGAL BASIS, SUBSIDIARITY AND PROPORTIONALITY</w:t>
      </w:r>
    </w:p>
    <w:p w:rsidR="00571BD5" w:rsidRPr="002D5EE2" w:rsidRDefault="00571BD5" w:rsidP="006537B0">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rsidR="001C7855" w:rsidRDefault="001C7855" w:rsidP="001C7855">
      <w:pPr>
        <w:rPr>
          <w:rStyle w:val="Hyperlink8"/>
          <w:noProof/>
        </w:rPr>
      </w:pPr>
      <w:r>
        <w:rPr>
          <w:rStyle w:val="Hyperlink8"/>
          <w:noProof/>
        </w:rPr>
        <w:t xml:space="preserve">The legal basis for this proposal is Article 192 of the Treaty of the Functioning of the European Union (TFEU). </w:t>
      </w:r>
      <w:r w:rsidRPr="0CDD1B26">
        <w:rPr>
          <w:noProof/>
        </w:rPr>
        <w:t>In accordance with Article 191 and 192(1) TFEU, the European Union shall contribute to the pursuit, inter alia, of the following objectives: preserving, protecting and improving the quality of the environment; promoting measures at</w:t>
      </w:r>
      <w:r w:rsidR="00BF02C9">
        <w:rPr>
          <w:noProof/>
        </w:rPr>
        <w:t xml:space="preserve"> the</w:t>
      </w:r>
      <w:r w:rsidRPr="0CDD1B26">
        <w:rPr>
          <w:noProof/>
        </w:rPr>
        <w:t xml:space="preserve"> international level to deal with regional or worldwide environmental problems, and in particular combating climate change. </w:t>
      </w:r>
      <w:r w:rsidRPr="0CDD1B26">
        <w:rPr>
          <w:rStyle w:val="Hyperlink8"/>
          <w:noProof/>
        </w:rPr>
        <w:t>Regulation (EU) 2019/1242 and Regulation (EU) 2018/956 were both b</w:t>
      </w:r>
      <w:r>
        <w:rPr>
          <w:rStyle w:val="Hyperlink8"/>
          <w:noProof/>
        </w:rPr>
        <w:t>ased on Article 192 of the TFEU</w:t>
      </w:r>
      <w:r w:rsidRPr="0CDD1B26">
        <w:rPr>
          <w:rStyle w:val="Hyperlink8"/>
          <w:noProof/>
        </w:rPr>
        <w:t>.</w:t>
      </w:r>
    </w:p>
    <w:p w:rsidR="00571BD5" w:rsidRPr="002D5EE2" w:rsidRDefault="00571BD5" w:rsidP="006537B0">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rsidR="001C7855" w:rsidRDefault="001C7855" w:rsidP="001C7855">
      <w:pPr>
        <w:rPr>
          <w:noProof/>
          <w:szCs w:val="24"/>
        </w:rPr>
      </w:pPr>
      <w:r>
        <w:rPr>
          <w:noProof/>
          <w:szCs w:val="24"/>
        </w:rPr>
        <w:t xml:space="preserve">Climate change is a trans-boundary problem which cannot be solved by national or local action alone. Coordination of climate action must be taken at </w:t>
      </w:r>
      <w:r w:rsidR="00BF02C9">
        <w:rPr>
          <w:noProof/>
          <w:szCs w:val="24"/>
        </w:rPr>
        <w:t xml:space="preserve">the </w:t>
      </w:r>
      <w:r>
        <w:rPr>
          <w:noProof/>
          <w:szCs w:val="24"/>
        </w:rPr>
        <w:t xml:space="preserve">European level and, where possible, at </w:t>
      </w:r>
      <w:r w:rsidR="00BF02C9">
        <w:rPr>
          <w:noProof/>
          <w:szCs w:val="24"/>
        </w:rPr>
        <w:t xml:space="preserve">the </w:t>
      </w:r>
      <w:r>
        <w:rPr>
          <w:noProof/>
          <w:szCs w:val="24"/>
        </w:rPr>
        <w:t xml:space="preserve">global level. EU action is justified on </w:t>
      </w:r>
      <w:r w:rsidR="00BF02C9">
        <w:rPr>
          <w:noProof/>
          <w:szCs w:val="24"/>
        </w:rPr>
        <w:t xml:space="preserve">the </w:t>
      </w:r>
      <w:r>
        <w:rPr>
          <w:noProof/>
          <w:szCs w:val="24"/>
        </w:rPr>
        <w:t>grounds of subsidiarity as set out in Article 5 of the Treaty of the European Union. Since 1992, the European Union has worked to develop joint solutions and drive forward global action to tackle climate change. More specifically, action at</w:t>
      </w:r>
      <w:r w:rsidR="00BF02C9">
        <w:rPr>
          <w:noProof/>
          <w:szCs w:val="24"/>
        </w:rPr>
        <w:t xml:space="preserve"> the</w:t>
      </w:r>
      <w:r>
        <w:rPr>
          <w:noProof/>
          <w:szCs w:val="24"/>
        </w:rPr>
        <w:t xml:space="preserve"> EU level will provide for cost</w:t>
      </w:r>
      <w:r w:rsidR="00BF02C9">
        <w:rPr>
          <w:noProof/>
          <w:szCs w:val="24"/>
        </w:rPr>
        <w:t>-</w:t>
      </w:r>
      <w:r>
        <w:rPr>
          <w:noProof/>
          <w:szCs w:val="24"/>
        </w:rPr>
        <w:t xml:space="preserve">effective delivery of the 2030 and long-term emission reduction objectives while ensuring fairness and environmental integrity. Articles 191 to 193 of the TFEU confirm and specify EU competencies in the area of climate change. </w:t>
      </w:r>
    </w:p>
    <w:p w:rsidR="001C7855" w:rsidRDefault="001C7855" w:rsidP="001C7855">
      <w:pPr>
        <w:rPr>
          <w:rStyle w:val="None"/>
          <w:rFonts w:eastAsia="Times New Roman"/>
          <w:noProof/>
          <w:szCs w:val="24"/>
        </w:rPr>
      </w:pPr>
      <w:r>
        <w:rPr>
          <w:rStyle w:val="None"/>
          <w:noProof/>
          <w:szCs w:val="24"/>
        </w:rPr>
        <w:t xml:space="preserve">In light of the emission reduction target for 2030, and in the perspective of the climate neutrality objective to be achieved by 2050, stronger EU action is needed to ensure a sufficiently high contribution of the road transport sector. </w:t>
      </w:r>
    </w:p>
    <w:p w:rsidR="008F2B7C" w:rsidRDefault="008F2B7C" w:rsidP="008F2B7C">
      <w:pPr>
        <w:rPr>
          <w:rStyle w:val="None"/>
          <w:noProof/>
          <w:szCs w:val="24"/>
        </w:rPr>
      </w:pPr>
      <w:r>
        <w:rPr>
          <w:rStyle w:val="None"/>
          <w:noProof/>
          <w:szCs w:val="24"/>
        </w:rPr>
        <w:lastRenderedPageBreak/>
        <w:t xml:space="preserve">Although initiatives at the national, regional and local levels can create synergies, alone they will not be sufficient, also considering the inherent international </w:t>
      </w:r>
      <w:r>
        <w:rPr>
          <w:rStyle w:val="None"/>
          <w:noProof/>
        </w:rPr>
        <w:t>dimension</w:t>
      </w:r>
      <w:r>
        <w:rPr>
          <w:rStyle w:val="None"/>
          <w:noProof/>
          <w:szCs w:val="24"/>
        </w:rPr>
        <w:t xml:space="preserve"> of road freight transport. A lack of coordinated EU action would translate into a risk of internal market fragmentation due to the diversity of national schemes, differing ambition levels and design parameters. On their own, individual Member States would also represent a market too small to drive industry-level changes and create economies of scale.</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rsidR="00FA1159" w:rsidRDefault="00FA1159" w:rsidP="001C7855">
      <w:pPr>
        <w:rPr>
          <w:noProof/>
          <w:szCs w:val="24"/>
        </w:rPr>
      </w:pPr>
      <w:r>
        <w:rPr>
          <w:noProof/>
          <w:szCs w:val="24"/>
        </w:rPr>
        <w:t>This proposal revises the existing CO</w:t>
      </w:r>
      <w:r>
        <w:rPr>
          <w:noProof/>
          <w:szCs w:val="24"/>
          <w:vertAlign w:val="subscript"/>
        </w:rPr>
        <w:t xml:space="preserve">2 </w:t>
      </w:r>
      <w:r>
        <w:rPr>
          <w:noProof/>
          <w:szCs w:val="24"/>
        </w:rPr>
        <w:t xml:space="preserve">emission standards for </w:t>
      </w:r>
      <w:r w:rsidRPr="4DC343E2">
        <w:rPr>
          <w:noProof/>
        </w:rPr>
        <w:t xml:space="preserve">heavy-duty </w:t>
      </w:r>
      <w:r>
        <w:rPr>
          <w:noProof/>
          <w:szCs w:val="24"/>
        </w:rPr>
        <w:t xml:space="preserve">vehicles in order to contribute to the achievement of the climate targets set in the Climate Law. </w:t>
      </w:r>
      <w:r w:rsidR="001C7855">
        <w:rPr>
          <w:noProof/>
          <w:szCs w:val="24"/>
        </w:rPr>
        <w:t>Th</w:t>
      </w:r>
      <w:r>
        <w:rPr>
          <w:noProof/>
          <w:szCs w:val="24"/>
        </w:rPr>
        <w:t>e</w:t>
      </w:r>
      <w:r w:rsidR="001C7855">
        <w:rPr>
          <w:noProof/>
          <w:szCs w:val="24"/>
        </w:rPr>
        <w:t xml:space="preserve"> proposal complies with the proportionality principle because it does not go beyond what is necessary in order to achieve the Union’s objectives of reducing greenhouse gas emissions in a cost-effective manner, while ensuring fairness and environmental integrity.</w:t>
      </w:r>
      <w:r>
        <w:rPr>
          <w:noProof/>
          <w:szCs w:val="24"/>
        </w:rPr>
        <w:t xml:space="preserve"> The projected additional costs related to the proposal are outweighted by the provided benefits. </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rsidR="001C7855" w:rsidRDefault="001C7855" w:rsidP="001C7855">
      <w:pPr>
        <w:pStyle w:val="Text10"/>
        <w:ind w:left="0"/>
        <w:rPr>
          <w:noProof/>
          <w:lang w:val="en-US" w:eastAsia="en-GB"/>
        </w:rPr>
      </w:pPr>
      <w:r>
        <w:rPr>
          <w:noProof/>
          <w:lang w:val="en-US" w:eastAsia="en-GB"/>
        </w:rPr>
        <w:t>The proposal provides for an amendment of Regulation (EU) 2019/1242</w:t>
      </w:r>
      <w:r w:rsidR="00C90333">
        <w:rPr>
          <w:noProof/>
          <w:lang w:val="en-US" w:eastAsia="en-GB"/>
        </w:rPr>
        <w:t>,</w:t>
      </w:r>
      <w:r>
        <w:rPr>
          <w:noProof/>
          <w:lang w:val="en-US" w:eastAsia="en-GB"/>
        </w:rPr>
        <w:t xml:space="preserve"> and a Regulation is therefore the only appropriate legal instrument. </w:t>
      </w:r>
    </w:p>
    <w:p w:rsidR="00571BD5" w:rsidRPr="00550536" w:rsidRDefault="00571BD5" w:rsidP="006537B0">
      <w:pPr>
        <w:pStyle w:val="ManualHeading1"/>
        <w:rPr>
          <w:noProof/>
        </w:rPr>
      </w:pPr>
      <w:r w:rsidRPr="00550536">
        <w:rPr>
          <w:noProof/>
        </w:rPr>
        <w:t>3.</w:t>
      </w:r>
      <w:r w:rsidRPr="00550536">
        <w:rPr>
          <w:noProof/>
        </w:rPr>
        <w:tab/>
        <w:t>RESULTS OF EX-POST EVALUATIONS, STAKEHOLDER CONSULTATIONS AND IMPACT ASSESSMENTS</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rsidR="001C7855" w:rsidRDefault="001C7855" w:rsidP="001C7855">
      <w:pPr>
        <w:rPr>
          <w:rStyle w:val="None"/>
          <w:rFonts w:eastAsia="Arial Unicode MS" w:cs="Arial Unicode MS"/>
          <w:noProof/>
        </w:rPr>
      </w:pPr>
      <w:r>
        <w:rPr>
          <w:rStyle w:val="None"/>
          <w:rFonts w:eastAsia="Arial Unicode MS" w:cs="Arial Unicode MS"/>
          <w:noProof/>
        </w:rPr>
        <w:t>The HDV CO</w:t>
      </w:r>
      <w:r>
        <w:rPr>
          <w:rStyle w:val="None"/>
          <w:rFonts w:eastAsia="Arial Unicode MS" w:cs="Arial Unicode MS"/>
          <w:noProof/>
          <w:vertAlign w:val="subscript"/>
        </w:rPr>
        <w:t>2</w:t>
      </w:r>
      <w:r>
        <w:rPr>
          <w:rStyle w:val="None"/>
          <w:rFonts w:eastAsia="Arial Unicode MS" w:cs="Arial Unicode MS"/>
          <w:noProof/>
        </w:rPr>
        <w:t xml:space="preserve"> Standards </w:t>
      </w:r>
      <w:r w:rsidRPr="00F056E5">
        <w:rPr>
          <w:rStyle w:val="None"/>
          <w:rFonts w:eastAsia="Arial Unicode MS" w:cs="Arial Unicode MS"/>
          <w:noProof/>
        </w:rPr>
        <w:t>Regulation (EU) 2019/1242 was adopted and entered into force in 2019. It sets new binding CO</w:t>
      </w:r>
      <w:r w:rsidRPr="000B7428">
        <w:rPr>
          <w:rStyle w:val="None"/>
          <w:rFonts w:eastAsia="Arial Unicode MS" w:cs="Arial Unicode MS"/>
          <w:noProof/>
          <w:vertAlign w:val="subscript"/>
        </w:rPr>
        <w:t>2</w:t>
      </w:r>
      <w:r w:rsidRPr="00F056E5">
        <w:rPr>
          <w:rStyle w:val="None"/>
          <w:rFonts w:eastAsia="Arial Unicode MS" w:cs="Arial Unicode MS"/>
          <w:noProof/>
        </w:rPr>
        <w:t xml:space="preserve"> targets starting to apply from the year 2025 onwards. An evaluation of the </w:t>
      </w:r>
      <w:r>
        <w:rPr>
          <w:rStyle w:val="None"/>
          <w:rFonts w:eastAsia="Arial Unicode MS" w:cs="Arial Unicode MS"/>
          <w:noProof/>
        </w:rPr>
        <w:t xml:space="preserve">effective </w:t>
      </w:r>
      <w:r w:rsidRPr="00F056E5">
        <w:rPr>
          <w:rStyle w:val="None"/>
          <w:rFonts w:eastAsia="Arial Unicode MS" w:cs="Arial Unicode MS"/>
          <w:noProof/>
        </w:rPr>
        <w:t>application of these provisions is not possible at this stage.</w:t>
      </w:r>
    </w:p>
    <w:p w:rsidR="001C7855" w:rsidRDefault="001C7855" w:rsidP="001C7855">
      <w:pPr>
        <w:rPr>
          <w:rFonts w:eastAsia="Arial Unicode MS" w:cs="Arial Unicode MS"/>
          <w:noProof/>
        </w:rPr>
      </w:pPr>
      <w:r>
        <w:rPr>
          <w:rFonts w:eastAsia="Arial Unicode MS" w:cs="Arial Unicode MS"/>
          <w:noProof/>
        </w:rPr>
        <w:t>However, a revision is necessary in order to bring the Regulation in line with the ambitions of the European Green Deal and the strengthened emission reduction targets of the European Climate Law. These changes were subject to an impact assessment.</w:t>
      </w:r>
      <w:r>
        <w:rPr>
          <w:rStyle w:val="None"/>
          <w:rFonts w:eastAsia="Arial Unicode MS" w:cs="Arial Unicode MS"/>
          <w:noProof/>
        </w:rPr>
        <w:t xml:space="preserve"> </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rsidR="001C7855" w:rsidRDefault="001C7855" w:rsidP="001C7855">
      <w:pPr>
        <w:rPr>
          <w:noProof/>
        </w:rPr>
      </w:pPr>
      <w:r w:rsidRPr="00010FB6">
        <w:rPr>
          <w:noProof/>
          <w:szCs w:val="24"/>
        </w:rPr>
        <w:t>In order to collect evidence and ensure greater transparency, the Commission organised</w:t>
      </w:r>
      <w:r w:rsidR="00392933">
        <w:rPr>
          <w:noProof/>
          <w:szCs w:val="24"/>
        </w:rPr>
        <w:t xml:space="preserve"> </w:t>
      </w:r>
      <w:r>
        <w:rPr>
          <w:noProof/>
          <w:szCs w:val="24"/>
        </w:rPr>
        <w:t xml:space="preserve">a public consultation from 20 December 2021 to 14 March 2022. A detailed summary and the results are presented in Annex 2 to the Impact Assessment for this proposal. More precisely, </w:t>
      </w:r>
      <w:r>
        <w:rPr>
          <w:noProof/>
        </w:rPr>
        <w:t xml:space="preserve">the Commission </w:t>
      </w:r>
      <w:r>
        <w:rPr>
          <w:noProof/>
          <w:color w:val="000000"/>
        </w:rPr>
        <w:t xml:space="preserve">sought feedback from the following stakeholders: </w:t>
      </w:r>
      <w:r>
        <w:rPr>
          <w:noProof/>
        </w:rPr>
        <w:t xml:space="preserve">Member States (national, regional authorities), </w:t>
      </w:r>
      <w:r w:rsidR="00452C24">
        <w:rPr>
          <w:noProof/>
        </w:rPr>
        <w:t xml:space="preserve">vehicle </w:t>
      </w:r>
      <w:r>
        <w:rPr>
          <w:noProof/>
        </w:rPr>
        <w:t xml:space="preserve">manufacturers, </w:t>
      </w:r>
      <w:r w:rsidR="00452C24">
        <w:rPr>
          <w:noProof/>
        </w:rPr>
        <w:t xml:space="preserve">component </w:t>
      </w:r>
      <w:r>
        <w:rPr>
          <w:noProof/>
        </w:rPr>
        <w:t xml:space="preserve">and materials suppliers, </w:t>
      </w:r>
      <w:r w:rsidR="00452C24">
        <w:rPr>
          <w:noProof/>
        </w:rPr>
        <w:t xml:space="preserve">vehicle </w:t>
      </w:r>
      <w:r>
        <w:rPr>
          <w:noProof/>
        </w:rPr>
        <w:t xml:space="preserve">purchasers (private, businesses, fleet management companies), </w:t>
      </w:r>
      <w:r w:rsidR="00452C24">
        <w:rPr>
          <w:noProof/>
        </w:rPr>
        <w:t xml:space="preserve">energy </w:t>
      </w:r>
      <w:r>
        <w:rPr>
          <w:noProof/>
        </w:rPr>
        <w:t xml:space="preserve">suppliers, </w:t>
      </w:r>
      <w:r w:rsidR="00452C24">
        <w:rPr>
          <w:noProof/>
        </w:rPr>
        <w:t>environmental</w:t>
      </w:r>
      <w:r>
        <w:rPr>
          <w:noProof/>
        </w:rPr>
        <w:t xml:space="preserve">, transport and consumer NGOs, </w:t>
      </w:r>
      <w:r w:rsidR="00452C24">
        <w:rPr>
          <w:noProof/>
        </w:rPr>
        <w:t xml:space="preserve">social </w:t>
      </w:r>
      <w:r>
        <w:rPr>
          <w:noProof/>
        </w:rPr>
        <w:t xml:space="preserve">partners, </w:t>
      </w:r>
      <w:r w:rsidR="00452C24">
        <w:rPr>
          <w:noProof/>
        </w:rPr>
        <w:t xml:space="preserve">research </w:t>
      </w:r>
      <w:r>
        <w:rPr>
          <w:noProof/>
        </w:rPr>
        <w:t>and academia</w:t>
      </w:r>
      <w:r w:rsidR="00C90333">
        <w:rPr>
          <w:noProof/>
        </w:rPr>
        <w:t>.</w:t>
      </w:r>
    </w:p>
    <w:p w:rsidR="001C7855" w:rsidRDefault="001C7855" w:rsidP="00452C24">
      <w:pPr>
        <w:rPr>
          <w:noProof/>
          <w:color w:val="000000"/>
        </w:rPr>
      </w:pPr>
      <w:r>
        <w:rPr>
          <w:noProof/>
        </w:rPr>
        <w:t>In addition to the public consultation, feedback was also sought through the following means:</w:t>
      </w:r>
      <w:r w:rsidR="00452C24">
        <w:rPr>
          <w:noProof/>
        </w:rPr>
        <w:t xml:space="preserve"> (i) </w:t>
      </w:r>
      <w:r>
        <w:rPr>
          <w:noProof/>
        </w:rPr>
        <w:t>Meetings with relevant industry associations</w:t>
      </w:r>
      <w:r w:rsidR="00452C24">
        <w:rPr>
          <w:noProof/>
        </w:rPr>
        <w:t>,</w:t>
      </w:r>
      <w:r>
        <w:rPr>
          <w:noProof/>
        </w:rPr>
        <w:t xml:space="preserve"> vehicle manufacturers, components and materials suppliers, transport operators, NGOs;</w:t>
      </w:r>
      <w:r w:rsidR="00452C24">
        <w:rPr>
          <w:noProof/>
        </w:rPr>
        <w:t xml:space="preserve"> (ii) </w:t>
      </w:r>
      <w:r>
        <w:rPr>
          <w:noProof/>
        </w:rPr>
        <w:t>Position papers submitted by stakeholders or authorities in the Member States.</w:t>
      </w:r>
      <w:r w:rsidR="00452C24">
        <w:rPr>
          <w:noProof/>
        </w:rPr>
        <w:t xml:space="preserve"> </w:t>
      </w:r>
      <w:r>
        <w:rPr>
          <w:noProof/>
          <w:color w:val="000000"/>
        </w:rPr>
        <w:t>The main outcomes can be summarised as follows</w:t>
      </w:r>
      <w:r w:rsidR="008670C1">
        <w:rPr>
          <w:noProof/>
          <w:color w:val="000000"/>
        </w:rPr>
        <w:t>.</w:t>
      </w:r>
      <w:r>
        <w:rPr>
          <w:noProof/>
          <w:color w:val="000000"/>
        </w:rPr>
        <w:t xml:space="preserve"> </w:t>
      </w:r>
    </w:p>
    <w:p w:rsidR="001C7855" w:rsidRDefault="001C7855" w:rsidP="001C7855">
      <w:pPr>
        <w:rPr>
          <w:noProof/>
        </w:rPr>
      </w:pPr>
      <w:r>
        <w:rPr>
          <w:noProof/>
        </w:rPr>
        <w:t xml:space="preserve">The majority of respondents supported the objectives of </w:t>
      </w:r>
      <w:r>
        <w:rPr>
          <w:i/>
          <w:noProof/>
        </w:rPr>
        <w:t>‘</w:t>
      </w:r>
      <w:r w:rsidRPr="008128BB">
        <w:rPr>
          <w:iCs/>
          <w:noProof/>
        </w:rPr>
        <w:t>reducing CO</w:t>
      </w:r>
      <w:r w:rsidRPr="008128BB">
        <w:rPr>
          <w:iCs/>
          <w:noProof/>
          <w:vertAlign w:val="subscript"/>
        </w:rPr>
        <w:t>2</w:t>
      </w:r>
      <w:r w:rsidRPr="008128BB">
        <w:rPr>
          <w:iCs/>
          <w:noProof/>
        </w:rPr>
        <w:t xml:space="preserve"> emissions from new HDVs in a cost-effective way in line with both the 2030 overall climate target of at least -55% and the climate neutrality objective by 2050</w:t>
      </w:r>
      <w:r>
        <w:rPr>
          <w:i/>
          <w:noProof/>
        </w:rPr>
        <w:t>’</w:t>
      </w:r>
      <w:r w:rsidR="00C90333">
        <w:rPr>
          <w:noProof/>
        </w:rPr>
        <w:t>.</w:t>
      </w:r>
    </w:p>
    <w:p w:rsidR="001C7855" w:rsidRPr="003C7200" w:rsidRDefault="001C7855" w:rsidP="001C7855">
      <w:pPr>
        <w:rPr>
          <w:i/>
          <w:iCs/>
          <w:noProof/>
        </w:rPr>
      </w:pPr>
      <w:r>
        <w:rPr>
          <w:noProof/>
        </w:rPr>
        <w:t xml:space="preserve">The other two objectives </w:t>
      </w:r>
      <w:r w:rsidRPr="008128BB">
        <w:rPr>
          <w:noProof/>
        </w:rPr>
        <w:t>(‘reducing EU energy consumption and import dependence on fossil fuels and strengthening technical’ and ‘industrial leadership and stimulating employment in the EU value chain of HDVs’</w:t>
      </w:r>
      <w:r>
        <w:rPr>
          <w:i/>
          <w:iCs/>
          <w:noProof/>
        </w:rPr>
        <w:t>)</w:t>
      </w:r>
      <w:r>
        <w:rPr>
          <w:noProof/>
        </w:rPr>
        <w:t xml:space="preserve"> were also supported by the majority of </w:t>
      </w:r>
      <w:r w:rsidR="00392933">
        <w:rPr>
          <w:noProof/>
        </w:rPr>
        <w:t>respondents</w:t>
      </w:r>
      <w:r>
        <w:rPr>
          <w:noProof/>
        </w:rPr>
        <w:t xml:space="preserve">, but to a lower extent compared to the first </w:t>
      </w:r>
      <w:r w:rsidR="008128BB">
        <w:rPr>
          <w:noProof/>
        </w:rPr>
        <w:t>one</w:t>
      </w:r>
      <w:r>
        <w:rPr>
          <w:noProof/>
        </w:rPr>
        <w:t xml:space="preserve">. </w:t>
      </w:r>
    </w:p>
    <w:p w:rsidR="001C7855" w:rsidRDefault="001C7855" w:rsidP="001C7855">
      <w:pPr>
        <w:rPr>
          <w:noProof/>
        </w:rPr>
      </w:pPr>
      <w:r w:rsidRPr="006D7238">
        <w:rPr>
          <w:noProof/>
        </w:rPr>
        <w:lastRenderedPageBreak/>
        <w:t>Concerning the scope, in all stakeholders’ groups</w:t>
      </w:r>
      <w:r w:rsidR="00C90333">
        <w:rPr>
          <w:noProof/>
        </w:rPr>
        <w:t>,</w:t>
      </w:r>
      <w:r w:rsidRPr="006D7238">
        <w:rPr>
          <w:noProof/>
        </w:rPr>
        <w:t xml:space="preserve"> a majority of respondents supported setting new targets for lorries above 7.5t, urban buses and coaches.</w:t>
      </w:r>
      <w:r>
        <w:rPr>
          <w:noProof/>
        </w:rPr>
        <w:t xml:space="preserve"> </w:t>
      </w:r>
    </w:p>
    <w:p w:rsidR="001C7855" w:rsidRDefault="001C7855" w:rsidP="001C7855">
      <w:pPr>
        <w:rPr>
          <w:noProof/>
        </w:rPr>
      </w:pPr>
      <w:r>
        <w:rPr>
          <w:noProof/>
        </w:rPr>
        <w:t xml:space="preserve">Concerning </w:t>
      </w:r>
      <w:r w:rsidR="00997FE4">
        <w:rPr>
          <w:noProof/>
        </w:rPr>
        <w:t xml:space="preserve">the </w:t>
      </w:r>
      <w:r>
        <w:rPr>
          <w:noProof/>
        </w:rPr>
        <w:t xml:space="preserve">target levels, the consultation reflected overall support </w:t>
      </w:r>
      <w:r w:rsidR="00C90333">
        <w:rPr>
          <w:noProof/>
        </w:rPr>
        <w:t xml:space="preserve">for </w:t>
      </w:r>
      <w:r>
        <w:rPr>
          <w:noProof/>
        </w:rPr>
        <w:t>strengthening them both in the long and the short term. E</w:t>
      </w:r>
      <w:r w:rsidRPr="00F96D96">
        <w:rPr>
          <w:noProof/>
          <w:color w:val="000000" w:themeColor="text1"/>
          <w:szCs w:val="24"/>
        </w:rPr>
        <w:t>nvironmental</w:t>
      </w:r>
      <w:r>
        <w:rPr>
          <w:noProof/>
          <w:color w:val="000000" w:themeColor="text1"/>
          <w:szCs w:val="24"/>
        </w:rPr>
        <w:t xml:space="preserve"> NGOs and zero-emission vehicle manufacturers called for the greatest ambition</w:t>
      </w:r>
      <w:r w:rsidR="002061F3">
        <w:rPr>
          <w:noProof/>
          <w:color w:val="000000" w:themeColor="text1"/>
          <w:szCs w:val="24"/>
        </w:rPr>
        <w:t>,</w:t>
      </w:r>
      <w:r>
        <w:rPr>
          <w:noProof/>
          <w:color w:val="000000" w:themeColor="text1"/>
          <w:szCs w:val="24"/>
        </w:rPr>
        <w:t xml:space="preserve"> while </w:t>
      </w:r>
      <w:r w:rsidRPr="00F96D96">
        <w:rPr>
          <w:noProof/>
          <w:color w:val="000000" w:themeColor="text1"/>
          <w:szCs w:val="24"/>
        </w:rPr>
        <w:t>vehicle manufacturers</w:t>
      </w:r>
      <w:r>
        <w:rPr>
          <w:noProof/>
          <w:color w:val="000000" w:themeColor="text1"/>
          <w:szCs w:val="24"/>
        </w:rPr>
        <w:t>, transport operators, component suppliers and suppliers of fuels supported less ambitious targets.</w:t>
      </w:r>
      <w:r>
        <w:rPr>
          <w:noProof/>
        </w:rPr>
        <w:t xml:space="preserve"> </w:t>
      </w:r>
      <w:r w:rsidRPr="008670C1">
        <w:rPr>
          <w:noProof/>
        </w:rPr>
        <w:t xml:space="preserve">Setting standards </w:t>
      </w:r>
      <w:r w:rsidR="00CA7DF2" w:rsidRPr="008670C1">
        <w:rPr>
          <w:noProof/>
        </w:rPr>
        <w:t xml:space="preserve">for </w:t>
      </w:r>
      <w:r w:rsidRPr="008670C1">
        <w:rPr>
          <w:noProof/>
        </w:rPr>
        <w:t>trailers and semi-trailers</w:t>
      </w:r>
      <w:r>
        <w:rPr>
          <w:noProof/>
        </w:rPr>
        <w:t xml:space="preserve"> was considered important among all stakeholders except for half of</w:t>
      </w:r>
      <w:r w:rsidR="00C90333">
        <w:rPr>
          <w:noProof/>
        </w:rPr>
        <w:t xml:space="preserve"> the</w:t>
      </w:r>
      <w:r>
        <w:rPr>
          <w:noProof/>
        </w:rPr>
        <w:t xml:space="preserve"> transport operators </w:t>
      </w:r>
      <w:r w:rsidR="000E12F4">
        <w:rPr>
          <w:noProof/>
        </w:rPr>
        <w:t xml:space="preserve">who </w:t>
      </w:r>
      <w:r>
        <w:rPr>
          <w:noProof/>
        </w:rPr>
        <w:t>provid</w:t>
      </w:r>
      <w:r w:rsidR="000E12F4">
        <w:rPr>
          <w:noProof/>
        </w:rPr>
        <w:t>ed</w:t>
      </w:r>
      <w:r>
        <w:rPr>
          <w:noProof/>
        </w:rPr>
        <w:t xml:space="preserve"> mixed opinions.</w:t>
      </w:r>
      <w:r w:rsidRPr="007D2789">
        <w:rPr>
          <w:noProof/>
        </w:rPr>
        <w:t xml:space="preserve"> </w:t>
      </w:r>
      <w:r>
        <w:rPr>
          <w:noProof/>
        </w:rPr>
        <w:t>As for the possible introduction of a mechanism for the accounting of renewable- and low-carbon fuels in CO</w:t>
      </w:r>
      <w:r>
        <w:rPr>
          <w:noProof/>
          <w:vertAlign w:val="subscript"/>
        </w:rPr>
        <w:t xml:space="preserve">2 </w:t>
      </w:r>
      <w:r>
        <w:rPr>
          <w:noProof/>
        </w:rPr>
        <w:t>target compliance, the consultation reflected mixed views.</w:t>
      </w:r>
    </w:p>
    <w:p w:rsidR="00571BD5" w:rsidRPr="008670C1" w:rsidRDefault="001C7855" w:rsidP="008670C1">
      <w:pPr>
        <w:rPr>
          <w:rFonts w:eastAsia="Arial Unicode MS"/>
          <w:b/>
          <w:noProof/>
          <w:u w:color="000000"/>
          <w:bdr w:val="nil"/>
          <w:lang w:val="en-US" w:eastAsia="en-GB"/>
        </w:rPr>
      </w:pPr>
      <w:r>
        <w:rPr>
          <w:noProof/>
        </w:rPr>
        <w:t xml:space="preserve"> </w:t>
      </w:r>
      <w:r w:rsidR="00571BD5" w:rsidRPr="007718A8">
        <w:rPr>
          <w:rFonts w:eastAsia="Arial Unicode MS"/>
          <w:noProof/>
          <w:u w:color="000000"/>
          <w:bdr w:val="nil"/>
          <w:lang w:val="en-US" w:eastAsia="en-GB"/>
        </w:rPr>
        <w:t>•</w:t>
      </w:r>
      <w:r w:rsidR="00571BD5" w:rsidRPr="007718A8">
        <w:rPr>
          <w:rFonts w:eastAsia="Arial Unicode MS"/>
          <w:noProof/>
          <w:u w:color="000000"/>
          <w:bdr w:val="nil"/>
          <w:lang w:val="en-US" w:eastAsia="en-GB"/>
        </w:rPr>
        <w:tab/>
      </w:r>
      <w:r w:rsidR="00571BD5" w:rsidRPr="008670C1">
        <w:rPr>
          <w:rFonts w:eastAsia="Arial Unicode MS"/>
          <w:b/>
          <w:noProof/>
          <w:u w:color="000000"/>
          <w:bdr w:val="nil"/>
          <w:lang w:val="en-US" w:eastAsia="en-GB"/>
        </w:rPr>
        <w:t>Collection and use of expertise</w:t>
      </w:r>
    </w:p>
    <w:p w:rsidR="001C7855" w:rsidRDefault="001C7855" w:rsidP="001C7855">
      <w:pPr>
        <w:rPr>
          <w:noProof/>
        </w:rPr>
      </w:pPr>
      <w:r>
        <w:rPr>
          <w:noProof/>
        </w:rPr>
        <w:t xml:space="preserve">For the quantitative assessment of the economic, social and environmental impacts, the Impact Assessment has built on a range of scenarios developed for the PRIMES model. This analysis was complemented by applying other modelling tools, such as E3ME and the JRC DIONE model. </w:t>
      </w:r>
    </w:p>
    <w:p w:rsidR="001C7855" w:rsidRDefault="001C7855" w:rsidP="001C7855">
      <w:pPr>
        <w:rPr>
          <w:noProof/>
        </w:rPr>
      </w:pPr>
      <w:r>
        <w:rPr>
          <w:noProof/>
        </w:rPr>
        <w:t>Monitoring data on GHG emissions and other characteristics of the new heavy-duty vehicle fleet was sourced from the annual monitoring data as reported by Member States and manufacturers and collected by the European Environment Agency (EEA) under Regulation (EU) 2018/956.</w:t>
      </w:r>
    </w:p>
    <w:p w:rsidR="001C7855" w:rsidRDefault="001C7855" w:rsidP="001C7855">
      <w:pPr>
        <w:rPr>
          <w:noProof/>
        </w:rPr>
      </w:pPr>
      <w:bookmarkStart w:id="1" w:name="_Toc494106026"/>
      <w:bookmarkStart w:id="2" w:name="_Toc494106500"/>
      <w:bookmarkEnd w:id="1"/>
      <w:bookmarkEnd w:id="2"/>
      <w:r>
        <w:rPr>
          <w:noProof/>
        </w:rPr>
        <w:t xml:space="preserve">Further information was gathered through service contracts commissioned from external contractors. </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rsidR="008F2B7C" w:rsidRDefault="008F2B7C" w:rsidP="008F2B7C">
      <w:pPr>
        <w:rPr>
          <w:noProof/>
          <w:szCs w:val="24"/>
        </w:rPr>
      </w:pPr>
      <w:r>
        <w:rPr>
          <w:noProof/>
          <w:szCs w:val="24"/>
        </w:rPr>
        <w:t xml:space="preserve">The Impact Assessment is built on integrated modelling scenarios that reflect the interaction of different policy instruments on economic operators in order to ensure complementarity, coherence and effectiveness in achieving the 2030 and 2050 climate ambition. Such scenarios take into account the policies proposed in July 2021 as part of the ‘fit-for-55’ legislative package and the more recent REPowerEU Plan, as well as the </w:t>
      </w:r>
      <w:r w:rsidR="0095555F">
        <w:rPr>
          <w:noProof/>
          <w:szCs w:val="24"/>
        </w:rPr>
        <w:t xml:space="preserve">proposed new </w:t>
      </w:r>
      <w:r>
        <w:rPr>
          <w:noProof/>
          <w:szCs w:val="24"/>
        </w:rPr>
        <w:t xml:space="preserve">Euro 7 standards. </w:t>
      </w:r>
    </w:p>
    <w:p w:rsidR="001C7855" w:rsidRPr="006D7238" w:rsidRDefault="001C7855" w:rsidP="001C7855">
      <w:pPr>
        <w:rPr>
          <w:noProof/>
          <w:color w:val="444444"/>
        </w:rPr>
      </w:pPr>
      <w:r>
        <w:rPr>
          <w:noProof/>
        </w:rPr>
        <w:t xml:space="preserve">Moreover, the Impact Assessment accompanying this proposal has been prepared and developed in line with the applicable Better Regulation guidance. The Regulatory Scrutiny Board issued a negative opinion on 16 September 2022. Following a resubmission, the </w:t>
      </w:r>
      <w:r w:rsidR="002061F3">
        <w:rPr>
          <w:noProof/>
        </w:rPr>
        <w:t>B</w:t>
      </w:r>
      <w:r>
        <w:rPr>
          <w:noProof/>
        </w:rPr>
        <w:t xml:space="preserve">oard issued a positive opinion </w:t>
      </w:r>
      <w:r w:rsidR="0005000E">
        <w:rPr>
          <w:noProof/>
        </w:rPr>
        <w:t xml:space="preserve">with reservations </w:t>
      </w:r>
      <w:r>
        <w:rPr>
          <w:noProof/>
        </w:rPr>
        <w:t xml:space="preserve">on </w:t>
      </w:r>
      <w:r w:rsidRPr="006D7238">
        <w:rPr>
          <w:noProof/>
        </w:rPr>
        <w:t>6 December 2022</w:t>
      </w:r>
      <w:r w:rsidRPr="006D7238">
        <w:rPr>
          <w:noProof/>
          <w:color w:val="444444"/>
        </w:rPr>
        <w:t>.</w:t>
      </w:r>
    </w:p>
    <w:p w:rsidR="001C7855" w:rsidRPr="006D7238" w:rsidRDefault="001C7855" w:rsidP="001C7855">
      <w:pPr>
        <w:rPr>
          <w:noProof/>
        </w:rPr>
      </w:pPr>
      <w:r w:rsidRPr="006D7238">
        <w:rPr>
          <w:noProof/>
        </w:rPr>
        <w:t>Improvements, as recommended by the Board, have been incorporated in</w:t>
      </w:r>
      <w:r w:rsidR="002061F3">
        <w:rPr>
          <w:noProof/>
        </w:rPr>
        <w:t>to</w:t>
      </w:r>
      <w:r w:rsidRPr="006D7238">
        <w:rPr>
          <w:noProof/>
        </w:rPr>
        <w:t xml:space="preserve"> the final version</w:t>
      </w:r>
    </w:p>
    <w:p w:rsidR="001C7855" w:rsidRPr="006D7238" w:rsidRDefault="001C7855" w:rsidP="001C7855">
      <w:pPr>
        <w:rPr>
          <w:noProof/>
        </w:rPr>
      </w:pPr>
      <w:r w:rsidRPr="006D7238">
        <w:rPr>
          <w:noProof/>
        </w:rPr>
        <w:t xml:space="preserve">This concerns notably the following main points: </w:t>
      </w:r>
    </w:p>
    <w:p w:rsidR="001C7855" w:rsidRPr="006D7238" w:rsidRDefault="001C7855" w:rsidP="006D0CD8">
      <w:pPr>
        <w:pStyle w:val="Bullet1"/>
        <w:numPr>
          <w:ilvl w:val="0"/>
          <w:numId w:val="18"/>
        </w:numPr>
        <w:rPr>
          <w:noProof/>
          <w:lang w:val="en-IE"/>
        </w:rPr>
      </w:pPr>
      <w:r w:rsidRPr="006D7238">
        <w:rPr>
          <w:noProof/>
          <w:lang w:val="en-IE"/>
        </w:rPr>
        <w:t xml:space="preserve">identification of the remaining </w:t>
      </w:r>
      <w:r w:rsidR="00DF379C">
        <w:rPr>
          <w:noProof/>
          <w:lang w:val="en-IE"/>
        </w:rPr>
        <w:t>CO₂</w:t>
      </w:r>
      <w:r w:rsidRPr="006D7238">
        <w:rPr>
          <w:noProof/>
          <w:lang w:val="en-IE"/>
        </w:rPr>
        <w:t xml:space="preserve"> emission reduction gap that the initiative aims to address</w:t>
      </w:r>
    </w:p>
    <w:p w:rsidR="001C7855" w:rsidRPr="006D7238" w:rsidRDefault="001C7855" w:rsidP="001C7855">
      <w:pPr>
        <w:pStyle w:val="Bullet1"/>
        <w:rPr>
          <w:noProof/>
          <w:lang w:val="en-IE"/>
        </w:rPr>
      </w:pPr>
      <w:r w:rsidRPr="006D7238">
        <w:rPr>
          <w:noProof/>
          <w:lang w:val="en-IE"/>
        </w:rPr>
        <w:t>Further description of the baseline</w:t>
      </w:r>
    </w:p>
    <w:p w:rsidR="001C7855" w:rsidRPr="006D7238" w:rsidRDefault="001C7855" w:rsidP="001C7855">
      <w:pPr>
        <w:pStyle w:val="Bullet1"/>
        <w:rPr>
          <w:noProof/>
          <w:lang w:val="en-IE"/>
        </w:rPr>
      </w:pPr>
      <w:r w:rsidRPr="006D7238">
        <w:rPr>
          <w:noProof/>
          <w:lang w:val="en-IE"/>
        </w:rPr>
        <w:t xml:space="preserve">Additional information on overall costs and benefits for the most relevant combinations of options and on their proportionality. </w:t>
      </w:r>
    </w:p>
    <w:p w:rsidR="001C7855" w:rsidRPr="006D7238" w:rsidRDefault="001C7855" w:rsidP="001C7855">
      <w:pPr>
        <w:pStyle w:val="Bullet1"/>
        <w:rPr>
          <w:noProof/>
        </w:rPr>
      </w:pPr>
      <w:r w:rsidRPr="006D7238">
        <w:rPr>
          <w:noProof/>
          <w:lang w:val="en-IE"/>
        </w:rPr>
        <w:t>Clarifications on the preferred option</w:t>
      </w:r>
    </w:p>
    <w:p w:rsidR="001C7855" w:rsidRDefault="001C7855" w:rsidP="001C7855">
      <w:pPr>
        <w:pStyle w:val="Bullet1"/>
        <w:rPr>
          <w:noProof/>
          <w:lang w:val="en-IE"/>
        </w:rPr>
      </w:pPr>
      <w:r w:rsidRPr="006D7238">
        <w:rPr>
          <w:noProof/>
          <w:lang w:val="en-IE"/>
        </w:rPr>
        <w:t xml:space="preserve">Discussion on the constraints and risks arising from the potential underdeployment of key technologies and </w:t>
      </w:r>
      <w:r w:rsidR="0005000E">
        <w:rPr>
          <w:noProof/>
          <w:lang w:val="en-IE"/>
        </w:rPr>
        <w:t xml:space="preserve">supporting </w:t>
      </w:r>
      <w:r w:rsidRPr="006D7238">
        <w:rPr>
          <w:noProof/>
          <w:lang w:val="en-IE"/>
        </w:rPr>
        <w:t>infrastructures</w:t>
      </w:r>
      <w:r w:rsidR="0005000E">
        <w:rPr>
          <w:noProof/>
          <w:lang w:val="en-IE"/>
        </w:rPr>
        <w:t>, including a</w:t>
      </w:r>
      <w:r w:rsidR="0005000E" w:rsidRPr="006D7238">
        <w:rPr>
          <w:noProof/>
          <w:lang w:val="en-IE"/>
        </w:rPr>
        <w:t>dditional analys</w:t>
      </w:r>
      <w:r w:rsidR="0005000E">
        <w:rPr>
          <w:noProof/>
          <w:lang w:val="en-IE"/>
        </w:rPr>
        <w:t>i</w:t>
      </w:r>
      <w:r w:rsidR="0005000E" w:rsidRPr="006D7238">
        <w:rPr>
          <w:noProof/>
          <w:lang w:val="en-IE"/>
        </w:rPr>
        <w:t>s o</w:t>
      </w:r>
      <w:r w:rsidR="0005000E">
        <w:rPr>
          <w:noProof/>
          <w:lang w:val="en-IE"/>
        </w:rPr>
        <w:t>f</w:t>
      </w:r>
      <w:r w:rsidR="0005000E" w:rsidRPr="006D7238">
        <w:rPr>
          <w:noProof/>
          <w:lang w:val="en-IE"/>
        </w:rPr>
        <w:t xml:space="preserve"> uncertainties that influence the results</w:t>
      </w:r>
    </w:p>
    <w:p w:rsidR="0005000E" w:rsidRPr="006D7238" w:rsidRDefault="0005000E" w:rsidP="001C7855">
      <w:pPr>
        <w:pStyle w:val="Bullet1"/>
        <w:rPr>
          <w:noProof/>
          <w:lang w:val="en-IE"/>
        </w:rPr>
      </w:pPr>
      <w:r>
        <w:rPr>
          <w:noProof/>
          <w:lang w:val="en-IE"/>
        </w:rPr>
        <w:t xml:space="preserve">Further elaboration on the international competitiveness of the HDV sector.  </w:t>
      </w:r>
    </w:p>
    <w:p w:rsidR="001C7855" w:rsidRDefault="001C7855" w:rsidP="001C7855">
      <w:pPr>
        <w:rPr>
          <w:i/>
          <w:noProof/>
        </w:rPr>
      </w:pPr>
      <w:r>
        <w:rPr>
          <w:i/>
          <w:noProof/>
        </w:rPr>
        <w:lastRenderedPageBreak/>
        <w:t>Policy options</w:t>
      </w:r>
    </w:p>
    <w:p w:rsidR="001C7855" w:rsidRDefault="001C7855" w:rsidP="001C7855">
      <w:pPr>
        <w:rPr>
          <w:noProof/>
        </w:rPr>
      </w:pPr>
      <w:r>
        <w:rPr>
          <w:noProof/>
        </w:rPr>
        <w:t>The impact assessment has analysed policy options grouped into topics</w:t>
      </w:r>
      <w:r w:rsidR="000E12F4">
        <w:rPr>
          <w:noProof/>
        </w:rPr>
        <w:t xml:space="preserve"> </w:t>
      </w:r>
      <w:r>
        <w:rPr>
          <w:noProof/>
        </w:rPr>
        <w:t>to address the identified problems and achieve the policy objectives.</w:t>
      </w:r>
    </w:p>
    <w:p w:rsidR="001C7855" w:rsidRDefault="001C7855" w:rsidP="001C7855">
      <w:pPr>
        <w:pStyle w:val="Point0"/>
        <w:rPr>
          <w:noProof/>
        </w:rPr>
      </w:pPr>
      <w:r>
        <w:rPr>
          <w:noProof/>
        </w:rPr>
        <w:t>(1)</w:t>
      </w:r>
      <w:r>
        <w:rPr>
          <w:noProof/>
        </w:rPr>
        <w:tab/>
        <w:t>CO</w:t>
      </w:r>
      <w:r>
        <w:rPr>
          <w:noProof/>
          <w:vertAlign w:val="subscript"/>
        </w:rPr>
        <w:t>2</w:t>
      </w:r>
      <w:r>
        <w:rPr>
          <w:noProof/>
        </w:rPr>
        <w:t xml:space="preserve"> emission targets for new heavy</w:t>
      </w:r>
      <w:r w:rsidR="002061F3">
        <w:rPr>
          <w:noProof/>
        </w:rPr>
        <w:t>-</w:t>
      </w:r>
      <w:r>
        <w:rPr>
          <w:noProof/>
        </w:rPr>
        <w:t>duty vehicles</w:t>
      </w:r>
      <w:r w:rsidR="000E12F4">
        <w:rPr>
          <w:noProof/>
        </w:rPr>
        <w:t xml:space="preserve"> </w:t>
      </w:r>
      <w:r>
        <w:rPr>
          <w:noProof/>
        </w:rPr>
        <w:t xml:space="preserve">(scope, levels, timing, modalities); </w:t>
      </w:r>
    </w:p>
    <w:p w:rsidR="001C7855" w:rsidRDefault="001C7855" w:rsidP="001C7855">
      <w:pPr>
        <w:rPr>
          <w:noProof/>
          <w:color w:val="000000" w:themeColor="text1"/>
        </w:rPr>
      </w:pPr>
      <w:r>
        <w:rPr>
          <w:noProof/>
          <w:color w:val="000000" w:themeColor="text1"/>
        </w:rPr>
        <w:t>As regards the target levels, the options considered cover three trajectories up to 2040, also reflecting the objective to achieve a reduction in transport emissions of 90% by 2050.</w:t>
      </w:r>
    </w:p>
    <w:p w:rsidR="008F2B7C" w:rsidRPr="008F2B7C" w:rsidRDefault="001C7855" w:rsidP="008F2B7C">
      <w:pPr>
        <w:rPr>
          <w:noProof/>
          <w:szCs w:val="24"/>
          <w:lang w:val="en-IE"/>
        </w:rPr>
      </w:pPr>
      <w:r>
        <w:rPr>
          <w:noProof/>
        </w:rPr>
        <w:t>In order to contribute to the overall 2030 increased ambition level and the 2050 climate neutrality objective, the preferred option is to significantly strengthen the CO</w:t>
      </w:r>
      <w:r>
        <w:rPr>
          <w:noProof/>
          <w:vertAlign w:val="subscript"/>
        </w:rPr>
        <w:t>2</w:t>
      </w:r>
      <w:r>
        <w:rPr>
          <w:noProof/>
        </w:rPr>
        <w:t xml:space="preserve"> EU fleet-wide targets for new heavy-duty vehicles</w:t>
      </w:r>
      <w:r w:rsidR="000E12F4">
        <w:rPr>
          <w:noProof/>
        </w:rPr>
        <w:t xml:space="preserve"> </w:t>
      </w:r>
      <w:r>
        <w:rPr>
          <w:noProof/>
        </w:rPr>
        <w:t xml:space="preserve">as of 2030 and to expand its scope of application. This will provide the necessary </w:t>
      </w:r>
      <w:r>
        <w:rPr>
          <w:noProof/>
          <w:szCs w:val="24"/>
        </w:rPr>
        <w:t>steer to accelerate the supply to the market of zero-emission vehicles, bring benefits for vehicle users as well as stimulate innovation and technological leadership while limiting the cost increase for manufacturers</w:t>
      </w:r>
      <w:r w:rsidR="008F2B7C" w:rsidRPr="008F2B7C">
        <w:rPr>
          <w:noProof/>
          <w:szCs w:val="24"/>
        </w:rPr>
        <w:t xml:space="preserve">. The HDV standards </w:t>
      </w:r>
      <w:r w:rsidR="00EB36B4">
        <w:rPr>
          <w:noProof/>
          <w:szCs w:val="24"/>
        </w:rPr>
        <w:t xml:space="preserve">also </w:t>
      </w:r>
      <w:r w:rsidR="008F2B7C" w:rsidRPr="008F2B7C">
        <w:rPr>
          <w:noProof/>
          <w:szCs w:val="24"/>
        </w:rPr>
        <w:t>contribute to reducing air pollutants</w:t>
      </w:r>
      <w:r w:rsidR="00EB36B4">
        <w:rPr>
          <w:noProof/>
          <w:szCs w:val="24"/>
        </w:rPr>
        <w:t>.</w:t>
      </w:r>
      <w:r w:rsidR="008F2B7C" w:rsidRPr="008F2B7C">
        <w:rPr>
          <w:noProof/>
          <w:szCs w:val="24"/>
        </w:rPr>
        <w:t xml:space="preserve"> </w:t>
      </w:r>
      <w:r w:rsidR="008F2B7C" w:rsidRPr="008F2B7C">
        <w:rPr>
          <w:noProof/>
          <w:szCs w:val="24"/>
          <w:lang w:val="en-IE"/>
        </w:rPr>
        <w:t xml:space="preserve"> </w:t>
      </w:r>
    </w:p>
    <w:p w:rsidR="001C7855" w:rsidRPr="008F2B7C" w:rsidRDefault="001C7855" w:rsidP="001C7855">
      <w:pPr>
        <w:rPr>
          <w:noProof/>
          <w:szCs w:val="24"/>
          <w:lang w:val="en-IE"/>
        </w:rPr>
      </w:pPr>
      <w:r>
        <w:rPr>
          <w:noProof/>
          <w:szCs w:val="24"/>
        </w:rPr>
        <w:t xml:space="preserve"> As regards the timing for tightening the targets, the preferred option is to maintain the regulatory approach of setting targets </w:t>
      </w:r>
      <w:r>
        <w:rPr>
          <w:iCs/>
          <w:noProof/>
          <w:color w:val="000000" w:themeColor="text1"/>
          <w:szCs w:val="24"/>
        </w:rPr>
        <w:t>decreasing in 5-year steps</w:t>
      </w:r>
      <w:r>
        <w:rPr>
          <w:noProof/>
          <w:szCs w:val="24"/>
        </w:rPr>
        <w:t xml:space="preserve"> in order to take into account the development cycles in the automotive sector</w:t>
      </w:r>
      <w:r w:rsidR="000E12F4">
        <w:rPr>
          <w:noProof/>
          <w:szCs w:val="24"/>
        </w:rPr>
        <w:t>.</w:t>
      </w:r>
    </w:p>
    <w:p w:rsidR="001C7855" w:rsidRDefault="001C7855" w:rsidP="001C7855">
      <w:pPr>
        <w:rPr>
          <w:noProof/>
        </w:rPr>
      </w:pPr>
      <w:r>
        <w:rPr>
          <w:noProof/>
          <w:szCs w:val="24"/>
        </w:rPr>
        <w:t xml:space="preserve">The </w:t>
      </w:r>
      <w:r>
        <w:rPr>
          <w:noProof/>
        </w:rPr>
        <w:t xml:space="preserve">possible revenues from excess emissions premiums would remain part of the general EU budget. The other options considered would significantly increase the administrative burden while not directly benefitting the automotive sector in its transition. </w:t>
      </w:r>
    </w:p>
    <w:p w:rsidR="001C7855" w:rsidRDefault="001C7855" w:rsidP="001C7855">
      <w:pPr>
        <w:rPr>
          <w:noProof/>
          <w:color w:val="000000" w:themeColor="text1"/>
        </w:rPr>
      </w:pPr>
      <w:r>
        <w:rPr>
          <w:noProof/>
          <w:color w:val="000000" w:themeColor="text1"/>
        </w:rPr>
        <w:t>The possibility for both EU and non-EU</w:t>
      </w:r>
      <w:r w:rsidR="002061F3">
        <w:rPr>
          <w:noProof/>
          <w:color w:val="000000" w:themeColor="text1"/>
        </w:rPr>
        <w:t>-</w:t>
      </w:r>
      <w:r>
        <w:rPr>
          <w:noProof/>
          <w:color w:val="000000" w:themeColor="text1"/>
        </w:rPr>
        <w:t>based small</w:t>
      </w:r>
      <w:r w:rsidR="002061F3">
        <w:rPr>
          <w:noProof/>
          <w:color w:val="000000" w:themeColor="text1"/>
        </w:rPr>
        <w:t>-</w:t>
      </w:r>
      <w:r>
        <w:rPr>
          <w:noProof/>
          <w:color w:val="000000" w:themeColor="text1"/>
        </w:rPr>
        <w:t>volume manufacturers to be granted a derogation target would be introduced</w:t>
      </w:r>
      <w:r>
        <w:rPr>
          <w:rFonts w:eastAsia="Times New Roman"/>
          <w:noProof/>
          <w:szCs w:val="24"/>
        </w:rPr>
        <w:t>.</w:t>
      </w:r>
    </w:p>
    <w:p w:rsidR="001C7855" w:rsidRDefault="001C7855" w:rsidP="001C7855">
      <w:pPr>
        <w:pStyle w:val="Point0"/>
        <w:rPr>
          <w:noProof/>
        </w:rPr>
      </w:pPr>
      <w:r>
        <w:rPr>
          <w:noProof/>
        </w:rPr>
        <w:t>(2)</w:t>
      </w:r>
      <w:r>
        <w:rPr>
          <w:noProof/>
        </w:rPr>
        <w:tab/>
        <w:t xml:space="preserve">specific incentives for zero- and low-emission vehicles (ZLEV); </w:t>
      </w:r>
    </w:p>
    <w:p w:rsidR="001C7855" w:rsidRDefault="001C7855" w:rsidP="001C7855">
      <w:pPr>
        <w:spacing w:before="0"/>
        <w:rPr>
          <w:noProof/>
          <w:color w:val="000000" w:themeColor="text1"/>
        </w:rPr>
      </w:pPr>
      <w:r>
        <w:rPr>
          <w:noProof/>
          <w:color w:val="000000" w:themeColor="text1"/>
        </w:rPr>
        <w:t xml:space="preserve">Different options were considered as regards the incentive mechanism for ZLEV, both as regards the type of mechanism and the type of vehicles it should cover. The preferred option is </w:t>
      </w:r>
      <w:r>
        <w:rPr>
          <w:noProof/>
          <w:szCs w:val="24"/>
        </w:rPr>
        <w:t>to remove</w:t>
      </w:r>
      <w:r w:rsidR="002061F3">
        <w:rPr>
          <w:noProof/>
          <w:szCs w:val="24"/>
        </w:rPr>
        <w:t>,</w:t>
      </w:r>
      <w:r>
        <w:rPr>
          <w:noProof/>
          <w:szCs w:val="24"/>
        </w:rPr>
        <w:t xml:space="preserve"> as of 2030</w:t>
      </w:r>
      <w:r w:rsidR="002061F3">
        <w:rPr>
          <w:noProof/>
          <w:szCs w:val="24"/>
        </w:rPr>
        <w:t>,</w:t>
      </w:r>
      <w:r>
        <w:rPr>
          <w:noProof/>
          <w:szCs w:val="24"/>
        </w:rPr>
        <w:t xml:space="preserve"> the ZLEV incentive scheme as the market uptake of ZLEVs will be driven by the stricter CO</w:t>
      </w:r>
      <w:r>
        <w:rPr>
          <w:noProof/>
          <w:szCs w:val="24"/>
          <w:vertAlign w:val="subscript"/>
        </w:rPr>
        <w:t>2</w:t>
      </w:r>
      <w:r>
        <w:rPr>
          <w:noProof/>
          <w:szCs w:val="24"/>
        </w:rPr>
        <w:t xml:space="preserve"> targets applicable from that date. This would also simplify the legislation and avoid the risk of undermining its effectiveness. </w:t>
      </w:r>
    </w:p>
    <w:p w:rsidR="001C7855" w:rsidRDefault="001C7855" w:rsidP="001C7855">
      <w:pPr>
        <w:pStyle w:val="Point0"/>
        <w:rPr>
          <w:noProof/>
        </w:rPr>
      </w:pPr>
      <w:r>
        <w:rPr>
          <w:noProof/>
        </w:rPr>
        <w:t>(3)</w:t>
      </w:r>
      <w:r>
        <w:rPr>
          <w:noProof/>
        </w:rPr>
        <w:tab/>
        <w:t>a mechanism to take into account the potential contribution of renewable and low-carbon fuels for the purpose of target compliance assessment.</w:t>
      </w:r>
    </w:p>
    <w:p w:rsidR="001C7855" w:rsidRDefault="001C7855" w:rsidP="001C7855">
      <w:pPr>
        <w:pBdr>
          <w:top w:val="nil"/>
          <w:left w:val="nil"/>
          <w:bottom w:val="nil"/>
          <w:right w:val="nil"/>
          <w:between w:val="nil"/>
          <w:bar w:val="nil"/>
        </w:pBdr>
        <w:spacing w:before="0" w:after="240"/>
        <w:rPr>
          <w:rFonts w:eastAsia="Arial Unicode MS"/>
          <w:noProof/>
        </w:rPr>
      </w:pPr>
      <w:r>
        <w:rPr>
          <w:noProof/>
        </w:rPr>
        <w:t>In this respect, two options were considered: either a carbon correction factor or a crediting scheme. However, the preferred option is not to include such an accounting mechanism, as this would not be cost-efficient, neither for the manufacturers nor for the operators and society as a whole, blur the responsibilities of different players to reach the targets, undermine the effectiveness and increase the administrative burden and complexity. Promoting the use of renewable and low-carbon fuels is done through the revision of the Renewable Energy</w:t>
      </w:r>
      <w:r w:rsidR="002061F3">
        <w:rPr>
          <w:noProof/>
        </w:rPr>
        <w:t xml:space="preserve"> Directive</w:t>
      </w:r>
      <w:r>
        <w:rPr>
          <w:noProof/>
        </w:rPr>
        <w:t xml:space="preserve">, the </w:t>
      </w:r>
      <w:r w:rsidR="000E12F4">
        <w:rPr>
          <w:noProof/>
        </w:rPr>
        <w:t xml:space="preserve">EU </w:t>
      </w:r>
      <w:r>
        <w:rPr>
          <w:noProof/>
        </w:rPr>
        <w:t>emissions trading and the Energy Taxation Directive</w:t>
      </w:r>
      <w:r w:rsidR="000E12F4">
        <w:rPr>
          <w:noProof/>
        </w:rPr>
        <w:t>s</w:t>
      </w:r>
      <w:r>
        <w:rPr>
          <w:noProof/>
        </w:rPr>
        <w:t>.</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rsidR="001C7855" w:rsidRDefault="001C7855" w:rsidP="001C7855">
      <w:pPr>
        <w:rPr>
          <w:noProof/>
        </w:rPr>
      </w:pPr>
      <w:r>
        <w:rPr>
          <w:noProof/>
        </w:rPr>
        <w:t>In line with the Commission’s commitment to Better Regulation, the proposal has been prepared inclusively, based on transparency and continuous engagement with stakeholders.</w:t>
      </w:r>
    </w:p>
    <w:p w:rsidR="001C7855" w:rsidRDefault="001C7855" w:rsidP="001C7855">
      <w:pPr>
        <w:rPr>
          <w:noProof/>
        </w:rPr>
      </w:pPr>
      <w:r>
        <w:rPr>
          <w:noProof/>
        </w:rPr>
        <w:t xml:space="preserve">Compared to the current Regulation, the proposal is not expected to increase the administrative costs </w:t>
      </w:r>
      <w:r w:rsidR="000E12F4">
        <w:rPr>
          <w:noProof/>
        </w:rPr>
        <w:t>for businesses and citizens</w:t>
      </w:r>
      <w:r>
        <w:rPr>
          <w:noProof/>
        </w:rPr>
        <w:t xml:space="preserve">. In addition, </w:t>
      </w:r>
      <w:r w:rsidR="00B9706C">
        <w:rPr>
          <w:noProof/>
        </w:rPr>
        <w:t>in order to contribute to simplification, o</w:t>
      </w:r>
      <w:r>
        <w:rPr>
          <w:noProof/>
        </w:rPr>
        <w:t>ne existing provision, i.e. the ZLEV “bonus” incentive mechanism</w:t>
      </w:r>
      <w:r w:rsidR="002061F3">
        <w:rPr>
          <w:noProof/>
        </w:rPr>
        <w:t>,</w:t>
      </w:r>
      <w:r>
        <w:rPr>
          <w:noProof/>
        </w:rPr>
        <w:t xml:space="preserve"> is proposed to be removed from 2030 onwards, </w:t>
      </w:r>
      <w:r w:rsidR="00B9706C">
        <w:rPr>
          <w:noProof/>
        </w:rPr>
        <w:t>and</w:t>
      </w:r>
      <w:r w:rsidR="000E12F4">
        <w:rPr>
          <w:noProof/>
        </w:rPr>
        <w:t xml:space="preserve"> </w:t>
      </w:r>
      <w:r w:rsidR="00B9706C">
        <w:rPr>
          <w:noProof/>
        </w:rPr>
        <w:t>a</w:t>
      </w:r>
      <w:r w:rsidR="000E12F4">
        <w:rPr>
          <w:noProof/>
        </w:rPr>
        <w:t xml:space="preserve">n exemption for small volume manufacturers is </w:t>
      </w:r>
      <w:r w:rsidR="00B9706C">
        <w:rPr>
          <w:noProof/>
        </w:rPr>
        <w:t xml:space="preserve">proposed to be </w:t>
      </w:r>
      <w:r w:rsidR="000E12F4">
        <w:rPr>
          <w:noProof/>
        </w:rPr>
        <w:t>introduced.</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rsidR="001C7855" w:rsidRDefault="001C7855" w:rsidP="001C7855">
      <w:pPr>
        <w:rPr>
          <w:noProof/>
          <w:szCs w:val="24"/>
        </w:rPr>
      </w:pPr>
      <w:r>
        <w:rPr>
          <w:noProof/>
          <w:szCs w:val="24"/>
        </w:rPr>
        <w:t>The proposal respects fundamental rights and observes the principles recognised in particular by the Charter of Fundamental Rights of the European Union</w:t>
      </w:r>
      <w:r w:rsidRPr="00C9020F">
        <w:rPr>
          <w:rStyle w:val="FootnoteReference"/>
          <w:noProof/>
        </w:rPr>
        <w:footnoteReference w:id="6"/>
      </w:r>
      <w:r>
        <w:rPr>
          <w:noProof/>
          <w:szCs w:val="24"/>
        </w:rPr>
        <w:t>. In particular, it contributes to the objective of a high level of environmental protection in accordance with the principle of sustainable development as laid down in Article 37 of the Charter of Fundamental Rights of the European Union.</w:t>
      </w:r>
    </w:p>
    <w:p w:rsidR="00571BD5" w:rsidRDefault="00571BD5" w:rsidP="006537B0">
      <w:pPr>
        <w:pStyle w:val="ManualHeading1"/>
        <w:rPr>
          <w:noProof/>
        </w:rPr>
      </w:pPr>
      <w:r w:rsidRPr="00550536">
        <w:rPr>
          <w:noProof/>
        </w:rPr>
        <w:t>4.</w:t>
      </w:r>
      <w:r w:rsidRPr="00550536">
        <w:rPr>
          <w:noProof/>
        </w:rPr>
        <w:tab/>
        <w:t>BUDGETARY IMPLICATIONS</w:t>
      </w:r>
    </w:p>
    <w:p w:rsidR="001C7855" w:rsidRDefault="001C7855" w:rsidP="001C7855">
      <w:pPr>
        <w:autoSpaceDE w:val="0"/>
        <w:autoSpaceDN w:val="0"/>
        <w:adjustRightInd w:val="0"/>
        <w:spacing w:before="0" w:after="240"/>
        <w:rPr>
          <w:noProof/>
          <w:szCs w:val="24"/>
        </w:rPr>
      </w:pPr>
      <w:r w:rsidRPr="006D0C7E">
        <w:rPr>
          <w:noProof/>
          <w:szCs w:val="24"/>
        </w:rPr>
        <w:t xml:space="preserve">The </w:t>
      </w:r>
      <w:r w:rsidR="00144F5A">
        <w:rPr>
          <w:noProof/>
          <w:szCs w:val="24"/>
        </w:rPr>
        <w:t xml:space="preserve">analysis and </w:t>
      </w:r>
      <w:r w:rsidRPr="006D0C7E">
        <w:rPr>
          <w:noProof/>
          <w:szCs w:val="24"/>
        </w:rPr>
        <w:t xml:space="preserve">processing of different datasets </w:t>
      </w:r>
      <w:r w:rsidR="00144F5A">
        <w:rPr>
          <w:noProof/>
          <w:szCs w:val="24"/>
        </w:rPr>
        <w:t xml:space="preserve">related to the </w:t>
      </w:r>
      <w:r w:rsidR="00DF379C">
        <w:rPr>
          <w:noProof/>
          <w:szCs w:val="24"/>
        </w:rPr>
        <w:t>CO₂</w:t>
      </w:r>
      <w:r w:rsidR="00144F5A">
        <w:rPr>
          <w:noProof/>
          <w:szCs w:val="24"/>
        </w:rPr>
        <w:t xml:space="preserve"> emissions of heavy</w:t>
      </w:r>
      <w:r w:rsidR="002061F3">
        <w:rPr>
          <w:noProof/>
          <w:szCs w:val="24"/>
        </w:rPr>
        <w:t>-</w:t>
      </w:r>
      <w:r w:rsidR="00144F5A">
        <w:rPr>
          <w:noProof/>
          <w:szCs w:val="24"/>
        </w:rPr>
        <w:t xml:space="preserve">duty vehicles </w:t>
      </w:r>
      <w:r w:rsidRPr="006D0C7E">
        <w:rPr>
          <w:noProof/>
          <w:szCs w:val="24"/>
        </w:rPr>
        <w:t>are essential elements of the implementation and enforcement of the CO</w:t>
      </w:r>
      <w:r w:rsidRPr="006D0C7E">
        <w:rPr>
          <w:noProof/>
          <w:szCs w:val="24"/>
          <w:vertAlign w:val="subscript"/>
        </w:rPr>
        <w:t>2</w:t>
      </w:r>
      <w:r w:rsidRPr="006D0C7E">
        <w:rPr>
          <w:noProof/>
          <w:szCs w:val="24"/>
        </w:rPr>
        <w:t xml:space="preserve"> emission performance standards. In view of the important legal effects linked to </w:t>
      </w:r>
      <w:r w:rsidR="00144F5A">
        <w:rPr>
          <w:noProof/>
          <w:szCs w:val="24"/>
        </w:rPr>
        <w:t xml:space="preserve">the analysis and processing of </w:t>
      </w:r>
      <w:r w:rsidRPr="006D0C7E">
        <w:rPr>
          <w:noProof/>
          <w:szCs w:val="24"/>
        </w:rPr>
        <w:t>those datasets, efforts are needed to ensure the correctness and reliability</w:t>
      </w:r>
      <w:r w:rsidR="00144F5A">
        <w:rPr>
          <w:noProof/>
          <w:szCs w:val="24"/>
        </w:rPr>
        <w:t xml:space="preserve"> of such activities</w:t>
      </w:r>
      <w:r>
        <w:rPr>
          <w:noProof/>
          <w:szCs w:val="24"/>
        </w:rPr>
        <w:t>.</w:t>
      </w:r>
      <w:r w:rsidRPr="006D0C7E">
        <w:rPr>
          <w:noProof/>
          <w:szCs w:val="24"/>
        </w:rPr>
        <w:t xml:space="preserve"> </w:t>
      </w:r>
      <w:r>
        <w:rPr>
          <w:noProof/>
          <w:szCs w:val="24"/>
        </w:rPr>
        <w:t>F</w:t>
      </w:r>
      <w:r w:rsidRPr="006D0C7E">
        <w:rPr>
          <w:noProof/>
          <w:szCs w:val="24"/>
        </w:rPr>
        <w:t>urther resources would be required within the Commission</w:t>
      </w:r>
      <w:r w:rsidR="00144F5A">
        <w:rPr>
          <w:noProof/>
          <w:szCs w:val="24"/>
        </w:rPr>
        <w:t xml:space="preserve"> and the European Environment Agency</w:t>
      </w:r>
      <w:r w:rsidRPr="006D0C7E">
        <w:rPr>
          <w:noProof/>
          <w:szCs w:val="24"/>
        </w:rPr>
        <w:t>. A detailed breakdown of the budgetary implications is set out in the</w:t>
      </w:r>
      <w:r>
        <w:rPr>
          <w:noProof/>
          <w:szCs w:val="24"/>
        </w:rPr>
        <w:t xml:space="preserve"> Legislative</w:t>
      </w:r>
      <w:r w:rsidRPr="006D0C7E">
        <w:rPr>
          <w:noProof/>
          <w:szCs w:val="24"/>
        </w:rPr>
        <w:t xml:space="preserve"> Financial Statement.</w:t>
      </w:r>
    </w:p>
    <w:p w:rsidR="00571BD5" w:rsidRPr="00550536" w:rsidRDefault="00571BD5" w:rsidP="006537B0">
      <w:pPr>
        <w:pStyle w:val="ManualHeading1"/>
        <w:rPr>
          <w:noProof/>
        </w:rPr>
      </w:pPr>
      <w:r w:rsidRPr="00550536">
        <w:rPr>
          <w:noProof/>
        </w:rPr>
        <w:t>5.</w:t>
      </w:r>
      <w:r w:rsidRPr="00550536">
        <w:rPr>
          <w:noProof/>
        </w:rPr>
        <w:tab/>
        <w:t>OTHER ELEMENTS</w:t>
      </w:r>
    </w:p>
    <w:p w:rsidR="00571BD5" w:rsidRDefault="00571BD5" w:rsidP="006537B0">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rsidR="001C7855" w:rsidRDefault="001C7855" w:rsidP="001C7855">
      <w:pPr>
        <w:rPr>
          <w:noProof/>
          <w:color w:val="000000" w:themeColor="text1"/>
        </w:rPr>
      </w:pPr>
      <w:r>
        <w:rPr>
          <w:noProof/>
          <w:color w:val="000000" w:themeColor="text1"/>
        </w:rPr>
        <w:t>A well-established system is already in place for monitoring the implementation of Regulation (EU) 2019/1242. Member States and manufacturers annually report the CO</w:t>
      </w:r>
      <w:r>
        <w:rPr>
          <w:noProof/>
          <w:color w:val="000000" w:themeColor="text1"/>
          <w:vertAlign w:val="subscript"/>
        </w:rPr>
        <w:t>2</w:t>
      </w:r>
      <w:r>
        <w:rPr>
          <w:noProof/>
          <w:color w:val="000000" w:themeColor="text1"/>
        </w:rPr>
        <w:t xml:space="preserve"> emissions and fuel consumption of newly registered heavy-duty vehicles to the Commission.</w:t>
      </w:r>
    </w:p>
    <w:p w:rsidR="001C7855" w:rsidRDefault="001C7855" w:rsidP="001C7855">
      <w:pPr>
        <w:rPr>
          <w:noProof/>
          <w:color w:val="000000" w:themeColor="text1"/>
        </w:rPr>
      </w:pPr>
      <w:r>
        <w:rPr>
          <w:noProof/>
          <w:color w:val="000000" w:themeColor="text1"/>
        </w:rPr>
        <w:t>The Commission, supported by the EEA, publishes every year the final monitoring data of the preceding reporting period</w:t>
      </w:r>
      <w:r w:rsidR="00312E16">
        <w:rPr>
          <w:noProof/>
          <w:color w:val="000000" w:themeColor="text1"/>
        </w:rPr>
        <w:t>,</w:t>
      </w:r>
      <w:r>
        <w:rPr>
          <w:noProof/>
          <w:color w:val="000000" w:themeColor="text1"/>
        </w:rPr>
        <w:t xml:space="preserve"> including the manufacturer</w:t>
      </w:r>
      <w:r w:rsidR="00312E16">
        <w:rPr>
          <w:noProof/>
          <w:color w:val="000000" w:themeColor="text1"/>
        </w:rPr>
        <w:t>-</w:t>
      </w:r>
      <w:r>
        <w:rPr>
          <w:noProof/>
          <w:color w:val="000000" w:themeColor="text1"/>
        </w:rPr>
        <w:t>specific performance against the CO</w:t>
      </w:r>
      <w:r>
        <w:rPr>
          <w:noProof/>
          <w:color w:val="000000" w:themeColor="text1"/>
          <w:vertAlign w:val="subscript"/>
        </w:rPr>
        <w:t>2</w:t>
      </w:r>
      <w:r>
        <w:rPr>
          <w:noProof/>
          <w:color w:val="000000" w:themeColor="text1"/>
        </w:rPr>
        <w:t xml:space="preserve"> targets or trajectory. The legislation will continue to rely on this well-established monitoring and compliance framework.</w:t>
      </w:r>
    </w:p>
    <w:p w:rsidR="00571BD5" w:rsidRDefault="00571BD5" w:rsidP="006537B0">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rsidR="001C7855" w:rsidRDefault="001C7855" w:rsidP="001C7855">
      <w:pPr>
        <w:autoSpaceDE w:val="0"/>
        <w:autoSpaceDN w:val="0"/>
        <w:rPr>
          <w:rFonts w:eastAsia="Times New Roman"/>
          <w:b/>
          <w:i/>
          <w:noProof/>
          <w:szCs w:val="24"/>
        </w:rPr>
      </w:pPr>
      <w:r>
        <w:rPr>
          <w:rFonts w:eastAsia="Times New Roman"/>
          <w:b/>
          <w:i/>
          <w:noProof/>
          <w:szCs w:val="24"/>
        </w:rPr>
        <w:t>Article 1(1): Amendment to Article 1 – Subject matter and objectives</w:t>
      </w:r>
    </w:p>
    <w:p w:rsidR="001C7855" w:rsidRDefault="001C7855" w:rsidP="001C7855">
      <w:pPr>
        <w:autoSpaceDE w:val="0"/>
        <w:autoSpaceDN w:val="0"/>
        <w:rPr>
          <w:rFonts w:eastAsia="Times New Roman"/>
          <w:noProof/>
          <w:szCs w:val="24"/>
        </w:rPr>
      </w:pPr>
      <w:r>
        <w:rPr>
          <w:rFonts w:eastAsia="Times New Roman"/>
          <w:noProof/>
          <w:szCs w:val="24"/>
        </w:rPr>
        <w:t xml:space="preserve">Article 1 is amended to explain that the proposal also lays down the requirement for the monitoring and reporting of certain data of new heavy-duty vehicles. </w:t>
      </w:r>
    </w:p>
    <w:p w:rsidR="001C7855" w:rsidRDefault="001C7855" w:rsidP="001C7855">
      <w:pPr>
        <w:autoSpaceDE w:val="0"/>
        <w:autoSpaceDN w:val="0"/>
        <w:rPr>
          <w:rFonts w:eastAsia="Times New Roman"/>
          <w:b/>
          <w:i/>
          <w:noProof/>
          <w:szCs w:val="24"/>
        </w:rPr>
      </w:pPr>
      <w:r>
        <w:rPr>
          <w:rFonts w:eastAsia="Times New Roman"/>
          <w:b/>
          <w:i/>
          <w:noProof/>
          <w:szCs w:val="24"/>
        </w:rPr>
        <w:t>Article 1(2): Amendment to Article 2 – Scope</w:t>
      </w:r>
    </w:p>
    <w:p w:rsidR="002A6AF3" w:rsidRPr="002A6AF3" w:rsidRDefault="001C7855" w:rsidP="002A6AF3">
      <w:pPr>
        <w:rPr>
          <w:rFonts w:eastAsia="Times New Roman"/>
          <w:noProof/>
          <w:szCs w:val="24"/>
          <w:lang w:val="en-IE"/>
        </w:rPr>
      </w:pPr>
      <w:r w:rsidRPr="0CDD1B26">
        <w:rPr>
          <w:rFonts w:eastAsia="Times New Roman"/>
          <w:noProof/>
        </w:rPr>
        <w:t xml:space="preserve">Article 2 is amended in order to expand the scope of application of the </w:t>
      </w:r>
      <w:r w:rsidR="00312E16">
        <w:rPr>
          <w:rFonts w:eastAsia="Times New Roman"/>
          <w:noProof/>
        </w:rPr>
        <w:t>R</w:t>
      </w:r>
      <w:r w:rsidRPr="0CDD1B26">
        <w:rPr>
          <w:rFonts w:eastAsia="Times New Roman"/>
          <w:noProof/>
        </w:rPr>
        <w:t>egulation to the wider scope of Regulation 2018/956</w:t>
      </w:r>
      <w:r w:rsidR="0005000E">
        <w:rPr>
          <w:rFonts w:eastAsia="Times New Roman"/>
          <w:noProof/>
        </w:rPr>
        <w:t xml:space="preserve">, </w:t>
      </w:r>
      <w:r w:rsidR="00FE2466">
        <w:rPr>
          <w:noProof/>
        </w:rPr>
        <w:t>including now trailers, urban buses, coaches and other types of lorries</w:t>
      </w:r>
      <w:r w:rsidRPr="0CDD1B26">
        <w:rPr>
          <w:rFonts w:eastAsia="Times New Roman"/>
          <w:noProof/>
        </w:rPr>
        <w:t>.</w:t>
      </w:r>
      <w:r w:rsidR="00E13C3E">
        <w:rPr>
          <w:rFonts w:eastAsia="Times New Roman"/>
          <w:noProof/>
        </w:rPr>
        <w:t xml:space="preserve"> </w:t>
      </w:r>
      <w:r w:rsidRPr="0CDD1B26">
        <w:rPr>
          <w:rFonts w:eastAsia="Times New Roman"/>
          <w:noProof/>
        </w:rPr>
        <w:t>References to Directive 2007/46/EC</w:t>
      </w:r>
      <w:r w:rsidRPr="00C9020F">
        <w:rPr>
          <w:rStyle w:val="FootnoteReference"/>
          <w:noProof/>
        </w:rPr>
        <w:footnoteReference w:id="7"/>
      </w:r>
      <w:r w:rsidRPr="0CDD1B26">
        <w:rPr>
          <w:rFonts w:eastAsia="Times New Roman"/>
          <w:noProof/>
        </w:rPr>
        <w:t xml:space="preserve"> (type approval framework Directive), which was repealed from 1 September 2020, are replaced by references to the type approval Regulation (EU) 2018/858</w:t>
      </w:r>
      <w:r w:rsidRPr="00C9020F">
        <w:rPr>
          <w:rStyle w:val="FootnoteReference"/>
          <w:noProof/>
        </w:rPr>
        <w:footnoteReference w:id="8"/>
      </w:r>
      <w:r w:rsidRPr="0CDD1B26">
        <w:rPr>
          <w:rFonts w:eastAsia="Times New Roman"/>
          <w:noProof/>
        </w:rPr>
        <w:t xml:space="preserve"> which applies since that date. </w:t>
      </w:r>
      <w:r w:rsidR="002A6AF3" w:rsidRPr="002A6AF3">
        <w:rPr>
          <w:rFonts w:eastAsia="Times New Roman"/>
          <w:noProof/>
          <w:szCs w:val="24"/>
        </w:rPr>
        <w:t xml:space="preserve">Vehicles designed and constructed or adapted for use by civil protection, fire services and forces responsible for maintaining public order </w:t>
      </w:r>
      <w:r w:rsidR="00DB0A1E">
        <w:rPr>
          <w:rFonts w:eastAsia="Times New Roman"/>
          <w:noProof/>
          <w:szCs w:val="24"/>
        </w:rPr>
        <w:t xml:space="preserve">are not </w:t>
      </w:r>
      <w:r w:rsidR="00DB0A1E" w:rsidRPr="00E56828">
        <w:rPr>
          <w:rFonts w:eastAsia="Times New Roman"/>
          <w:noProof/>
          <w:szCs w:val="24"/>
        </w:rPr>
        <w:t xml:space="preserve">subject to </w:t>
      </w:r>
      <w:r w:rsidR="002A6AF3" w:rsidRPr="002A6AF3">
        <w:rPr>
          <w:rFonts w:eastAsia="Times New Roman"/>
          <w:noProof/>
          <w:szCs w:val="24"/>
        </w:rPr>
        <w:t>the CO</w:t>
      </w:r>
      <w:r w:rsidR="002A6AF3" w:rsidRPr="002A6AF3">
        <w:rPr>
          <w:rFonts w:eastAsia="Times New Roman"/>
          <w:noProof/>
          <w:szCs w:val="24"/>
          <w:vertAlign w:val="subscript"/>
        </w:rPr>
        <w:t>2</w:t>
      </w:r>
      <w:r w:rsidR="002A6AF3" w:rsidRPr="002A6AF3">
        <w:rPr>
          <w:rFonts w:eastAsia="Times New Roman"/>
          <w:noProof/>
          <w:szCs w:val="24"/>
        </w:rPr>
        <w:t>emissions targets.</w:t>
      </w:r>
      <w:r w:rsidR="002A6AF3" w:rsidRPr="002A6AF3">
        <w:rPr>
          <w:rFonts w:eastAsia="Times New Roman"/>
          <w:noProof/>
          <w:szCs w:val="24"/>
          <w:lang w:val="en-IE"/>
        </w:rPr>
        <w:t xml:space="preserve"> </w:t>
      </w:r>
    </w:p>
    <w:p w:rsidR="001C7855" w:rsidRDefault="001C7855" w:rsidP="002A6AF3">
      <w:pPr>
        <w:rPr>
          <w:rFonts w:eastAsia="Times New Roman"/>
          <w:b/>
          <w:i/>
          <w:noProof/>
          <w:szCs w:val="24"/>
        </w:rPr>
      </w:pPr>
      <w:r>
        <w:rPr>
          <w:rFonts w:eastAsia="Times New Roman"/>
          <w:b/>
          <w:i/>
          <w:noProof/>
          <w:szCs w:val="24"/>
        </w:rPr>
        <w:t>Article 1(3): Amendment to Article 3 – Definitions</w:t>
      </w:r>
    </w:p>
    <w:p w:rsidR="001C7855" w:rsidRDefault="00E13C3E" w:rsidP="001C7855">
      <w:pPr>
        <w:autoSpaceDE w:val="0"/>
        <w:autoSpaceDN w:val="0"/>
        <w:rPr>
          <w:rFonts w:eastAsia="Times New Roman"/>
          <w:noProof/>
        </w:rPr>
      </w:pPr>
      <w:r>
        <w:rPr>
          <w:rFonts w:eastAsia="Times New Roman"/>
          <w:noProof/>
        </w:rPr>
        <w:t xml:space="preserve">Certain </w:t>
      </w:r>
      <w:r w:rsidR="001C7855" w:rsidRPr="0CDD1B26">
        <w:rPr>
          <w:rFonts w:eastAsia="Times New Roman"/>
          <w:noProof/>
        </w:rPr>
        <w:t xml:space="preserve">definitions are updated or added. </w:t>
      </w:r>
    </w:p>
    <w:p w:rsidR="001C7855" w:rsidRDefault="001C7855" w:rsidP="001C7855">
      <w:pPr>
        <w:autoSpaceDE w:val="0"/>
        <w:autoSpaceDN w:val="0"/>
        <w:rPr>
          <w:rFonts w:eastAsia="Times New Roman"/>
          <w:b/>
          <w:i/>
          <w:noProof/>
          <w:szCs w:val="24"/>
        </w:rPr>
      </w:pPr>
      <w:r>
        <w:rPr>
          <w:rFonts w:eastAsia="Times New Roman"/>
          <w:b/>
          <w:i/>
          <w:noProof/>
          <w:szCs w:val="24"/>
        </w:rPr>
        <w:t>Article 1(4): New Articles 3a and 3b</w:t>
      </w:r>
    </w:p>
    <w:p w:rsidR="001C7855" w:rsidRDefault="001C7855" w:rsidP="001C7855">
      <w:pPr>
        <w:autoSpaceDE w:val="0"/>
        <w:autoSpaceDN w:val="0"/>
        <w:rPr>
          <w:noProof/>
          <w:szCs w:val="24"/>
        </w:rPr>
      </w:pPr>
      <w:r>
        <w:rPr>
          <w:noProof/>
          <w:szCs w:val="24"/>
        </w:rPr>
        <w:t xml:space="preserve">An Article 3(a) is added, which sets </w:t>
      </w:r>
      <w:r w:rsidR="001C79DC">
        <w:rPr>
          <w:noProof/>
          <w:szCs w:val="24"/>
        </w:rPr>
        <w:t xml:space="preserve">out </w:t>
      </w:r>
      <w:r>
        <w:rPr>
          <w:noProof/>
          <w:szCs w:val="24"/>
        </w:rPr>
        <w:t>by how much the</w:t>
      </w:r>
      <w:r w:rsidRPr="0080058A">
        <w:rPr>
          <w:noProof/>
          <w:szCs w:val="24"/>
        </w:rPr>
        <w:t xml:space="preserve"> specific </w:t>
      </w:r>
      <w:r w:rsidR="00DF379C">
        <w:rPr>
          <w:noProof/>
          <w:szCs w:val="24"/>
        </w:rPr>
        <w:t>CO₂</w:t>
      </w:r>
      <w:r w:rsidRPr="0080058A">
        <w:rPr>
          <w:noProof/>
          <w:szCs w:val="24"/>
        </w:rPr>
        <w:t xml:space="preserve"> emissions of the Union fleet of new heavy-duty motor</w:t>
      </w:r>
      <w:r w:rsidR="00EA7537">
        <w:rPr>
          <w:noProof/>
          <w:szCs w:val="24"/>
        </w:rPr>
        <w:t xml:space="preserve"> vehicle</w:t>
      </w:r>
      <w:r w:rsidR="00312E16">
        <w:rPr>
          <w:noProof/>
          <w:szCs w:val="24"/>
        </w:rPr>
        <w:t>s</w:t>
      </w:r>
      <w:r>
        <w:rPr>
          <w:noProof/>
          <w:szCs w:val="24"/>
        </w:rPr>
        <w:t xml:space="preserve"> shall be reduced in certain years</w:t>
      </w:r>
      <w:r w:rsidR="00E13C3E">
        <w:rPr>
          <w:noProof/>
          <w:szCs w:val="24"/>
        </w:rPr>
        <w:t xml:space="preserve">, and </w:t>
      </w:r>
      <w:r>
        <w:rPr>
          <w:noProof/>
          <w:szCs w:val="24"/>
        </w:rPr>
        <w:t xml:space="preserve">defines how </w:t>
      </w:r>
      <w:r w:rsidR="00E13C3E">
        <w:rPr>
          <w:noProof/>
          <w:szCs w:val="24"/>
        </w:rPr>
        <w:t xml:space="preserve">such </w:t>
      </w:r>
      <w:r>
        <w:rPr>
          <w:noProof/>
          <w:szCs w:val="24"/>
        </w:rPr>
        <w:t>targets are allocated to the HDV subgroups.</w:t>
      </w:r>
    </w:p>
    <w:p w:rsidR="00F576F7" w:rsidRDefault="00F576F7" w:rsidP="001C7855">
      <w:pPr>
        <w:autoSpaceDE w:val="0"/>
        <w:autoSpaceDN w:val="0"/>
        <w:rPr>
          <w:noProof/>
          <w:szCs w:val="24"/>
        </w:rPr>
      </w:pPr>
      <w:r>
        <w:rPr>
          <w:noProof/>
          <w:szCs w:val="24"/>
        </w:rPr>
        <w:t xml:space="preserve">It also clarifies that the targets do not apply to </w:t>
      </w:r>
      <w:r w:rsidRPr="00E41C8E">
        <w:rPr>
          <w:noProof/>
          <w:lang w:val="en-IE" w:eastAsia="de-DE"/>
        </w:rPr>
        <w:t>special purpose,</w:t>
      </w:r>
      <w:r>
        <w:rPr>
          <w:noProof/>
          <w:lang w:val="en-IE" w:eastAsia="de-DE"/>
        </w:rPr>
        <w:t xml:space="preserve"> off-road</w:t>
      </w:r>
      <w:r w:rsidR="007B7E95">
        <w:rPr>
          <w:noProof/>
          <w:lang w:val="en-IE" w:eastAsia="de-DE"/>
        </w:rPr>
        <w:t xml:space="preserve">, </w:t>
      </w:r>
      <w:r w:rsidRPr="00E41C8E">
        <w:rPr>
          <w:noProof/>
          <w:lang w:val="en-IE" w:eastAsia="de-DE"/>
        </w:rPr>
        <w:t>off-road special purpose</w:t>
      </w:r>
      <w:r w:rsidR="007B7E95">
        <w:rPr>
          <w:noProof/>
          <w:lang w:val="en-IE" w:eastAsia="de-DE"/>
        </w:rPr>
        <w:t>, and vocational</w:t>
      </w:r>
      <w:r>
        <w:rPr>
          <w:noProof/>
          <w:lang w:val="en-IE" w:eastAsia="de-DE"/>
        </w:rPr>
        <w:t xml:space="preserve"> vehicles</w:t>
      </w:r>
      <w:r w:rsidR="0090333B">
        <w:rPr>
          <w:noProof/>
          <w:lang w:val="en-IE" w:eastAsia="de-DE"/>
        </w:rPr>
        <w:t>, such as mobile cranes, forestry or agricultural vehicles</w:t>
      </w:r>
      <w:r>
        <w:rPr>
          <w:noProof/>
          <w:lang w:val="en-IE" w:eastAsia="de-DE"/>
        </w:rPr>
        <w:t>.</w:t>
      </w:r>
    </w:p>
    <w:p w:rsidR="001C7855" w:rsidRPr="002A6AF3" w:rsidRDefault="0090333B" w:rsidP="001C7855">
      <w:pPr>
        <w:autoSpaceDE w:val="0"/>
        <w:autoSpaceDN w:val="0"/>
        <w:rPr>
          <w:noProof/>
          <w:szCs w:val="24"/>
          <w:lang w:val="en-IE"/>
        </w:rPr>
      </w:pPr>
      <w:r>
        <w:rPr>
          <w:noProof/>
          <w:szCs w:val="24"/>
        </w:rPr>
        <w:t xml:space="preserve">In Article 3b </w:t>
      </w:r>
      <w:r w:rsidR="00DF379C">
        <w:rPr>
          <w:noProof/>
          <w:szCs w:val="24"/>
        </w:rPr>
        <w:t>CO₂</w:t>
      </w:r>
      <w:r w:rsidR="00CA7DF2" w:rsidRPr="008670C1">
        <w:rPr>
          <w:noProof/>
          <w:szCs w:val="24"/>
        </w:rPr>
        <w:t xml:space="preserve"> emissions requirements related to</w:t>
      </w:r>
      <w:r w:rsidR="001C7855" w:rsidRPr="008670C1">
        <w:rPr>
          <w:noProof/>
          <w:szCs w:val="24"/>
        </w:rPr>
        <w:t xml:space="preserve"> the Union fleet of new trailers</w:t>
      </w:r>
      <w:r w:rsidR="00E13C3E" w:rsidRPr="008670C1">
        <w:rPr>
          <w:noProof/>
          <w:szCs w:val="24"/>
        </w:rPr>
        <w:t xml:space="preserve"> as well as a </w:t>
      </w:r>
      <w:r w:rsidR="00E13C3E" w:rsidRPr="008670C1">
        <w:rPr>
          <w:rFonts w:eastAsia="Times New Roman"/>
          <w:noProof/>
        </w:rPr>
        <w:t xml:space="preserve">zero emission vehicle targets for </w:t>
      </w:r>
      <w:r>
        <w:rPr>
          <w:rFonts w:eastAsia="Times New Roman"/>
          <w:noProof/>
        </w:rPr>
        <w:t xml:space="preserve">urban </w:t>
      </w:r>
      <w:r w:rsidR="00E13C3E" w:rsidRPr="008670C1">
        <w:rPr>
          <w:rFonts w:eastAsia="Times New Roman"/>
          <w:noProof/>
        </w:rPr>
        <w:t>buses</w:t>
      </w:r>
      <w:r w:rsidR="00E13C3E" w:rsidRPr="008670C1">
        <w:rPr>
          <w:noProof/>
          <w:szCs w:val="24"/>
        </w:rPr>
        <w:t xml:space="preserve"> are set.</w:t>
      </w:r>
      <w:r>
        <w:rPr>
          <w:noProof/>
          <w:szCs w:val="24"/>
        </w:rPr>
        <w:t xml:space="preserve"> This zero emission vehicle target does not apply to coaches used for regional and long-distance passenger transport, which are only subject to the CO2 emissions reduction targets set in Article 3a.</w:t>
      </w:r>
      <w:r w:rsidR="001C7855">
        <w:rPr>
          <w:noProof/>
          <w:szCs w:val="24"/>
        </w:rPr>
        <w:t xml:space="preserve"> </w:t>
      </w:r>
      <w:r w:rsidR="002A6AF3" w:rsidRPr="002A6AF3">
        <w:rPr>
          <w:noProof/>
          <w:szCs w:val="24"/>
          <w:lang w:val="en-IE"/>
        </w:rPr>
        <w:t xml:space="preserve"> </w:t>
      </w:r>
    </w:p>
    <w:p w:rsidR="001C7855" w:rsidRDefault="001C7855" w:rsidP="001C7855">
      <w:pPr>
        <w:autoSpaceDE w:val="0"/>
        <w:autoSpaceDN w:val="0"/>
        <w:rPr>
          <w:rFonts w:eastAsia="Times New Roman"/>
          <w:b/>
          <w:i/>
          <w:noProof/>
          <w:szCs w:val="24"/>
        </w:rPr>
      </w:pPr>
      <w:r>
        <w:rPr>
          <w:rFonts w:eastAsia="Times New Roman"/>
          <w:b/>
          <w:i/>
          <w:noProof/>
          <w:szCs w:val="24"/>
        </w:rPr>
        <w:t xml:space="preserve">Article 1(6): Amendment to Article 5 </w:t>
      </w:r>
      <w:r w:rsidRPr="00465DCE">
        <w:rPr>
          <w:rFonts w:eastAsia="Times New Roman"/>
          <w:b/>
          <w:i/>
          <w:noProof/>
          <w:szCs w:val="24"/>
        </w:rPr>
        <w:t xml:space="preserve">Zero- and low-emission heavy-duty vehicles </w:t>
      </w:r>
    </w:p>
    <w:p w:rsidR="001C7855" w:rsidRDefault="001C7855" w:rsidP="001C7855">
      <w:pPr>
        <w:autoSpaceDE w:val="0"/>
        <w:autoSpaceDN w:val="0"/>
        <w:rPr>
          <w:rFonts w:eastAsia="Times New Roman"/>
          <w:noProof/>
          <w:szCs w:val="24"/>
        </w:rPr>
      </w:pPr>
      <w:r>
        <w:rPr>
          <w:rFonts w:eastAsia="Times New Roman"/>
          <w:noProof/>
          <w:szCs w:val="24"/>
        </w:rPr>
        <w:t xml:space="preserve">Article 5 is amended to end the </w:t>
      </w:r>
      <w:r w:rsidRPr="006B136F">
        <w:rPr>
          <w:rFonts w:eastAsia="Times New Roman"/>
          <w:noProof/>
          <w:szCs w:val="24"/>
        </w:rPr>
        <w:t xml:space="preserve">zero- and low-emission </w:t>
      </w:r>
      <w:r w:rsidR="00843FC9">
        <w:rPr>
          <w:rFonts w:eastAsia="Times New Roman"/>
          <w:noProof/>
          <w:szCs w:val="24"/>
        </w:rPr>
        <w:t>incentive scheme</w:t>
      </w:r>
      <w:r w:rsidR="00843FC9" w:rsidRPr="006B136F">
        <w:rPr>
          <w:rFonts w:eastAsia="Times New Roman"/>
          <w:noProof/>
          <w:szCs w:val="24"/>
        </w:rPr>
        <w:t xml:space="preserve"> </w:t>
      </w:r>
      <w:r>
        <w:rPr>
          <w:rFonts w:eastAsia="Times New Roman"/>
          <w:noProof/>
          <w:szCs w:val="24"/>
        </w:rPr>
        <w:t>in 2029.</w:t>
      </w:r>
    </w:p>
    <w:p w:rsidR="001C7855" w:rsidRDefault="001C7855" w:rsidP="001C7855">
      <w:pPr>
        <w:autoSpaceDE w:val="0"/>
        <w:autoSpaceDN w:val="0"/>
        <w:rPr>
          <w:rFonts w:eastAsia="Times New Roman"/>
          <w:b/>
          <w:i/>
          <w:noProof/>
          <w:szCs w:val="24"/>
        </w:rPr>
      </w:pPr>
      <w:r>
        <w:rPr>
          <w:rFonts w:eastAsia="Times New Roman"/>
          <w:b/>
          <w:i/>
          <w:noProof/>
          <w:szCs w:val="24"/>
        </w:rPr>
        <w:t xml:space="preserve">Article 1(7): Amendment to Article 6 – </w:t>
      </w:r>
      <w:r w:rsidRPr="00824705">
        <w:rPr>
          <w:rFonts w:eastAsia="Times New Roman"/>
          <w:b/>
          <w:i/>
          <w:noProof/>
          <w:szCs w:val="24"/>
        </w:rPr>
        <w:t xml:space="preserve">Specific </w:t>
      </w:r>
      <w:r w:rsidR="00DF379C">
        <w:rPr>
          <w:rFonts w:eastAsia="Times New Roman"/>
          <w:b/>
          <w:i/>
          <w:noProof/>
          <w:szCs w:val="24"/>
        </w:rPr>
        <w:t>CO₂</w:t>
      </w:r>
      <w:r w:rsidRPr="00824705">
        <w:rPr>
          <w:rFonts w:eastAsia="Times New Roman"/>
          <w:b/>
          <w:i/>
          <w:noProof/>
          <w:szCs w:val="24"/>
        </w:rPr>
        <w:t xml:space="preserve"> emissions targets of a manufacturer</w:t>
      </w:r>
    </w:p>
    <w:p w:rsidR="001C7855" w:rsidRDefault="001C7855" w:rsidP="001C7855">
      <w:pPr>
        <w:autoSpaceDE w:val="0"/>
        <w:autoSpaceDN w:val="0"/>
        <w:rPr>
          <w:rFonts w:eastAsia="Times New Roman"/>
          <w:noProof/>
          <w:szCs w:val="24"/>
          <w:lang w:val="en-IE" w:eastAsia="de-DE"/>
        </w:rPr>
      </w:pPr>
      <w:r w:rsidRPr="008670C1">
        <w:rPr>
          <w:rFonts w:eastAsia="Times New Roman"/>
          <w:noProof/>
          <w:szCs w:val="24"/>
        </w:rPr>
        <w:t xml:space="preserve">Article 6 is amended to include the </w:t>
      </w:r>
      <w:r w:rsidR="00CA7DF2" w:rsidRPr="008670C1">
        <w:rPr>
          <w:rFonts w:eastAsia="Times New Roman"/>
          <w:noProof/>
          <w:szCs w:val="24"/>
        </w:rPr>
        <w:t>CO</w:t>
      </w:r>
      <w:r w:rsidR="00CA7DF2" w:rsidRPr="008670C1">
        <w:rPr>
          <w:rFonts w:eastAsia="Times New Roman"/>
          <w:noProof/>
          <w:szCs w:val="24"/>
          <w:vertAlign w:val="subscript"/>
        </w:rPr>
        <w:t>2</w:t>
      </w:r>
      <w:r w:rsidR="00CA7DF2" w:rsidRPr="008670C1">
        <w:rPr>
          <w:rFonts w:eastAsia="Times New Roman"/>
          <w:noProof/>
          <w:szCs w:val="24"/>
        </w:rPr>
        <w:t xml:space="preserve"> emissions related to </w:t>
      </w:r>
      <w:r w:rsidRPr="008670C1">
        <w:rPr>
          <w:rFonts w:eastAsia="Times New Roman"/>
          <w:noProof/>
          <w:szCs w:val="24"/>
        </w:rPr>
        <w:t>trailers</w:t>
      </w:r>
      <w:r w:rsidR="00EA7537">
        <w:rPr>
          <w:rFonts w:eastAsia="Times New Roman"/>
          <w:noProof/>
          <w:szCs w:val="24"/>
        </w:rPr>
        <w:t>,</w:t>
      </w:r>
      <w:r>
        <w:rPr>
          <w:rFonts w:eastAsia="Times New Roman"/>
          <w:noProof/>
          <w:szCs w:val="24"/>
        </w:rPr>
        <w:t xml:space="preserve"> and the </w:t>
      </w:r>
      <w:r>
        <w:rPr>
          <w:rFonts w:eastAsia="Times New Roman"/>
          <w:noProof/>
          <w:szCs w:val="24"/>
          <w:lang w:val="en-IE" w:eastAsia="de-DE"/>
        </w:rPr>
        <w:t>zero</w:t>
      </w:r>
      <w:r w:rsidR="00EA7537">
        <w:rPr>
          <w:rFonts w:eastAsia="Times New Roman"/>
          <w:noProof/>
          <w:szCs w:val="24"/>
          <w:lang w:val="en-IE" w:eastAsia="de-DE"/>
        </w:rPr>
        <w:t>-</w:t>
      </w:r>
      <w:r>
        <w:rPr>
          <w:rFonts w:eastAsia="Times New Roman"/>
          <w:noProof/>
          <w:szCs w:val="24"/>
          <w:lang w:val="en-IE" w:eastAsia="de-DE"/>
        </w:rPr>
        <w:t xml:space="preserve">emission vehicle target of buses in the </w:t>
      </w:r>
      <w:r w:rsidR="00843FC9">
        <w:rPr>
          <w:rFonts w:eastAsia="Times New Roman"/>
          <w:noProof/>
          <w:szCs w:val="24"/>
          <w:lang w:val="en-IE" w:eastAsia="de-DE"/>
        </w:rPr>
        <w:t>s</w:t>
      </w:r>
      <w:r w:rsidR="00843FC9" w:rsidRPr="00781ED5">
        <w:rPr>
          <w:rFonts w:eastAsia="Times New Roman"/>
          <w:noProof/>
          <w:szCs w:val="24"/>
          <w:lang w:val="en-IE" w:eastAsia="de-DE"/>
        </w:rPr>
        <w:t xml:space="preserve">pecific </w:t>
      </w:r>
      <w:r w:rsidR="00DF379C">
        <w:rPr>
          <w:rFonts w:eastAsia="Times New Roman"/>
          <w:noProof/>
          <w:szCs w:val="24"/>
          <w:lang w:val="en-IE" w:eastAsia="de-DE"/>
        </w:rPr>
        <w:t>CO₂</w:t>
      </w:r>
      <w:r w:rsidRPr="00781ED5">
        <w:rPr>
          <w:rFonts w:eastAsia="Times New Roman"/>
          <w:noProof/>
          <w:szCs w:val="24"/>
          <w:lang w:val="en-IE" w:eastAsia="de-DE"/>
        </w:rPr>
        <w:t xml:space="preserve"> emissions targets of a manufacturer</w:t>
      </w:r>
      <w:r>
        <w:rPr>
          <w:rFonts w:eastAsia="Times New Roman"/>
          <w:noProof/>
          <w:szCs w:val="24"/>
          <w:lang w:val="en-IE" w:eastAsia="de-DE"/>
        </w:rPr>
        <w:t xml:space="preserve">. </w:t>
      </w:r>
    </w:p>
    <w:p w:rsidR="001C7855" w:rsidRPr="003D145D" w:rsidRDefault="001C7855" w:rsidP="001C7855">
      <w:pPr>
        <w:autoSpaceDE w:val="0"/>
        <w:autoSpaceDN w:val="0"/>
        <w:rPr>
          <w:rFonts w:eastAsia="Times New Roman"/>
          <w:b/>
          <w:i/>
          <w:noProof/>
          <w:szCs w:val="24"/>
          <w:lang w:val="en-IE"/>
        </w:rPr>
      </w:pPr>
      <w:r w:rsidRPr="003D145D">
        <w:rPr>
          <w:rFonts w:eastAsia="Times New Roman"/>
          <w:b/>
          <w:i/>
          <w:noProof/>
          <w:szCs w:val="24"/>
          <w:lang w:val="en-IE"/>
        </w:rPr>
        <w:t>Article 1(</w:t>
      </w:r>
      <w:r>
        <w:rPr>
          <w:rFonts w:eastAsia="Times New Roman"/>
          <w:b/>
          <w:i/>
          <w:noProof/>
          <w:szCs w:val="24"/>
          <w:lang w:val="en-IE"/>
        </w:rPr>
        <w:t>8</w:t>
      </w:r>
      <w:r w:rsidRPr="003D145D">
        <w:rPr>
          <w:rFonts w:eastAsia="Times New Roman"/>
          <w:b/>
          <w:i/>
          <w:noProof/>
          <w:szCs w:val="24"/>
          <w:lang w:val="en-IE"/>
        </w:rPr>
        <w:t>): New Article</w:t>
      </w:r>
      <w:r>
        <w:rPr>
          <w:rFonts w:eastAsia="Times New Roman"/>
          <w:b/>
          <w:i/>
          <w:noProof/>
          <w:szCs w:val="24"/>
          <w:lang w:val="en-IE"/>
        </w:rPr>
        <w:t>s</w:t>
      </w:r>
      <w:r w:rsidRPr="003D145D">
        <w:rPr>
          <w:rFonts w:eastAsia="Times New Roman"/>
          <w:b/>
          <w:i/>
          <w:noProof/>
          <w:szCs w:val="24"/>
          <w:lang w:val="en-IE"/>
        </w:rPr>
        <w:t xml:space="preserve"> 6a – Transfer of</w:t>
      </w:r>
      <w:r>
        <w:rPr>
          <w:rFonts w:eastAsia="Times New Roman"/>
          <w:b/>
          <w:i/>
          <w:noProof/>
          <w:szCs w:val="24"/>
          <w:lang w:val="en-IE"/>
        </w:rPr>
        <w:t xml:space="preserve"> vehicles between manufacturers and </w:t>
      </w:r>
      <w:r w:rsidRPr="006E7A50">
        <w:rPr>
          <w:rFonts w:eastAsia="Times New Roman"/>
          <w:b/>
          <w:i/>
          <w:noProof/>
          <w:szCs w:val="24"/>
          <w:lang w:val="en-IE"/>
        </w:rPr>
        <w:t>6b – E</w:t>
      </w:r>
      <w:r w:rsidRPr="003D145D">
        <w:rPr>
          <w:rFonts w:eastAsia="Times New Roman"/>
          <w:b/>
          <w:i/>
          <w:noProof/>
          <w:szCs w:val="24"/>
          <w:lang w:val="en-IE"/>
        </w:rPr>
        <w:t xml:space="preserve">xemption for </w:t>
      </w:r>
      <w:r>
        <w:rPr>
          <w:rFonts w:eastAsia="Times New Roman"/>
          <w:b/>
          <w:i/>
          <w:noProof/>
          <w:szCs w:val="24"/>
          <w:lang w:val="en-IE"/>
        </w:rPr>
        <w:t>manufacturers</w:t>
      </w:r>
      <w:r w:rsidR="00B318DC">
        <w:rPr>
          <w:rFonts w:eastAsia="Times New Roman"/>
          <w:b/>
          <w:i/>
          <w:noProof/>
          <w:szCs w:val="24"/>
          <w:lang w:val="en-IE"/>
        </w:rPr>
        <w:t xml:space="preserve"> producing few vehicles</w:t>
      </w:r>
    </w:p>
    <w:p w:rsidR="001C7855" w:rsidRDefault="001C7855" w:rsidP="001C7855">
      <w:pPr>
        <w:autoSpaceDE w:val="0"/>
        <w:autoSpaceDN w:val="0"/>
        <w:rPr>
          <w:rFonts w:eastAsia="Times New Roman"/>
          <w:noProof/>
        </w:rPr>
      </w:pPr>
      <w:r w:rsidRPr="0CDD1B26">
        <w:rPr>
          <w:rFonts w:eastAsia="Times New Roman"/>
          <w:noProof/>
          <w:lang w:val="en-IE" w:eastAsia="de-DE"/>
        </w:rPr>
        <w:t xml:space="preserve">A new Article 6a is added, giving </w:t>
      </w:r>
      <w:r w:rsidRPr="0CDD1B26">
        <w:rPr>
          <w:rFonts w:eastAsia="Times New Roman"/>
          <w:noProof/>
        </w:rPr>
        <w:t xml:space="preserve">the possibility to manufacturers to transfer individual vehicles for the purpose of calculating their average specific </w:t>
      </w:r>
      <w:r w:rsidR="00DF379C">
        <w:rPr>
          <w:rFonts w:eastAsia="Times New Roman"/>
          <w:noProof/>
        </w:rPr>
        <w:t>CO₂</w:t>
      </w:r>
      <w:r w:rsidRPr="0CDD1B26">
        <w:rPr>
          <w:rFonts w:eastAsia="Times New Roman"/>
          <w:noProof/>
        </w:rPr>
        <w:t xml:space="preserve"> emissions, subject to certain conditions. </w:t>
      </w:r>
    </w:p>
    <w:p w:rsidR="002A6AF3" w:rsidRPr="002A6AF3" w:rsidRDefault="002A6AF3" w:rsidP="002A6AF3">
      <w:pPr>
        <w:autoSpaceDE w:val="0"/>
        <w:autoSpaceDN w:val="0"/>
        <w:rPr>
          <w:rFonts w:eastAsia="Times New Roman"/>
          <w:noProof/>
        </w:rPr>
      </w:pPr>
      <w:r w:rsidRPr="002A6AF3">
        <w:rPr>
          <w:rFonts w:eastAsia="Times New Roman"/>
          <w:noProof/>
        </w:rPr>
        <w:t>A new Article 6b is added, which gives the manufacturers responsible for registering less than 100 new heavy-duty vehicles in the EU the possibility to be exempted from the</w:t>
      </w:r>
      <w:r w:rsidRPr="002A6AF3">
        <w:rPr>
          <w:rFonts w:eastAsia="Times New Roman"/>
          <w:noProof/>
          <w:lang w:val="en-IE"/>
        </w:rPr>
        <w:t xml:space="preserve"> CO₂ emissions targets. </w:t>
      </w:r>
    </w:p>
    <w:p w:rsidR="002A6AF3" w:rsidRPr="002A6AF3" w:rsidRDefault="002A6AF3" w:rsidP="002A6AF3">
      <w:pPr>
        <w:autoSpaceDE w:val="0"/>
        <w:autoSpaceDN w:val="0"/>
        <w:rPr>
          <w:rFonts w:eastAsia="Times New Roman"/>
          <w:b/>
          <w:i/>
          <w:noProof/>
        </w:rPr>
      </w:pPr>
      <w:r w:rsidRPr="002A6AF3">
        <w:rPr>
          <w:rFonts w:eastAsia="Times New Roman"/>
          <w:b/>
          <w:i/>
          <w:noProof/>
        </w:rPr>
        <w:t>Article 1(9): Amendment to Article 7 - Emission credits and emission debts</w:t>
      </w:r>
    </w:p>
    <w:p w:rsidR="001C7855" w:rsidRPr="00C31B72" w:rsidRDefault="001C7855" w:rsidP="001C7855">
      <w:pPr>
        <w:autoSpaceDE w:val="0"/>
        <w:autoSpaceDN w:val="0"/>
        <w:rPr>
          <w:rFonts w:eastAsia="Times New Roman"/>
          <w:noProof/>
          <w:szCs w:val="24"/>
          <w:lang w:val="en-IE" w:eastAsia="de-DE"/>
        </w:rPr>
      </w:pPr>
      <w:r w:rsidRPr="00C31B72">
        <w:rPr>
          <w:rFonts w:eastAsia="Times New Roman"/>
          <w:noProof/>
          <w:szCs w:val="24"/>
          <w:lang w:val="en-IE" w:eastAsia="de-DE"/>
        </w:rPr>
        <w:t xml:space="preserve">Article 7 is amended to allow the manufacturers to take into account </w:t>
      </w:r>
      <w:r>
        <w:rPr>
          <w:rFonts w:eastAsia="Times New Roman"/>
          <w:noProof/>
          <w:szCs w:val="24"/>
          <w:lang w:val="en-IE" w:eastAsia="de-DE"/>
        </w:rPr>
        <w:t xml:space="preserve">emission credits or emission debts also after the reporting period of 2029. </w:t>
      </w:r>
      <w:r w:rsidR="00843FC9">
        <w:rPr>
          <w:rFonts w:eastAsia="Times New Roman"/>
          <w:noProof/>
          <w:szCs w:val="24"/>
          <w:lang w:val="en-IE" w:eastAsia="de-DE"/>
        </w:rPr>
        <w:t xml:space="preserve">A </w:t>
      </w:r>
      <w:r w:rsidR="00DF379C">
        <w:rPr>
          <w:rFonts w:eastAsia="Times New Roman"/>
          <w:noProof/>
          <w:szCs w:val="24"/>
          <w:lang w:val="en-IE" w:eastAsia="de-DE"/>
        </w:rPr>
        <w:t>CO₂</w:t>
      </w:r>
      <w:r w:rsidRPr="00FD1F4A">
        <w:rPr>
          <w:rFonts w:eastAsia="Times New Roman"/>
          <w:noProof/>
          <w:szCs w:val="24"/>
          <w:lang w:val="en-IE" w:eastAsia="de-DE"/>
        </w:rPr>
        <w:t xml:space="preserve"> emissions reduction trajectory</w:t>
      </w:r>
      <w:r>
        <w:rPr>
          <w:rFonts w:eastAsia="Times New Roman"/>
          <w:noProof/>
          <w:szCs w:val="24"/>
          <w:lang w:val="en-IE" w:eastAsia="de-DE"/>
        </w:rPr>
        <w:t xml:space="preserve"> is also determined for the reporting period of years 2030 to 2040.</w:t>
      </w:r>
    </w:p>
    <w:p w:rsidR="002A6AF3" w:rsidRDefault="002A6AF3" w:rsidP="002A6AF3">
      <w:pPr>
        <w:autoSpaceDE w:val="0"/>
        <w:autoSpaceDN w:val="0"/>
        <w:rPr>
          <w:rFonts w:eastAsia="Times New Roman"/>
          <w:b/>
          <w:i/>
          <w:noProof/>
          <w:szCs w:val="24"/>
        </w:rPr>
      </w:pPr>
      <w:r>
        <w:rPr>
          <w:rFonts w:eastAsia="Times New Roman"/>
          <w:b/>
          <w:i/>
          <w:noProof/>
          <w:szCs w:val="24"/>
        </w:rPr>
        <w:t>Article 1(10): New Articles 7a – Attribution of vehicles to a manufacturer and 7b – Calculation of average specific CO₂ emissions of vehicles of category M</w:t>
      </w:r>
    </w:p>
    <w:p w:rsidR="002A6AF3" w:rsidRDefault="002A6AF3" w:rsidP="002A6AF3">
      <w:pPr>
        <w:autoSpaceDE w:val="0"/>
        <w:autoSpaceDN w:val="0"/>
        <w:rPr>
          <w:rFonts w:eastAsia="Times New Roman"/>
          <w:noProof/>
          <w:szCs w:val="24"/>
        </w:rPr>
      </w:pPr>
      <w:r>
        <w:rPr>
          <w:rFonts w:eastAsia="Times New Roman"/>
          <w:noProof/>
          <w:szCs w:val="24"/>
          <w:lang w:val="en-IE" w:eastAsia="de-DE"/>
        </w:rPr>
        <w:t xml:space="preserve">An Article 7a is added to set how the vehicles registered shall be attributed to a manufacturer for the compliance assessment. A new article 7b is added to set how the average specific CO₂ emissions of vehicles of category M shall be calculated in case the primary vehicle manufacturer is not the manufacturer of the completed vehicle. </w:t>
      </w:r>
    </w:p>
    <w:p w:rsidR="002A6AF3" w:rsidRDefault="001C79DC" w:rsidP="002A6AF3">
      <w:pPr>
        <w:autoSpaceDE w:val="0"/>
        <w:autoSpaceDN w:val="0"/>
        <w:rPr>
          <w:rFonts w:eastAsia="Times New Roman"/>
          <w:b/>
          <w:i/>
          <w:noProof/>
          <w:szCs w:val="24"/>
          <w:lang w:val="en-IE"/>
        </w:rPr>
      </w:pPr>
      <w:r>
        <w:rPr>
          <w:rFonts w:eastAsia="Times New Roman"/>
          <w:b/>
          <w:i/>
          <w:noProof/>
          <w:szCs w:val="24"/>
        </w:rPr>
        <w:t>Article 1(1</w:t>
      </w:r>
      <w:r w:rsidR="00B5471C">
        <w:rPr>
          <w:rFonts w:eastAsia="Times New Roman"/>
          <w:b/>
          <w:i/>
          <w:noProof/>
          <w:szCs w:val="24"/>
        </w:rPr>
        <w:t>2</w:t>
      </w:r>
      <w:r>
        <w:rPr>
          <w:rFonts w:eastAsia="Times New Roman"/>
          <w:b/>
          <w:i/>
          <w:noProof/>
          <w:szCs w:val="24"/>
        </w:rPr>
        <w:t>)</w:t>
      </w:r>
      <w:r w:rsidR="002A6AF3">
        <w:rPr>
          <w:rFonts w:eastAsia="Times New Roman"/>
          <w:b/>
          <w:i/>
          <w:noProof/>
          <w:szCs w:val="24"/>
        </w:rPr>
        <w:t xml:space="preserve">: Amendment to Article </w:t>
      </w:r>
      <w:r w:rsidR="002A6AF3" w:rsidDel="00B573EA">
        <w:rPr>
          <w:rFonts w:eastAsia="Times New Roman"/>
          <w:b/>
          <w:i/>
          <w:noProof/>
          <w:szCs w:val="24"/>
        </w:rPr>
        <w:t>9 Verification of the monitoring data</w:t>
      </w:r>
    </w:p>
    <w:p w:rsidR="001C7855" w:rsidRDefault="001C7855" w:rsidP="001C7855">
      <w:pPr>
        <w:autoSpaceDE w:val="0"/>
        <w:autoSpaceDN w:val="0"/>
        <w:rPr>
          <w:rFonts w:eastAsia="Times New Roman"/>
          <w:noProof/>
          <w:lang w:val="en-IE" w:eastAsia="de-DE"/>
        </w:rPr>
      </w:pPr>
      <w:r w:rsidRPr="0CDD1B26">
        <w:rPr>
          <w:rFonts w:eastAsia="Times New Roman"/>
          <w:noProof/>
          <w:lang w:val="en-IE" w:eastAsia="de-DE"/>
        </w:rPr>
        <w:t xml:space="preserve">Article </w:t>
      </w:r>
      <w:r>
        <w:rPr>
          <w:rFonts w:eastAsia="Times New Roman"/>
          <w:noProof/>
          <w:lang w:val="en-IE" w:eastAsia="de-DE"/>
        </w:rPr>
        <w:t xml:space="preserve">9 </w:t>
      </w:r>
      <w:r w:rsidRPr="0CDD1B26">
        <w:rPr>
          <w:rFonts w:eastAsia="Times New Roman"/>
          <w:noProof/>
          <w:lang w:val="en-IE" w:eastAsia="de-DE"/>
        </w:rPr>
        <w:t xml:space="preserve">is amended to cover </w:t>
      </w:r>
      <w:r>
        <w:rPr>
          <w:rFonts w:eastAsia="Times New Roman"/>
          <w:noProof/>
          <w:lang w:val="en-IE" w:eastAsia="de-DE"/>
        </w:rPr>
        <w:t>additional cases in which t</w:t>
      </w:r>
      <w:r w:rsidRPr="00481613">
        <w:rPr>
          <w:rFonts w:eastAsia="Times New Roman"/>
          <w:noProof/>
          <w:lang w:val="en-IE" w:eastAsia="de-DE"/>
        </w:rPr>
        <w:t xml:space="preserve">ype-approval authorities and manufacturers </w:t>
      </w:r>
      <w:r>
        <w:rPr>
          <w:rFonts w:eastAsia="Times New Roman"/>
          <w:noProof/>
          <w:lang w:val="en-IE" w:eastAsia="de-DE"/>
        </w:rPr>
        <w:t xml:space="preserve">must </w:t>
      </w:r>
      <w:r w:rsidRPr="00481613">
        <w:rPr>
          <w:rFonts w:eastAsia="Times New Roman"/>
          <w:noProof/>
          <w:lang w:val="en-IE" w:eastAsia="de-DE"/>
        </w:rPr>
        <w:t>report to the Commission any deviations</w:t>
      </w:r>
      <w:r>
        <w:rPr>
          <w:rFonts w:eastAsia="Times New Roman"/>
          <w:noProof/>
          <w:lang w:val="en-IE" w:eastAsia="de-DE"/>
        </w:rPr>
        <w:t xml:space="preserve"> </w:t>
      </w:r>
      <w:r w:rsidRPr="00F311CF">
        <w:rPr>
          <w:rFonts w:eastAsia="Times New Roman"/>
          <w:noProof/>
          <w:lang w:val="en-IE" w:eastAsia="de-DE"/>
        </w:rPr>
        <w:t>from the data reported</w:t>
      </w:r>
      <w:r w:rsidRPr="0CDD1B26">
        <w:rPr>
          <w:rFonts w:eastAsia="Times New Roman"/>
          <w:noProof/>
          <w:lang w:val="en-IE" w:eastAsia="de-DE"/>
        </w:rPr>
        <w:t>.</w:t>
      </w:r>
    </w:p>
    <w:p w:rsidR="001C7855" w:rsidRDefault="001C7855" w:rsidP="001C7855">
      <w:pPr>
        <w:autoSpaceDE w:val="0"/>
        <w:autoSpaceDN w:val="0"/>
        <w:rPr>
          <w:rFonts w:eastAsia="Times New Roman"/>
          <w:b/>
          <w:i/>
          <w:noProof/>
          <w:szCs w:val="24"/>
        </w:rPr>
      </w:pPr>
      <w:r>
        <w:rPr>
          <w:rFonts w:eastAsia="Times New Roman"/>
          <w:b/>
          <w:i/>
          <w:noProof/>
          <w:szCs w:val="24"/>
        </w:rPr>
        <w:t>Article 1(1</w:t>
      </w:r>
      <w:r w:rsidR="00B5471C">
        <w:rPr>
          <w:rFonts w:eastAsia="Times New Roman"/>
          <w:b/>
          <w:i/>
          <w:noProof/>
          <w:szCs w:val="24"/>
        </w:rPr>
        <w:t>3</w:t>
      </w:r>
      <w:r>
        <w:rPr>
          <w:rFonts w:eastAsia="Times New Roman"/>
          <w:b/>
          <w:i/>
          <w:noProof/>
          <w:szCs w:val="24"/>
        </w:rPr>
        <w:t xml:space="preserve">): Amendment to Article 10 </w:t>
      </w:r>
      <w:r w:rsidRPr="00BD0B13">
        <w:rPr>
          <w:rFonts w:eastAsia="Times New Roman"/>
          <w:b/>
          <w:i/>
          <w:noProof/>
          <w:szCs w:val="24"/>
        </w:rPr>
        <w:t xml:space="preserve">Assessment of reference </w:t>
      </w:r>
      <w:r w:rsidR="00DF379C">
        <w:rPr>
          <w:rFonts w:eastAsia="Times New Roman"/>
          <w:b/>
          <w:i/>
          <w:noProof/>
          <w:szCs w:val="24"/>
        </w:rPr>
        <w:t>CO₂</w:t>
      </w:r>
      <w:r w:rsidRPr="00BD0B13">
        <w:rPr>
          <w:rFonts w:eastAsia="Times New Roman"/>
          <w:b/>
          <w:i/>
          <w:noProof/>
          <w:szCs w:val="24"/>
        </w:rPr>
        <w:t xml:space="preserve"> emissions</w:t>
      </w:r>
    </w:p>
    <w:p w:rsidR="001C7855" w:rsidRDefault="001C7855" w:rsidP="001C7855">
      <w:pPr>
        <w:autoSpaceDE w:val="0"/>
        <w:autoSpaceDN w:val="0"/>
        <w:rPr>
          <w:rFonts w:eastAsia="Times New Roman"/>
          <w:noProof/>
          <w:lang w:val="en-IE" w:eastAsia="de-DE"/>
        </w:rPr>
      </w:pPr>
      <w:r w:rsidRPr="0CDD1B26">
        <w:rPr>
          <w:rFonts w:eastAsia="Times New Roman"/>
          <w:noProof/>
          <w:lang w:val="en-IE" w:eastAsia="de-DE"/>
        </w:rPr>
        <w:t xml:space="preserve">Article 10 is amended to cover the assessment of the reference </w:t>
      </w:r>
      <w:r w:rsidR="00DF379C">
        <w:rPr>
          <w:rFonts w:eastAsia="Times New Roman"/>
          <w:noProof/>
          <w:lang w:val="en-IE" w:eastAsia="de-DE"/>
        </w:rPr>
        <w:t>CO₂</w:t>
      </w:r>
      <w:r w:rsidRPr="0CDD1B26">
        <w:rPr>
          <w:rFonts w:eastAsia="Times New Roman"/>
          <w:noProof/>
          <w:lang w:val="en-IE" w:eastAsia="de-DE"/>
        </w:rPr>
        <w:t xml:space="preserve"> emissions of vehicle sub-groups that have been added to the extended scope</w:t>
      </w:r>
      <w:r>
        <w:rPr>
          <w:rFonts w:eastAsia="Times New Roman"/>
          <w:noProof/>
          <w:lang w:val="en-IE" w:eastAsia="de-DE"/>
        </w:rPr>
        <w:t xml:space="preserve">. </w:t>
      </w:r>
    </w:p>
    <w:p w:rsidR="001C7855" w:rsidRDefault="001C7855" w:rsidP="001C7855">
      <w:pPr>
        <w:autoSpaceDE w:val="0"/>
        <w:autoSpaceDN w:val="0"/>
        <w:rPr>
          <w:rFonts w:eastAsia="Times New Roman"/>
          <w:b/>
          <w:i/>
          <w:noProof/>
          <w:szCs w:val="24"/>
        </w:rPr>
      </w:pPr>
      <w:r>
        <w:rPr>
          <w:rFonts w:eastAsia="Times New Roman"/>
          <w:b/>
          <w:i/>
          <w:noProof/>
          <w:szCs w:val="24"/>
        </w:rPr>
        <w:t>Article 1(1</w:t>
      </w:r>
      <w:r w:rsidR="00B5471C">
        <w:rPr>
          <w:rFonts w:eastAsia="Times New Roman"/>
          <w:b/>
          <w:i/>
          <w:noProof/>
          <w:szCs w:val="24"/>
        </w:rPr>
        <w:t>4</w:t>
      </w:r>
      <w:r>
        <w:rPr>
          <w:rFonts w:eastAsia="Times New Roman"/>
          <w:b/>
          <w:i/>
          <w:noProof/>
          <w:szCs w:val="24"/>
        </w:rPr>
        <w:t xml:space="preserve">): Amendment to Article 11 – </w:t>
      </w:r>
      <w:r w:rsidRPr="003D7B5B">
        <w:rPr>
          <w:rFonts w:eastAsia="Times New Roman"/>
          <w:b/>
          <w:i/>
          <w:noProof/>
          <w:szCs w:val="24"/>
        </w:rPr>
        <w:t>Publication of data and manufacturer performance</w:t>
      </w:r>
    </w:p>
    <w:p w:rsidR="001C7855" w:rsidRPr="003D7B5B" w:rsidRDefault="001C7855" w:rsidP="001C7855">
      <w:pPr>
        <w:autoSpaceDE w:val="0"/>
        <w:autoSpaceDN w:val="0"/>
        <w:rPr>
          <w:rFonts w:eastAsia="Times New Roman"/>
          <w:noProof/>
          <w:szCs w:val="24"/>
          <w:lang w:val="en-IE" w:eastAsia="de-DE"/>
        </w:rPr>
      </w:pPr>
      <w:r>
        <w:rPr>
          <w:rFonts w:eastAsia="Times New Roman"/>
          <w:noProof/>
          <w:szCs w:val="24"/>
          <w:lang w:val="en-IE" w:eastAsia="de-DE"/>
        </w:rPr>
        <w:t xml:space="preserve">A new paragraph is added to allow the Commission to complement the implementing acts referred to in </w:t>
      </w:r>
      <w:r w:rsidR="00843FC9">
        <w:rPr>
          <w:rFonts w:eastAsia="Times New Roman"/>
          <w:noProof/>
          <w:szCs w:val="24"/>
          <w:lang w:val="en-IE" w:eastAsia="de-DE"/>
        </w:rPr>
        <w:t>the same Article</w:t>
      </w:r>
      <w:r>
        <w:rPr>
          <w:rFonts w:eastAsia="Times New Roman"/>
          <w:noProof/>
          <w:szCs w:val="24"/>
          <w:lang w:val="en-IE" w:eastAsia="de-DE"/>
        </w:rPr>
        <w:t xml:space="preserve"> when the reference emissions must be adjusted due to amendments to the procedure of </w:t>
      </w:r>
      <w:r w:rsidR="00DF379C">
        <w:rPr>
          <w:rFonts w:eastAsia="Times New Roman"/>
          <w:noProof/>
          <w:szCs w:val="24"/>
          <w:lang w:val="en-IE" w:eastAsia="de-DE"/>
        </w:rPr>
        <w:t>CO₂</w:t>
      </w:r>
      <w:r>
        <w:rPr>
          <w:rFonts w:eastAsia="Times New Roman"/>
          <w:noProof/>
          <w:szCs w:val="24"/>
          <w:lang w:val="en-IE" w:eastAsia="de-DE"/>
        </w:rPr>
        <w:t xml:space="preserve"> determination. </w:t>
      </w:r>
    </w:p>
    <w:p w:rsidR="001C7855" w:rsidRDefault="001C7855" w:rsidP="001C7855">
      <w:pPr>
        <w:autoSpaceDE w:val="0"/>
        <w:autoSpaceDN w:val="0"/>
        <w:rPr>
          <w:rFonts w:eastAsia="Times New Roman"/>
          <w:b/>
          <w:i/>
          <w:noProof/>
        </w:rPr>
      </w:pPr>
      <w:bookmarkStart w:id="3" w:name="_Hlk119081566"/>
      <w:r w:rsidRPr="0CDD1B26">
        <w:rPr>
          <w:rFonts w:eastAsia="Times New Roman"/>
          <w:b/>
          <w:i/>
          <w:noProof/>
        </w:rPr>
        <w:t>Article 1(</w:t>
      </w:r>
      <w:r>
        <w:rPr>
          <w:rFonts w:eastAsia="Times New Roman"/>
          <w:b/>
          <w:i/>
          <w:noProof/>
        </w:rPr>
        <w:t>1</w:t>
      </w:r>
      <w:r w:rsidR="00B5471C">
        <w:rPr>
          <w:rFonts w:eastAsia="Times New Roman"/>
          <w:b/>
          <w:i/>
          <w:noProof/>
        </w:rPr>
        <w:t>5</w:t>
      </w:r>
      <w:r w:rsidRPr="0CDD1B26">
        <w:rPr>
          <w:rFonts w:eastAsia="Times New Roman"/>
          <w:b/>
          <w:i/>
          <w:noProof/>
        </w:rPr>
        <w:t xml:space="preserve">): Amendment to Article 13 </w:t>
      </w:r>
      <w:bookmarkEnd w:id="3"/>
      <w:r w:rsidRPr="0CDD1B26">
        <w:rPr>
          <w:rFonts w:eastAsia="Times New Roman"/>
          <w:b/>
          <w:i/>
          <w:noProof/>
        </w:rPr>
        <w:t xml:space="preserve">- Verification of the </w:t>
      </w:r>
      <w:r w:rsidR="00DF379C">
        <w:rPr>
          <w:rFonts w:eastAsia="Times New Roman"/>
          <w:b/>
          <w:i/>
          <w:noProof/>
        </w:rPr>
        <w:t>CO₂</w:t>
      </w:r>
      <w:r w:rsidRPr="0CDD1B26">
        <w:rPr>
          <w:rFonts w:eastAsia="Times New Roman"/>
          <w:b/>
          <w:i/>
          <w:noProof/>
        </w:rPr>
        <w:t xml:space="preserve"> emissions of heavy-duty vehicles in-service</w:t>
      </w:r>
    </w:p>
    <w:p w:rsidR="001C7855" w:rsidRDefault="001C7855" w:rsidP="001C7855">
      <w:pPr>
        <w:autoSpaceDE w:val="0"/>
        <w:autoSpaceDN w:val="0"/>
        <w:rPr>
          <w:rFonts w:eastAsia="Times New Roman"/>
          <w:noProof/>
        </w:rPr>
      </w:pPr>
      <w:r w:rsidRPr="0CDD1B26">
        <w:rPr>
          <w:rFonts w:eastAsia="Times New Roman"/>
          <w:noProof/>
        </w:rPr>
        <w:t>A sentence is added to Article 13(3)</w:t>
      </w:r>
      <w:r w:rsidRPr="00775DEA">
        <w:rPr>
          <w:noProof/>
        </w:rPr>
        <w:t xml:space="preserve"> </w:t>
      </w:r>
      <w:r w:rsidRPr="0CDD1B26">
        <w:rPr>
          <w:rFonts w:eastAsia="Times New Roman"/>
          <w:noProof/>
        </w:rPr>
        <w:t>th</w:t>
      </w:r>
      <w:r w:rsidR="00EA7537">
        <w:rPr>
          <w:rFonts w:eastAsia="Times New Roman"/>
          <w:noProof/>
        </w:rPr>
        <w:t>at</w:t>
      </w:r>
      <w:r w:rsidRPr="0CDD1B26">
        <w:rPr>
          <w:rFonts w:eastAsia="Times New Roman"/>
          <w:noProof/>
        </w:rPr>
        <w:t xml:space="preserve"> set the obligation for the responsible type-approval authority to issue a statement of correction with the corrected data and transmit that statement to the Commission and the parties concerned where the data in the type approval documentation may not be corrected under Regulation (EU) 2018/858.</w:t>
      </w:r>
    </w:p>
    <w:p w:rsidR="001C7855" w:rsidRPr="001D1589" w:rsidRDefault="001C7855" w:rsidP="001C7855">
      <w:pPr>
        <w:rPr>
          <w:rFonts w:eastAsia="Times New Roman"/>
          <w:b/>
          <w:bCs/>
          <w:i/>
          <w:iCs/>
          <w:noProof/>
        </w:rPr>
      </w:pPr>
      <w:r w:rsidRPr="001D1589">
        <w:rPr>
          <w:rFonts w:eastAsia="Times New Roman"/>
          <w:b/>
          <w:bCs/>
          <w:i/>
          <w:iCs/>
          <w:noProof/>
        </w:rPr>
        <w:t>Article 1(</w:t>
      </w:r>
      <w:r w:rsidR="00B573EA">
        <w:rPr>
          <w:rFonts w:eastAsia="Times New Roman"/>
          <w:b/>
          <w:bCs/>
          <w:i/>
          <w:iCs/>
          <w:noProof/>
        </w:rPr>
        <w:t>16</w:t>
      </w:r>
      <w:r w:rsidRPr="001D1589">
        <w:rPr>
          <w:rFonts w:eastAsia="Times New Roman"/>
          <w:b/>
          <w:bCs/>
          <w:i/>
          <w:iCs/>
          <w:noProof/>
        </w:rPr>
        <w:t>)</w:t>
      </w:r>
      <w:r w:rsidR="00DB0A1E">
        <w:rPr>
          <w:rFonts w:eastAsia="Times New Roman"/>
          <w:b/>
          <w:bCs/>
          <w:i/>
          <w:iCs/>
          <w:noProof/>
        </w:rPr>
        <w:t>:</w:t>
      </w:r>
      <w:r w:rsidRPr="001D1589">
        <w:rPr>
          <w:rFonts w:eastAsia="Times New Roman"/>
          <w:b/>
          <w:bCs/>
          <w:i/>
          <w:iCs/>
          <w:noProof/>
        </w:rPr>
        <w:t xml:space="preserve"> </w:t>
      </w:r>
      <w:r>
        <w:rPr>
          <w:rFonts w:eastAsia="Times New Roman"/>
          <w:b/>
          <w:bCs/>
          <w:i/>
          <w:iCs/>
          <w:noProof/>
        </w:rPr>
        <w:t xml:space="preserve">new </w:t>
      </w:r>
      <w:r w:rsidR="00543A36">
        <w:rPr>
          <w:rFonts w:eastAsia="Times New Roman"/>
          <w:b/>
          <w:bCs/>
          <w:i/>
          <w:iCs/>
          <w:noProof/>
        </w:rPr>
        <w:t>A</w:t>
      </w:r>
      <w:r>
        <w:rPr>
          <w:rFonts w:eastAsia="Times New Roman"/>
          <w:b/>
          <w:bCs/>
          <w:i/>
          <w:iCs/>
          <w:noProof/>
        </w:rPr>
        <w:t>rticles 13a to 13f</w:t>
      </w:r>
      <w:r w:rsidRPr="001D1589">
        <w:rPr>
          <w:rFonts w:eastAsia="Times New Roman"/>
          <w:b/>
          <w:bCs/>
          <w:i/>
          <w:iCs/>
          <w:noProof/>
        </w:rPr>
        <w:t xml:space="preserve"> </w:t>
      </w:r>
    </w:p>
    <w:p w:rsidR="001C7855" w:rsidRDefault="001C7855" w:rsidP="001C7855">
      <w:pPr>
        <w:rPr>
          <w:rFonts w:eastAsia="Times New Roman"/>
          <w:noProof/>
        </w:rPr>
      </w:pPr>
      <w:r w:rsidRPr="0CDD1B26">
        <w:rPr>
          <w:rFonts w:eastAsia="Times New Roman"/>
          <w:noProof/>
        </w:rPr>
        <w:t>Articles 13a to 13f integrat</w:t>
      </w:r>
      <w:r w:rsidR="00843FC9">
        <w:rPr>
          <w:rFonts w:eastAsia="Times New Roman"/>
          <w:noProof/>
        </w:rPr>
        <w:t>e</w:t>
      </w:r>
      <w:r w:rsidRPr="0CDD1B26">
        <w:rPr>
          <w:rFonts w:eastAsia="Times New Roman"/>
          <w:noProof/>
        </w:rPr>
        <w:t xml:space="preserve"> Articles 4 to 9 of Regulation (EU) 2018/956 into the amended Regulation (EU) 2019/1242. </w:t>
      </w:r>
    </w:p>
    <w:p w:rsidR="001C7855" w:rsidRPr="001D1589" w:rsidRDefault="001C7855" w:rsidP="001C7855">
      <w:pPr>
        <w:autoSpaceDE w:val="0"/>
        <w:autoSpaceDN w:val="0"/>
        <w:rPr>
          <w:rFonts w:eastAsia="Times New Roman"/>
          <w:b/>
          <w:i/>
          <w:noProof/>
          <w:szCs w:val="24"/>
          <w:lang w:val="en-IE"/>
        </w:rPr>
      </w:pPr>
      <w:r w:rsidRPr="001D1589">
        <w:rPr>
          <w:rFonts w:eastAsia="Times New Roman"/>
          <w:b/>
          <w:i/>
          <w:noProof/>
          <w:szCs w:val="24"/>
          <w:lang w:val="en-IE"/>
        </w:rPr>
        <w:t>New Article 13a - Monitoring and Reporting by Member States</w:t>
      </w:r>
    </w:p>
    <w:p w:rsidR="001C7855" w:rsidRDefault="001C7855" w:rsidP="001C7855">
      <w:pPr>
        <w:autoSpaceDE w:val="0"/>
        <w:autoSpaceDN w:val="0"/>
        <w:rPr>
          <w:rFonts w:eastAsia="Times New Roman"/>
          <w:noProof/>
        </w:rPr>
      </w:pPr>
      <w:r w:rsidRPr="0CDD1B26">
        <w:rPr>
          <w:rFonts w:eastAsia="Times New Roman"/>
          <w:noProof/>
        </w:rPr>
        <w:t xml:space="preserve">A new Article 13a, largely corresponding to Article 4 of Regulation (EU) 2018/956, is added which sets the obligation for Member States to monitor and report certain data on the new heavy-duty vehicles. </w:t>
      </w:r>
    </w:p>
    <w:p w:rsidR="001C7855" w:rsidRPr="001D1589" w:rsidRDefault="001C7855" w:rsidP="001C7855">
      <w:pPr>
        <w:autoSpaceDE w:val="0"/>
        <w:autoSpaceDN w:val="0"/>
        <w:rPr>
          <w:rFonts w:eastAsia="Times New Roman"/>
          <w:b/>
          <w:i/>
          <w:noProof/>
          <w:szCs w:val="24"/>
          <w:lang w:val="en-IE"/>
        </w:rPr>
      </w:pPr>
      <w:r w:rsidRPr="001D1589">
        <w:rPr>
          <w:rFonts w:eastAsia="Times New Roman"/>
          <w:b/>
          <w:i/>
          <w:noProof/>
          <w:szCs w:val="24"/>
          <w:lang w:val="en-IE"/>
        </w:rPr>
        <w:t xml:space="preserve">New Article 13b – Monitoring and Reporting by Manufacturers </w:t>
      </w:r>
      <w:r>
        <w:rPr>
          <w:rFonts w:eastAsia="Times New Roman"/>
          <w:b/>
          <w:i/>
          <w:noProof/>
          <w:szCs w:val="24"/>
          <w:lang w:val="en-IE"/>
        </w:rPr>
        <w:t>or other entities</w:t>
      </w:r>
    </w:p>
    <w:p w:rsidR="001C7855" w:rsidRDefault="001C7855" w:rsidP="001C7855">
      <w:pPr>
        <w:autoSpaceDE w:val="0"/>
        <w:autoSpaceDN w:val="0"/>
        <w:rPr>
          <w:noProof/>
          <w:lang w:val="en-IE"/>
        </w:rPr>
      </w:pPr>
      <w:r w:rsidRPr="0CDD1B26">
        <w:rPr>
          <w:rFonts w:eastAsia="Times New Roman"/>
          <w:noProof/>
        </w:rPr>
        <w:t xml:space="preserve">A new </w:t>
      </w:r>
      <w:r>
        <w:rPr>
          <w:rFonts w:eastAsia="Times New Roman"/>
          <w:noProof/>
          <w:szCs w:val="24"/>
        </w:rPr>
        <w:t>A</w:t>
      </w:r>
      <w:r w:rsidRPr="0CDD1B26">
        <w:rPr>
          <w:rFonts w:eastAsia="Times New Roman"/>
          <w:noProof/>
        </w:rPr>
        <w:t>rticle 13b, largely corresponding to Article 5 of Regulation (EU) 2018/956, is added</w:t>
      </w:r>
      <w:r w:rsidR="00EA7537">
        <w:rPr>
          <w:rFonts w:eastAsia="Times New Roman"/>
          <w:noProof/>
        </w:rPr>
        <w:t>,</w:t>
      </w:r>
      <w:r w:rsidRPr="0CDD1B26">
        <w:rPr>
          <w:rFonts w:eastAsia="Times New Roman"/>
          <w:noProof/>
        </w:rPr>
        <w:t xml:space="preserve"> which sets the obligation for manufacturers or other entities to </w:t>
      </w:r>
      <w:r>
        <w:rPr>
          <w:rFonts w:eastAsia="Times New Roman"/>
          <w:noProof/>
          <w:szCs w:val="24"/>
        </w:rPr>
        <w:t>m</w:t>
      </w:r>
      <w:r w:rsidRPr="0CDD1B26">
        <w:rPr>
          <w:rFonts w:eastAsia="Times New Roman"/>
          <w:noProof/>
        </w:rPr>
        <w:t xml:space="preserve">onitor and </w:t>
      </w:r>
      <w:r>
        <w:rPr>
          <w:rFonts w:eastAsia="Times New Roman"/>
          <w:noProof/>
          <w:szCs w:val="24"/>
        </w:rPr>
        <w:t>r</w:t>
      </w:r>
      <w:r w:rsidRPr="0CDD1B26">
        <w:rPr>
          <w:rFonts w:eastAsia="Times New Roman"/>
          <w:noProof/>
        </w:rPr>
        <w:t xml:space="preserve">eport certain data on the new heavy-duty vehicles. A new paragraph is added which clarifies </w:t>
      </w:r>
      <w:r w:rsidR="00843FC9">
        <w:rPr>
          <w:rFonts w:eastAsia="Times New Roman"/>
          <w:noProof/>
        </w:rPr>
        <w:t>the obligations</w:t>
      </w:r>
      <w:r w:rsidRPr="0CDD1B26">
        <w:rPr>
          <w:noProof/>
          <w:lang w:val="en-IE"/>
        </w:rPr>
        <w:t xml:space="preserve"> </w:t>
      </w:r>
      <w:r w:rsidR="00843FC9">
        <w:rPr>
          <w:noProof/>
          <w:lang w:val="en-IE"/>
        </w:rPr>
        <w:t>for</w:t>
      </w:r>
      <w:r w:rsidRPr="0CDD1B26">
        <w:rPr>
          <w:noProof/>
          <w:lang w:val="en-IE"/>
        </w:rPr>
        <w:t xml:space="preserve"> manufacturers and other entities responsible for the determination of a heavy-duty vehicle. </w:t>
      </w:r>
    </w:p>
    <w:p w:rsidR="001C7855" w:rsidRPr="001D1589" w:rsidRDefault="001C7855" w:rsidP="001C7855">
      <w:pPr>
        <w:autoSpaceDE w:val="0"/>
        <w:autoSpaceDN w:val="0"/>
        <w:rPr>
          <w:rFonts w:eastAsia="Times New Roman"/>
          <w:b/>
          <w:i/>
          <w:noProof/>
          <w:szCs w:val="24"/>
          <w:lang w:val="en-IE"/>
        </w:rPr>
      </w:pPr>
      <w:r w:rsidRPr="001D1589">
        <w:rPr>
          <w:rFonts w:eastAsia="Times New Roman"/>
          <w:b/>
          <w:i/>
          <w:noProof/>
          <w:szCs w:val="24"/>
          <w:lang w:val="en-IE"/>
        </w:rPr>
        <w:t xml:space="preserve">New Article 13c – Central Registry </w:t>
      </w:r>
    </w:p>
    <w:p w:rsidR="001C7855" w:rsidRDefault="001C7855" w:rsidP="001C7855">
      <w:pPr>
        <w:autoSpaceDE w:val="0"/>
        <w:autoSpaceDN w:val="0"/>
        <w:rPr>
          <w:rFonts w:eastAsia="Times New Roman"/>
          <w:noProof/>
        </w:rPr>
      </w:pPr>
      <w:r w:rsidRPr="0CDD1B26">
        <w:rPr>
          <w:rFonts w:eastAsia="Times New Roman"/>
          <w:noProof/>
        </w:rPr>
        <w:t>A new article 13c, largely corresponding to Article 6 of Regulation (EU) 2018/956, is added</w:t>
      </w:r>
      <w:r w:rsidR="00EA7537">
        <w:rPr>
          <w:rFonts w:eastAsia="Times New Roman"/>
          <w:noProof/>
        </w:rPr>
        <w:t>,</w:t>
      </w:r>
      <w:r w:rsidRPr="0CDD1B26">
        <w:rPr>
          <w:rFonts w:eastAsia="Times New Roman"/>
          <w:noProof/>
        </w:rPr>
        <w:t xml:space="preserve"> which sets the obligation for the Commission to keep and update a Central register.</w:t>
      </w:r>
    </w:p>
    <w:p w:rsidR="001C7855" w:rsidRPr="001D1589" w:rsidRDefault="001C7855" w:rsidP="001C7855">
      <w:pPr>
        <w:autoSpaceDE w:val="0"/>
        <w:autoSpaceDN w:val="0"/>
        <w:rPr>
          <w:rFonts w:eastAsia="Times New Roman"/>
          <w:b/>
          <w:i/>
          <w:noProof/>
          <w:szCs w:val="24"/>
          <w:lang w:val="en-IE"/>
        </w:rPr>
      </w:pPr>
      <w:r w:rsidRPr="001D1589">
        <w:rPr>
          <w:rFonts w:eastAsia="Times New Roman"/>
          <w:b/>
          <w:i/>
          <w:noProof/>
          <w:szCs w:val="24"/>
          <w:lang w:val="en-IE"/>
        </w:rPr>
        <w:t xml:space="preserve">New Article 13d – On-road Verification Tests </w:t>
      </w:r>
    </w:p>
    <w:p w:rsidR="001C7855" w:rsidRDefault="001C7855" w:rsidP="001C7855">
      <w:pPr>
        <w:autoSpaceDE w:val="0"/>
        <w:autoSpaceDN w:val="0"/>
        <w:rPr>
          <w:rFonts w:eastAsia="Times New Roman"/>
          <w:noProof/>
        </w:rPr>
      </w:pPr>
      <w:r w:rsidRPr="0CDD1B26">
        <w:rPr>
          <w:rFonts w:eastAsia="Times New Roman"/>
          <w:noProof/>
          <w:lang w:val="en-IE"/>
        </w:rPr>
        <w:t>A new Article 13d, largely corresponding to Article 7 of Regulation (EU) 2018/956, is added</w:t>
      </w:r>
      <w:r w:rsidR="00EA7537">
        <w:rPr>
          <w:rFonts w:eastAsia="Times New Roman"/>
          <w:noProof/>
        </w:rPr>
        <w:t xml:space="preserve">, </w:t>
      </w:r>
      <w:r w:rsidRPr="0CDD1B26">
        <w:rPr>
          <w:rFonts w:eastAsia="Times New Roman"/>
          <w:noProof/>
        </w:rPr>
        <w:t xml:space="preserve">which sets the obligation for the Commission to monitor the results of on-road verification tests in line with </w:t>
      </w:r>
      <w:r w:rsidR="00E22DF8">
        <w:rPr>
          <w:rFonts w:eastAsia="Times New Roman"/>
          <w:noProof/>
        </w:rPr>
        <w:t>A</w:t>
      </w:r>
      <w:r w:rsidRPr="0CDD1B26">
        <w:rPr>
          <w:rFonts w:eastAsia="Times New Roman"/>
          <w:noProof/>
        </w:rPr>
        <w:t>rticle 7 of Regulation (EU)2018/956</w:t>
      </w:r>
      <w:r w:rsidR="00FB140C">
        <w:rPr>
          <w:rFonts w:eastAsia="Times New Roman"/>
          <w:noProof/>
        </w:rPr>
        <w:t>.</w:t>
      </w:r>
      <w:r w:rsidR="00E22DF8">
        <w:rPr>
          <w:rFonts w:eastAsia="Times New Roman"/>
          <w:noProof/>
        </w:rPr>
        <w:t xml:space="preserve"> </w:t>
      </w:r>
    </w:p>
    <w:p w:rsidR="001C7855" w:rsidRPr="001D1589" w:rsidRDefault="001C7855" w:rsidP="001C7855">
      <w:pPr>
        <w:autoSpaceDE w:val="0"/>
        <w:autoSpaceDN w:val="0"/>
        <w:rPr>
          <w:rFonts w:eastAsia="Times New Roman"/>
          <w:b/>
          <w:i/>
          <w:noProof/>
          <w:szCs w:val="24"/>
          <w:lang w:val="en-IE"/>
        </w:rPr>
      </w:pPr>
      <w:r w:rsidRPr="001D1589">
        <w:rPr>
          <w:rFonts w:eastAsia="Times New Roman"/>
          <w:b/>
          <w:i/>
          <w:noProof/>
          <w:szCs w:val="24"/>
          <w:lang w:val="en-IE"/>
        </w:rPr>
        <w:t>New Article 13e – Data Quality</w:t>
      </w:r>
    </w:p>
    <w:p w:rsidR="001C7855" w:rsidRDefault="001C7855" w:rsidP="001C7855">
      <w:pPr>
        <w:autoSpaceDE w:val="0"/>
        <w:autoSpaceDN w:val="0"/>
        <w:rPr>
          <w:rFonts w:eastAsia="Times New Roman"/>
          <w:noProof/>
        </w:rPr>
      </w:pPr>
      <w:r w:rsidRPr="0CDD1B26">
        <w:rPr>
          <w:rFonts w:eastAsia="Times New Roman"/>
          <w:noProof/>
          <w:lang w:val="en-IE"/>
        </w:rPr>
        <w:t>A new Article 13e, largely corresponding to Article 8 of Regulation (EU) 2018/956, is added</w:t>
      </w:r>
      <w:r w:rsidRPr="0CDD1B26">
        <w:rPr>
          <w:rFonts w:eastAsia="Times New Roman"/>
          <w:noProof/>
        </w:rPr>
        <w:t xml:space="preserve"> </w:t>
      </w:r>
      <w:r>
        <w:rPr>
          <w:rFonts w:eastAsia="Times New Roman"/>
          <w:noProof/>
        </w:rPr>
        <w:t>with</w:t>
      </w:r>
      <w:r w:rsidRPr="0CDD1B26">
        <w:rPr>
          <w:rFonts w:eastAsia="Times New Roman"/>
          <w:noProof/>
        </w:rPr>
        <w:t xml:space="preserve"> the obligation for the Commission, competent authorities and manufacturers to ensure the data quality</w:t>
      </w:r>
      <w:r w:rsidR="00E22DF8">
        <w:rPr>
          <w:rFonts w:eastAsia="Times New Roman"/>
          <w:noProof/>
        </w:rPr>
        <w:t xml:space="preserve"> </w:t>
      </w:r>
      <w:r w:rsidR="00E22DF8" w:rsidRPr="00117763">
        <w:rPr>
          <w:rFonts w:eastAsia="Times New Roman"/>
          <w:noProof/>
        </w:rPr>
        <w:t>based on a</w:t>
      </w:r>
      <w:r w:rsidR="00117763" w:rsidRPr="00117763">
        <w:rPr>
          <w:rFonts w:eastAsia="Times New Roman"/>
          <w:noProof/>
        </w:rPr>
        <w:t>n</w:t>
      </w:r>
      <w:r w:rsidR="00E22DF8" w:rsidRPr="00117763">
        <w:rPr>
          <w:rFonts w:eastAsia="Times New Roman"/>
          <w:noProof/>
        </w:rPr>
        <w:t xml:space="preserve"> </w:t>
      </w:r>
      <w:r w:rsidR="00FB140C" w:rsidRPr="00117763">
        <w:rPr>
          <w:rFonts w:eastAsia="Times New Roman"/>
          <w:noProof/>
        </w:rPr>
        <w:t>implementing</w:t>
      </w:r>
      <w:r w:rsidR="00E22DF8" w:rsidRPr="00117763">
        <w:rPr>
          <w:rFonts w:eastAsia="Times New Roman"/>
          <w:noProof/>
        </w:rPr>
        <w:t xml:space="preserve"> act to be adopted by the Commission</w:t>
      </w:r>
      <w:r w:rsidR="00FB140C" w:rsidRPr="00117763">
        <w:rPr>
          <w:rFonts w:eastAsia="Times New Roman"/>
          <w:noProof/>
        </w:rPr>
        <w:t>.</w:t>
      </w:r>
    </w:p>
    <w:p w:rsidR="001C7855" w:rsidRDefault="001C7855" w:rsidP="001C7855">
      <w:pPr>
        <w:autoSpaceDE w:val="0"/>
        <w:autoSpaceDN w:val="0"/>
        <w:rPr>
          <w:rFonts w:eastAsia="Times New Roman"/>
          <w:noProof/>
          <w:szCs w:val="24"/>
        </w:rPr>
      </w:pPr>
      <w:r w:rsidRPr="001D1589">
        <w:rPr>
          <w:rFonts w:eastAsia="Times New Roman"/>
          <w:b/>
          <w:i/>
          <w:noProof/>
          <w:szCs w:val="24"/>
          <w:lang w:val="en-IE"/>
        </w:rPr>
        <w:t>New Article 13f – Administrative Fines</w:t>
      </w:r>
    </w:p>
    <w:p w:rsidR="001C7855" w:rsidRDefault="001C7855" w:rsidP="001C7855">
      <w:pPr>
        <w:autoSpaceDE w:val="0"/>
        <w:autoSpaceDN w:val="0"/>
        <w:rPr>
          <w:rFonts w:eastAsia="Times New Roman"/>
          <w:b/>
          <w:i/>
          <w:noProof/>
        </w:rPr>
      </w:pPr>
      <w:r w:rsidRPr="322CB4E6">
        <w:rPr>
          <w:rFonts w:eastAsia="Times New Roman"/>
          <w:noProof/>
          <w:lang w:val="en-IE"/>
        </w:rPr>
        <w:t>A new Article 13f, corresponding to Article 9 of Regulation (EU) 2018/956, is added</w:t>
      </w:r>
      <w:r w:rsidRPr="322CB4E6">
        <w:rPr>
          <w:rFonts w:eastAsia="Times New Roman"/>
          <w:noProof/>
        </w:rPr>
        <w:t xml:space="preserve"> on the administrative fines</w:t>
      </w:r>
      <w:r w:rsidR="00FB140C">
        <w:rPr>
          <w:rFonts w:eastAsia="Times New Roman"/>
          <w:noProof/>
        </w:rPr>
        <w:t>.</w:t>
      </w:r>
    </w:p>
    <w:p w:rsidR="001C7855" w:rsidRDefault="001C7855" w:rsidP="001C7855">
      <w:pPr>
        <w:autoSpaceDE w:val="0"/>
        <w:autoSpaceDN w:val="0"/>
        <w:rPr>
          <w:rFonts w:eastAsia="Times New Roman"/>
          <w:b/>
          <w:i/>
          <w:noProof/>
        </w:rPr>
      </w:pPr>
      <w:r w:rsidRPr="0CDD1B26">
        <w:rPr>
          <w:rFonts w:eastAsia="Times New Roman"/>
          <w:b/>
          <w:i/>
          <w:noProof/>
        </w:rPr>
        <w:t>Article 1(</w:t>
      </w:r>
      <w:r w:rsidR="00B573EA">
        <w:rPr>
          <w:rFonts w:eastAsia="Times New Roman"/>
          <w:b/>
          <w:i/>
          <w:noProof/>
        </w:rPr>
        <w:t>17</w:t>
      </w:r>
      <w:r w:rsidRPr="0CDD1B26">
        <w:rPr>
          <w:rFonts w:eastAsia="Times New Roman"/>
          <w:b/>
          <w:i/>
          <w:noProof/>
        </w:rPr>
        <w:t>): Amendment to Article 14 – Amendments to the Annexes</w:t>
      </w:r>
    </w:p>
    <w:p w:rsidR="001C7855" w:rsidRDefault="001C7855" w:rsidP="001C7855">
      <w:pPr>
        <w:autoSpaceDE w:val="0"/>
        <w:autoSpaceDN w:val="0"/>
        <w:rPr>
          <w:rFonts w:eastAsia="Times New Roman"/>
          <w:noProof/>
          <w:lang w:val="en-IE"/>
        </w:rPr>
      </w:pPr>
      <w:r w:rsidRPr="322CB4E6">
        <w:rPr>
          <w:rFonts w:eastAsia="Times New Roman"/>
          <w:noProof/>
          <w:lang w:val="en-IE"/>
        </w:rPr>
        <w:t xml:space="preserve">Article 14 defines all empowerments of the Commission to amend </w:t>
      </w:r>
      <w:r w:rsidR="00EA7537">
        <w:rPr>
          <w:rFonts w:eastAsia="Times New Roman"/>
          <w:noProof/>
          <w:lang w:val="en-IE"/>
        </w:rPr>
        <w:t>technical elements in the Annexes</w:t>
      </w:r>
      <w:r w:rsidR="00EA7537" w:rsidRPr="322CB4E6">
        <w:rPr>
          <w:rFonts w:eastAsia="Times New Roman"/>
          <w:noProof/>
          <w:lang w:val="en-IE"/>
        </w:rPr>
        <w:t xml:space="preserve"> </w:t>
      </w:r>
      <w:r w:rsidRPr="322CB4E6">
        <w:rPr>
          <w:rFonts w:eastAsia="Times New Roman"/>
          <w:noProof/>
          <w:lang w:val="en-IE"/>
        </w:rPr>
        <w:t>with delegated acts. It combines previously existing empowerments of Regulations (EU) 2018/956 and 2019/1242 and adds new empowerments, which became necessary due to the extended scope of the proposed Regulation.</w:t>
      </w:r>
    </w:p>
    <w:p w:rsidR="001C7855" w:rsidRDefault="001C7855" w:rsidP="001C7855">
      <w:pPr>
        <w:autoSpaceDE w:val="0"/>
        <w:autoSpaceDN w:val="0"/>
        <w:rPr>
          <w:rFonts w:eastAsia="Times New Roman"/>
          <w:b/>
          <w:i/>
          <w:noProof/>
          <w:szCs w:val="24"/>
        </w:rPr>
      </w:pPr>
      <w:r>
        <w:rPr>
          <w:rFonts w:eastAsia="Times New Roman"/>
          <w:b/>
          <w:i/>
          <w:noProof/>
          <w:szCs w:val="24"/>
        </w:rPr>
        <w:t>Article 1(</w:t>
      </w:r>
      <w:r w:rsidR="00B573EA">
        <w:rPr>
          <w:rFonts w:eastAsia="Times New Roman"/>
          <w:b/>
          <w:i/>
          <w:noProof/>
          <w:szCs w:val="24"/>
        </w:rPr>
        <w:t>18</w:t>
      </w:r>
      <w:r>
        <w:rPr>
          <w:rFonts w:eastAsia="Times New Roman"/>
          <w:b/>
          <w:i/>
          <w:noProof/>
          <w:szCs w:val="24"/>
        </w:rPr>
        <w:t xml:space="preserve">): Amendment to Article 15 – Review and Report </w:t>
      </w:r>
    </w:p>
    <w:p w:rsidR="001C7855" w:rsidRPr="00091260" w:rsidRDefault="001C7855" w:rsidP="001C7855">
      <w:pPr>
        <w:autoSpaceDE w:val="0"/>
        <w:autoSpaceDN w:val="0"/>
        <w:rPr>
          <w:rFonts w:eastAsia="Times New Roman"/>
          <w:noProof/>
        </w:rPr>
      </w:pPr>
      <w:r w:rsidRPr="0CDD1B26">
        <w:rPr>
          <w:rFonts w:eastAsia="Times New Roman"/>
          <w:noProof/>
        </w:rPr>
        <w:t>Article 15 suggests a review of the proposed Regulat</w:t>
      </w:r>
      <w:r w:rsidR="00392933">
        <w:rPr>
          <w:rFonts w:eastAsia="Times New Roman"/>
          <w:noProof/>
        </w:rPr>
        <w:t>i</w:t>
      </w:r>
      <w:r w:rsidRPr="0CDD1B26">
        <w:rPr>
          <w:rFonts w:eastAsia="Times New Roman"/>
          <w:noProof/>
        </w:rPr>
        <w:t xml:space="preserve">on in </w:t>
      </w:r>
      <w:r w:rsidR="001B2E48">
        <w:rPr>
          <w:rFonts w:eastAsia="Times New Roman"/>
          <w:noProof/>
        </w:rPr>
        <w:t>20</w:t>
      </w:r>
      <w:r w:rsidR="002560EB">
        <w:rPr>
          <w:rFonts w:eastAsia="Times New Roman"/>
          <w:noProof/>
        </w:rPr>
        <w:t>28</w:t>
      </w:r>
      <w:r w:rsidR="001B2E48">
        <w:rPr>
          <w:rFonts w:eastAsia="Times New Roman"/>
          <w:noProof/>
        </w:rPr>
        <w:t xml:space="preserve"> </w:t>
      </w:r>
      <w:r w:rsidRPr="0CDD1B26">
        <w:rPr>
          <w:rFonts w:eastAsia="Times New Roman"/>
          <w:noProof/>
        </w:rPr>
        <w:t>.</w:t>
      </w:r>
    </w:p>
    <w:p w:rsidR="001C7855" w:rsidRDefault="001C7855" w:rsidP="001C7855">
      <w:pPr>
        <w:autoSpaceDE w:val="0"/>
        <w:autoSpaceDN w:val="0"/>
        <w:rPr>
          <w:rFonts w:eastAsia="Times New Roman"/>
          <w:b/>
          <w:i/>
          <w:noProof/>
          <w:szCs w:val="24"/>
          <w:lang w:val="en-IE"/>
        </w:rPr>
      </w:pPr>
      <w:r w:rsidRPr="006D417E">
        <w:rPr>
          <w:rFonts w:eastAsia="Times New Roman"/>
          <w:b/>
          <w:i/>
          <w:noProof/>
          <w:szCs w:val="24"/>
          <w:lang w:val="en-IE"/>
        </w:rPr>
        <w:t>Article 1(</w:t>
      </w:r>
      <w:r>
        <w:rPr>
          <w:rFonts w:eastAsia="Times New Roman"/>
          <w:b/>
          <w:i/>
          <w:noProof/>
          <w:szCs w:val="24"/>
          <w:lang w:val="en-IE"/>
        </w:rPr>
        <w:t>1</w:t>
      </w:r>
      <w:r w:rsidR="00B573EA">
        <w:rPr>
          <w:rFonts w:eastAsia="Times New Roman"/>
          <w:b/>
          <w:i/>
          <w:noProof/>
          <w:szCs w:val="24"/>
          <w:lang w:val="en-IE"/>
        </w:rPr>
        <w:t>9</w:t>
      </w:r>
      <w:r w:rsidRPr="006D417E">
        <w:rPr>
          <w:rFonts w:eastAsia="Times New Roman"/>
          <w:b/>
          <w:i/>
          <w:noProof/>
          <w:szCs w:val="24"/>
          <w:lang w:val="en-IE"/>
        </w:rPr>
        <w:t>): Amendment to Article 17 – Exercise of th</w:t>
      </w:r>
      <w:r>
        <w:rPr>
          <w:rFonts w:eastAsia="Times New Roman"/>
          <w:b/>
          <w:i/>
          <w:noProof/>
          <w:szCs w:val="24"/>
          <w:lang w:val="en-IE"/>
        </w:rPr>
        <w:t>e delegation</w:t>
      </w:r>
    </w:p>
    <w:p w:rsidR="001C7855" w:rsidRPr="001C79DC" w:rsidRDefault="001C7855" w:rsidP="001C7855">
      <w:pPr>
        <w:autoSpaceDE w:val="0"/>
        <w:autoSpaceDN w:val="0"/>
        <w:rPr>
          <w:rFonts w:eastAsia="Times New Roman"/>
          <w:noProof/>
          <w:lang w:val="en-IE"/>
        </w:rPr>
      </w:pPr>
      <w:r w:rsidRPr="0CDD1B26">
        <w:rPr>
          <w:rFonts w:eastAsia="Times New Roman"/>
          <w:noProof/>
          <w:lang w:val="en-IE"/>
        </w:rPr>
        <w:t xml:space="preserve">Paragraphs 2, 3 and 6 are updated to add the references to the empowerments contained in the newly added additional Articles integrating the former Regulation (EU) 2018/956 on the Monitoring and Reporting. </w:t>
      </w:r>
    </w:p>
    <w:p w:rsidR="00B573EA" w:rsidRPr="00B573EA" w:rsidRDefault="00B573EA" w:rsidP="001C79DC">
      <w:pPr>
        <w:jc w:val="left"/>
        <w:rPr>
          <w:rFonts w:eastAsia="Times New Roman"/>
          <w:noProof/>
          <w:lang w:val="en-IE"/>
        </w:rPr>
      </w:pPr>
      <w:r w:rsidRPr="003A58BD">
        <w:rPr>
          <w:rFonts w:eastAsia="Times New Roman"/>
          <w:b/>
          <w:i/>
          <w:noProof/>
          <w:szCs w:val="24"/>
          <w:lang w:val="en-IE"/>
        </w:rPr>
        <w:t>Article 2</w:t>
      </w:r>
      <w:r w:rsidRPr="00B573EA">
        <w:rPr>
          <w:rFonts w:eastAsia="Times New Roman"/>
          <w:noProof/>
          <w:lang w:val="en-IE"/>
        </w:rPr>
        <w:t xml:space="preserve"> repeals Regulation (EU)</w:t>
      </w:r>
      <w:r w:rsidR="004637B1">
        <w:rPr>
          <w:rFonts w:eastAsia="Times New Roman"/>
          <w:noProof/>
          <w:lang w:val="en-IE"/>
        </w:rPr>
        <w:t xml:space="preserve"> </w:t>
      </w:r>
      <w:r w:rsidRPr="00B573EA">
        <w:rPr>
          <w:rFonts w:eastAsia="Times New Roman"/>
          <w:noProof/>
          <w:lang w:val="en-IE"/>
        </w:rPr>
        <w:t>2018/956</w:t>
      </w:r>
      <w:r w:rsidRPr="003A58BD">
        <w:rPr>
          <w:rFonts w:eastAsia="Times New Roman"/>
          <w:noProof/>
          <w:lang w:val="en-IE"/>
        </w:rPr>
        <w:t>.</w:t>
      </w:r>
    </w:p>
    <w:p w:rsidR="00B573EA" w:rsidRPr="00B573EA" w:rsidRDefault="00B573EA" w:rsidP="001C79DC">
      <w:pPr>
        <w:jc w:val="left"/>
        <w:rPr>
          <w:rFonts w:eastAsia="Times New Roman"/>
          <w:noProof/>
          <w:lang w:val="en-IE"/>
        </w:rPr>
      </w:pPr>
      <w:r w:rsidRPr="003A58BD">
        <w:rPr>
          <w:rFonts w:eastAsia="Times New Roman"/>
          <w:b/>
          <w:i/>
          <w:noProof/>
          <w:szCs w:val="24"/>
          <w:lang w:val="en-IE"/>
        </w:rPr>
        <w:t>Article 3</w:t>
      </w:r>
      <w:r w:rsidRPr="003A58BD">
        <w:rPr>
          <w:rFonts w:eastAsia="Times New Roman"/>
          <w:noProof/>
          <w:lang w:val="en-IE"/>
        </w:rPr>
        <w:t xml:space="preserve"> sets the entry into for</w:t>
      </w:r>
      <w:r>
        <w:rPr>
          <w:rFonts w:eastAsia="Times New Roman"/>
          <w:noProof/>
          <w:lang w:val="en-IE"/>
        </w:rPr>
        <w:t>ce of this Regulation.</w:t>
      </w:r>
    </w:p>
    <w:p w:rsidR="00571BD5" w:rsidRDefault="00571BD5" w:rsidP="001C79DC">
      <w:pPr>
        <w:jc w:val="left"/>
        <w:rPr>
          <w:rFonts w:eastAsia="Times New Roman"/>
          <w:noProof/>
          <w:lang w:val="en-IE"/>
        </w:rPr>
      </w:pPr>
    </w:p>
    <w:p w:rsidR="00B573EA" w:rsidRPr="00F96E01" w:rsidRDefault="00B573EA" w:rsidP="001C79DC">
      <w:pPr>
        <w:jc w:val="left"/>
        <w:rPr>
          <w:noProof/>
        </w:rPr>
        <w:sectPr w:rsidR="00B573EA" w:rsidRPr="00F96E01" w:rsidSect="00F221E9">
          <w:footerReference w:type="default" r:id="rId21"/>
          <w:footerReference w:type="first" r:id="rId22"/>
          <w:pgSz w:w="11907" w:h="16839"/>
          <w:pgMar w:top="1134" w:right="1417" w:bottom="1134" w:left="1417" w:header="709" w:footer="709" w:gutter="0"/>
          <w:cols w:space="708"/>
          <w:docGrid w:linePitch="360"/>
        </w:sectPr>
      </w:pPr>
    </w:p>
    <w:p w:rsidR="002011A7" w:rsidRDefault="008B300A" w:rsidP="008B300A">
      <w:pPr>
        <w:pStyle w:val="Rfrenceinterinstitutionnelle"/>
        <w:rPr>
          <w:noProof/>
        </w:rPr>
      </w:pPr>
      <w:r w:rsidRPr="008B300A">
        <w:t>2023/0042 (COD)</w:t>
      </w:r>
    </w:p>
    <w:p w:rsidR="00571BD5" w:rsidRPr="00F96E01" w:rsidRDefault="00B71D2E" w:rsidP="00B71D2E">
      <w:pPr>
        <w:pStyle w:val="Statut"/>
        <w:rPr>
          <w:noProof/>
        </w:rPr>
      </w:pPr>
      <w:r w:rsidRPr="00B71D2E">
        <w:rPr>
          <w:noProof/>
        </w:rPr>
        <w:t>Proposal for a</w:t>
      </w:r>
    </w:p>
    <w:p w:rsidR="00571BD5" w:rsidRPr="00F96E01" w:rsidRDefault="00B71D2E" w:rsidP="00B71D2E">
      <w:pPr>
        <w:pStyle w:val="Typedudocument"/>
        <w:rPr>
          <w:noProof/>
        </w:rPr>
      </w:pPr>
      <w:r w:rsidRPr="00B71D2E">
        <w:rPr>
          <w:noProof/>
        </w:rPr>
        <w:t>REGULATION OF THE EUROPEAN PARLIAMENT AND OF THE COUNCIL</w:t>
      </w:r>
    </w:p>
    <w:p w:rsidR="00571BD5" w:rsidRPr="00F96E01" w:rsidRDefault="00B71D2E" w:rsidP="00B71D2E">
      <w:pPr>
        <w:pStyle w:val="Titreobjet"/>
        <w:rPr>
          <w:noProof/>
        </w:rPr>
      </w:pPr>
      <w:r w:rsidRPr="00B71D2E">
        <w:rPr>
          <w:noProof/>
        </w:rPr>
        <w:t>amending Regulation (EU) 2019/1242 as regards strengthening the CO₂ emission performance standards for new heavy-duty vehicles and integrating reporting obligations, and repealing Regulation (EU) 2018/956</w:t>
      </w:r>
      <w:r w:rsidRPr="00B71D2E">
        <w:rPr>
          <w:noProof/>
        </w:rPr>
        <w:br/>
      </w:r>
      <w:r w:rsidRPr="00B71D2E">
        <w:rPr>
          <w:noProof/>
        </w:rPr>
        <w:br/>
      </w:r>
    </w:p>
    <w:p w:rsidR="00571BD5" w:rsidRPr="00571BD5" w:rsidRDefault="00B71D2E" w:rsidP="00B71D2E">
      <w:pPr>
        <w:pStyle w:val="IntrtEEE"/>
        <w:rPr>
          <w:noProof/>
        </w:rPr>
      </w:pPr>
      <w:r w:rsidRPr="00B71D2E">
        <w:rPr>
          <w:noProof/>
        </w:rPr>
        <w:t>(Text with EEA relevance)</w:t>
      </w:r>
    </w:p>
    <w:p w:rsidR="00571BD5" w:rsidRPr="00F96E01" w:rsidRDefault="00571BD5" w:rsidP="006537B0">
      <w:pPr>
        <w:pStyle w:val="Institutionquiagit"/>
        <w:rPr>
          <w:noProof/>
        </w:rPr>
      </w:pPr>
      <w:r w:rsidRPr="00F96E01">
        <w:rPr>
          <w:noProof/>
        </w:rPr>
        <w:t>THE EUROPEAN PARLIAMENT AND THE COUNCIL OF THE EUROPEAN UNION,</w:t>
      </w:r>
    </w:p>
    <w:p w:rsidR="00571BD5" w:rsidRPr="00F96E01" w:rsidRDefault="00571BD5" w:rsidP="006537B0">
      <w:pPr>
        <w:rPr>
          <w:noProof/>
        </w:rPr>
      </w:pPr>
      <w:r w:rsidRPr="00F96E01">
        <w:rPr>
          <w:noProof/>
        </w:rPr>
        <w:t xml:space="preserve">Having regard to the Treaty on the Functioning of the European Union, and in particular Article </w:t>
      </w:r>
      <w:r w:rsidR="006537B0" w:rsidRPr="00EB0359">
        <w:rPr>
          <w:noProof/>
        </w:rPr>
        <w:t>192(1)</w:t>
      </w:r>
      <w:r w:rsidRPr="00F96E01">
        <w:rPr>
          <w:noProof/>
        </w:rPr>
        <w:t xml:space="preserve"> thereof,</w:t>
      </w:r>
    </w:p>
    <w:p w:rsidR="00571BD5" w:rsidRPr="00F96E01" w:rsidRDefault="00571BD5" w:rsidP="006537B0">
      <w:pPr>
        <w:rPr>
          <w:noProof/>
        </w:rPr>
      </w:pPr>
      <w:r w:rsidRPr="00F96E01">
        <w:rPr>
          <w:noProof/>
        </w:rPr>
        <w:t>Having regard to the proposal from the European Commission,</w:t>
      </w:r>
    </w:p>
    <w:p w:rsidR="00571BD5" w:rsidRPr="00F96E01" w:rsidRDefault="00571BD5" w:rsidP="006537B0">
      <w:pPr>
        <w:rPr>
          <w:noProof/>
        </w:rPr>
      </w:pPr>
      <w:r w:rsidRPr="00F96E01">
        <w:rPr>
          <w:noProof/>
        </w:rPr>
        <w:t xml:space="preserve">After transmission of the draft legislative act to the national </w:t>
      </w:r>
      <w:r>
        <w:rPr>
          <w:noProof/>
        </w:rPr>
        <w:t>p</w:t>
      </w:r>
      <w:r w:rsidRPr="00F96E01">
        <w:rPr>
          <w:noProof/>
        </w:rPr>
        <w:t>arliaments,</w:t>
      </w:r>
    </w:p>
    <w:p w:rsidR="00571BD5" w:rsidRPr="00F96E01" w:rsidRDefault="00571BD5" w:rsidP="006537B0">
      <w:pPr>
        <w:rPr>
          <w:noProof/>
        </w:rPr>
      </w:pPr>
      <w:r w:rsidRPr="00F96E01">
        <w:rPr>
          <w:noProof/>
        </w:rPr>
        <w:t>Having regard to the opinion of the European Economic and Social Committee</w:t>
      </w:r>
      <w:r w:rsidRPr="00C9020F">
        <w:rPr>
          <w:rStyle w:val="FootnoteReference"/>
          <w:noProof/>
        </w:rPr>
        <w:footnoteReference w:id="9"/>
      </w:r>
      <w:r w:rsidR="006537B0">
        <w:rPr>
          <w:noProof/>
        </w:rPr>
        <w:t>,</w:t>
      </w:r>
    </w:p>
    <w:p w:rsidR="00571BD5" w:rsidRPr="00F96E01" w:rsidRDefault="00571BD5" w:rsidP="006537B0">
      <w:pPr>
        <w:rPr>
          <w:noProof/>
        </w:rPr>
      </w:pPr>
      <w:r w:rsidRPr="00F96E01">
        <w:rPr>
          <w:noProof/>
        </w:rPr>
        <w:t>Having regard to the opinion of the Committee of the Regions</w:t>
      </w:r>
      <w:r w:rsidRPr="00C9020F">
        <w:rPr>
          <w:rStyle w:val="FootnoteReference"/>
          <w:noProof/>
        </w:rPr>
        <w:footnoteReference w:id="10"/>
      </w:r>
      <w:r w:rsidR="006537B0">
        <w:rPr>
          <w:noProof/>
        </w:rPr>
        <w:t>,</w:t>
      </w:r>
    </w:p>
    <w:p w:rsidR="00571BD5" w:rsidRPr="00F96E01" w:rsidRDefault="00571BD5" w:rsidP="006537B0">
      <w:pPr>
        <w:rPr>
          <w:noProof/>
        </w:rPr>
      </w:pPr>
      <w:r w:rsidRPr="00F96E01">
        <w:rPr>
          <w:noProof/>
        </w:rPr>
        <w:t>Acting in accordance with the ordinary legislative procedure,</w:t>
      </w:r>
    </w:p>
    <w:p w:rsidR="001F7E88" w:rsidRPr="00F96E01" w:rsidRDefault="00571BD5" w:rsidP="006537B0">
      <w:pPr>
        <w:rPr>
          <w:noProof/>
        </w:rPr>
      </w:pPr>
      <w:r w:rsidRPr="00F96E01">
        <w:rPr>
          <w:noProof/>
        </w:rPr>
        <w:t>Whereas:</w:t>
      </w:r>
    </w:p>
    <w:p w:rsidR="0034744A" w:rsidRPr="004C67E1" w:rsidRDefault="005B4A90" w:rsidP="005B4A90">
      <w:pPr>
        <w:pStyle w:val="ManualConsidrant"/>
        <w:rPr>
          <w:noProof/>
          <w:lang w:val="en-IE"/>
        </w:rPr>
      </w:pPr>
      <w:r w:rsidRPr="005B4A90">
        <w:t>(1)</w:t>
      </w:r>
      <w:r w:rsidRPr="005B4A90">
        <w:tab/>
      </w:r>
      <w:r w:rsidR="0034744A" w:rsidRPr="00346921">
        <w:rPr>
          <w:noProof/>
          <w:lang w:val="en-US"/>
        </w:rPr>
        <w:t>Tackling climate and environmental-related challenges and reaching the objectives of the Paris Agreement</w:t>
      </w:r>
      <w:r w:rsidR="00992694">
        <w:rPr>
          <w:noProof/>
          <w:lang w:val="en-US"/>
        </w:rPr>
        <w:t xml:space="preserve">, adopted in December 2015 under </w:t>
      </w:r>
      <w:r w:rsidR="00992694" w:rsidRPr="00992694">
        <w:rPr>
          <w:noProof/>
          <w:lang w:val="en-US"/>
        </w:rPr>
        <w:t>the United Nations Framework Convention on Climate Change</w:t>
      </w:r>
      <w:r w:rsidR="00992694">
        <w:rPr>
          <w:noProof/>
          <w:lang w:val="en-US"/>
        </w:rPr>
        <w:t xml:space="preserve"> (UNFCCC),</w:t>
      </w:r>
      <w:r w:rsidR="0034744A" w:rsidRPr="00346921">
        <w:rPr>
          <w:noProof/>
          <w:lang w:val="en-US"/>
        </w:rPr>
        <w:t xml:space="preserve"> are at the core of the Communication on the “European Green Deal”, adopted by the Commission on 11 December 2019</w:t>
      </w:r>
      <w:r w:rsidR="0034744A" w:rsidRPr="00C9020F">
        <w:rPr>
          <w:rStyle w:val="FootnoteReference"/>
          <w:noProof/>
        </w:rPr>
        <w:footnoteReference w:id="11"/>
      </w:r>
      <w:r w:rsidR="0034744A" w:rsidRPr="00346921">
        <w:rPr>
          <w:bCs/>
          <w:noProof/>
          <w:lang w:val="en-US"/>
        </w:rPr>
        <w:t>.</w:t>
      </w:r>
      <w:r w:rsidR="0034744A" w:rsidRPr="00346921">
        <w:rPr>
          <w:noProof/>
          <w:lang w:val="en-US"/>
        </w:rPr>
        <w:t xml:space="preserve"> </w:t>
      </w:r>
      <w:r w:rsidR="0034744A" w:rsidRPr="00346921">
        <w:rPr>
          <w:noProof/>
          <w:lang w:val="en-IE"/>
        </w:rPr>
        <w:t>The necessity and value of the European Green Deal have only grown in light of the very severe effects of the COVID-19 pandemic on the health and economic well-being of the Union’s citizens</w:t>
      </w:r>
      <w:r w:rsidR="002D18B2">
        <w:rPr>
          <w:noProof/>
          <w:lang w:val="en-IE"/>
        </w:rPr>
        <w:t>.</w:t>
      </w:r>
    </w:p>
    <w:p w:rsidR="0034744A" w:rsidRDefault="005B4A90" w:rsidP="005B4A90">
      <w:pPr>
        <w:pStyle w:val="ManualConsidrant"/>
        <w:rPr>
          <w:noProof/>
          <w:lang w:val="en-IE"/>
        </w:rPr>
      </w:pPr>
      <w:r w:rsidRPr="005B4A90">
        <w:t>(2)</w:t>
      </w:r>
      <w:r w:rsidRPr="005B4A90">
        <w:tab/>
      </w:r>
      <w:r w:rsidR="0034744A" w:rsidRPr="00346921">
        <w:rPr>
          <w:noProof/>
          <w:lang w:val="en-IE"/>
        </w:rPr>
        <w:t xml:space="preserve">The European Green Deal combines a comprehensive set of mutually reinforcing measures and initiatives aimed at achieving climate neutrality in the </w:t>
      </w:r>
      <w:r w:rsidR="00992694">
        <w:rPr>
          <w:noProof/>
          <w:lang w:val="en-IE"/>
        </w:rPr>
        <w:t>Union</w:t>
      </w:r>
      <w:r w:rsidR="00992694" w:rsidRPr="00346921">
        <w:rPr>
          <w:noProof/>
          <w:lang w:val="en-IE"/>
        </w:rPr>
        <w:t xml:space="preserve"> </w:t>
      </w:r>
      <w:r w:rsidR="0034744A" w:rsidRPr="00346921">
        <w:rPr>
          <w:noProof/>
          <w:lang w:val="en-IE"/>
        </w:rPr>
        <w:t>by 2050, and sets out a new growth strategy that aims to transform the Union into a fair and prosperous society with a modern, resource-efficient and competitive economy, where economic growth is decoupled from resource use. It also aims to protect, conserve and enhance the Union's natural capital, and protect the health and well-being of citizens from environment-related risks and impacts. At the same time, this transition affects women and men differently and has a particular impact on some disadvantaged groups, such as older people, persons with disabilities and persons with a minority racial or ethnic background. It must therefore be ensured that the transition is just and inclusive, leaving no one behind.</w:t>
      </w:r>
    </w:p>
    <w:p w:rsidR="006764CB" w:rsidRPr="00400E7A" w:rsidRDefault="005B4A90" w:rsidP="005B4A90">
      <w:pPr>
        <w:pStyle w:val="ManualConsidrant"/>
        <w:rPr>
          <w:noProof/>
          <w:lang w:val="en-US"/>
        </w:rPr>
      </w:pPr>
      <w:r w:rsidRPr="005B4A90">
        <w:t>(3)</w:t>
      </w:r>
      <w:r w:rsidRPr="005B4A90">
        <w:tab/>
      </w:r>
      <w:r w:rsidR="0034744A" w:rsidRPr="00400E7A">
        <w:rPr>
          <w:noProof/>
          <w:lang w:val="en-US"/>
        </w:rPr>
        <w:t>The Union committed to reducing the Union’s economy-wide net greenhouse gas emissions by at least 55</w:t>
      </w:r>
      <w:r w:rsidR="00992694">
        <w:rPr>
          <w:noProof/>
          <w:lang w:val="en-US"/>
        </w:rPr>
        <w:t xml:space="preserve"> </w:t>
      </w:r>
      <w:r w:rsidR="0034744A" w:rsidRPr="00400E7A">
        <w:rPr>
          <w:noProof/>
          <w:lang w:val="en-US"/>
        </w:rPr>
        <w:t>% by 2030 below 1990 levels in the updated nationally determined contribution submitted to the UNFCCC Secretariat on 17 December 2020.</w:t>
      </w:r>
    </w:p>
    <w:p w:rsidR="0034744A" w:rsidRPr="006764CB" w:rsidRDefault="005B4A90" w:rsidP="005B4A90">
      <w:pPr>
        <w:pStyle w:val="ManualConsidrant"/>
        <w:rPr>
          <w:noProof/>
          <w:lang w:val="en-US"/>
        </w:rPr>
      </w:pPr>
      <w:r w:rsidRPr="005B4A90">
        <w:t>(4)</w:t>
      </w:r>
      <w:r w:rsidRPr="005B4A90">
        <w:tab/>
      </w:r>
      <w:r w:rsidR="0034744A" w:rsidRPr="006764CB">
        <w:rPr>
          <w:noProof/>
          <w:lang w:val="en-IE"/>
        </w:rPr>
        <w:t xml:space="preserve">In </w:t>
      </w:r>
      <w:r w:rsidR="0034744A" w:rsidRPr="006764CB">
        <w:rPr>
          <w:noProof/>
          <w:lang w:val="en-US"/>
        </w:rPr>
        <w:t xml:space="preserve">Regulation (EU) </w:t>
      </w:r>
      <w:r w:rsidR="007B0F35" w:rsidRPr="007B0F35">
        <w:rPr>
          <w:noProof/>
          <w:lang w:val="en-US"/>
        </w:rPr>
        <w:t>2021/1119</w:t>
      </w:r>
      <w:r w:rsidR="0034744A" w:rsidRPr="006764CB">
        <w:rPr>
          <w:noProof/>
          <w:lang w:val="en-US"/>
        </w:rPr>
        <w:t xml:space="preserve"> of the European Parliament and of the Council</w:t>
      </w:r>
      <w:r w:rsidR="00BF2928">
        <w:rPr>
          <w:rStyle w:val="FootnoteReference"/>
          <w:noProof/>
          <w:lang w:val="en-US"/>
        </w:rPr>
        <w:footnoteReference w:id="12"/>
      </w:r>
      <w:r w:rsidR="00FA6923">
        <w:rPr>
          <w:noProof/>
          <w:lang w:val="en-US"/>
        </w:rPr>
        <w:t>,</w:t>
      </w:r>
      <w:r w:rsidR="0034744A" w:rsidRPr="006764CB">
        <w:rPr>
          <w:noProof/>
          <w:lang w:val="en-US"/>
        </w:rPr>
        <w:t xml:space="preserve"> the Union has enshrined the target of economy-wide climate neutrality by 2050 in legislation. That Regulation also establishes a binding Union domestic reduction commitment of net greenhouse gas emissions (emissions after deduction of removals) of at least 55</w:t>
      </w:r>
      <w:r w:rsidR="00BF2928">
        <w:rPr>
          <w:noProof/>
          <w:lang w:val="en-US"/>
        </w:rPr>
        <w:t xml:space="preserve"> </w:t>
      </w:r>
      <w:r w:rsidR="0034744A" w:rsidRPr="006764CB">
        <w:rPr>
          <w:noProof/>
          <w:lang w:val="en-US"/>
        </w:rPr>
        <w:t>% below 1990 levels by 2030.</w:t>
      </w:r>
    </w:p>
    <w:p w:rsidR="0034744A" w:rsidRPr="003468A0" w:rsidRDefault="005B4A90" w:rsidP="005B4A90">
      <w:pPr>
        <w:pStyle w:val="ManualConsidrant"/>
        <w:rPr>
          <w:noProof/>
          <w:lang w:val="en-US"/>
        </w:rPr>
      </w:pPr>
      <w:r w:rsidRPr="005B4A90">
        <w:t>(5)</w:t>
      </w:r>
      <w:r w:rsidRPr="005B4A90">
        <w:tab/>
      </w:r>
      <w:r w:rsidR="0034744A" w:rsidRPr="00BF7F07">
        <w:rPr>
          <w:noProof/>
          <w:lang w:val="en-IE"/>
        </w:rPr>
        <w:t>All sectors of the economy are expected to contribute to achieving those emission reductions, including the road transport sector.</w:t>
      </w:r>
    </w:p>
    <w:p w:rsidR="00105AB8" w:rsidRPr="00484807" w:rsidRDefault="005B4A90" w:rsidP="005B4A90">
      <w:pPr>
        <w:pStyle w:val="ManualConsidrant"/>
        <w:rPr>
          <w:noProof/>
          <w:lang w:val="en-US"/>
        </w:rPr>
      </w:pPr>
      <w:r w:rsidRPr="005B4A90">
        <w:t>(6)</w:t>
      </w:r>
      <w:r w:rsidRPr="005B4A90">
        <w:tab/>
      </w:r>
      <w:r w:rsidR="007F238A" w:rsidRPr="007F238A">
        <w:rPr>
          <w:noProof/>
        </w:rPr>
        <w:t>The “Fit for 55” legislative package</w:t>
      </w:r>
      <w:r w:rsidR="007F238A">
        <w:rPr>
          <w:noProof/>
        </w:rPr>
        <w:t xml:space="preserve">, adopted by </w:t>
      </w:r>
      <w:r w:rsidR="007F238A" w:rsidRPr="007F238A">
        <w:rPr>
          <w:noProof/>
        </w:rPr>
        <w:t>the European Commission</w:t>
      </w:r>
      <w:r w:rsidR="007F238A">
        <w:rPr>
          <w:noProof/>
        </w:rPr>
        <w:t xml:space="preserve"> in</w:t>
      </w:r>
      <w:r w:rsidR="007F238A" w:rsidRPr="007F238A">
        <w:rPr>
          <w:noProof/>
        </w:rPr>
        <w:t xml:space="preserve"> 2021</w:t>
      </w:r>
      <w:r w:rsidR="007F238A">
        <w:rPr>
          <w:noProof/>
        </w:rPr>
        <w:t>,</w:t>
      </w:r>
      <w:r w:rsidR="007F238A" w:rsidRPr="007F238A">
        <w:rPr>
          <w:noProof/>
        </w:rPr>
        <w:t xml:space="preserve"> aims to implement </w:t>
      </w:r>
      <w:r w:rsidR="003468A0">
        <w:rPr>
          <w:noProof/>
        </w:rPr>
        <w:t>the 2030 greenhouse gas emissions reduction target</w:t>
      </w:r>
      <w:r w:rsidR="007F238A" w:rsidRPr="007F238A">
        <w:rPr>
          <w:noProof/>
        </w:rPr>
        <w:t xml:space="preserve">. It covers a range of policy </w:t>
      </w:r>
      <w:r w:rsidR="007F238A" w:rsidRPr="00E62EDD">
        <w:rPr>
          <w:noProof/>
        </w:rPr>
        <w:t xml:space="preserve">areas. The revision of </w:t>
      </w:r>
      <w:r w:rsidR="003468A0" w:rsidRPr="00E62EDD">
        <w:rPr>
          <w:noProof/>
          <w:lang w:val="en-IE"/>
        </w:rPr>
        <w:t>Regulation (EU) 2019/1242</w:t>
      </w:r>
      <w:r w:rsidR="001E6058" w:rsidRPr="00E62EDD">
        <w:rPr>
          <w:noProof/>
          <w:lang w:val="en-IE"/>
        </w:rPr>
        <w:t xml:space="preserve"> of the European Parliament and of the Council</w:t>
      </w:r>
      <w:r w:rsidR="001E6058" w:rsidRPr="00C9020F">
        <w:rPr>
          <w:rStyle w:val="FootnoteReference"/>
          <w:noProof/>
        </w:rPr>
        <w:footnoteReference w:id="13"/>
      </w:r>
      <w:r w:rsidR="003468A0" w:rsidRPr="00E62EDD">
        <w:rPr>
          <w:noProof/>
          <w:lang w:val="en-IE"/>
        </w:rPr>
        <w:t xml:space="preserve"> </w:t>
      </w:r>
      <w:r w:rsidR="007F238A" w:rsidRPr="00E62EDD">
        <w:rPr>
          <w:noProof/>
        </w:rPr>
        <w:t>is an integral part of that package</w:t>
      </w:r>
      <w:r w:rsidR="001154D6" w:rsidRPr="00E62EDD">
        <w:rPr>
          <w:noProof/>
        </w:rPr>
        <w:t>.</w:t>
      </w:r>
      <w:r w:rsidR="00C22F43">
        <w:rPr>
          <w:noProof/>
        </w:rPr>
        <w:t xml:space="preserve"> </w:t>
      </w:r>
    </w:p>
    <w:p w:rsidR="0034744A" w:rsidRPr="0088445F" w:rsidRDefault="005B4A90" w:rsidP="005B4A90">
      <w:pPr>
        <w:pStyle w:val="ManualConsidrant"/>
        <w:rPr>
          <w:noProof/>
          <w:lang w:val="en-US"/>
        </w:rPr>
      </w:pPr>
      <w:r w:rsidRPr="005B4A90">
        <w:t>(7)</w:t>
      </w:r>
      <w:r w:rsidRPr="005B4A90">
        <w:tab/>
      </w:r>
      <w:r w:rsidR="007F238A" w:rsidRPr="00E62EDD">
        <w:rPr>
          <w:noProof/>
        </w:rPr>
        <w:t>The REPowerEU Communication</w:t>
      </w:r>
      <w:r w:rsidR="00BF2928">
        <w:rPr>
          <w:rStyle w:val="FootnoteReference"/>
          <w:noProof/>
        </w:rPr>
        <w:footnoteReference w:id="14"/>
      </w:r>
      <w:r w:rsidR="007F238A" w:rsidRPr="00E62EDD">
        <w:rPr>
          <w:noProof/>
        </w:rPr>
        <w:t xml:space="preserve"> outlined a plan to make the </w:t>
      </w:r>
      <w:r w:rsidR="007F22AE">
        <w:rPr>
          <w:noProof/>
        </w:rPr>
        <w:t>Union</w:t>
      </w:r>
      <w:r w:rsidR="007F22AE" w:rsidRPr="00E62EDD">
        <w:rPr>
          <w:noProof/>
        </w:rPr>
        <w:t> </w:t>
      </w:r>
      <w:r w:rsidR="007F238A" w:rsidRPr="00E62EDD">
        <w:rPr>
          <w:noProof/>
        </w:rPr>
        <w:t>independent from Russian fossil fuels well before the end of this decade. The Communication highlights</w:t>
      </w:r>
      <w:r w:rsidR="007F238A" w:rsidRPr="001154D6">
        <w:rPr>
          <w:noProof/>
        </w:rPr>
        <w:t xml:space="preserve"> the importance</w:t>
      </w:r>
      <w:r w:rsidR="007F238A">
        <w:rPr>
          <w:noProof/>
        </w:rPr>
        <w:t>, among others, of further increasing the efficiency and r</w:t>
      </w:r>
      <w:r w:rsidR="007F238A" w:rsidRPr="007F238A">
        <w:rPr>
          <w:noProof/>
        </w:rPr>
        <w:t xml:space="preserve">educing fossil consumption in </w:t>
      </w:r>
      <w:r w:rsidR="00FA6923">
        <w:rPr>
          <w:noProof/>
        </w:rPr>
        <w:t xml:space="preserve">the </w:t>
      </w:r>
      <w:r w:rsidR="007F238A" w:rsidRPr="007F238A">
        <w:rPr>
          <w:noProof/>
        </w:rPr>
        <w:t>transport sector</w:t>
      </w:r>
      <w:r w:rsidR="007F238A">
        <w:rPr>
          <w:noProof/>
        </w:rPr>
        <w:t xml:space="preserve">, where </w:t>
      </w:r>
      <w:r w:rsidR="007F238A" w:rsidRPr="007F238A">
        <w:rPr>
          <w:noProof/>
        </w:rPr>
        <w:t>electrification can be combined with the use of fossil-free hydrogen to replace fossil fuels</w:t>
      </w:r>
      <w:r w:rsidR="0034744A" w:rsidRPr="00BF7F07">
        <w:rPr>
          <w:noProof/>
          <w:lang w:val="en-IE"/>
        </w:rPr>
        <w:t xml:space="preserve">. </w:t>
      </w:r>
    </w:p>
    <w:p w:rsidR="006764CB" w:rsidRDefault="005B4A90" w:rsidP="005B4A90">
      <w:pPr>
        <w:pStyle w:val="ManualConsidrant"/>
        <w:rPr>
          <w:noProof/>
          <w:lang w:val="en-IE"/>
        </w:rPr>
      </w:pPr>
      <w:r w:rsidRPr="005B4A90">
        <w:t>(8)</w:t>
      </w:r>
      <w:r w:rsidRPr="005B4A90">
        <w:tab/>
      </w:r>
      <w:r w:rsidR="0034744A" w:rsidRPr="006764CB">
        <w:rPr>
          <w:noProof/>
          <w:lang w:val="en-IE"/>
        </w:rPr>
        <w:t xml:space="preserve">In order to </w:t>
      </w:r>
      <w:r w:rsidR="00FA24C4">
        <w:rPr>
          <w:noProof/>
          <w:lang w:val="en-IE"/>
        </w:rPr>
        <w:t xml:space="preserve">contribute to the </w:t>
      </w:r>
      <w:r w:rsidR="0034744A" w:rsidRPr="006764CB">
        <w:rPr>
          <w:noProof/>
          <w:lang w:val="en-IE"/>
        </w:rPr>
        <w:t>reduction in net greenhouse gas emissions of at least 55 % by 2030 compared to 1990</w:t>
      </w:r>
      <w:r w:rsidR="00F04BCD">
        <w:rPr>
          <w:noProof/>
          <w:lang w:val="en-IE"/>
        </w:rPr>
        <w:t xml:space="preserve"> </w:t>
      </w:r>
      <w:r w:rsidR="00F04BCD" w:rsidRPr="00F04BCD">
        <w:rPr>
          <w:noProof/>
          <w:lang w:val="en-IE"/>
        </w:rPr>
        <w:t>and in conformity with the energy efficiency first principle</w:t>
      </w:r>
      <w:r w:rsidR="0034744A" w:rsidRPr="006764CB">
        <w:rPr>
          <w:noProof/>
          <w:lang w:val="en-IE"/>
        </w:rPr>
        <w:t>, it is necessary to strengthen the reduction requirements set out in Regulation (EU) 2019/1242 for heavy-duty vehicles. A clear pathway also needs to be set for further reductions beyond 2030 to contribute to achieving the climate neutrality objective by 2050.</w:t>
      </w:r>
    </w:p>
    <w:p w:rsidR="0034744A" w:rsidRPr="006764CB" w:rsidRDefault="005B4A90" w:rsidP="005B4A90">
      <w:pPr>
        <w:pStyle w:val="ManualConsidrant"/>
        <w:rPr>
          <w:noProof/>
          <w:lang w:val="en-IE"/>
        </w:rPr>
      </w:pPr>
      <w:r w:rsidRPr="005B4A90">
        <w:t>(9)</w:t>
      </w:r>
      <w:r w:rsidRPr="005B4A90">
        <w:tab/>
      </w:r>
      <w:r w:rsidR="0034744A" w:rsidRPr="006764CB">
        <w:rPr>
          <w:noProof/>
          <w:lang w:val="en-IE"/>
        </w:rPr>
        <w:t>The strengthened CO</w:t>
      </w:r>
      <w:r w:rsidR="0034744A" w:rsidRPr="006764CB">
        <w:rPr>
          <w:noProof/>
          <w:vertAlign w:val="subscript"/>
          <w:lang w:val="en-IE"/>
        </w:rPr>
        <w:t>2</w:t>
      </w:r>
      <w:r w:rsidR="0034744A" w:rsidRPr="006764CB">
        <w:rPr>
          <w:noProof/>
          <w:lang w:val="en-IE"/>
        </w:rPr>
        <w:t xml:space="preserve"> emission reduction requirements should incentivise an increasing share of zero-emission vehicles being deployed on the Union market whilst providing benefits to </w:t>
      </w:r>
      <w:r w:rsidR="000231EF">
        <w:rPr>
          <w:noProof/>
          <w:lang w:val="en-IE"/>
        </w:rPr>
        <w:t>users</w:t>
      </w:r>
      <w:r w:rsidR="000231EF" w:rsidRPr="006764CB">
        <w:rPr>
          <w:noProof/>
          <w:lang w:val="en-IE"/>
        </w:rPr>
        <w:t xml:space="preserve"> </w:t>
      </w:r>
      <w:r w:rsidR="0034744A" w:rsidRPr="006764CB">
        <w:rPr>
          <w:noProof/>
          <w:lang w:val="en-IE"/>
        </w:rPr>
        <w:t xml:space="preserve">and citizens in terms of air quality and energy savings, as well as ensuring that innovation in the automotive value chain can be maintained. </w:t>
      </w:r>
      <w:r w:rsidR="000231EF">
        <w:rPr>
          <w:noProof/>
          <w:lang w:val="en-IE"/>
        </w:rPr>
        <w:t>Z</w:t>
      </w:r>
      <w:r w:rsidR="0034744A" w:rsidRPr="006764CB">
        <w:rPr>
          <w:noProof/>
          <w:lang w:val="en-IE"/>
        </w:rPr>
        <w:t>ero-emission vehicles currently include battery electric vehicles, fuel-cell and other hydrogen</w:t>
      </w:r>
      <w:r w:rsidR="00FA6923">
        <w:rPr>
          <w:noProof/>
          <w:lang w:val="en-IE"/>
        </w:rPr>
        <w:t>-</w:t>
      </w:r>
      <w:r w:rsidR="0034744A" w:rsidRPr="006764CB">
        <w:rPr>
          <w:noProof/>
          <w:lang w:val="en-IE"/>
        </w:rPr>
        <w:t>powered vehicles, and technological innovations are continuing.</w:t>
      </w:r>
    </w:p>
    <w:p w:rsidR="0034744A" w:rsidRPr="00BF7F07" w:rsidRDefault="005B4A90" w:rsidP="005B4A90">
      <w:pPr>
        <w:pStyle w:val="ManualConsidrant"/>
        <w:rPr>
          <w:noProof/>
          <w:lang w:val="en-IE"/>
        </w:rPr>
      </w:pPr>
      <w:r w:rsidRPr="005B4A90">
        <w:t>(10)</w:t>
      </w:r>
      <w:r w:rsidRPr="005B4A90">
        <w:tab/>
      </w:r>
      <w:r w:rsidR="0034744A" w:rsidRPr="00BF7F07">
        <w:rPr>
          <w:noProof/>
          <w:lang w:val="en-IE"/>
        </w:rPr>
        <w:t>Against that background, new strengthened CO</w:t>
      </w:r>
      <w:r w:rsidR="0034744A" w:rsidRPr="00BF7F07">
        <w:rPr>
          <w:noProof/>
          <w:vertAlign w:val="subscript"/>
          <w:lang w:val="en-IE"/>
        </w:rPr>
        <w:t>2</w:t>
      </w:r>
      <w:r w:rsidR="0034744A" w:rsidRPr="00BF7F07">
        <w:rPr>
          <w:noProof/>
          <w:lang w:val="en-IE"/>
        </w:rPr>
        <w:t xml:space="preserve"> emission reduction targets should be set for new </w:t>
      </w:r>
      <w:r w:rsidR="0034744A">
        <w:rPr>
          <w:noProof/>
          <w:lang w:val="en-IE"/>
        </w:rPr>
        <w:t>heavy-duty</w:t>
      </w:r>
      <w:r w:rsidR="0034744A" w:rsidRPr="00BF7F07">
        <w:rPr>
          <w:noProof/>
          <w:lang w:val="en-IE"/>
        </w:rPr>
        <w:t xml:space="preserve"> vehicles for the period 2030 onwards. Those targets should be set at a level that will deliver a strong signal to accelerate the uptake of zero-emission vehicles on the Union market and to stimulate innovation in zero-emission technologies in a cost-efficient way.</w:t>
      </w:r>
    </w:p>
    <w:p w:rsidR="0034744A" w:rsidRPr="002E5D92" w:rsidRDefault="005B4A90" w:rsidP="005B4A90">
      <w:pPr>
        <w:pStyle w:val="ManualConsidrant"/>
        <w:rPr>
          <w:noProof/>
          <w:lang w:val="en-IE"/>
        </w:rPr>
      </w:pPr>
      <w:r w:rsidRPr="005B4A90">
        <w:t>(11)</w:t>
      </w:r>
      <w:r w:rsidRPr="005B4A90">
        <w:tab/>
      </w:r>
      <w:r w:rsidR="0034744A" w:rsidRPr="00BF7F07">
        <w:rPr>
          <w:noProof/>
          <w:lang w:val="en-IE"/>
        </w:rPr>
        <w:t>The updated New Industrial Strategy</w:t>
      </w:r>
      <w:r w:rsidR="0034744A" w:rsidRPr="00C9020F">
        <w:rPr>
          <w:rStyle w:val="FootnoteReference"/>
          <w:noProof/>
        </w:rPr>
        <w:footnoteReference w:id="15"/>
      </w:r>
      <w:r w:rsidR="0034744A" w:rsidRPr="00BF7F07">
        <w:rPr>
          <w:noProof/>
          <w:lang w:val="en-IE"/>
        </w:rPr>
        <w:t xml:space="preserve"> foresees the co-creation of green and digital transition pathways in partnership with industry, public authorities, social partners and other stakeholders. In this context, a transition pathway </w:t>
      </w:r>
      <w:r w:rsidR="003468A0">
        <w:rPr>
          <w:noProof/>
          <w:lang w:val="en-IE"/>
        </w:rPr>
        <w:t>is being</w:t>
      </w:r>
      <w:r w:rsidR="0034744A" w:rsidRPr="00BF7F07">
        <w:rPr>
          <w:noProof/>
          <w:lang w:val="en-IE"/>
        </w:rPr>
        <w:t xml:space="preserve"> developed for the mobility ecosystem to accompany the transition of the automotive value chain. The pathway take</w:t>
      </w:r>
      <w:r w:rsidR="00B72152">
        <w:rPr>
          <w:noProof/>
          <w:lang w:val="en-IE"/>
        </w:rPr>
        <w:t>s</w:t>
      </w:r>
      <w:r w:rsidR="0034744A" w:rsidRPr="00BF7F07">
        <w:rPr>
          <w:noProof/>
          <w:lang w:val="en-IE"/>
        </w:rPr>
        <w:t xml:space="preserve"> particular heed of </w:t>
      </w:r>
      <w:r w:rsidR="00E75861">
        <w:rPr>
          <w:noProof/>
          <w:lang w:val="en-IE"/>
        </w:rPr>
        <w:t xml:space="preserve">small and medium-sized enterprizes </w:t>
      </w:r>
      <w:r w:rsidR="0034744A" w:rsidRPr="00BF7F07">
        <w:rPr>
          <w:noProof/>
          <w:lang w:val="en-IE"/>
        </w:rPr>
        <w:t xml:space="preserve">in the automotive supply chain, of the consultation of social partners including by Member States, and also build on the European Skills Agenda with initiatives like the Pact for Skills to mobilise the private sector and other stakeholders to up-skill and re-skill Europe’s workforce in view of the green and digital </w:t>
      </w:r>
      <w:r w:rsidR="0034744A" w:rsidRPr="002E5D92">
        <w:rPr>
          <w:noProof/>
          <w:lang w:val="en-IE"/>
        </w:rPr>
        <w:t>transitions</w:t>
      </w:r>
      <w:r w:rsidR="00EA3A37" w:rsidRPr="002E5D92">
        <w:rPr>
          <w:noProof/>
          <w:lang w:val="en-US"/>
        </w:rPr>
        <w:t xml:space="preserve"> and on the Talent Booster Mechanism in the framework of the Harnessing Talents in EU regions initiative</w:t>
      </w:r>
      <w:r w:rsidR="0034744A" w:rsidRPr="002E5D92">
        <w:rPr>
          <w:noProof/>
          <w:lang w:val="en-IE"/>
        </w:rPr>
        <w:t xml:space="preserve">. The appropriate actions and incentives at </w:t>
      </w:r>
      <w:r w:rsidR="00FA6923" w:rsidRPr="002E5D92">
        <w:rPr>
          <w:noProof/>
          <w:lang w:val="en-IE"/>
        </w:rPr>
        <w:t xml:space="preserve">the </w:t>
      </w:r>
      <w:r w:rsidR="0034744A" w:rsidRPr="002E5D92">
        <w:rPr>
          <w:noProof/>
          <w:lang w:val="en-IE"/>
        </w:rPr>
        <w:t>European and national level to boost the affordability of zero</w:t>
      </w:r>
      <w:r w:rsidR="00FD2B9F" w:rsidRPr="002E5D92">
        <w:rPr>
          <w:noProof/>
          <w:lang w:val="en-IE"/>
        </w:rPr>
        <w:t>-</w:t>
      </w:r>
      <w:r w:rsidR="0034744A" w:rsidRPr="002E5D92">
        <w:rPr>
          <w:noProof/>
          <w:lang w:val="en-IE"/>
        </w:rPr>
        <w:t xml:space="preserve">emission vehicles </w:t>
      </w:r>
      <w:r w:rsidR="00B72152" w:rsidRPr="002E5D92">
        <w:rPr>
          <w:noProof/>
          <w:lang w:val="en-IE"/>
        </w:rPr>
        <w:t xml:space="preserve">are </w:t>
      </w:r>
      <w:r w:rsidR="0034744A" w:rsidRPr="002E5D92">
        <w:rPr>
          <w:noProof/>
          <w:lang w:val="en-IE"/>
        </w:rPr>
        <w:t>also be</w:t>
      </w:r>
      <w:r w:rsidR="00B72152" w:rsidRPr="002E5D92">
        <w:rPr>
          <w:noProof/>
          <w:lang w:val="en-IE"/>
        </w:rPr>
        <w:t>ing</w:t>
      </w:r>
      <w:r w:rsidR="0034744A" w:rsidRPr="002E5D92">
        <w:rPr>
          <w:noProof/>
          <w:lang w:val="en-IE"/>
        </w:rPr>
        <w:t xml:space="preserve"> addressed in the pathway.</w:t>
      </w:r>
      <w:r w:rsidR="00852CF2" w:rsidRPr="002E5D92">
        <w:rPr>
          <w:noProof/>
          <w:lang w:val="en-IE"/>
        </w:rPr>
        <w:t xml:space="preserve"> This could, for example, include the possibility for Member States to use the proposed Social Climate Fund to assist </w:t>
      </w:r>
      <w:r w:rsidR="002D7806" w:rsidRPr="002E5D92">
        <w:rPr>
          <w:noProof/>
          <w:lang w:val="en-IE"/>
        </w:rPr>
        <w:t>micro-</w:t>
      </w:r>
      <w:r w:rsidR="00852CF2" w:rsidRPr="002E5D92">
        <w:rPr>
          <w:noProof/>
          <w:lang w:val="en-IE"/>
        </w:rPr>
        <w:t>enterprises in the purchasing of zero-emission trucks and lorries.</w:t>
      </w:r>
    </w:p>
    <w:p w:rsidR="00014BCE" w:rsidRPr="00BF7F07" w:rsidRDefault="00014BCE" w:rsidP="00F221E9">
      <w:pPr>
        <w:pStyle w:val="Considerant"/>
        <w:ind w:left="709"/>
        <w:rPr>
          <w:noProof/>
        </w:rPr>
      </w:pPr>
      <w:r w:rsidRPr="00A4241B">
        <w:rPr>
          <w:noProof/>
        </w:rPr>
        <w:t xml:space="preserve">The </w:t>
      </w:r>
      <w:r w:rsidRPr="00DD6761">
        <w:rPr>
          <w:noProof/>
        </w:rPr>
        <w:t>Green Deal Industrial Plan</w:t>
      </w:r>
      <w:r>
        <w:rPr>
          <w:rStyle w:val="FootnoteReference"/>
          <w:noProof/>
        </w:rPr>
        <w:footnoteReference w:id="16"/>
      </w:r>
      <w:r w:rsidRPr="00DD6761">
        <w:rPr>
          <w:noProof/>
        </w:rPr>
        <w:t> will enhance the competitiveness of Europe's net-zero industry and support the fast transition to climate neutrality.</w:t>
      </w:r>
      <w:r>
        <w:rPr>
          <w:noProof/>
        </w:rPr>
        <w:t xml:space="preserve"> Such plan aims to provide a more supportive environment for the scaling up of the EU's manufacturing capacity for the net-zero technologies and products required to meet Europe's ambitious climate targets.</w:t>
      </w:r>
    </w:p>
    <w:p w:rsidR="0034744A" w:rsidRDefault="005B4A90" w:rsidP="005B4A90">
      <w:pPr>
        <w:pStyle w:val="ManualConsidrant"/>
        <w:rPr>
          <w:noProof/>
          <w:lang w:val="en-IE"/>
        </w:rPr>
      </w:pPr>
      <w:r w:rsidRPr="005B4A90">
        <w:t>(12)</w:t>
      </w:r>
      <w:r w:rsidRPr="005B4A90">
        <w:tab/>
      </w:r>
      <w:r w:rsidR="0034744A" w:rsidRPr="00BF7F07">
        <w:rPr>
          <w:noProof/>
          <w:lang w:val="en-IE"/>
        </w:rPr>
        <w:t>Th</w:t>
      </w:r>
      <w:r w:rsidR="00B72152">
        <w:rPr>
          <w:noProof/>
          <w:lang w:val="en-IE"/>
        </w:rPr>
        <w:t>e</w:t>
      </w:r>
      <w:r w:rsidR="0034744A" w:rsidRPr="00BF7F07">
        <w:rPr>
          <w:noProof/>
          <w:lang w:val="en-IE"/>
        </w:rPr>
        <w:t xml:space="preserve"> </w:t>
      </w:r>
      <w:r w:rsidR="00FC04DE">
        <w:rPr>
          <w:noProof/>
          <w:lang w:val="en-IE"/>
        </w:rPr>
        <w:t>Union</w:t>
      </w:r>
      <w:r w:rsidR="00FC04DE" w:rsidRPr="00BF7F07">
        <w:rPr>
          <w:noProof/>
          <w:lang w:val="en-IE"/>
        </w:rPr>
        <w:t xml:space="preserve"> </w:t>
      </w:r>
      <w:r w:rsidR="0034744A" w:rsidRPr="00BF7F07">
        <w:rPr>
          <w:noProof/>
          <w:lang w:val="en-IE"/>
        </w:rPr>
        <w:t xml:space="preserve">fleet-wide targets are to be </w:t>
      </w:r>
      <w:r w:rsidR="0034744A" w:rsidRPr="00E62EDD">
        <w:rPr>
          <w:noProof/>
          <w:lang w:val="en-IE"/>
        </w:rPr>
        <w:t>complemented by the necessary roll-out of recharging and refuelling infrastructure as set out in</w:t>
      </w:r>
      <w:r w:rsidR="001154D6" w:rsidRPr="00E62EDD">
        <w:rPr>
          <w:noProof/>
          <w:lang w:val="en-IE"/>
        </w:rPr>
        <w:t xml:space="preserve"> the Commission </w:t>
      </w:r>
      <w:r w:rsidR="00CF794D" w:rsidRPr="00E62EDD">
        <w:rPr>
          <w:noProof/>
          <w:lang w:val="en-IE"/>
        </w:rPr>
        <w:t>Proposal for</w:t>
      </w:r>
      <w:r w:rsidR="00CF794D" w:rsidRPr="00CF794D">
        <w:rPr>
          <w:noProof/>
          <w:lang w:val="en-IE"/>
        </w:rPr>
        <w:t xml:space="preserve"> a regulation on the deployment of alternative fuel infrastructure</w:t>
      </w:r>
      <w:r w:rsidR="00E62EDD" w:rsidRPr="00C9020F">
        <w:rPr>
          <w:rStyle w:val="FootnoteReference"/>
          <w:noProof/>
        </w:rPr>
        <w:footnoteReference w:id="17"/>
      </w:r>
      <w:r w:rsidR="0034744A" w:rsidRPr="003E65E3">
        <w:rPr>
          <w:noProof/>
          <w:lang w:val="en-IE"/>
        </w:rPr>
        <w:t>.</w:t>
      </w:r>
    </w:p>
    <w:p w:rsidR="00920E6A" w:rsidRPr="003E65E3" w:rsidRDefault="005B4A90" w:rsidP="005B4A90">
      <w:pPr>
        <w:pStyle w:val="ManualConsidrant"/>
        <w:rPr>
          <w:noProof/>
          <w:lang w:val="en-IE"/>
        </w:rPr>
      </w:pPr>
      <w:r w:rsidRPr="005B4A90">
        <w:t>(13)</w:t>
      </w:r>
      <w:r w:rsidRPr="005B4A90">
        <w:tab/>
      </w:r>
      <w:r w:rsidR="00FB09FF" w:rsidRPr="00C23CC7">
        <w:rPr>
          <w:noProof/>
          <w:lang w:val="en-IE"/>
        </w:rPr>
        <w:t>T</w:t>
      </w:r>
      <w:r w:rsidR="00FB09FF">
        <w:rPr>
          <w:noProof/>
        </w:rPr>
        <w:t>he transition to climate neutrality requires significant investments in the electricity grids including enhanced capacity, resilience and storage, as well as additional connections. Concerning the</w:t>
      </w:r>
      <w:r w:rsidR="00C23CC7">
        <w:rPr>
          <w:noProof/>
        </w:rPr>
        <w:t xml:space="preserve"> heavy-duty vehicles,</w:t>
      </w:r>
      <w:r w:rsidR="00FB09FF">
        <w:rPr>
          <w:noProof/>
        </w:rPr>
        <w:t xml:space="preserve"> </w:t>
      </w:r>
      <w:r w:rsidR="00C23CC7">
        <w:rPr>
          <w:noProof/>
        </w:rPr>
        <w:t>with the target levels proposed in Article 3a for the year 2030 the share of zero emission vehicles in the total fleet of vehicles circulating on the road as well as the electricity consumption in the sector will remain limited. Therefore the related impact on the electricity grid will remain limited as well.</w:t>
      </w:r>
    </w:p>
    <w:p w:rsidR="0034744A" w:rsidRDefault="005B4A90" w:rsidP="005B4A90">
      <w:pPr>
        <w:pStyle w:val="ManualConsidrant"/>
        <w:rPr>
          <w:noProof/>
          <w:lang w:val="en-IE"/>
        </w:rPr>
      </w:pPr>
      <w:r w:rsidRPr="005B4A90">
        <w:t>(14)</w:t>
      </w:r>
      <w:r w:rsidRPr="005B4A90">
        <w:tab/>
      </w:r>
      <w:r w:rsidR="0034744A" w:rsidRPr="003E65E3">
        <w:rPr>
          <w:noProof/>
          <w:lang w:val="en-IE"/>
        </w:rPr>
        <w:t>Manufacturers</w:t>
      </w:r>
      <w:r w:rsidR="002A6AF3">
        <w:rPr>
          <w:noProof/>
          <w:lang w:val="en-IE"/>
        </w:rPr>
        <w:t xml:space="preserve"> </w:t>
      </w:r>
      <w:r w:rsidR="0034744A" w:rsidRPr="003E65E3">
        <w:rPr>
          <w:noProof/>
          <w:lang w:val="en-IE"/>
        </w:rPr>
        <w:t xml:space="preserve"> should be provided with sufficient flexibility in adapting their fleets over time in order to manage the transition towards zero-emission vehicles in a cost-efficient manner, and it is therefore appropriate to maintain the approach of </w:t>
      </w:r>
      <w:r w:rsidR="0034744A" w:rsidRPr="00821FB1">
        <w:rPr>
          <w:noProof/>
          <w:lang w:val="en-IE"/>
        </w:rPr>
        <w:t>decreasing</w:t>
      </w:r>
      <w:r w:rsidR="0034744A" w:rsidRPr="003E65E3">
        <w:rPr>
          <w:noProof/>
          <w:lang w:val="en-IE"/>
        </w:rPr>
        <w:t xml:space="preserve"> target levels in five-year steps.</w:t>
      </w:r>
    </w:p>
    <w:p w:rsidR="00917D4E" w:rsidRPr="00323F7D" w:rsidRDefault="005B4A90" w:rsidP="005B4A90">
      <w:pPr>
        <w:pStyle w:val="ManualConsidrant"/>
        <w:rPr>
          <w:noProof/>
          <w:lang w:val="en-IE"/>
        </w:rPr>
      </w:pPr>
      <w:r w:rsidRPr="005B4A90">
        <w:t>(15)</w:t>
      </w:r>
      <w:r w:rsidRPr="005B4A90">
        <w:tab/>
      </w:r>
      <w:r w:rsidR="00917D4E">
        <w:rPr>
          <w:noProof/>
        </w:rPr>
        <w:t>Due to the heterogeneous structure of the total truck fleet, it is not possible to fully predict whether for all niche uses, technological developments will be quick enough to ensure that zero-emission tailpipe technology is a viable choice. This may include uses such as long-haul heavy-duty vehicles in specific territorial morphology and meteorological circumstances, coaches and lorries for critical security and safety applications that cannot be fulfilled by zero-emission tailpipe technologies. The vehicles in question should constitute a limited share of the entire heavy-duty vehicle fleet. In view of such considerations, some margin in the 2040 target should be left to accommodate developments in technology yet to occur.</w:t>
      </w:r>
    </w:p>
    <w:p w:rsidR="00B36DE2" w:rsidRPr="003E65E3" w:rsidRDefault="005B4A90" w:rsidP="005B4A90">
      <w:pPr>
        <w:pStyle w:val="ManualConsidrant"/>
        <w:rPr>
          <w:noProof/>
          <w:lang w:val="en-IE"/>
        </w:rPr>
      </w:pPr>
      <w:r w:rsidRPr="005B4A90">
        <w:t>(16)</w:t>
      </w:r>
      <w:r w:rsidRPr="005B4A90">
        <w:tab/>
      </w:r>
      <w:r w:rsidR="00B36DE2" w:rsidRPr="00B36DE2">
        <w:rPr>
          <w:noProof/>
          <w:lang w:val="en-IE"/>
        </w:rPr>
        <w:t>Contracting authorities or contracting entities should consider, when basing the award of contracts for the purchase or the use of vehicles referred to in point 4.2 of Annex I, the resilience of supply, including by considering the “Guidance on the participation of third country bidders and goods in the EU procurement market” (C(2019) 5494 final)</w:t>
      </w:r>
      <w:r w:rsidR="00B36DE2">
        <w:rPr>
          <w:noProof/>
          <w:lang w:val="en-IE"/>
        </w:rPr>
        <w:t>.</w:t>
      </w:r>
    </w:p>
    <w:p w:rsidR="0034744A" w:rsidRPr="00A35CAF" w:rsidRDefault="005B4A90" w:rsidP="005B4A90">
      <w:pPr>
        <w:pStyle w:val="ManualConsidrant"/>
        <w:rPr>
          <w:noProof/>
          <w:lang w:val="en-IE"/>
        </w:rPr>
      </w:pPr>
      <w:r w:rsidRPr="005B4A90">
        <w:t>(17)</w:t>
      </w:r>
      <w:r w:rsidRPr="005B4A90">
        <w:tab/>
      </w:r>
      <w:r w:rsidR="0034744A" w:rsidRPr="003E65E3">
        <w:rPr>
          <w:noProof/>
          <w:lang w:val="en-IE"/>
        </w:rPr>
        <w:t xml:space="preserve">With the stricter </w:t>
      </w:r>
      <w:r w:rsidR="00FC04DE">
        <w:rPr>
          <w:noProof/>
          <w:lang w:val="en-IE"/>
        </w:rPr>
        <w:t>Union</w:t>
      </w:r>
      <w:r w:rsidR="00FC04DE" w:rsidRPr="003E65E3">
        <w:rPr>
          <w:noProof/>
          <w:lang w:val="en-IE"/>
        </w:rPr>
        <w:t xml:space="preserve"> </w:t>
      </w:r>
      <w:r w:rsidR="0034744A" w:rsidRPr="003E65E3">
        <w:rPr>
          <w:noProof/>
          <w:lang w:val="en-IE"/>
        </w:rPr>
        <w:t xml:space="preserve">fleet-wide targets from 2030 onwards, manufacturers will have to deploy significantly more zero-emission vehicles on the Union market. In that context, the incentive mechanism for zero- and low-emission vehicles (‘ZLEV’) would no longer serve its original purpose and would risk undermining the effectiveness of Regulation </w:t>
      </w:r>
      <w:r w:rsidR="0034744A" w:rsidRPr="00A35CAF">
        <w:rPr>
          <w:noProof/>
          <w:lang w:val="en-IE"/>
        </w:rPr>
        <w:t xml:space="preserve">(EU) </w:t>
      </w:r>
      <w:r w:rsidR="00C2381E" w:rsidRPr="00A35CAF">
        <w:rPr>
          <w:noProof/>
          <w:lang w:val="en-IE"/>
        </w:rPr>
        <w:t>2019/1242</w:t>
      </w:r>
      <w:r w:rsidR="0034744A" w:rsidRPr="00A35CAF">
        <w:rPr>
          <w:noProof/>
          <w:lang w:val="en-IE"/>
        </w:rPr>
        <w:t xml:space="preserve">. The ZLEV incentive mechanism should therefore be removed as of 2030. </w:t>
      </w:r>
    </w:p>
    <w:p w:rsidR="0034744A" w:rsidRPr="003E65E3" w:rsidRDefault="005B4A90" w:rsidP="005B4A90">
      <w:pPr>
        <w:pStyle w:val="ManualConsidrant"/>
        <w:rPr>
          <w:noProof/>
          <w:lang w:val="en-IE"/>
        </w:rPr>
      </w:pPr>
      <w:r w:rsidRPr="005B4A90">
        <w:t>(18)</w:t>
      </w:r>
      <w:r w:rsidRPr="005B4A90">
        <w:tab/>
      </w:r>
      <w:r w:rsidR="0034744A" w:rsidRPr="003E65E3">
        <w:rPr>
          <w:noProof/>
          <w:lang w:val="en-IE"/>
        </w:rPr>
        <w:t xml:space="preserve">The possibility </w:t>
      </w:r>
      <w:r w:rsidR="00FA6923">
        <w:rPr>
          <w:noProof/>
          <w:lang w:val="en-IE"/>
        </w:rPr>
        <w:t xml:space="preserve">of </w:t>
      </w:r>
      <w:r w:rsidR="0034744A" w:rsidRPr="003E65E3">
        <w:rPr>
          <w:noProof/>
          <w:lang w:val="en-IE"/>
        </w:rPr>
        <w:t>assign</w:t>
      </w:r>
      <w:r w:rsidR="00FA6923">
        <w:rPr>
          <w:noProof/>
          <w:lang w:val="en-IE"/>
        </w:rPr>
        <w:t>ing</w:t>
      </w:r>
      <w:r w:rsidR="0034744A" w:rsidRPr="003E65E3">
        <w:rPr>
          <w:noProof/>
          <w:lang w:val="en-IE"/>
        </w:rPr>
        <w:t xml:space="preserve"> the revenue from the excess emission premiums to a specific fund or relevant programme has been evaluated as r</w:t>
      </w:r>
      <w:r w:rsidR="00C2381E">
        <w:rPr>
          <w:noProof/>
          <w:lang w:val="en-IE"/>
        </w:rPr>
        <w:t xml:space="preserve">equired </w:t>
      </w:r>
      <w:r w:rsidR="00C2381E" w:rsidRPr="004F4841">
        <w:rPr>
          <w:noProof/>
          <w:lang w:val="en-IE"/>
        </w:rPr>
        <w:t>pursuant to Article 15(4</w:t>
      </w:r>
      <w:r w:rsidR="0034744A" w:rsidRPr="004F4841">
        <w:rPr>
          <w:noProof/>
          <w:lang w:val="en-IE"/>
        </w:rPr>
        <w:t>) of</w:t>
      </w:r>
      <w:r w:rsidR="0034744A" w:rsidRPr="003E65E3">
        <w:rPr>
          <w:noProof/>
          <w:lang w:val="en-IE"/>
        </w:rPr>
        <w:t xml:space="preserve"> Regulation (EU) 2019/</w:t>
      </w:r>
      <w:r w:rsidR="00C2381E">
        <w:rPr>
          <w:noProof/>
          <w:lang w:val="en-IE"/>
        </w:rPr>
        <w:t>1242</w:t>
      </w:r>
      <w:r w:rsidR="0034744A" w:rsidRPr="003E65E3">
        <w:rPr>
          <w:noProof/>
          <w:lang w:val="en-IE"/>
        </w:rPr>
        <w:t xml:space="preserve">, with the conclusion that this would significantly increase the administrative burden, while not directly benefit the automotive sector in its transition. Revenue from the excess emission premiums </w:t>
      </w:r>
      <w:r w:rsidR="00FC04DE">
        <w:rPr>
          <w:noProof/>
          <w:lang w:val="en-IE"/>
        </w:rPr>
        <w:t>should</w:t>
      </w:r>
      <w:r w:rsidR="00FC04DE" w:rsidRPr="003E65E3">
        <w:rPr>
          <w:noProof/>
          <w:lang w:val="en-IE"/>
        </w:rPr>
        <w:t xml:space="preserve"> </w:t>
      </w:r>
      <w:r w:rsidR="0034744A" w:rsidRPr="003E65E3">
        <w:rPr>
          <w:noProof/>
          <w:lang w:val="en-IE"/>
        </w:rPr>
        <w:t xml:space="preserve">therefore continue to be considered as revenue for the general budget of the Union in accordance with </w:t>
      </w:r>
      <w:r w:rsidR="0034744A" w:rsidRPr="004F4841">
        <w:rPr>
          <w:noProof/>
          <w:lang w:val="en-IE"/>
        </w:rPr>
        <w:t>Article 8(4) of</w:t>
      </w:r>
      <w:r w:rsidR="0034744A" w:rsidRPr="003E65E3">
        <w:rPr>
          <w:noProof/>
          <w:lang w:val="en-IE"/>
        </w:rPr>
        <w:t xml:space="preserve"> Regulation (EU) 2019/</w:t>
      </w:r>
      <w:r w:rsidR="00C2381E">
        <w:rPr>
          <w:noProof/>
          <w:lang w:val="en-IE"/>
        </w:rPr>
        <w:t>1242</w:t>
      </w:r>
      <w:r w:rsidR="0034744A" w:rsidRPr="003E65E3">
        <w:rPr>
          <w:noProof/>
          <w:lang w:val="en-IE"/>
        </w:rPr>
        <w:t>.</w:t>
      </w:r>
    </w:p>
    <w:p w:rsidR="0025056A" w:rsidRDefault="005B4A90" w:rsidP="005B4A90">
      <w:pPr>
        <w:pStyle w:val="ManualConsidrant"/>
        <w:rPr>
          <w:noProof/>
          <w:lang w:val="en-IE"/>
        </w:rPr>
      </w:pPr>
      <w:r w:rsidRPr="005B4A90">
        <w:t>(19)</w:t>
      </w:r>
      <w:r w:rsidRPr="005B4A90">
        <w:tab/>
      </w:r>
      <w:r w:rsidR="0025056A">
        <w:rPr>
          <w:noProof/>
          <w:lang w:val="en-IE"/>
        </w:rPr>
        <w:t xml:space="preserve">The subject matter should be </w:t>
      </w:r>
      <w:r w:rsidR="0025056A" w:rsidRPr="00821FB1">
        <w:rPr>
          <w:noProof/>
          <w:lang w:val="en-IE"/>
        </w:rPr>
        <w:t>enlarged</w:t>
      </w:r>
      <w:r w:rsidR="0025056A">
        <w:rPr>
          <w:noProof/>
          <w:lang w:val="en-IE"/>
        </w:rPr>
        <w:t xml:space="preserve"> to also cover the monitoring and reporting obligations which are integrated into Regulation (EU) 2019/1242 by means of this </w:t>
      </w:r>
      <w:r w:rsidR="00D35C0C">
        <w:rPr>
          <w:noProof/>
          <w:lang w:val="en-IE"/>
        </w:rPr>
        <w:t>Regulation</w:t>
      </w:r>
      <w:r w:rsidR="0025056A">
        <w:rPr>
          <w:noProof/>
          <w:lang w:val="en-IE"/>
        </w:rPr>
        <w:t>.</w:t>
      </w:r>
    </w:p>
    <w:p w:rsidR="0034744A" w:rsidRPr="002F29B2" w:rsidRDefault="005B4A90" w:rsidP="005B4A90">
      <w:pPr>
        <w:pStyle w:val="ManualConsidrant"/>
        <w:rPr>
          <w:rFonts w:ascii="Calibri" w:hAnsi="Calibri" w:cs="Calibri"/>
          <w:noProof/>
          <w:u w:color="000000"/>
          <w:bdr w:val="nil"/>
          <w:lang w:val="en-IE" w:eastAsia="en-GB"/>
        </w:rPr>
      </w:pPr>
      <w:r w:rsidRPr="005B4A90">
        <w:t>(20)</w:t>
      </w:r>
      <w:r w:rsidRPr="005B4A90">
        <w:tab/>
      </w:r>
      <w:r w:rsidR="0034744A" w:rsidRPr="00C2381E">
        <w:rPr>
          <w:noProof/>
          <w:u w:color="000000"/>
          <w:bdr w:val="nil"/>
          <w:lang w:val="en-IE" w:eastAsia="en-GB"/>
        </w:rPr>
        <w:t xml:space="preserve">Regulation (EU) 2019/1242 should be amended in order to cover </w:t>
      </w:r>
      <w:r w:rsidR="00456585">
        <w:rPr>
          <w:noProof/>
          <w:u w:color="000000"/>
          <w:bdr w:val="nil"/>
          <w:lang w:val="en-IE" w:eastAsia="en-GB"/>
        </w:rPr>
        <w:t xml:space="preserve">the same scope as </w:t>
      </w:r>
      <w:r w:rsidR="00456585" w:rsidRPr="00456585">
        <w:rPr>
          <w:rFonts w:cs="Calibri"/>
          <w:noProof/>
          <w:lang w:val="en-IE"/>
        </w:rPr>
        <w:t>Regulation (EU) 2018/956 of the European Parliament and of the Council</w:t>
      </w:r>
      <w:r w:rsidR="00456585" w:rsidRPr="00C9020F">
        <w:rPr>
          <w:rStyle w:val="FootnoteReference"/>
          <w:noProof/>
        </w:rPr>
        <w:footnoteReference w:id="18"/>
      </w:r>
      <w:r w:rsidR="0034744A">
        <w:rPr>
          <w:rFonts w:cs="Calibri"/>
          <w:noProof/>
          <w:lang w:val="en-IE"/>
        </w:rPr>
        <w:t>.</w:t>
      </w:r>
    </w:p>
    <w:p w:rsidR="00B43DAF" w:rsidRPr="00B43DAF" w:rsidRDefault="005B4A90" w:rsidP="005B4A90">
      <w:pPr>
        <w:pStyle w:val="ManualConsidrant"/>
        <w:rPr>
          <w:noProof/>
          <w:lang w:val="en-IE"/>
        </w:rPr>
      </w:pPr>
      <w:r w:rsidRPr="005B4A90">
        <w:t>(21)</w:t>
      </w:r>
      <w:r w:rsidRPr="005B4A90">
        <w:tab/>
      </w:r>
      <w:r w:rsidR="00B43DAF" w:rsidRPr="00B43DAF">
        <w:rPr>
          <w:noProof/>
          <w:lang w:val="en-IE"/>
        </w:rPr>
        <w:t xml:space="preserve">For vehicles, which are not in the scope of </w:t>
      </w:r>
      <w:r w:rsidR="00B43DAF">
        <w:rPr>
          <w:noProof/>
          <w:lang w:val="en-IE"/>
        </w:rPr>
        <w:t xml:space="preserve">the automotive </w:t>
      </w:r>
      <w:r w:rsidR="00B43DAF" w:rsidRPr="00B43DAF">
        <w:rPr>
          <w:noProof/>
          <w:lang w:val="en-IE"/>
        </w:rPr>
        <w:t>type-approval legislation, such as agricultural and forestry tractors, vehicles designed and constructed for the use by armed forces and track-laying vehicles, the CO</w:t>
      </w:r>
      <w:r w:rsidR="00B43DAF" w:rsidRPr="00B43DAF">
        <w:rPr>
          <w:noProof/>
          <w:vertAlign w:val="subscript"/>
          <w:lang w:val="en-IE"/>
        </w:rPr>
        <w:t>2</w:t>
      </w:r>
      <w:r w:rsidR="00B43DAF" w:rsidRPr="00B43DAF">
        <w:rPr>
          <w:noProof/>
          <w:lang w:val="en-IE"/>
        </w:rPr>
        <w:t xml:space="preserve"> emissions are not determined and therefore these vehicles do not have to meet the </w:t>
      </w:r>
      <w:r w:rsidR="00B43DAF">
        <w:rPr>
          <w:noProof/>
          <w:lang w:val="en-IE"/>
        </w:rPr>
        <w:t>CO</w:t>
      </w:r>
      <w:r w:rsidR="00B43DAF" w:rsidRPr="00B43DAF">
        <w:rPr>
          <w:noProof/>
          <w:vertAlign w:val="subscript"/>
          <w:lang w:val="en-IE"/>
        </w:rPr>
        <w:t>2</w:t>
      </w:r>
      <w:r w:rsidR="00B43DAF">
        <w:rPr>
          <w:noProof/>
          <w:lang w:val="en-IE"/>
        </w:rPr>
        <w:t xml:space="preserve"> </w:t>
      </w:r>
      <w:r w:rsidR="00B43DAF" w:rsidRPr="00B43DAF">
        <w:rPr>
          <w:noProof/>
          <w:lang w:val="en-IE"/>
        </w:rPr>
        <w:t xml:space="preserve">targets set in this Regulation.  </w:t>
      </w:r>
    </w:p>
    <w:p w:rsidR="00B43DAF" w:rsidRDefault="00B43DAF" w:rsidP="00F221E9">
      <w:pPr>
        <w:pStyle w:val="Considerant"/>
        <w:ind w:left="709"/>
        <w:rPr>
          <w:noProof/>
        </w:rPr>
      </w:pPr>
      <w:r w:rsidRPr="00B43DAF">
        <w:rPr>
          <w:noProof/>
        </w:rPr>
        <w:t>Vehicles designed and constructed or adapted for use by civil protection, fire services and forces responsible for maintaining public order, or urgent medical care that are voluntarily type-approved should also be exempted from having to meet the</w:t>
      </w:r>
      <w:r>
        <w:rPr>
          <w:noProof/>
        </w:rPr>
        <w:t xml:space="preserve"> CO</w:t>
      </w:r>
      <w:r w:rsidRPr="00B43DAF">
        <w:rPr>
          <w:noProof/>
          <w:vertAlign w:val="subscript"/>
        </w:rPr>
        <w:t>2</w:t>
      </w:r>
      <w:r w:rsidRPr="00B43DAF">
        <w:rPr>
          <w:noProof/>
        </w:rPr>
        <w:t xml:space="preserve"> targets of this Regulation in order not to create an incentive to no longer type-approve such vehicles voluntarily, which would have negative safety and environmental implications, unless the manufacturer asks for including these vehicles.</w:t>
      </w:r>
      <w:r>
        <w:rPr>
          <w:noProof/>
        </w:rPr>
        <w:t xml:space="preserve"> </w:t>
      </w:r>
    </w:p>
    <w:p w:rsidR="00B43DAF" w:rsidRPr="00B43DAF" w:rsidRDefault="00B43DAF" w:rsidP="00F221E9">
      <w:pPr>
        <w:pStyle w:val="Considerant"/>
        <w:ind w:left="709"/>
        <w:rPr>
          <w:noProof/>
        </w:rPr>
      </w:pPr>
      <w:r w:rsidRPr="00B43DAF">
        <w:rPr>
          <w:noProof/>
        </w:rPr>
        <w:t>Member States should also be entitled to indicate an exemption from having to meet the targets for vehicles, not specifically designed, but registered,</w:t>
      </w:r>
      <w:r>
        <w:rPr>
          <w:noProof/>
        </w:rPr>
        <w:t xml:space="preserve"> </w:t>
      </w:r>
      <w:r w:rsidRPr="00B43DAF">
        <w:rPr>
          <w:noProof/>
        </w:rPr>
        <w:t>for use by civil protection, fire services, forces responsible for maintaining the public order, armed services or urgent medical care</w:t>
      </w:r>
      <w:r>
        <w:rPr>
          <w:noProof/>
        </w:rPr>
        <w:t xml:space="preserve">, </w:t>
      </w:r>
      <w:r w:rsidRPr="00B43DAF">
        <w:rPr>
          <w:noProof/>
        </w:rPr>
        <w:t>such as normal coaches used for the transport of police or army forces, by confirming that such exemption responds to the public interest.</w:t>
      </w:r>
    </w:p>
    <w:p w:rsidR="00B43DAF" w:rsidRPr="00B43DAF" w:rsidRDefault="00B43DAF" w:rsidP="00F221E9">
      <w:pPr>
        <w:pStyle w:val="Considerant"/>
        <w:ind w:left="709"/>
        <w:rPr>
          <w:noProof/>
        </w:rPr>
      </w:pPr>
      <w:r w:rsidRPr="00B43DAF">
        <w:rPr>
          <w:noProof/>
        </w:rPr>
        <w:t>As for certain vehicle groups, which are type-approved, CO</w:t>
      </w:r>
      <w:r w:rsidRPr="00B43DAF">
        <w:rPr>
          <w:noProof/>
          <w:vertAlign w:val="subscript"/>
        </w:rPr>
        <w:t>2</w:t>
      </w:r>
      <w:r w:rsidRPr="00B43DAF">
        <w:rPr>
          <w:noProof/>
        </w:rPr>
        <w:t xml:space="preserve"> emissions are not determined yet for technical reasons, these vehicles do not have to meet the </w:t>
      </w:r>
      <w:r>
        <w:rPr>
          <w:noProof/>
        </w:rPr>
        <w:t>CO</w:t>
      </w:r>
      <w:r w:rsidRPr="00B43DAF">
        <w:rPr>
          <w:noProof/>
          <w:vertAlign w:val="subscript"/>
        </w:rPr>
        <w:t>2</w:t>
      </w:r>
      <w:r>
        <w:rPr>
          <w:noProof/>
        </w:rPr>
        <w:t xml:space="preserve"> </w:t>
      </w:r>
      <w:r w:rsidRPr="00B43DAF">
        <w:rPr>
          <w:noProof/>
        </w:rPr>
        <w:t>targets set by this Regulation. These are for example special purpose vehicles</w:t>
      </w:r>
      <w:r>
        <w:rPr>
          <w:noProof/>
        </w:rPr>
        <w:t xml:space="preserve">, </w:t>
      </w:r>
      <w:r w:rsidRPr="00B43DAF">
        <w:rPr>
          <w:noProof/>
        </w:rPr>
        <w:t>such as mobile cranes, carriers of hydraulic multi-equipment or exceptional load transport vehicles, off-road vehicles</w:t>
      </w:r>
      <w:r>
        <w:rPr>
          <w:noProof/>
        </w:rPr>
        <w:t>,</w:t>
      </w:r>
      <w:r w:rsidRPr="00B43DAF">
        <w:rPr>
          <w:noProof/>
        </w:rPr>
        <w:t xml:space="preserve"> such as certain vehicles used for mining, forestry and agricultural purposes, </w:t>
      </w:r>
      <w:r>
        <w:rPr>
          <w:noProof/>
        </w:rPr>
        <w:t xml:space="preserve">as well as </w:t>
      </w:r>
      <w:r w:rsidRPr="00B43DAF">
        <w:rPr>
          <w:noProof/>
        </w:rPr>
        <w:t xml:space="preserve">other vehicles with non-standard axle configurations </w:t>
      </w:r>
      <w:r>
        <w:rPr>
          <w:noProof/>
        </w:rPr>
        <w:t xml:space="preserve">such as vehicles </w:t>
      </w:r>
      <w:r w:rsidRPr="00B43DAF">
        <w:rPr>
          <w:noProof/>
        </w:rPr>
        <w:t xml:space="preserve">with more than 4 axles or more than 2 driven axles, small buses </w:t>
      </w:r>
      <w:r>
        <w:rPr>
          <w:noProof/>
        </w:rPr>
        <w:t xml:space="preserve"> with a maximum mass lower than </w:t>
      </w:r>
      <w:r w:rsidRPr="00B43DAF">
        <w:rPr>
          <w:noProof/>
        </w:rPr>
        <w:t>7,5 t</w:t>
      </w:r>
      <w:r>
        <w:rPr>
          <w:noProof/>
        </w:rPr>
        <w:t xml:space="preserve">, </w:t>
      </w:r>
      <w:r w:rsidRPr="00B43DAF">
        <w:rPr>
          <w:noProof/>
        </w:rPr>
        <w:t>and small lorries</w:t>
      </w:r>
      <w:r>
        <w:rPr>
          <w:noProof/>
        </w:rPr>
        <w:t xml:space="preserve"> with a maximum mass lower than </w:t>
      </w:r>
      <w:r w:rsidRPr="00B43DAF">
        <w:rPr>
          <w:noProof/>
        </w:rPr>
        <w:t xml:space="preserve">5t. </w:t>
      </w:r>
    </w:p>
    <w:p w:rsidR="001A233D" w:rsidRPr="00B43DAF" w:rsidRDefault="00B43DAF" w:rsidP="00F221E9">
      <w:pPr>
        <w:pStyle w:val="Considerant"/>
        <w:ind w:left="709"/>
        <w:rPr>
          <w:noProof/>
        </w:rPr>
      </w:pPr>
      <w:r w:rsidRPr="00B43DAF">
        <w:rPr>
          <w:noProof/>
        </w:rPr>
        <w:t xml:space="preserve">Vocational vehicles, such as garbage trucks, tippers or concrete mixers, should </w:t>
      </w:r>
      <w:r w:rsidR="007B7E95">
        <w:rPr>
          <w:noProof/>
        </w:rPr>
        <w:t>continue to</w:t>
      </w:r>
      <w:r w:rsidRPr="00B43DAF">
        <w:rPr>
          <w:noProof/>
        </w:rPr>
        <w:t xml:space="preserve"> be exempt</w:t>
      </w:r>
      <w:r w:rsidR="007B7E95">
        <w:rPr>
          <w:noProof/>
        </w:rPr>
        <w:t>ed</w:t>
      </w:r>
      <w:r w:rsidRPr="00B43DAF">
        <w:rPr>
          <w:noProof/>
        </w:rPr>
        <w:t xml:space="preserve"> from the calculation of average specific CO2 emissions of manufacturers.</w:t>
      </w:r>
    </w:p>
    <w:p w:rsidR="00CF2D98" w:rsidRDefault="005B4A90" w:rsidP="005B4A90">
      <w:pPr>
        <w:pStyle w:val="ManualConsidrant"/>
        <w:rPr>
          <w:noProof/>
          <w:lang w:val="en-IE"/>
        </w:rPr>
      </w:pPr>
      <w:r w:rsidRPr="005B4A90">
        <w:t>(22)</w:t>
      </w:r>
      <w:r w:rsidRPr="005B4A90">
        <w:tab/>
      </w:r>
      <w:r w:rsidR="00CF2D98">
        <w:rPr>
          <w:noProof/>
          <w:lang w:val="en-IE"/>
        </w:rPr>
        <w:t xml:space="preserve">Certain definitions should be introduced in order to harmonize the terminology with that of the </w:t>
      </w:r>
      <w:r w:rsidR="009A0BBE">
        <w:rPr>
          <w:noProof/>
          <w:lang w:val="en-IE"/>
        </w:rPr>
        <w:t xml:space="preserve">vehicle </w:t>
      </w:r>
      <w:r w:rsidR="00CF2D98">
        <w:rPr>
          <w:noProof/>
          <w:lang w:val="en-IE"/>
        </w:rPr>
        <w:t>type</w:t>
      </w:r>
      <w:r w:rsidR="00472A3A">
        <w:rPr>
          <w:noProof/>
          <w:lang w:val="en-IE"/>
        </w:rPr>
        <w:t>-</w:t>
      </w:r>
      <w:r w:rsidR="00CF2D98">
        <w:rPr>
          <w:noProof/>
          <w:lang w:val="en-IE"/>
        </w:rPr>
        <w:t xml:space="preserve">approval legislation of the Union, in particular </w:t>
      </w:r>
      <w:r w:rsidR="00CF2D98" w:rsidRPr="008A7717">
        <w:rPr>
          <w:noProof/>
          <w:lang w:val="en-IE"/>
        </w:rPr>
        <w:t xml:space="preserve">Regulation (EU) 2018/858 </w:t>
      </w:r>
      <w:r w:rsidR="00472A3A" w:rsidRPr="008A7717">
        <w:rPr>
          <w:noProof/>
          <w:lang w:val="en-IE"/>
        </w:rPr>
        <w:t>of the European Parliament and of the Council</w:t>
      </w:r>
      <w:r w:rsidR="00346921" w:rsidRPr="00C9020F">
        <w:rPr>
          <w:rStyle w:val="FootnoteReference"/>
          <w:noProof/>
        </w:rPr>
        <w:footnoteReference w:id="19"/>
      </w:r>
      <w:r w:rsidR="00472A3A" w:rsidRPr="00472A3A">
        <w:rPr>
          <w:noProof/>
          <w:lang w:val="en-IE"/>
        </w:rPr>
        <w:t xml:space="preserve"> </w:t>
      </w:r>
      <w:r w:rsidR="00CF2D98">
        <w:rPr>
          <w:noProof/>
          <w:lang w:val="en-IE"/>
        </w:rPr>
        <w:t xml:space="preserve">and </w:t>
      </w:r>
      <w:r w:rsidR="00CF2D98" w:rsidRPr="008A7717">
        <w:rPr>
          <w:noProof/>
          <w:lang w:val="en-IE"/>
        </w:rPr>
        <w:t>Commission Regulation (EU) 2017/2400</w:t>
      </w:r>
      <w:r w:rsidR="008A7717" w:rsidRPr="004B7251">
        <w:rPr>
          <w:rStyle w:val="FootnoteReference"/>
          <w:rFonts w:cs="Calibri"/>
          <w:noProof/>
          <w:lang w:val="en-IE"/>
        </w:rPr>
        <w:footnoteReference w:id="20"/>
      </w:r>
      <w:r w:rsidR="00F77987">
        <w:rPr>
          <w:noProof/>
          <w:lang w:val="en-IE"/>
        </w:rPr>
        <w:t>.</w:t>
      </w:r>
    </w:p>
    <w:p w:rsidR="00CF2D98" w:rsidRPr="00B71E97" w:rsidRDefault="005B4A90" w:rsidP="005B4A90">
      <w:pPr>
        <w:pStyle w:val="ManualConsidrant"/>
        <w:rPr>
          <w:noProof/>
          <w:lang w:val="en-IE"/>
        </w:rPr>
      </w:pPr>
      <w:r w:rsidRPr="005B4A90">
        <w:t>(23)</w:t>
      </w:r>
      <w:r w:rsidRPr="005B4A90">
        <w:tab/>
      </w:r>
      <w:r w:rsidR="001904D6">
        <w:rPr>
          <w:noProof/>
          <w:lang w:val="en-IE"/>
        </w:rPr>
        <w:t>For the purposes of the newly introduced transfer of vehicles between manufacturers and of establishing an exemption for</w:t>
      </w:r>
      <w:r w:rsidR="00671AB7">
        <w:rPr>
          <w:noProof/>
          <w:lang w:val="en-IE"/>
        </w:rPr>
        <w:t xml:space="preserve"> </w:t>
      </w:r>
      <w:r w:rsidR="001904D6">
        <w:rPr>
          <w:noProof/>
          <w:lang w:val="en-IE"/>
        </w:rPr>
        <w:t>manufacturers</w:t>
      </w:r>
      <w:r w:rsidR="00671AB7">
        <w:rPr>
          <w:noProof/>
          <w:lang w:val="en-IE"/>
        </w:rPr>
        <w:t xml:space="preserve"> producing only few vehicles</w:t>
      </w:r>
      <w:r w:rsidR="001904D6">
        <w:rPr>
          <w:noProof/>
          <w:lang w:val="en-IE"/>
        </w:rPr>
        <w:t xml:space="preserve">, a definition of the term of </w:t>
      </w:r>
      <w:r w:rsidR="00FA6923">
        <w:rPr>
          <w:noProof/>
          <w:lang w:val="en-IE"/>
        </w:rPr>
        <w:t>‘</w:t>
      </w:r>
      <w:r w:rsidR="001904D6">
        <w:rPr>
          <w:noProof/>
          <w:lang w:val="en-IE"/>
        </w:rPr>
        <w:t>group of connected entities</w:t>
      </w:r>
      <w:r w:rsidR="00FA6923">
        <w:rPr>
          <w:noProof/>
          <w:lang w:val="en-IE"/>
        </w:rPr>
        <w:t>’</w:t>
      </w:r>
      <w:r w:rsidR="001904D6">
        <w:rPr>
          <w:noProof/>
          <w:lang w:val="en-IE"/>
        </w:rPr>
        <w:t xml:space="preserve"> should be added to Regulation</w:t>
      </w:r>
      <w:r w:rsidR="00D35C0C">
        <w:rPr>
          <w:noProof/>
          <w:lang w:val="en-IE"/>
        </w:rPr>
        <w:t xml:space="preserve"> </w:t>
      </w:r>
      <w:r w:rsidR="00D35C0C" w:rsidRPr="00D35C0C">
        <w:rPr>
          <w:noProof/>
          <w:lang w:val="en-IE"/>
        </w:rPr>
        <w:t>(EU) 2019/1242</w:t>
      </w:r>
      <w:r w:rsidR="001904D6">
        <w:rPr>
          <w:noProof/>
          <w:lang w:val="en-IE"/>
        </w:rPr>
        <w:t xml:space="preserve">, in substance following the terminology </w:t>
      </w:r>
      <w:r w:rsidR="00A72341">
        <w:rPr>
          <w:noProof/>
          <w:lang w:val="en-IE"/>
        </w:rPr>
        <w:t>used</w:t>
      </w:r>
      <w:r w:rsidR="001904D6">
        <w:rPr>
          <w:noProof/>
          <w:lang w:val="en-IE"/>
        </w:rPr>
        <w:t xml:space="preserve"> in </w:t>
      </w:r>
      <w:r w:rsidR="001904D6" w:rsidRPr="008A7717">
        <w:rPr>
          <w:noProof/>
          <w:lang w:val="en-IE"/>
        </w:rPr>
        <w:t>Regulation (EU) 2019/631</w:t>
      </w:r>
      <w:r w:rsidR="009747F9">
        <w:rPr>
          <w:noProof/>
          <w:lang w:val="en-IE"/>
        </w:rPr>
        <w:t xml:space="preserve"> </w:t>
      </w:r>
      <w:r w:rsidR="008A7717" w:rsidRPr="008A7717">
        <w:rPr>
          <w:noProof/>
          <w:lang w:val="en-IE"/>
        </w:rPr>
        <w:t>of the European Parliament and of the Council</w:t>
      </w:r>
      <w:r w:rsidR="008A7717">
        <w:rPr>
          <w:rStyle w:val="FootnoteReference"/>
          <w:rFonts w:cs="Calibri"/>
          <w:noProof/>
          <w:lang w:val="en-IE"/>
        </w:rPr>
        <w:footnoteReference w:id="21"/>
      </w:r>
      <w:r w:rsidR="00A72341" w:rsidRPr="00A72341">
        <w:rPr>
          <w:noProof/>
          <w:lang w:val="en-IE"/>
        </w:rPr>
        <w:t xml:space="preserve"> </w:t>
      </w:r>
      <w:r w:rsidR="00A72341">
        <w:rPr>
          <w:noProof/>
          <w:lang w:val="en-IE"/>
        </w:rPr>
        <w:t>for light-duty vehicles</w:t>
      </w:r>
      <w:r w:rsidR="00F77987">
        <w:rPr>
          <w:noProof/>
          <w:lang w:val="en-IE"/>
        </w:rPr>
        <w:t>.</w:t>
      </w:r>
    </w:p>
    <w:p w:rsidR="00E142BC" w:rsidRDefault="005B4A90" w:rsidP="005B4A90">
      <w:pPr>
        <w:pStyle w:val="ManualConsidrant"/>
        <w:rPr>
          <w:noProof/>
          <w:lang w:val="en-IE"/>
        </w:rPr>
      </w:pPr>
      <w:r w:rsidRPr="005B4A90">
        <w:t>(24)</w:t>
      </w:r>
      <w:r w:rsidRPr="005B4A90">
        <w:tab/>
      </w:r>
      <w:r w:rsidR="00722325">
        <w:rPr>
          <w:noProof/>
          <w:lang w:val="en-IE"/>
        </w:rPr>
        <w:t xml:space="preserve">For defining the obligations of individual manufacturers, </w:t>
      </w:r>
      <w:r w:rsidR="00472A3A">
        <w:rPr>
          <w:noProof/>
          <w:lang w:val="en-IE"/>
        </w:rPr>
        <w:t xml:space="preserve">Union </w:t>
      </w:r>
      <w:r w:rsidR="00F716F5">
        <w:rPr>
          <w:noProof/>
          <w:lang w:val="en-IE"/>
        </w:rPr>
        <w:t xml:space="preserve">fleet-wide </w:t>
      </w:r>
      <w:r w:rsidR="004B7251">
        <w:rPr>
          <w:noProof/>
          <w:lang w:val="en-IE"/>
        </w:rPr>
        <w:t xml:space="preserve">CO₂ reduction </w:t>
      </w:r>
      <w:r w:rsidR="00722325">
        <w:rPr>
          <w:noProof/>
          <w:lang w:val="en-IE"/>
        </w:rPr>
        <w:t xml:space="preserve">targets </w:t>
      </w:r>
      <w:r w:rsidR="004B7251">
        <w:rPr>
          <w:noProof/>
          <w:lang w:val="en-IE"/>
        </w:rPr>
        <w:t xml:space="preserve">for the new heavy-duty vehicle fleet </w:t>
      </w:r>
      <w:r w:rsidR="00722325">
        <w:rPr>
          <w:noProof/>
          <w:lang w:val="en-IE"/>
        </w:rPr>
        <w:t xml:space="preserve">should be translated into specific reduction targets for subgroups </w:t>
      </w:r>
      <w:r w:rsidR="00E142BC">
        <w:rPr>
          <w:noProof/>
          <w:lang w:val="en-IE"/>
        </w:rPr>
        <w:t>that should be defined by the</w:t>
      </w:r>
      <w:r w:rsidR="00722325">
        <w:rPr>
          <w:noProof/>
          <w:lang w:val="en-IE"/>
        </w:rPr>
        <w:t xml:space="preserve"> technical characteristics</w:t>
      </w:r>
      <w:r w:rsidR="00E142BC">
        <w:rPr>
          <w:noProof/>
          <w:lang w:val="en-IE"/>
        </w:rPr>
        <w:t xml:space="preserve"> of the vehicles they comprise</w:t>
      </w:r>
      <w:r w:rsidR="00722325">
        <w:rPr>
          <w:noProof/>
          <w:lang w:val="en-IE"/>
        </w:rPr>
        <w:t>.</w:t>
      </w:r>
      <w:r w:rsidR="00E142BC">
        <w:rPr>
          <w:noProof/>
          <w:lang w:val="en-IE"/>
        </w:rPr>
        <w:t xml:space="preserve"> </w:t>
      </w:r>
    </w:p>
    <w:p w:rsidR="00A00F09" w:rsidRPr="008670C1" w:rsidRDefault="005B4A90" w:rsidP="005B4A90">
      <w:pPr>
        <w:pStyle w:val="ManualConsidrant"/>
        <w:rPr>
          <w:noProof/>
          <w:lang w:val="en-IE"/>
        </w:rPr>
      </w:pPr>
      <w:r w:rsidRPr="005B4A90">
        <w:t>(25)</w:t>
      </w:r>
      <w:r w:rsidRPr="005B4A90">
        <w:tab/>
      </w:r>
      <w:r w:rsidR="00E142BC" w:rsidRPr="008670C1">
        <w:rPr>
          <w:noProof/>
          <w:lang w:val="en-IE"/>
        </w:rPr>
        <w:t xml:space="preserve">Since the </w:t>
      </w:r>
      <w:r w:rsidR="009B3DC6" w:rsidRPr="007142D1">
        <w:rPr>
          <w:noProof/>
        </w:rPr>
        <w:t>CO</w:t>
      </w:r>
      <w:r w:rsidR="009B3DC6" w:rsidRPr="00953CAE">
        <w:rPr>
          <w:noProof/>
          <w:vertAlign w:val="subscript"/>
        </w:rPr>
        <w:t>2</w:t>
      </w:r>
      <w:r w:rsidR="00551715">
        <w:rPr>
          <w:noProof/>
          <w:lang w:val="en-IE"/>
        </w:rPr>
        <w:t xml:space="preserve"> </w:t>
      </w:r>
      <w:r w:rsidR="00CA7DF2" w:rsidRPr="008670C1">
        <w:rPr>
          <w:noProof/>
          <w:lang w:val="en-IE"/>
        </w:rPr>
        <w:t>emissions related to</w:t>
      </w:r>
      <w:r w:rsidR="00E142BC" w:rsidRPr="008670C1">
        <w:rPr>
          <w:noProof/>
          <w:lang w:val="en-IE"/>
        </w:rPr>
        <w:t xml:space="preserve"> trailers ha</w:t>
      </w:r>
      <w:r w:rsidR="00CA7DF2" w:rsidRPr="008670C1">
        <w:rPr>
          <w:noProof/>
          <w:lang w:val="en-IE"/>
        </w:rPr>
        <w:t>ve</w:t>
      </w:r>
      <w:r w:rsidR="00E142BC" w:rsidRPr="008670C1">
        <w:rPr>
          <w:noProof/>
          <w:lang w:val="en-IE"/>
        </w:rPr>
        <w:t xml:space="preserve"> a strong impact on the </w:t>
      </w:r>
      <w:r w:rsidR="00CA7DF2" w:rsidRPr="008670C1">
        <w:rPr>
          <w:noProof/>
          <w:lang w:val="en-IE"/>
        </w:rPr>
        <w:t xml:space="preserve">overall </w:t>
      </w:r>
      <w:r w:rsidR="00E142BC" w:rsidRPr="008670C1">
        <w:rPr>
          <w:noProof/>
          <w:lang w:val="en-IE"/>
        </w:rPr>
        <w:t>CO2 emissions and energy consumption of motor vehicles</w:t>
      </w:r>
      <w:r w:rsidR="00E41C8E">
        <w:rPr>
          <w:noProof/>
          <w:lang w:val="en-IE"/>
        </w:rPr>
        <w:t xml:space="preserve">, </w:t>
      </w:r>
      <w:r w:rsidR="00E142BC" w:rsidRPr="008670C1">
        <w:rPr>
          <w:noProof/>
          <w:lang w:val="en-IE"/>
        </w:rPr>
        <w:t xml:space="preserve">respective targets for the trailers should </w:t>
      </w:r>
      <w:r w:rsidR="00E41C8E">
        <w:rPr>
          <w:noProof/>
          <w:lang w:val="en-IE"/>
        </w:rPr>
        <w:t xml:space="preserve">also </w:t>
      </w:r>
      <w:r w:rsidR="00E142BC" w:rsidRPr="008670C1">
        <w:rPr>
          <w:noProof/>
          <w:lang w:val="en-IE"/>
        </w:rPr>
        <w:t>be defined.</w:t>
      </w:r>
    </w:p>
    <w:p w:rsidR="00DB672C" w:rsidRDefault="005B4A90" w:rsidP="005B4A90">
      <w:pPr>
        <w:pStyle w:val="ManualConsidrant"/>
        <w:rPr>
          <w:noProof/>
          <w:lang w:val="en-IE"/>
        </w:rPr>
      </w:pPr>
      <w:r w:rsidRPr="005B4A90">
        <w:t>(26)</w:t>
      </w:r>
      <w:r w:rsidRPr="005B4A90">
        <w:tab/>
      </w:r>
      <w:r w:rsidR="0093229B">
        <w:rPr>
          <w:noProof/>
          <w:lang w:val="en-IE"/>
        </w:rPr>
        <w:t xml:space="preserve">Due to the technical readiness of the </w:t>
      </w:r>
      <w:r w:rsidR="00F716F5">
        <w:rPr>
          <w:noProof/>
          <w:lang w:val="en-IE"/>
        </w:rPr>
        <w:t>sub-</w:t>
      </w:r>
      <w:r w:rsidR="0093229B">
        <w:rPr>
          <w:noProof/>
          <w:lang w:val="en-IE"/>
        </w:rPr>
        <w:t>sector</w:t>
      </w:r>
      <w:r w:rsidR="000231EF">
        <w:rPr>
          <w:noProof/>
          <w:lang w:val="en-IE"/>
        </w:rPr>
        <w:t xml:space="preserve"> and</w:t>
      </w:r>
      <w:r w:rsidR="0093229B">
        <w:rPr>
          <w:noProof/>
          <w:lang w:val="en-IE"/>
        </w:rPr>
        <w:t xml:space="preserve"> the need to improve air quality in cities, </w:t>
      </w:r>
      <w:r w:rsidR="00F716F5">
        <w:rPr>
          <w:noProof/>
          <w:lang w:val="en-IE"/>
        </w:rPr>
        <w:t xml:space="preserve">a </w:t>
      </w:r>
      <w:r w:rsidR="0093229B">
        <w:rPr>
          <w:noProof/>
          <w:lang w:val="en-IE"/>
        </w:rPr>
        <w:t>mandatory minimum share of new zero-emission urban buses should be set.</w:t>
      </w:r>
      <w:r w:rsidR="00642F85">
        <w:rPr>
          <w:noProof/>
          <w:lang w:val="en-IE"/>
        </w:rPr>
        <w:t xml:space="preserve"> </w:t>
      </w:r>
    </w:p>
    <w:p w:rsidR="00A00F09" w:rsidRPr="00CF0FCD" w:rsidRDefault="005B4A90" w:rsidP="005B4A90">
      <w:pPr>
        <w:pStyle w:val="ManualConsidrant"/>
        <w:rPr>
          <w:noProof/>
          <w:lang w:val="en-IE"/>
        </w:rPr>
      </w:pPr>
      <w:r w:rsidRPr="005B4A90">
        <w:t>(27)</w:t>
      </w:r>
      <w:r w:rsidRPr="005B4A90">
        <w:tab/>
      </w:r>
      <w:r w:rsidR="00B62011" w:rsidRPr="00CF0FCD">
        <w:rPr>
          <w:noProof/>
          <w:lang w:val="en-IE"/>
        </w:rPr>
        <w:t>A</w:t>
      </w:r>
      <w:r w:rsidR="00DB672C" w:rsidRPr="00CF0FCD">
        <w:rPr>
          <w:noProof/>
          <w:lang w:val="en-IE"/>
        </w:rPr>
        <w:t xml:space="preserve"> mandatory minimum share of zero-emission urban buses should reflect the societal need for affordable public transport, including in rural areas. The increased supply of zero-emission urban buses that result from such a mandatory minimum share should have a positive effect on </w:t>
      </w:r>
      <w:r w:rsidR="00B62011" w:rsidRPr="00CF0FCD">
        <w:rPr>
          <w:noProof/>
          <w:lang w:val="en-IE"/>
        </w:rPr>
        <w:t xml:space="preserve">purchasing </w:t>
      </w:r>
      <w:r w:rsidR="00DB672C" w:rsidRPr="00CF0FCD">
        <w:rPr>
          <w:noProof/>
          <w:lang w:val="en-IE"/>
        </w:rPr>
        <w:t>cost, both in terms of upfront purchase price and the total cost of ownership of zero-emission urban buses, reflecting fossil fuel savings resulting from the</w:t>
      </w:r>
      <w:r w:rsidR="00852CF2" w:rsidRPr="00CF0FCD">
        <w:rPr>
          <w:noProof/>
          <w:lang w:val="en-IE"/>
        </w:rPr>
        <w:t>ir</w:t>
      </w:r>
      <w:r w:rsidR="00DB672C" w:rsidRPr="00CF0FCD">
        <w:rPr>
          <w:noProof/>
          <w:lang w:val="en-IE"/>
        </w:rPr>
        <w:t xml:space="preserve"> operation. </w:t>
      </w:r>
      <w:r w:rsidR="00B62011" w:rsidRPr="00CF0FCD">
        <w:rPr>
          <w:noProof/>
          <w:lang w:val="en-IE"/>
        </w:rPr>
        <w:t xml:space="preserve">Joint procurement of urban buses </w:t>
      </w:r>
      <w:r w:rsidR="00852CF2" w:rsidRPr="00CF0FCD">
        <w:rPr>
          <w:noProof/>
          <w:lang w:val="en-IE"/>
        </w:rPr>
        <w:t>building on</w:t>
      </w:r>
      <w:r w:rsidR="00B62011" w:rsidRPr="00CF0FCD">
        <w:rPr>
          <w:noProof/>
          <w:lang w:val="en-IE"/>
        </w:rPr>
        <w:t xml:space="preserve"> the Clean Bus Platform can bring the purchasing cost of such buses further</w:t>
      </w:r>
      <w:r w:rsidR="00492CF0" w:rsidRPr="00CF0FCD">
        <w:rPr>
          <w:noProof/>
          <w:lang w:val="en-IE"/>
        </w:rPr>
        <w:t xml:space="preserve"> down</w:t>
      </w:r>
      <w:r w:rsidR="00B62011" w:rsidRPr="00CF0FCD">
        <w:rPr>
          <w:noProof/>
          <w:lang w:val="en-IE"/>
        </w:rPr>
        <w:t xml:space="preserve">, and the proposed Social Climate Fund could be used by Member States to support </w:t>
      </w:r>
      <w:r w:rsidR="00CF4D2B">
        <w:rPr>
          <w:noProof/>
          <w:lang w:val="en-IE"/>
        </w:rPr>
        <w:t xml:space="preserve">vulnerable </w:t>
      </w:r>
      <w:r w:rsidR="00B62011" w:rsidRPr="00CF0FCD">
        <w:rPr>
          <w:noProof/>
          <w:lang w:val="en-IE"/>
        </w:rPr>
        <w:t xml:space="preserve">citizens with </w:t>
      </w:r>
      <w:r w:rsidR="002701E1">
        <w:rPr>
          <w:noProof/>
          <w:lang w:val="en-IE"/>
        </w:rPr>
        <w:t xml:space="preserve"> </w:t>
      </w:r>
      <w:r w:rsidR="00BB571E">
        <w:rPr>
          <w:noProof/>
          <w:lang w:val="en-IE"/>
        </w:rPr>
        <w:t>reduced or free</w:t>
      </w:r>
      <w:r w:rsidR="00B62011" w:rsidRPr="00CF0FCD">
        <w:rPr>
          <w:noProof/>
          <w:lang w:val="en-IE"/>
        </w:rPr>
        <w:t xml:space="preserve"> public transport tickets or subscriptions. Finally, r</w:t>
      </w:r>
      <w:r w:rsidR="00DB672C" w:rsidRPr="00CF0FCD">
        <w:rPr>
          <w:noProof/>
          <w:lang w:val="en-IE"/>
        </w:rPr>
        <w:t>egional and long-distance buses</w:t>
      </w:r>
      <w:r w:rsidR="00492CF0" w:rsidRPr="00CF0FCD">
        <w:rPr>
          <w:noProof/>
          <w:lang w:val="en-IE"/>
        </w:rPr>
        <w:t xml:space="preserve"> and </w:t>
      </w:r>
      <w:r w:rsidR="00852CF2" w:rsidRPr="00CF0FCD">
        <w:rPr>
          <w:noProof/>
          <w:lang w:val="en-IE"/>
        </w:rPr>
        <w:t>coaches</w:t>
      </w:r>
      <w:r w:rsidR="00DB672C" w:rsidRPr="00CF0FCD">
        <w:rPr>
          <w:noProof/>
          <w:lang w:val="en-IE"/>
        </w:rPr>
        <w:t>,</w:t>
      </w:r>
      <w:r w:rsidR="00B62011" w:rsidRPr="00CF0FCD">
        <w:rPr>
          <w:noProof/>
          <w:lang w:val="en-IE"/>
        </w:rPr>
        <w:t xml:space="preserve"> including for transport in</w:t>
      </w:r>
      <w:r w:rsidR="00DB672C" w:rsidRPr="00CF0FCD">
        <w:rPr>
          <w:noProof/>
          <w:lang w:val="en-IE"/>
        </w:rPr>
        <w:t xml:space="preserve"> rural areas, remain subject to the targets for </w:t>
      </w:r>
      <w:r w:rsidR="00621647">
        <w:rPr>
          <w:noProof/>
          <w:lang w:val="en-IE"/>
        </w:rPr>
        <w:t xml:space="preserve"> heavy duty vehicles</w:t>
      </w:r>
      <w:r w:rsidR="00B62011" w:rsidRPr="00CF0FCD">
        <w:rPr>
          <w:noProof/>
          <w:lang w:val="en-IE"/>
        </w:rPr>
        <w:t xml:space="preserve">. Support from the Social Climate Fund could </w:t>
      </w:r>
      <w:r w:rsidR="00642F85" w:rsidRPr="00CF0FCD">
        <w:rPr>
          <w:noProof/>
          <w:lang w:val="en-IE"/>
        </w:rPr>
        <w:t xml:space="preserve">address specific needs of rural areas and prevent </w:t>
      </w:r>
      <w:r w:rsidR="00BB571E">
        <w:rPr>
          <w:noProof/>
          <w:lang w:val="en-IE"/>
        </w:rPr>
        <w:t>transport poverty</w:t>
      </w:r>
      <w:r w:rsidR="00BB571E">
        <w:rPr>
          <w:rStyle w:val="FootnoteReference"/>
          <w:noProof/>
          <w:lang w:val="en-IE"/>
        </w:rPr>
        <w:footnoteReference w:id="22"/>
      </w:r>
      <w:r w:rsidR="00BB571E">
        <w:rPr>
          <w:noProof/>
          <w:lang w:val="en-IE"/>
        </w:rPr>
        <w:t xml:space="preserve"> </w:t>
      </w:r>
      <w:r w:rsidR="00B62011" w:rsidRPr="00CF0FCD">
        <w:rPr>
          <w:noProof/>
          <w:lang w:val="en-IE"/>
        </w:rPr>
        <w:t>by securing access to affordable public transport</w:t>
      </w:r>
      <w:r w:rsidR="00642F85" w:rsidRPr="00CF0FCD">
        <w:rPr>
          <w:noProof/>
          <w:lang w:val="en-IE"/>
        </w:rPr>
        <w:t>.</w:t>
      </w:r>
    </w:p>
    <w:p w:rsidR="001904D6" w:rsidRPr="00E62EDD" w:rsidRDefault="005B4A90" w:rsidP="005B4A90">
      <w:pPr>
        <w:pStyle w:val="ManualConsidrant"/>
        <w:rPr>
          <w:noProof/>
          <w:szCs w:val="24"/>
          <w:lang w:val="en-IE"/>
        </w:rPr>
      </w:pPr>
      <w:r w:rsidRPr="005B4A90">
        <w:t>(28)</w:t>
      </w:r>
      <w:r w:rsidRPr="005B4A90">
        <w:tab/>
      </w:r>
      <w:r w:rsidR="0093229B" w:rsidRPr="001A233D">
        <w:rPr>
          <w:noProof/>
          <w:lang w:val="en-IE"/>
        </w:rPr>
        <w:t>The zero- and low</w:t>
      </w:r>
      <w:r w:rsidR="00FA6923">
        <w:rPr>
          <w:noProof/>
          <w:lang w:val="en-IE"/>
        </w:rPr>
        <w:t>-</w:t>
      </w:r>
      <w:r w:rsidR="0093229B" w:rsidRPr="001A233D">
        <w:rPr>
          <w:noProof/>
          <w:lang w:val="en-IE"/>
        </w:rPr>
        <w:t xml:space="preserve">emission factor should </w:t>
      </w:r>
      <w:r w:rsidR="00792FEB" w:rsidRPr="001A233D">
        <w:rPr>
          <w:noProof/>
          <w:lang w:val="en-IE"/>
        </w:rPr>
        <w:t>last be applied for</w:t>
      </w:r>
      <w:r w:rsidR="0093229B" w:rsidRPr="001A233D">
        <w:rPr>
          <w:noProof/>
          <w:lang w:val="en-IE"/>
        </w:rPr>
        <w:t xml:space="preserve"> the </w:t>
      </w:r>
      <w:r w:rsidR="00792FEB" w:rsidRPr="001A233D">
        <w:rPr>
          <w:noProof/>
          <w:lang w:val="en-IE"/>
        </w:rPr>
        <w:t>reporting period</w:t>
      </w:r>
      <w:r w:rsidR="0093229B" w:rsidRPr="001A233D">
        <w:rPr>
          <w:noProof/>
          <w:lang w:val="en-IE"/>
        </w:rPr>
        <w:t xml:space="preserve"> </w:t>
      </w:r>
      <w:r w:rsidR="00792FEB" w:rsidRPr="001A233D">
        <w:rPr>
          <w:noProof/>
          <w:lang w:val="en-IE"/>
        </w:rPr>
        <w:t xml:space="preserve">of the year </w:t>
      </w:r>
      <w:r w:rsidR="0093229B" w:rsidRPr="001A233D">
        <w:rPr>
          <w:noProof/>
          <w:lang w:val="en-IE"/>
        </w:rPr>
        <w:t>20</w:t>
      </w:r>
      <w:r w:rsidR="00792FEB" w:rsidRPr="001A233D">
        <w:rPr>
          <w:noProof/>
          <w:lang w:val="en-IE"/>
        </w:rPr>
        <w:t>29</w:t>
      </w:r>
      <w:r w:rsidR="004B7251">
        <w:rPr>
          <w:noProof/>
          <w:lang w:val="en-IE"/>
        </w:rPr>
        <w:t>, because it is no longer considered necessary after that time as an incentive to promote the market entrance of zero-emission vehicles</w:t>
      </w:r>
      <w:r w:rsidR="004B7251" w:rsidRPr="001A233D">
        <w:rPr>
          <w:noProof/>
          <w:lang w:val="en-IE"/>
        </w:rPr>
        <w:t>.</w:t>
      </w:r>
    </w:p>
    <w:p w:rsidR="00A00F09" w:rsidRDefault="005B4A90" w:rsidP="005B4A90">
      <w:pPr>
        <w:pStyle w:val="ManualConsidrant"/>
        <w:rPr>
          <w:noProof/>
          <w:lang w:val="en-IE"/>
        </w:rPr>
      </w:pPr>
      <w:r w:rsidRPr="005B4A90">
        <w:t>(29)</w:t>
      </w:r>
      <w:r w:rsidRPr="005B4A90">
        <w:tab/>
      </w:r>
      <w:r w:rsidR="00792FEB">
        <w:rPr>
          <w:noProof/>
          <w:lang w:val="en-IE"/>
        </w:rPr>
        <w:t xml:space="preserve">As commercial rather than legal entities </w:t>
      </w:r>
      <w:r w:rsidR="00FA24C4">
        <w:rPr>
          <w:noProof/>
          <w:lang w:val="en-IE"/>
        </w:rPr>
        <w:t xml:space="preserve">should be considered </w:t>
      </w:r>
      <w:r w:rsidR="00792FEB">
        <w:rPr>
          <w:noProof/>
          <w:lang w:val="en-IE"/>
        </w:rPr>
        <w:t>for compliance, economically connected manufacturers should</w:t>
      </w:r>
      <w:r w:rsidR="00105AB8">
        <w:rPr>
          <w:noProof/>
          <w:lang w:val="en-IE"/>
        </w:rPr>
        <w:t>, within certain limits,</w:t>
      </w:r>
      <w:r w:rsidR="00792FEB">
        <w:rPr>
          <w:noProof/>
          <w:lang w:val="en-IE"/>
        </w:rPr>
        <w:t xml:space="preserve"> be allowed to transfer vehicles between them for the purposes of accounting these vehicles under Regulation (EU) 2019/1242.</w:t>
      </w:r>
    </w:p>
    <w:p w:rsidR="00792FEB" w:rsidRPr="00646061" w:rsidRDefault="005B4A90" w:rsidP="005B4A90">
      <w:pPr>
        <w:pStyle w:val="ManualConsidrant"/>
        <w:rPr>
          <w:noProof/>
          <w:lang w:val="en-IE"/>
        </w:rPr>
      </w:pPr>
      <w:r w:rsidRPr="005B4A90">
        <w:t>(30)</w:t>
      </w:r>
      <w:r w:rsidRPr="005B4A90">
        <w:tab/>
      </w:r>
      <w:r w:rsidR="00792FEB">
        <w:rPr>
          <w:noProof/>
          <w:lang w:val="en-IE"/>
        </w:rPr>
        <w:t>Furthermore, in order to strengthen the development of new zero</w:t>
      </w:r>
      <w:r w:rsidR="00CD46A4">
        <w:rPr>
          <w:noProof/>
          <w:lang w:val="en-IE"/>
        </w:rPr>
        <w:t>-</w:t>
      </w:r>
      <w:r w:rsidR="00792FEB">
        <w:rPr>
          <w:noProof/>
          <w:lang w:val="en-IE"/>
        </w:rPr>
        <w:t xml:space="preserve">emission technologies in specialized small- and medium-sized </w:t>
      </w:r>
      <w:r w:rsidR="00792FEB" w:rsidRPr="00646061">
        <w:rPr>
          <w:noProof/>
          <w:lang w:val="en-IE"/>
        </w:rPr>
        <w:t>companies, it should also be possible to transfer zero</w:t>
      </w:r>
      <w:r w:rsidR="00CD46A4" w:rsidRPr="00646061">
        <w:rPr>
          <w:noProof/>
          <w:lang w:val="en-IE"/>
        </w:rPr>
        <w:t>-</w:t>
      </w:r>
      <w:r w:rsidR="00792FEB" w:rsidRPr="00646061">
        <w:rPr>
          <w:noProof/>
          <w:lang w:val="en-IE"/>
        </w:rPr>
        <w:t>emission vehicles between non-connected entities.</w:t>
      </w:r>
    </w:p>
    <w:p w:rsidR="006F62F1" w:rsidRPr="00646061" w:rsidRDefault="005B4A90" w:rsidP="005B4A90">
      <w:pPr>
        <w:pStyle w:val="ManualConsidrant"/>
        <w:rPr>
          <w:noProof/>
          <w:lang w:val="en-IE"/>
        </w:rPr>
      </w:pPr>
      <w:r w:rsidRPr="005B4A90">
        <w:t>(31)</w:t>
      </w:r>
      <w:r w:rsidRPr="005B4A90">
        <w:tab/>
      </w:r>
      <w:r w:rsidR="006F62F1" w:rsidRPr="00646061">
        <w:rPr>
          <w:noProof/>
          <w:lang w:val="en-IE"/>
        </w:rPr>
        <w:t xml:space="preserve">In order to </w:t>
      </w:r>
      <w:r w:rsidR="000231EF" w:rsidRPr="00646061">
        <w:rPr>
          <w:noProof/>
          <w:lang w:val="en-IE"/>
        </w:rPr>
        <w:t xml:space="preserve">avoid </w:t>
      </w:r>
      <w:r w:rsidR="00FA6923">
        <w:rPr>
          <w:noProof/>
          <w:lang w:val="en-IE"/>
        </w:rPr>
        <w:t>dis</w:t>
      </w:r>
      <w:r w:rsidR="000231EF" w:rsidRPr="00646061">
        <w:rPr>
          <w:noProof/>
          <w:lang w:val="en-IE"/>
        </w:rPr>
        <w:t xml:space="preserve">proportionally high </w:t>
      </w:r>
      <w:r w:rsidR="006F62F1" w:rsidRPr="00646061">
        <w:rPr>
          <w:noProof/>
          <w:lang w:val="en-IE"/>
        </w:rPr>
        <w:t xml:space="preserve">costs </w:t>
      </w:r>
      <w:r w:rsidR="00792FEB" w:rsidRPr="00646061">
        <w:rPr>
          <w:noProof/>
          <w:lang w:val="en-IE"/>
        </w:rPr>
        <w:t>of compliance</w:t>
      </w:r>
      <w:r w:rsidR="00081F15" w:rsidRPr="00646061">
        <w:rPr>
          <w:noProof/>
          <w:lang w:val="en-IE"/>
        </w:rPr>
        <w:t xml:space="preserve"> and in order to reduce the administrative burden</w:t>
      </w:r>
      <w:r w:rsidR="00C70AC2" w:rsidRPr="00646061">
        <w:rPr>
          <w:noProof/>
          <w:lang w:val="en-IE"/>
        </w:rPr>
        <w:t>,</w:t>
      </w:r>
      <w:r w:rsidR="006F62F1" w:rsidRPr="00646061">
        <w:rPr>
          <w:noProof/>
          <w:lang w:val="en-IE"/>
        </w:rPr>
        <w:t xml:space="preserve"> manufacturers</w:t>
      </w:r>
      <w:r w:rsidR="006F23CF">
        <w:rPr>
          <w:noProof/>
          <w:lang w:val="en-IE"/>
        </w:rPr>
        <w:t xml:space="preserve"> producing few vehicles</w:t>
      </w:r>
      <w:r w:rsidR="006F62F1" w:rsidRPr="00646061">
        <w:rPr>
          <w:noProof/>
          <w:lang w:val="en-IE"/>
        </w:rPr>
        <w:t xml:space="preserve"> </w:t>
      </w:r>
      <w:r w:rsidR="00081F15" w:rsidRPr="00646061">
        <w:rPr>
          <w:noProof/>
          <w:lang w:val="en-IE"/>
        </w:rPr>
        <w:t xml:space="preserve">fulfilling certain legal requirements </w:t>
      </w:r>
      <w:r w:rsidR="006F62F1" w:rsidRPr="00646061">
        <w:rPr>
          <w:noProof/>
          <w:lang w:val="en-IE"/>
        </w:rPr>
        <w:t xml:space="preserve">should be exempted from </w:t>
      </w:r>
      <w:r w:rsidR="00C70AC2" w:rsidRPr="00646061">
        <w:rPr>
          <w:noProof/>
          <w:lang w:val="en-IE"/>
        </w:rPr>
        <w:t xml:space="preserve">compliance with </w:t>
      </w:r>
      <w:r w:rsidR="009B3DC6" w:rsidRPr="007142D1">
        <w:rPr>
          <w:noProof/>
        </w:rPr>
        <w:t>CO</w:t>
      </w:r>
      <w:r w:rsidR="009B3DC6" w:rsidRPr="00953CAE">
        <w:rPr>
          <w:noProof/>
          <w:vertAlign w:val="subscript"/>
        </w:rPr>
        <w:t>2</w:t>
      </w:r>
      <w:r w:rsidR="00C70AC2" w:rsidRPr="00646061">
        <w:rPr>
          <w:noProof/>
          <w:lang w:val="en-IE"/>
        </w:rPr>
        <w:t>-emission targets</w:t>
      </w:r>
      <w:r w:rsidR="00FA750E" w:rsidRPr="00646061">
        <w:rPr>
          <w:noProof/>
          <w:lang w:val="en-IE"/>
        </w:rPr>
        <w:t>.</w:t>
      </w:r>
      <w:r w:rsidR="00081F15" w:rsidRPr="00646061">
        <w:rPr>
          <w:noProof/>
          <w:lang w:val="en-IE"/>
        </w:rPr>
        <w:t xml:space="preserve"> As they are required to comply with the reporting obligations of Regulation (EU) 2019/1242, there is an appropriate control mechanism for those manufacturers.</w:t>
      </w:r>
    </w:p>
    <w:p w:rsidR="00A62A52" w:rsidRPr="00A62A52" w:rsidRDefault="005B4A90" w:rsidP="005B4A90">
      <w:pPr>
        <w:pStyle w:val="ManualConsidrant"/>
        <w:rPr>
          <w:noProof/>
          <w:lang w:val="en-IE"/>
        </w:rPr>
      </w:pPr>
      <w:r w:rsidRPr="005B4A90">
        <w:t>(32)</w:t>
      </w:r>
      <w:r w:rsidRPr="005B4A90">
        <w:tab/>
      </w:r>
      <w:r w:rsidR="00C70AC2">
        <w:rPr>
          <w:noProof/>
          <w:lang w:val="en-IE"/>
        </w:rPr>
        <w:t>The existing system of multi-annual e</w:t>
      </w:r>
      <w:r w:rsidR="00A00F09">
        <w:rPr>
          <w:noProof/>
          <w:lang w:val="en-IE"/>
        </w:rPr>
        <w:t>mission credits and emission d</w:t>
      </w:r>
      <w:r w:rsidR="009501F4">
        <w:rPr>
          <w:noProof/>
          <w:lang w:val="en-IE"/>
        </w:rPr>
        <w:t>ebts should be extended to 2039</w:t>
      </w:r>
      <w:r w:rsidR="00427437">
        <w:rPr>
          <w:noProof/>
          <w:lang w:val="en-IE"/>
        </w:rPr>
        <w:t xml:space="preserve"> as reduction targets keep strengthening beyond 2030 until 2040 and require forward-looking technical developments of manufacturers during that period</w:t>
      </w:r>
      <w:r w:rsidR="00081F15">
        <w:rPr>
          <w:noProof/>
          <w:lang w:val="en-IE"/>
        </w:rPr>
        <w:t>.</w:t>
      </w:r>
    </w:p>
    <w:p w:rsidR="00A00F09" w:rsidRPr="00A62A52" w:rsidRDefault="005B4A90" w:rsidP="005B4A90">
      <w:pPr>
        <w:pStyle w:val="ManualConsidrant"/>
        <w:rPr>
          <w:noProof/>
          <w:lang w:val="en-IE"/>
        </w:rPr>
      </w:pPr>
      <w:r w:rsidRPr="005B4A90">
        <w:t>(33)</w:t>
      </w:r>
      <w:r w:rsidRPr="005B4A90">
        <w:tab/>
      </w:r>
      <w:r w:rsidR="00A00F09">
        <w:rPr>
          <w:noProof/>
          <w:lang w:val="en-IE"/>
        </w:rPr>
        <w:t xml:space="preserve">Regulation (EU) 2019/1242 should for each vehicle category clearly stipulate who is the manufacturer to whom a vehicle should be attributed, thereby </w:t>
      </w:r>
      <w:r w:rsidR="00835EA6">
        <w:rPr>
          <w:noProof/>
          <w:lang w:val="en-IE"/>
        </w:rPr>
        <w:t xml:space="preserve">specifically </w:t>
      </w:r>
      <w:r w:rsidR="00A00F09">
        <w:rPr>
          <w:noProof/>
          <w:lang w:val="en-IE"/>
        </w:rPr>
        <w:t>taking account of the different constellat</w:t>
      </w:r>
      <w:r w:rsidR="009501F4">
        <w:rPr>
          <w:noProof/>
          <w:lang w:val="en-IE"/>
        </w:rPr>
        <w:t>ions for vehicles of category M</w:t>
      </w:r>
      <w:r w:rsidR="00081F15">
        <w:rPr>
          <w:noProof/>
          <w:lang w:val="en-IE"/>
        </w:rPr>
        <w:t>.</w:t>
      </w:r>
    </w:p>
    <w:p w:rsidR="00A00F09" w:rsidRPr="00646061" w:rsidRDefault="005B4A90" w:rsidP="005B4A90">
      <w:pPr>
        <w:pStyle w:val="ManualConsidrant"/>
        <w:rPr>
          <w:noProof/>
          <w:lang w:val="en-IE"/>
        </w:rPr>
      </w:pPr>
      <w:r w:rsidRPr="005B4A90">
        <w:t>(34)</w:t>
      </w:r>
      <w:r w:rsidRPr="005B4A90">
        <w:tab/>
      </w:r>
      <w:r w:rsidR="00B177D8">
        <w:rPr>
          <w:noProof/>
          <w:lang w:val="en-IE"/>
        </w:rPr>
        <w:t xml:space="preserve">The rules on the verification of the monitoring data should also cover possible ex post corrections of errors in such reported data and how the Commission should handle such corrections for implementing the </w:t>
      </w:r>
      <w:r w:rsidR="009B3DC6" w:rsidRPr="007142D1">
        <w:rPr>
          <w:noProof/>
        </w:rPr>
        <w:t>CO</w:t>
      </w:r>
      <w:r w:rsidR="009B3DC6" w:rsidRPr="00953CAE">
        <w:rPr>
          <w:noProof/>
          <w:vertAlign w:val="subscript"/>
        </w:rPr>
        <w:t>2</w:t>
      </w:r>
      <w:r w:rsidR="00B177D8">
        <w:rPr>
          <w:noProof/>
          <w:lang w:val="en-IE"/>
        </w:rPr>
        <w:t xml:space="preserve">-emission fleet </w:t>
      </w:r>
      <w:r w:rsidR="00B177D8" w:rsidRPr="00646061">
        <w:rPr>
          <w:noProof/>
          <w:lang w:val="en-IE"/>
        </w:rPr>
        <w:t>targets.</w:t>
      </w:r>
    </w:p>
    <w:p w:rsidR="00A62A52" w:rsidRPr="00646061" w:rsidRDefault="005B4A90" w:rsidP="005B4A90">
      <w:pPr>
        <w:pStyle w:val="ManualConsidrant"/>
        <w:rPr>
          <w:noProof/>
          <w:lang w:val="en-IE"/>
        </w:rPr>
      </w:pPr>
      <w:r w:rsidRPr="005B4A90">
        <w:t>(35)</w:t>
      </w:r>
      <w:r w:rsidRPr="005B4A90">
        <w:tab/>
      </w:r>
      <w:r w:rsidR="00B177D8" w:rsidRPr="00646061">
        <w:rPr>
          <w:noProof/>
          <w:lang w:val="en-IE"/>
        </w:rPr>
        <w:t xml:space="preserve">The assessment of the reference </w:t>
      </w:r>
      <w:r w:rsidR="009B3DC6" w:rsidRPr="007142D1">
        <w:rPr>
          <w:noProof/>
        </w:rPr>
        <w:t>CO</w:t>
      </w:r>
      <w:r w:rsidR="009B3DC6" w:rsidRPr="00953CAE">
        <w:rPr>
          <w:noProof/>
          <w:vertAlign w:val="subscript"/>
        </w:rPr>
        <w:t>2</w:t>
      </w:r>
      <w:r w:rsidR="00C936A9">
        <w:rPr>
          <w:noProof/>
          <w:vertAlign w:val="subscript"/>
        </w:rPr>
        <w:t xml:space="preserve"> </w:t>
      </w:r>
      <w:r w:rsidR="00B177D8" w:rsidRPr="00646061">
        <w:rPr>
          <w:noProof/>
          <w:lang w:val="en-IE"/>
        </w:rPr>
        <w:t xml:space="preserve">emissions should be amended </w:t>
      </w:r>
      <w:r w:rsidR="00F77987" w:rsidRPr="00646061">
        <w:rPr>
          <w:noProof/>
          <w:lang w:val="en-IE"/>
        </w:rPr>
        <w:t xml:space="preserve">to </w:t>
      </w:r>
      <w:r w:rsidR="00B177D8" w:rsidRPr="00646061">
        <w:rPr>
          <w:noProof/>
          <w:lang w:val="en-IE"/>
        </w:rPr>
        <w:t>also cover the vehicle subgroups newly included in the scope of Regulation 2019/1242.</w:t>
      </w:r>
    </w:p>
    <w:p w:rsidR="00C560B5" w:rsidRPr="00646061" w:rsidRDefault="005B4A90" w:rsidP="005B4A90">
      <w:pPr>
        <w:pStyle w:val="ManualConsidrant"/>
        <w:rPr>
          <w:noProof/>
          <w:lang w:val="en-IE"/>
        </w:rPr>
      </w:pPr>
      <w:r w:rsidRPr="005B4A90">
        <w:t>(36)</w:t>
      </w:r>
      <w:r w:rsidRPr="005B4A90">
        <w:tab/>
      </w:r>
      <w:r w:rsidR="00B93042" w:rsidRPr="00646061">
        <w:rPr>
          <w:noProof/>
        </w:rPr>
        <w:t xml:space="preserve">Monitoring and reporting </w:t>
      </w:r>
      <w:r w:rsidR="00F77987" w:rsidRPr="00646061">
        <w:rPr>
          <w:noProof/>
        </w:rPr>
        <w:t xml:space="preserve">by </w:t>
      </w:r>
      <w:r w:rsidR="00B93042" w:rsidRPr="00646061">
        <w:rPr>
          <w:noProof/>
        </w:rPr>
        <w:t xml:space="preserve">manufacturers and Member States </w:t>
      </w:r>
      <w:r w:rsidR="00B84A34" w:rsidRPr="00646061">
        <w:rPr>
          <w:noProof/>
        </w:rPr>
        <w:t xml:space="preserve">is </w:t>
      </w:r>
      <w:r w:rsidR="00B93042" w:rsidRPr="00646061">
        <w:rPr>
          <w:noProof/>
        </w:rPr>
        <w:t xml:space="preserve">an essential precondition </w:t>
      </w:r>
      <w:r w:rsidR="00B93042" w:rsidRPr="00646061">
        <w:rPr>
          <w:rFonts w:eastAsia="Times New Roman"/>
          <w:noProof/>
          <w:szCs w:val="24"/>
          <w:lang w:val="en-IE" w:eastAsia="de-DE"/>
        </w:rPr>
        <w:t>for the implementation of Regulation (EU) 2019/1242.</w:t>
      </w:r>
      <w:r w:rsidR="001A233D" w:rsidRPr="00646061">
        <w:rPr>
          <w:rFonts w:eastAsia="Times New Roman"/>
          <w:noProof/>
          <w:szCs w:val="24"/>
          <w:lang w:val="en-IE" w:eastAsia="de-DE"/>
        </w:rPr>
        <w:t xml:space="preserve"> </w:t>
      </w:r>
      <w:r w:rsidR="00C560B5" w:rsidRPr="00646061">
        <w:rPr>
          <w:noProof/>
          <w:lang w:val="en-IE"/>
        </w:rPr>
        <w:t xml:space="preserve">Merging Regulation (EU) 2018/956 </w:t>
      </w:r>
      <w:r w:rsidR="00D629C0" w:rsidRPr="00646061">
        <w:rPr>
          <w:noProof/>
          <w:lang w:val="en-IE"/>
        </w:rPr>
        <w:t>into</w:t>
      </w:r>
      <w:r w:rsidR="00C560B5" w:rsidRPr="00646061">
        <w:rPr>
          <w:noProof/>
          <w:lang w:val="en-IE"/>
        </w:rPr>
        <w:t xml:space="preserve"> Regulation (EU) 2019/1242 should produce synergies and allow </w:t>
      </w:r>
      <w:r w:rsidR="00835EA6">
        <w:rPr>
          <w:noProof/>
          <w:lang w:val="en-IE"/>
        </w:rPr>
        <w:t>for</w:t>
      </w:r>
      <w:r w:rsidR="00C560B5" w:rsidRPr="00646061">
        <w:rPr>
          <w:noProof/>
          <w:lang w:val="en-IE"/>
        </w:rPr>
        <w:t xml:space="preserve"> interpret</w:t>
      </w:r>
      <w:r w:rsidR="00835EA6">
        <w:rPr>
          <w:noProof/>
          <w:lang w:val="en-IE"/>
        </w:rPr>
        <w:t>ation of</w:t>
      </w:r>
      <w:r w:rsidR="00C560B5" w:rsidRPr="00646061">
        <w:rPr>
          <w:noProof/>
          <w:lang w:val="en-IE"/>
        </w:rPr>
        <w:t xml:space="preserve"> the provisions taking into account the objectives of both Regulations. </w:t>
      </w:r>
    </w:p>
    <w:p w:rsidR="00925028" w:rsidRDefault="005B4A90" w:rsidP="005B4A90">
      <w:pPr>
        <w:pStyle w:val="ManualConsidrant"/>
        <w:rPr>
          <w:noProof/>
          <w:lang w:val="en-IE"/>
        </w:rPr>
      </w:pPr>
      <w:r w:rsidRPr="005B4A90">
        <w:t>(37)</w:t>
      </w:r>
      <w:r w:rsidRPr="005B4A90">
        <w:tab/>
      </w:r>
      <w:r w:rsidR="00C560B5" w:rsidRPr="00646061">
        <w:rPr>
          <w:noProof/>
          <w:lang w:val="en-IE"/>
        </w:rPr>
        <w:t>O</w:t>
      </w:r>
      <w:r w:rsidR="004A5B41" w:rsidRPr="00646061">
        <w:rPr>
          <w:noProof/>
          <w:lang w:val="en-IE"/>
        </w:rPr>
        <w:t>n the occasion of merging monitoring and reporting provisions into Regulation</w:t>
      </w:r>
      <w:r w:rsidR="00363680" w:rsidRPr="00646061">
        <w:rPr>
          <w:noProof/>
          <w:lang w:val="en-IE"/>
        </w:rPr>
        <w:t xml:space="preserve"> (EU) 2019/1242</w:t>
      </w:r>
      <w:r w:rsidR="004A5B41" w:rsidRPr="00646061">
        <w:rPr>
          <w:noProof/>
          <w:lang w:val="en-IE"/>
        </w:rPr>
        <w:t xml:space="preserve">, the opportunity should be seized to </w:t>
      </w:r>
      <w:r w:rsidR="00E86001" w:rsidRPr="00646061">
        <w:rPr>
          <w:noProof/>
          <w:lang w:val="en-IE"/>
        </w:rPr>
        <w:t xml:space="preserve">slightly </w:t>
      </w:r>
      <w:r w:rsidR="004A5B41" w:rsidRPr="00646061">
        <w:rPr>
          <w:noProof/>
          <w:lang w:val="en-IE"/>
        </w:rPr>
        <w:t>modify those provisions in light of the ex</w:t>
      </w:r>
      <w:r w:rsidR="00C560B5" w:rsidRPr="00646061">
        <w:rPr>
          <w:noProof/>
          <w:lang w:val="en-IE"/>
        </w:rPr>
        <w:t xml:space="preserve">periences gained </w:t>
      </w:r>
      <w:r w:rsidR="004A5B41" w:rsidRPr="00646061">
        <w:rPr>
          <w:noProof/>
          <w:lang w:val="en-IE"/>
        </w:rPr>
        <w:t>from the</w:t>
      </w:r>
      <w:r w:rsidR="004A5B41">
        <w:rPr>
          <w:noProof/>
          <w:lang w:val="en-IE"/>
        </w:rPr>
        <w:t xml:space="preserve"> first two reporting cycles</w:t>
      </w:r>
      <w:r w:rsidR="00D34AD8">
        <w:rPr>
          <w:noProof/>
          <w:lang w:val="en-IE"/>
        </w:rPr>
        <w:t xml:space="preserve"> under Regulation (EU) 2018/956</w:t>
      </w:r>
      <w:r w:rsidR="004A5B41">
        <w:rPr>
          <w:noProof/>
          <w:lang w:val="en-IE"/>
        </w:rPr>
        <w:t>.</w:t>
      </w:r>
    </w:p>
    <w:p w:rsidR="00B23A74" w:rsidRPr="001A233D" w:rsidRDefault="005B4A90" w:rsidP="005B4A90">
      <w:pPr>
        <w:pStyle w:val="ManualConsidrant"/>
        <w:rPr>
          <w:noProof/>
          <w:lang w:val="en-IE"/>
        </w:rPr>
      </w:pPr>
      <w:r w:rsidRPr="005B4A90">
        <w:t>(38)</w:t>
      </w:r>
      <w:r w:rsidRPr="005B4A90">
        <w:tab/>
      </w:r>
      <w:r w:rsidR="00427437">
        <w:rPr>
          <w:noProof/>
          <w:lang w:val="en-IE"/>
        </w:rPr>
        <w:t>Taking account of the fact that the determination will no longer be carried out by manufacturers alone, r</w:t>
      </w:r>
      <w:r w:rsidR="00B23A74" w:rsidRPr="001A233D">
        <w:rPr>
          <w:noProof/>
          <w:lang w:val="en-IE"/>
        </w:rPr>
        <w:t xml:space="preserve">eporting of </w:t>
      </w:r>
      <w:r w:rsidR="00DE39FD">
        <w:rPr>
          <w:noProof/>
        </w:rPr>
        <w:t>CO₂</w:t>
      </w:r>
      <w:r w:rsidR="00DE39FD">
        <w:rPr>
          <w:noProof/>
          <w:vertAlign w:val="subscript"/>
        </w:rPr>
        <w:t xml:space="preserve"> </w:t>
      </w:r>
      <w:r w:rsidR="00B23A74" w:rsidRPr="001A233D">
        <w:rPr>
          <w:noProof/>
          <w:lang w:val="en-IE"/>
        </w:rPr>
        <w:t xml:space="preserve">emissions and other technical data of the vehicles should be extended beyond manufacturers to those entities which perform the determination of the vehicles under Regulation (EU) 2017/2400 and </w:t>
      </w:r>
      <w:r w:rsidR="00553EBC">
        <w:rPr>
          <w:noProof/>
          <w:lang w:val="en-IE"/>
        </w:rPr>
        <w:t xml:space="preserve">Commission Implementing Regulation (EU) </w:t>
      </w:r>
      <w:r w:rsidR="00B23A74" w:rsidRPr="001A233D">
        <w:rPr>
          <w:noProof/>
          <w:lang w:val="en-IE"/>
        </w:rPr>
        <w:t>2022/1362</w:t>
      </w:r>
      <w:r w:rsidR="00553EBC">
        <w:rPr>
          <w:rStyle w:val="FootnoteReference"/>
          <w:noProof/>
          <w:lang w:val="en-IE"/>
        </w:rPr>
        <w:footnoteReference w:id="23"/>
      </w:r>
      <w:r w:rsidR="00B23A74" w:rsidRPr="001A233D">
        <w:rPr>
          <w:noProof/>
          <w:lang w:val="en-IE"/>
        </w:rPr>
        <w:t>.</w:t>
      </w:r>
      <w:r w:rsidR="001A233D" w:rsidRPr="001A233D">
        <w:rPr>
          <w:noProof/>
          <w:lang w:val="en-IE"/>
        </w:rPr>
        <w:t xml:space="preserve"> </w:t>
      </w:r>
      <w:r w:rsidR="00B23A74" w:rsidRPr="001A233D">
        <w:rPr>
          <w:noProof/>
          <w:lang w:val="en-IE"/>
        </w:rPr>
        <w:t>The data to be reported should comprise the manufacturer’s record file.</w:t>
      </w:r>
    </w:p>
    <w:p w:rsidR="00CB4E79" w:rsidRPr="007943F1" w:rsidRDefault="005B4A90" w:rsidP="005B4A90">
      <w:pPr>
        <w:pStyle w:val="ManualConsidrant"/>
        <w:rPr>
          <w:noProof/>
          <w:lang w:val="en-IE"/>
        </w:rPr>
      </w:pPr>
      <w:r w:rsidRPr="005B4A90">
        <w:t>(39)</w:t>
      </w:r>
      <w:r w:rsidRPr="005B4A90">
        <w:tab/>
      </w:r>
      <w:r w:rsidR="00745A85" w:rsidRPr="00745A85">
        <w:rPr>
          <w:noProof/>
          <w:lang w:val="en-IE"/>
        </w:rPr>
        <w:t xml:space="preserve"> </w:t>
      </w:r>
      <w:r w:rsidR="00E41C8E">
        <w:rPr>
          <w:noProof/>
          <w:lang w:val="en-IE"/>
        </w:rPr>
        <w:t xml:space="preserve">The Commission should be enabled </w:t>
      </w:r>
      <w:r w:rsidR="00745A85" w:rsidRPr="00745A85">
        <w:rPr>
          <w:noProof/>
          <w:lang w:val="en-IE"/>
        </w:rPr>
        <w:t xml:space="preserve">to </w:t>
      </w:r>
      <w:r w:rsidR="00CE5C47">
        <w:rPr>
          <w:noProof/>
          <w:lang w:val="en-IE" w:eastAsia="de-DE"/>
        </w:rPr>
        <w:t xml:space="preserve">take into account technical progress, the evolution of freight transport logistics, </w:t>
      </w:r>
      <w:r w:rsidR="00CE5C47">
        <w:rPr>
          <w:noProof/>
        </w:rPr>
        <w:t xml:space="preserve">necessary adjustments based on the application of this Regulation and amendments of the underlying type-approval legislation and to ensure that the data requirements and the monitoring and reporting procedure remain relevant over time for assessing the heavy-duty vehicle fleet’s contribution to CO₂ emissions, to ensure the availability of data on new and advanced CO₂ reducing technologies and on the results of on-road </w:t>
      </w:r>
      <w:r w:rsidR="00CA1253">
        <w:rPr>
          <w:noProof/>
        </w:rPr>
        <w:t>verification</w:t>
      </w:r>
      <w:r w:rsidR="00CE5C47">
        <w:rPr>
          <w:noProof/>
        </w:rPr>
        <w:t xml:space="preserve"> test and to ensure that the air drag value ranges remain relevant for information and comparability </w:t>
      </w:r>
      <w:r w:rsidR="0051068F">
        <w:rPr>
          <w:noProof/>
        </w:rPr>
        <w:t>purposes</w:t>
      </w:r>
      <w:r w:rsidR="00CE5C47">
        <w:rPr>
          <w:noProof/>
        </w:rPr>
        <w:t>, as well as to su</w:t>
      </w:r>
      <w:r w:rsidR="00CA1253">
        <w:rPr>
          <w:noProof/>
        </w:rPr>
        <w:t>pp</w:t>
      </w:r>
      <w:r w:rsidR="00CE5C47">
        <w:rPr>
          <w:noProof/>
        </w:rPr>
        <w:t>lement the provisions on administrative fines</w:t>
      </w:r>
      <w:r w:rsidR="00E41C8E">
        <w:rPr>
          <w:noProof/>
        </w:rPr>
        <w:t xml:space="preserve">. </w:t>
      </w:r>
    </w:p>
    <w:p w:rsidR="00745A85" w:rsidRPr="00646061" w:rsidRDefault="005B4A90" w:rsidP="005B4A90">
      <w:pPr>
        <w:pStyle w:val="ManualConsidrant"/>
        <w:rPr>
          <w:noProof/>
          <w:lang w:val="en-IE"/>
        </w:rPr>
      </w:pPr>
      <w:r w:rsidRPr="005B4A90">
        <w:t>(40)</w:t>
      </w:r>
      <w:r w:rsidRPr="005B4A90">
        <w:tab/>
      </w:r>
      <w:r w:rsidR="00E41C8E">
        <w:rPr>
          <w:noProof/>
        </w:rPr>
        <w:t>For these reasons</w:t>
      </w:r>
      <w:r w:rsidR="00CE5C47">
        <w:rPr>
          <w:noProof/>
        </w:rPr>
        <w:t xml:space="preserve">, </w:t>
      </w:r>
      <w:r w:rsidR="00745A85" w:rsidRPr="00745A85">
        <w:rPr>
          <w:noProof/>
          <w:lang w:val="en-IE"/>
        </w:rPr>
        <w:t xml:space="preserve">the power to adopt acts in accordance with Article 290 of the Treaty on the Functioning of the European Union should be delegated to the Commission in respect of </w:t>
      </w:r>
      <w:r w:rsidR="00CA1253">
        <w:rPr>
          <w:noProof/>
          <w:lang w:val="en-IE"/>
        </w:rPr>
        <w:t xml:space="preserve">amending the criteria defining vehicles sub-groups, defining vocational vehicles, for the operational ranges of different powertrain technologies, the list and weight of mission profiles, the payloads, passenger numbers, passenger masses, technically permissible maximum payloads, technically permissible maximum passenger number and cargo volumes of vehicle sub-groups and annual mileages values, amending the data requirements and the monitoring and reporting procedure laid down in Annexes to this Regulation, of specifying the data to be reported by the Member States for the monitoring of the results of on-road verification tests, of amending the air drag value ranges, and of defining the criteria, the calculation and the method of collection of administrative fines imposed on </w:t>
      </w:r>
      <w:r w:rsidR="00CA1253" w:rsidRPr="004344BD">
        <w:rPr>
          <w:noProof/>
          <w:lang w:val="en-IE"/>
        </w:rPr>
        <w:t>manufacturers</w:t>
      </w:r>
      <w:r w:rsidR="00745A85" w:rsidRPr="004344BD">
        <w:rPr>
          <w:noProof/>
          <w:lang w:val="en-IE"/>
        </w:rPr>
        <w:t>. It</w:t>
      </w:r>
      <w:r w:rsidR="00745A85" w:rsidRPr="00745A85">
        <w:rPr>
          <w:noProof/>
          <w:lang w:val="en-IE"/>
        </w:rPr>
        <w:t xml:space="preserve"> is of particular importance that the Commission carry out appropriate consultations during its preparatory work, including at expert level, and </w:t>
      </w:r>
      <w:r w:rsidR="00745A85" w:rsidRPr="00646061">
        <w:rPr>
          <w:noProof/>
          <w:lang w:val="en-IE"/>
        </w:rPr>
        <w:t>that those consultations be conducted in accordance with the principles laid down in the Interinstitutional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925028" w:rsidRDefault="005B4A90" w:rsidP="005B4A90">
      <w:pPr>
        <w:pStyle w:val="ManualConsidrant"/>
        <w:rPr>
          <w:noProof/>
          <w:lang w:val="en-IE"/>
        </w:rPr>
      </w:pPr>
      <w:r w:rsidRPr="005B4A90">
        <w:t>(41)</w:t>
      </w:r>
      <w:r w:rsidRPr="005B4A90">
        <w:tab/>
      </w:r>
      <w:r w:rsidR="00727A6B" w:rsidRPr="00646061">
        <w:rPr>
          <w:noProof/>
          <w:lang w:val="en-IE"/>
        </w:rPr>
        <w:t xml:space="preserve">Regulation </w:t>
      </w:r>
      <w:r w:rsidR="00D629C0" w:rsidRPr="00646061">
        <w:rPr>
          <w:noProof/>
          <w:lang w:val="en-IE"/>
        </w:rPr>
        <w:t xml:space="preserve">(EU) </w:t>
      </w:r>
      <w:r w:rsidR="00727A6B" w:rsidRPr="00646061">
        <w:rPr>
          <w:noProof/>
          <w:lang w:val="en-IE"/>
        </w:rPr>
        <w:t xml:space="preserve">2018/956 should be repealed with a timeline allowing the reporting period </w:t>
      </w:r>
      <w:r w:rsidR="00D629C0" w:rsidRPr="00646061">
        <w:rPr>
          <w:noProof/>
          <w:lang w:val="en-IE"/>
        </w:rPr>
        <w:t xml:space="preserve">ongoing at the moment of entry into force of this </w:t>
      </w:r>
      <w:r w:rsidR="00AC2B5C">
        <w:rPr>
          <w:noProof/>
          <w:lang w:val="en-IE"/>
        </w:rPr>
        <w:t>Regulation</w:t>
      </w:r>
      <w:r w:rsidR="00D629C0">
        <w:rPr>
          <w:noProof/>
          <w:lang w:val="en-IE"/>
        </w:rPr>
        <w:t xml:space="preserve"> </w:t>
      </w:r>
      <w:r w:rsidR="00727A6B" w:rsidRPr="00727A6B">
        <w:rPr>
          <w:noProof/>
          <w:lang w:val="en-IE"/>
        </w:rPr>
        <w:t>be concluded</w:t>
      </w:r>
      <w:r w:rsidR="00D629C0">
        <w:rPr>
          <w:noProof/>
          <w:lang w:val="en-IE"/>
        </w:rPr>
        <w:t xml:space="preserve"> under the rules applicable at the</w:t>
      </w:r>
      <w:r w:rsidR="00727A6B" w:rsidRPr="00727A6B">
        <w:rPr>
          <w:noProof/>
          <w:lang w:val="en-IE"/>
        </w:rPr>
        <w:t xml:space="preserve"> beginning</w:t>
      </w:r>
      <w:r w:rsidR="00D629C0">
        <w:rPr>
          <w:noProof/>
          <w:lang w:val="en-IE"/>
        </w:rPr>
        <w:t xml:space="preserve"> of </w:t>
      </w:r>
      <w:r w:rsidR="00D76B54">
        <w:rPr>
          <w:noProof/>
          <w:lang w:val="en-IE"/>
        </w:rPr>
        <w:t xml:space="preserve">that </w:t>
      </w:r>
      <w:r w:rsidR="00D629C0">
        <w:rPr>
          <w:noProof/>
          <w:lang w:val="en-IE"/>
        </w:rPr>
        <w:t>reporting period</w:t>
      </w:r>
      <w:r w:rsidR="00727A6B" w:rsidRPr="00727A6B">
        <w:rPr>
          <w:noProof/>
          <w:lang w:val="en-IE"/>
        </w:rPr>
        <w:t xml:space="preserve">, including all </w:t>
      </w:r>
      <w:r w:rsidR="00C000F2" w:rsidRPr="00727A6B">
        <w:rPr>
          <w:noProof/>
          <w:lang w:val="en-IE"/>
        </w:rPr>
        <w:t>after</w:t>
      </w:r>
      <w:r w:rsidR="00C000F2">
        <w:rPr>
          <w:noProof/>
          <w:lang w:val="en-IE"/>
        </w:rPr>
        <w:t>-</w:t>
      </w:r>
      <w:r w:rsidR="00C000F2" w:rsidRPr="00727A6B">
        <w:rPr>
          <w:noProof/>
          <w:lang w:val="en-IE"/>
        </w:rPr>
        <w:t>processing</w:t>
      </w:r>
      <w:r w:rsidR="00727A6B" w:rsidRPr="00727A6B">
        <w:rPr>
          <w:noProof/>
          <w:lang w:val="en-IE"/>
        </w:rPr>
        <w:t xml:space="preserve"> of the data collected. </w:t>
      </w:r>
      <w:r w:rsidR="00727A6B">
        <w:rPr>
          <w:noProof/>
          <w:lang w:val="en-IE"/>
        </w:rPr>
        <w:t xml:space="preserve">Accordingly, </w:t>
      </w:r>
      <w:r w:rsidR="00AC2B5C">
        <w:rPr>
          <w:noProof/>
          <w:lang w:val="en-IE"/>
        </w:rPr>
        <w:t>this Regulation</w:t>
      </w:r>
      <w:r w:rsidR="00727A6B">
        <w:rPr>
          <w:noProof/>
          <w:lang w:val="en-IE"/>
        </w:rPr>
        <w:t xml:space="preserve"> should be applied </w:t>
      </w:r>
      <w:r w:rsidR="00D4645A">
        <w:rPr>
          <w:noProof/>
          <w:lang w:val="en-IE"/>
        </w:rPr>
        <w:t xml:space="preserve">from </w:t>
      </w:r>
      <w:r w:rsidR="00727A6B">
        <w:rPr>
          <w:noProof/>
          <w:lang w:val="en-IE"/>
        </w:rPr>
        <w:t xml:space="preserve">the beginning of </w:t>
      </w:r>
      <w:r w:rsidR="00D76B54">
        <w:rPr>
          <w:noProof/>
          <w:lang w:val="en-IE"/>
        </w:rPr>
        <w:t xml:space="preserve">the following </w:t>
      </w:r>
      <w:r w:rsidR="00727A6B">
        <w:rPr>
          <w:noProof/>
          <w:lang w:val="en-IE"/>
        </w:rPr>
        <w:t>reporting period.</w:t>
      </w:r>
    </w:p>
    <w:p w:rsidR="00081F15" w:rsidRDefault="005B4A90" w:rsidP="005B4A90">
      <w:pPr>
        <w:pStyle w:val="ManualConsidrant"/>
        <w:rPr>
          <w:noProof/>
          <w:lang w:val="en-IE"/>
        </w:rPr>
      </w:pPr>
      <w:r w:rsidRPr="005B4A90">
        <w:t>(42)</w:t>
      </w:r>
      <w:r w:rsidRPr="005B4A90">
        <w:tab/>
      </w:r>
      <w:r w:rsidR="00081F15">
        <w:rPr>
          <w:noProof/>
          <w:lang w:val="en-IE"/>
        </w:rPr>
        <w:t xml:space="preserve">Regulation </w:t>
      </w:r>
      <w:r w:rsidR="00081F15" w:rsidRPr="00081F15">
        <w:rPr>
          <w:noProof/>
          <w:lang w:val="en-IE"/>
        </w:rPr>
        <w:t>(EU) 2019/1242 should therefore be amended accordingly</w:t>
      </w:r>
      <w:r w:rsidR="00081F15">
        <w:rPr>
          <w:noProof/>
          <w:lang w:val="en-IE"/>
        </w:rPr>
        <w:t>,</w:t>
      </w:r>
    </w:p>
    <w:p w:rsidR="00571BD5" w:rsidRPr="00F96E01" w:rsidRDefault="00571BD5" w:rsidP="00C21654">
      <w:pPr>
        <w:pStyle w:val="Formuledadoption"/>
        <w:rPr>
          <w:noProof/>
        </w:rPr>
      </w:pPr>
      <w:r w:rsidRPr="00F96E01">
        <w:rPr>
          <w:noProof/>
        </w:rPr>
        <w:t>HAVE ADOPTED THIS REGULATION:</w:t>
      </w:r>
    </w:p>
    <w:p w:rsidR="00571BD5" w:rsidRPr="003B424B" w:rsidRDefault="00571BD5" w:rsidP="006537B0">
      <w:pPr>
        <w:pStyle w:val="Titrearticle"/>
        <w:rPr>
          <w:b/>
          <w:i w:val="0"/>
          <w:noProof/>
        </w:rPr>
      </w:pPr>
      <w:r w:rsidRPr="00F96E01">
        <w:rPr>
          <w:noProof/>
        </w:rPr>
        <w:t>Article 1</w:t>
      </w:r>
      <w:r w:rsidR="003B424B">
        <w:rPr>
          <w:noProof/>
        </w:rPr>
        <w:br/>
      </w:r>
      <w:r w:rsidR="003B424B">
        <w:rPr>
          <w:b/>
          <w:i w:val="0"/>
          <w:noProof/>
        </w:rPr>
        <w:t>Amendment</w:t>
      </w:r>
      <w:r w:rsidR="006A640E">
        <w:rPr>
          <w:b/>
          <w:i w:val="0"/>
          <w:noProof/>
        </w:rPr>
        <w:t>s</w:t>
      </w:r>
      <w:r w:rsidR="003B424B">
        <w:rPr>
          <w:b/>
          <w:i w:val="0"/>
          <w:noProof/>
        </w:rPr>
        <w:t xml:space="preserve"> to Regulation (EU) 2019/1242</w:t>
      </w:r>
    </w:p>
    <w:p w:rsidR="00571BD5" w:rsidRPr="00C9020F" w:rsidRDefault="006537B0" w:rsidP="00D2444C">
      <w:pPr>
        <w:rPr>
          <w:noProof/>
        </w:rPr>
      </w:pPr>
      <w:r w:rsidRPr="00C9020F">
        <w:rPr>
          <w:noProof/>
        </w:rPr>
        <w:t xml:space="preserve">Regulation (EU) 2019/1242 is </w:t>
      </w:r>
      <w:r w:rsidR="006A640E" w:rsidRPr="00C9020F">
        <w:rPr>
          <w:noProof/>
        </w:rPr>
        <w:t>amended as follows</w:t>
      </w:r>
      <w:r w:rsidRPr="00C9020F">
        <w:rPr>
          <w:noProof/>
        </w:rPr>
        <w:t>:</w:t>
      </w:r>
    </w:p>
    <w:p w:rsidR="00D2444C" w:rsidRPr="00C9020F" w:rsidRDefault="005B4A90" w:rsidP="005B4A90">
      <w:pPr>
        <w:pStyle w:val="Point0"/>
        <w:rPr>
          <w:noProof/>
        </w:rPr>
      </w:pPr>
      <w:r w:rsidRPr="005B4A90">
        <w:t>(1)</w:t>
      </w:r>
      <w:r w:rsidRPr="005B4A90">
        <w:tab/>
      </w:r>
      <w:r w:rsidR="00D2444C" w:rsidRPr="00C9020F">
        <w:rPr>
          <w:noProof/>
        </w:rPr>
        <w:t>Article 1 is replaced by the following:</w:t>
      </w:r>
    </w:p>
    <w:p w:rsidR="00D2444C" w:rsidRPr="00BB067A" w:rsidRDefault="00D2444C" w:rsidP="00AA7E5E">
      <w:pPr>
        <w:pStyle w:val="Text10"/>
        <w:jc w:val="center"/>
        <w:rPr>
          <w:noProof/>
          <w:lang w:val="en-IE" w:eastAsia="de-DE"/>
        </w:rPr>
      </w:pPr>
      <w:r>
        <w:rPr>
          <w:noProof/>
          <w:lang w:val="en-IE" w:eastAsia="de-DE"/>
        </w:rPr>
        <w:t>‘</w:t>
      </w:r>
      <w:r w:rsidRPr="00BB067A">
        <w:rPr>
          <w:noProof/>
          <w:lang w:val="en-IE" w:eastAsia="de-DE"/>
        </w:rPr>
        <w:t xml:space="preserve">Article 1 </w:t>
      </w:r>
    </w:p>
    <w:p w:rsidR="00D2444C" w:rsidRPr="00932D6E" w:rsidRDefault="00D2444C" w:rsidP="00AA7E5E">
      <w:pPr>
        <w:pStyle w:val="Text10"/>
        <w:jc w:val="center"/>
        <w:rPr>
          <w:b/>
          <w:noProof/>
          <w:lang w:val="en-IE" w:eastAsia="de-DE"/>
        </w:rPr>
      </w:pPr>
      <w:r w:rsidRPr="00932D6E">
        <w:rPr>
          <w:b/>
          <w:noProof/>
          <w:lang w:val="en-IE" w:eastAsia="de-DE"/>
        </w:rPr>
        <w:t>Subject matter and objective</w:t>
      </w:r>
    </w:p>
    <w:p w:rsidR="00D2444C" w:rsidRDefault="00D2444C" w:rsidP="00D2444C">
      <w:pPr>
        <w:pStyle w:val="Text10"/>
        <w:rPr>
          <w:noProof/>
          <w:lang w:val="en-IE" w:eastAsia="de-DE"/>
        </w:rPr>
      </w:pPr>
      <w:r w:rsidRPr="002824B9">
        <w:rPr>
          <w:noProof/>
          <w:lang w:val="en-IE" w:eastAsia="de-DE"/>
        </w:rPr>
        <w:t xml:space="preserve">1. </w:t>
      </w:r>
      <w:r w:rsidRPr="002824B9">
        <w:rPr>
          <w:noProof/>
          <w:lang w:val="en-IE"/>
        </w:rPr>
        <w:t>This Regulation establishes CO</w:t>
      </w:r>
      <w:r w:rsidRPr="00400E7A">
        <w:rPr>
          <w:noProof/>
          <w:vertAlign w:val="subscript"/>
          <w:lang w:val="en-IE"/>
        </w:rPr>
        <w:t>2</w:t>
      </w:r>
      <w:r w:rsidRPr="002824B9">
        <w:rPr>
          <w:noProof/>
          <w:lang w:val="en-IE"/>
        </w:rPr>
        <w:t xml:space="preserve"> emissions performance requirements for new heavy-duty vehicles </w:t>
      </w:r>
      <w:r w:rsidR="000A6CA3">
        <w:rPr>
          <w:noProof/>
          <w:lang w:val="en-IE"/>
        </w:rPr>
        <w:t>that</w:t>
      </w:r>
      <w:r w:rsidRPr="002824B9">
        <w:rPr>
          <w:noProof/>
          <w:lang w:val="en-IE"/>
        </w:rPr>
        <w:t xml:space="preserve"> contribute to achieving the Union's target of reducing its greenhouse gas emissions, as laid down in Regulation (EU) 2018/842</w:t>
      </w:r>
      <w:r w:rsidR="006F23CF">
        <w:rPr>
          <w:rStyle w:val="FootnoteReference"/>
          <w:noProof/>
          <w:lang w:val="en-IE"/>
        </w:rPr>
        <w:footnoteReference w:id="24"/>
      </w:r>
      <w:r w:rsidRPr="002824B9">
        <w:rPr>
          <w:noProof/>
          <w:lang w:val="en-IE"/>
        </w:rPr>
        <w:t xml:space="preserve">, and the objectives </w:t>
      </w:r>
      <w:r w:rsidRPr="00F04BCD">
        <w:rPr>
          <w:noProof/>
          <w:lang w:val="en-IE"/>
        </w:rPr>
        <w:t>of the Paris Agreement</w:t>
      </w:r>
      <w:r w:rsidR="004B7251" w:rsidRPr="00F04BCD">
        <w:rPr>
          <w:rStyle w:val="FootnoteReference"/>
          <w:noProof/>
          <w:lang w:val="en-IE"/>
        </w:rPr>
        <w:footnoteReference w:id="25"/>
      </w:r>
      <w:r w:rsidRPr="00F04BCD">
        <w:rPr>
          <w:noProof/>
          <w:lang w:val="en-IE"/>
        </w:rPr>
        <w:t xml:space="preserve"> and to</w:t>
      </w:r>
      <w:r w:rsidRPr="002824B9">
        <w:rPr>
          <w:noProof/>
          <w:lang w:val="en-IE"/>
        </w:rPr>
        <w:t xml:space="preserve"> ensure the proper functioning of the internal market.</w:t>
      </w:r>
    </w:p>
    <w:p w:rsidR="00D2444C" w:rsidRDefault="00D2444C" w:rsidP="00D2444C">
      <w:pPr>
        <w:pStyle w:val="Text10"/>
        <w:rPr>
          <w:noProof/>
          <w:lang w:val="en-IE" w:eastAsia="de-DE"/>
        </w:rPr>
      </w:pPr>
      <w:r>
        <w:rPr>
          <w:noProof/>
          <w:lang w:val="en-IE" w:eastAsia="de-DE"/>
        </w:rPr>
        <w:t xml:space="preserve">2. </w:t>
      </w:r>
      <w:r w:rsidRPr="00847D7B">
        <w:rPr>
          <w:noProof/>
          <w:lang w:val="en-IE" w:eastAsia="de-DE"/>
        </w:rPr>
        <w:t xml:space="preserve">This Regulation </w:t>
      </w:r>
      <w:r w:rsidRPr="00B772E6">
        <w:rPr>
          <w:noProof/>
          <w:lang w:val="en-IE" w:eastAsia="de-DE"/>
        </w:rPr>
        <w:t>also</w:t>
      </w:r>
      <w:r w:rsidRPr="00240510">
        <w:rPr>
          <w:i/>
          <w:noProof/>
          <w:lang w:val="en-IE" w:eastAsia="de-DE"/>
        </w:rPr>
        <w:t xml:space="preserve"> </w:t>
      </w:r>
      <w:r w:rsidRPr="00847D7B">
        <w:rPr>
          <w:noProof/>
          <w:lang w:val="en-IE" w:eastAsia="de-DE"/>
        </w:rPr>
        <w:t xml:space="preserve">lays down the requirements for the reporting of </w:t>
      </w:r>
      <w:r w:rsidR="00DE39FD">
        <w:rPr>
          <w:noProof/>
        </w:rPr>
        <w:t>CO₂</w:t>
      </w:r>
      <w:r w:rsidR="00DE39FD">
        <w:rPr>
          <w:noProof/>
          <w:vertAlign w:val="subscript"/>
        </w:rPr>
        <w:t xml:space="preserve"> </w:t>
      </w:r>
      <w:r>
        <w:rPr>
          <w:noProof/>
          <w:lang w:val="en-IE" w:eastAsia="de-DE"/>
        </w:rPr>
        <w:t>em</w:t>
      </w:r>
      <w:r w:rsidRPr="00847D7B">
        <w:rPr>
          <w:noProof/>
          <w:lang w:val="en-IE" w:eastAsia="de-DE"/>
        </w:rPr>
        <w:t>issions from and fuel consumption of new</w:t>
      </w:r>
      <w:r>
        <w:rPr>
          <w:noProof/>
          <w:lang w:val="en-IE" w:eastAsia="de-DE"/>
        </w:rPr>
        <w:t xml:space="preserve"> </w:t>
      </w:r>
      <w:r w:rsidRPr="00847D7B">
        <w:rPr>
          <w:noProof/>
          <w:lang w:val="en-IE" w:eastAsia="de-DE"/>
        </w:rPr>
        <w:t>heavy-duty vehicles registered in the Union.</w:t>
      </w:r>
      <w:r w:rsidR="0050101B">
        <w:rPr>
          <w:noProof/>
          <w:lang w:val="en-IE" w:eastAsia="de-DE"/>
        </w:rPr>
        <w:t>’;</w:t>
      </w:r>
    </w:p>
    <w:p w:rsidR="006537B0" w:rsidRDefault="005B4A90" w:rsidP="005B4A90">
      <w:pPr>
        <w:pStyle w:val="Point0"/>
        <w:rPr>
          <w:noProof/>
        </w:rPr>
      </w:pPr>
      <w:r w:rsidRPr="005B4A90">
        <w:t>(2)</w:t>
      </w:r>
      <w:r w:rsidRPr="005B4A90">
        <w:tab/>
      </w:r>
      <w:r w:rsidR="00D2444C">
        <w:rPr>
          <w:noProof/>
        </w:rPr>
        <w:t>Article 2 is amended as follows:</w:t>
      </w:r>
    </w:p>
    <w:p w:rsidR="00867114" w:rsidRDefault="005B4A90" w:rsidP="005B4A90">
      <w:pPr>
        <w:pStyle w:val="Point1"/>
        <w:rPr>
          <w:noProof/>
        </w:rPr>
      </w:pPr>
      <w:r w:rsidRPr="005B4A90">
        <w:t>(a)</w:t>
      </w:r>
      <w:r w:rsidRPr="005B4A90">
        <w:tab/>
      </w:r>
      <w:r w:rsidR="00867114">
        <w:rPr>
          <w:noProof/>
        </w:rPr>
        <w:t xml:space="preserve">paragraph </w:t>
      </w:r>
      <w:r w:rsidR="0031231B">
        <w:rPr>
          <w:noProof/>
        </w:rPr>
        <w:t xml:space="preserve">1 </w:t>
      </w:r>
      <w:r w:rsidR="00867114">
        <w:rPr>
          <w:noProof/>
        </w:rPr>
        <w:t>is replaced by the following:</w:t>
      </w:r>
    </w:p>
    <w:p w:rsidR="00D2444C" w:rsidRPr="00765BA5" w:rsidRDefault="00867114" w:rsidP="00867114">
      <w:pPr>
        <w:pStyle w:val="Text20"/>
        <w:rPr>
          <w:noProof/>
          <w:lang w:val="en-IE" w:eastAsia="de-DE"/>
        </w:rPr>
      </w:pPr>
      <w:r>
        <w:rPr>
          <w:noProof/>
          <w:lang w:val="en-IE" w:eastAsia="de-DE"/>
        </w:rPr>
        <w:t>‘</w:t>
      </w:r>
      <w:r w:rsidR="0031231B">
        <w:rPr>
          <w:noProof/>
          <w:lang w:val="en-IE" w:eastAsia="de-DE"/>
        </w:rPr>
        <w:t xml:space="preserve">1. </w:t>
      </w:r>
      <w:r w:rsidR="00D2444C" w:rsidRPr="00F80ADF">
        <w:rPr>
          <w:noProof/>
          <w:lang w:val="en-IE" w:eastAsia="de-DE"/>
        </w:rPr>
        <w:t>This Regulation shall apply to new vehicles</w:t>
      </w:r>
      <w:r w:rsidR="00D2444C">
        <w:rPr>
          <w:noProof/>
          <w:lang w:val="en-IE" w:eastAsia="de-DE"/>
        </w:rPr>
        <w:t>,</w:t>
      </w:r>
      <w:r w:rsidR="00D2444C" w:rsidRPr="00F80ADF">
        <w:rPr>
          <w:noProof/>
          <w:lang w:val="en-IE" w:eastAsia="de-DE"/>
        </w:rPr>
        <w:t xml:space="preserve"> </w:t>
      </w:r>
      <w:r w:rsidR="00D2444C">
        <w:rPr>
          <w:noProof/>
          <w:lang w:val="en-IE" w:eastAsia="de-DE"/>
        </w:rPr>
        <w:t xml:space="preserve">which have </w:t>
      </w:r>
      <w:r w:rsidR="00784470">
        <w:rPr>
          <w:noProof/>
          <w:lang w:val="en-IE" w:eastAsia="de-DE"/>
        </w:rPr>
        <w:t xml:space="preserve">either </w:t>
      </w:r>
      <w:r w:rsidR="00D2444C">
        <w:rPr>
          <w:noProof/>
          <w:lang w:val="en-IE" w:eastAsia="de-DE"/>
        </w:rPr>
        <w:t xml:space="preserve">been type-approved or approved individually </w:t>
      </w:r>
      <w:r w:rsidR="00F04BCD">
        <w:rPr>
          <w:noProof/>
          <w:lang w:val="en-IE" w:eastAsia="de-DE"/>
        </w:rPr>
        <w:t xml:space="preserve">under Regulation (EU) 2018/858 </w:t>
      </w:r>
      <w:r w:rsidR="00D2444C">
        <w:rPr>
          <w:noProof/>
          <w:lang w:val="en-IE" w:eastAsia="de-DE"/>
        </w:rPr>
        <w:t xml:space="preserve">or do not require type-approval under </w:t>
      </w:r>
      <w:r w:rsidR="00F04BCD">
        <w:rPr>
          <w:noProof/>
          <w:lang w:val="en-IE" w:eastAsia="de-DE"/>
        </w:rPr>
        <w:t xml:space="preserve">Article 2(3) of the same </w:t>
      </w:r>
      <w:r w:rsidR="00D2444C">
        <w:rPr>
          <w:noProof/>
          <w:lang w:val="en-IE" w:eastAsia="de-DE"/>
        </w:rPr>
        <w:t xml:space="preserve">Regulation, </w:t>
      </w:r>
      <w:r w:rsidR="00784470">
        <w:rPr>
          <w:noProof/>
          <w:lang w:val="en-IE" w:eastAsia="de-DE"/>
        </w:rPr>
        <w:t>belonging to</w:t>
      </w:r>
      <w:r w:rsidR="00784470" w:rsidRPr="00F80ADF">
        <w:rPr>
          <w:noProof/>
          <w:lang w:val="en-IE" w:eastAsia="de-DE"/>
        </w:rPr>
        <w:t xml:space="preserve"> </w:t>
      </w:r>
      <w:r w:rsidR="00D2444C" w:rsidRPr="00F80ADF">
        <w:rPr>
          <w:noProof/>
          <w:lang w:val="en-IE" w:eastAsia="de-DE"/>
        </w:rPr>
        <w:t>the following categories</w:t>
      </w:r>
      <w:r w:rsidR="00D2444C">
        <w:rPr>
          <w:noProof/>
          <w:lang w:val="en-IE" w:eastAsia="de-DE"/>
        </w:rPr>
        <w:t>:</w:t>
      </w:r>
    </w:p>
    <w:p w:rsidR="00D2444C" w:rsidRPr="003E65E3" w:rsidRDefault="00DA580C" w:rsidP="00DA580C">
      <w:pPr>
        <w:pStyle w:val="Text20"/>
        <w:rPr>
          <w:noProof/>
        </w:rPr>
      </w:pPr>
      <w:r>
        <w:rPr>
          <w:noProof/>
        </w:rPr>
        <w:t xml:space="preserve">(a) </w:t>
      </w:r>
      <w:r w:rsidR="00D2444C" w:rsidRPr="003E65E3">
        <w:rPr>
          <w:noProof/>
        </w:rPr>
        <w:t>M</w:t>
      </w:r>
      <w:r w:rsidR="00D2444C" w:rsidRPr="00A80A4B">
        <w:rPr>
          <w:noProof/>
          <w:vertAlign w:val="subscript"/>
        </w:rPr>
        <w:t>2</w:t>
      </w:r>
      <w:r w:rsidR="00D2444C">
        <w:rPr>
          <w:noProof/>
        </w:rPr>
        <w:t xml:space="preserve"> and</w:t>
      </w:r>
      <w:r w:rsidR="00D2444C" w:rsidRPr="003E65E3">
        <w:rPr>
          <w:noProof/>
        </w:rPr>
        <w:t xml:space="preserve"> M</w:t>
      </w:r>
      <w:r w:rsidR="00D2444C" w:rsidRPr="00A80A4B">
        <w:rPr>
          <w:noProof/>
          <w:vertAlign w:val="subscript"/>
        </w:rPr>
        <w:t>3</w:t>
      </w:r>
      <w:r w:rsidR="00791CA8">
        <w:rPr>
          <w:noProof/>
          <w:vertAlign w:val="subscript"/>
        </w:rPr>
        <w:t>;</w:t>
      </w:r>
    </w:p>
    <w:p w:rsidR="00D2444C" w:rsidRDefault="00DA580C" w:rsidP="00DA580C">
      <w:pPr>
        <w:pStyle w:val="Text20"/>
        <w:rPr>
          <w:noProof/>
        </w:rPr>
      </w:pPr>
      <w:r>
        <w:rPr>
          <w:noProof/>
        </w:rPr>
        <w:t xml:space="preserve">(b) </w:t>
      </w:r>
      <w:r w:rsidR="00D2444C" w:rsidRPr="00114CB2">
        <w:rPr>
          <w:noProof/>
        </w:rPr>
        <w:t>N</w:t>
      </w:r>
      <w:r w:rsidR="00D2444C" w:rsidRPr="00FD61B0">
        <w:rPr>
          <w:noProof/>
          <w:vertAlign w:val="subscript"/>
        </w:rPr>
        <w:t>1</w:t>
      </w:r>
      <w:r w:rsidR="00835EA6">
        <w:rPr>
          <w:noProof/>
          <w:vertAlign w:val="subscript"/>
        </w:rPr>
        <w:t>,</w:t>
      </w:r>
      <w:r w:rsidR="00D2444C" w:rsidRPr="00114CB2">
        <w:rPr>
          <w:noProof/>
        </w:rPr>
        <w:t xml:space="preserve"> which do not fall under Regulation (EU) 2019/631</w:t>
      </w:r>
      <w:r w:rsidR="00D2444C">
        <w:rPr>
          <w:noProof/>
        </w:rPr>
        <w:t>, N</w:t>
      </w:r>
      <w:r w:rsidR="00D2444C" w:rsidRPr="00FD61B0">
        <w:rPr>
          <w:noProof/>
          <w:vertAlign w:val="subscript"/>
        </w:rPr>
        <w:t>2</w:t>
      </w:r>
      <w:r w:rsidR="00D2444C">
        <w:rPr>
          <w:noProof/>
        </w:rPr>
        <w:t xml:space="preserve"> and N</w:t>
      </w:r>
      <w:r w:rsidR="00D2444C" w:rsidRPr="00FD61B0">
        <w:rPr>
          <w:noProof/>
          <w:vertAlign w:val="subscript"/>
        </w:rPr>
        <w:t>3</w:t>
      </w:r>
      <w:r w:rsidR="00D2444C">
        <w:rPr>
          <w:noProof/>
        </w:rPr>
        <w:t>;</w:t>
      </w:r>
    </w:p>
    <w:p w:rsidR="00D2444C" w:rsidRDefault="00DA580C" w:rsidP="00DA580C">
      <w:pPr>
        <w:pStyle w:val="Text20"/>
        <w:rPr>
          <w:noProof/>
        </w:rPr>
      </w:pPr>
      <w:r>
        <w:rPr>
          <w:noProof/>
        </w:rPr>
        <w:t xml:space="preserve">(c) </w:t>
      </w:r>
      <w:r w:rsidR="00D2444C">
        <w:rPr>
          <w:noProof/>
        </w:rPr>
        <w:t>O</w:t>
      </w:r>
      <w:r w:rsidR="00D2444C" w:rsidRPr="00FD61B0">
        <w:rPr>
          <w:noProof/>
          <w:vertAlign w:val="subscript"/>
        </w:rPr>
        <w:t>3</w:t>
      </w:r>
      <w:r w:rsidR="00D2444C">
        <w:rPr>
          <w:noProof/>
        </w:rPr>
        <w:t xml:space="preserve"> and O</w:t>
      </w:r>
      <w:r w:rsidR="00D2444C" w:rsidRPr="00FD61B0">
        <w:rPr>
          <w:noProof/>
          <w:vertAlign w:val="subscript"/>
        </w:rPr>
        <w:t>4</w:t>
      </w:r>
      <w:r w:rsidR="00D2444C">
        <w:rPr>
          <w:noProof/>
        </w:rPr>
        <w:t>.</w:t>
      </w:r>
    </w:p>
    <w:p w:rsidR="00D2444C" w:rsidRDefault="00D2444C" w:rsidP="00867114">
      <w:pPr>
        <w:pStyle w:val="Text20"/>
        <w:rPr>
          <w:noProof/>
          <w:lang w:val="en-IE" w:eastAsia="de-DE"/>
        </w:rPr>
      </w:pPr>
      <w:r w:rsidRPr="00847D7B">
        <w:rPr>
          <w:noProof/>
          <w:lang w:val="en-IE" w:eastAsia="de-DE"/>
        </w:rPr>
        <w:t xml:space="preserve">For the purposes of this Regulation, those vehicles </w:t>
      </w:r>
      <w:r w:rsidR="006A2C3D">
        <w:rPr>
          <w:noProof/>
          <w:lang w:val="en-IE" w:eastAsia="de-DE"/>
        </w:rPr>
        <w:t>shall be</w:t>
      </w:r>
      <w:r w:rsidR="006A2C3D" w:rsidRPr="00847D7B">
        <w:rPr>
          <w:noProof/>
          <w:lang w:val="en-IE" w:eastAsia="de-DE"/>
        </w:rPr>
        <w:t xml:space="preserve"> </w:t>
      </w:r>
      <w:r w:rsidRPr="00847D7B">
        <w:rPr>
          <w:noProof/>
          <w:lang w:val="en-IE" w:eastAsia="de-DE"/>
        </w:rPr>
        <w:t>referred to as</w:t>
      </w:r>
      <w:r>
        <w:rPr>
          <w:noProof/>
          <w:lang w:val="en-IE" w:eastAsia="de-DE"/>
        </w:rPr>
        <w:t xml:space="preserve"> </w:t>
      </w:r>
      <w:r w:rsidRPr="00847D7B">
        <w:rPr>
          <w:noProof/>
          <w:lang w:val="en-IE" w:eastAsia="de-DE"/>
        </w:rPr>
        <w:t>heavy-duty vehicles.</w:t>
      </w:r>
      <w:r>
        <w:rPr>
          <w:noProof/>
          <w:lang w:val="en-IE" w:eastAsia="de-DE"/>
        </w:rPr>
        <w:t xml:space="preserve"> Vehicles falling under points (a) and (b) </w:t>
      </w:r>
      <w:r w:rsidR="006A2C3D">
        <w:rPr>
          <w:noProof/>
          <w:lang w:val="en-IE" w:eastAsia="de-DE"/>
        </w:rPr>
        <w:t xml:space="preserve">shall be </w:t>
      </w:r>
      <w:r>
        <w:rPr>
          <w:noProof/>
          <w:lang w:val="en-IE" w:eastAsia="de-DE"/>
        </w:rPr>
        <w:t>referred to as heavy-duty motor vehicles.</w:t>
      </w:r>
    </w:p>
    <w:p w:rsidR="00D2444C" w:rsidRDefault="00D2444C" w:rsidP="00867114">
      <w:pPr>
        <w:pStyle w:val="Text20"/>
        <w:rPr>
          <w:noProof/>
          <w:lang w:val="en-IE" w:eastAsia="de-DE"/>
        </w:rPr>
      </w:pPr>
      <w:r w:rsidRPr="002D06E4">
        <w:rPr>
          <w:noProof/>
          <w:lang w:val="en-IE" w:eastAsia="de-DE"/>
        </w:rPr>
        <w:t xml:space="preserve">The vehicle categories referred to in </w:t>
      </w:r>
      <w:r>
        <w:rPr>
          <w:noProof/>
          <w:lang w:val="en-IE" w:eastAsia="de-DE"/>
        </w:rPr>
        <w:t>this Regulation</w:t>
      </w:r>
      <w:r w:rsidRPr="002D06E4">
        <w:rPr>
          <w:noProof/>
          <w:lang w:val="en-IE" w:eastAsia="de-DE"/>
        </w:rPr>
        <w:t xml:space="preserve"> refer to the vehicle categories </w:t>
      </w:r>
      <w:r w:rsidRPr="00EE1549">
        <w:rPr>
          <w:noProof/>
          <w:lang w:val="en-IE" w:eastAsia="de-DE"/>
        </w:rPr>
        <w:t>as defined</w:t>
      </w:r>
      <w:r w:rsidRPr="002D06E4">
        <w:rPr>
          <w:noProof/>
          <w:lang w:val="en-IE" w:eastAsia="de-DE"/>
        </w:rPr>
        <w:t xml:space="preserve"> </w:t>
      </w:r>
      <w:r w:rsidR="00953253">
        <w:rPr>
          <w:noProof/>
          <w:lang w:val="en-IE" w:eastAsia="de-DE"/>
        </w:rPr>
        <w:t xml:space="preserve">in </w:t>
      </w:r>
      <w:r>
        <w:rPr>
          <w:noProof/>
          <w:lang w:val="en-IE" w:eastAsia="de-DE"/>
        </w:rPr>
        <w:t xml:space="preserve">Article 4 </w:t>
      </w:r>
      <w:r w:rsidR="008E7ED1">
        <w:rPr>
          <w:noProof/>
          <w:lang w:val="en-IE" w:eastAsia="de-DE"/>
        </w:rPr>
        <w:t xml:space="preserve">of Regulation (EU) 2018/858 </w:t>
      </w:r>
      <w:r>
        <w:rPr>
          <w:noProof/>
          <w:lang w:val="en-IE" w:eastAsia="de-DE"/>
        </w:rPr>
        <w:t xml:space="preserve">and Annex I </w:t>
      </w:r>
      <w:r w:rsidR="008E7ED1">
        <w:rPr>
          <w:noProof/>
          <w:lang w:val="en-IE" w:eastAsia="de-DE"/>
        </w:rPr>
        <w:t>there</w:t>
      </w:r>
      <w:r>
        <w:rPr>
          <w:noProof/>
          <w:lang w:val="en-IE" w:eastAsia="de-DE"/>
        </w:rPr>
        <w:t>to</w:t>
      </w:r>
      <w:r w:rsidR="00867114">
        <w:rPr>
          <w:noProof/>
          <w:lang w:val="en-IE" w:eastAsia="de-DE"/>
        </w:rPr>
        <w:t>.’</w:t>
      </w:r>
      <w:r w:rsidR="00F72F44">
        <w:rPr>
          <w:noProof/>
          <w:lang w:val="en-IE" w:eastAsia="de-DE"/>
        </w:rPr>
        <w:t>;</w:t>
      </w:r>
    </w:p>
    <w:p w:rsidR="00867114" w:rsidRDefault="005B4A90" w:rsidP="005B4A90">
      <w:pPr>
        <w:pStyle w:val="Point1"/>
        <w:rPr>
          <w:noProof/>
        </w:rPr>
      </w:pPr>
      <w:r w:rsidRPr="005B4A90">
        <w:t>(b)</w:t>
      </w:r>
      <w:r w:rsidRPr="005B4A90">
        <w:tab/>
      </w:r>
      <w:r w:rsidR="00867114">
        <w:rPr>
          <w:noProof/>
        </w:rPr>
        <w:t xml:space="preserve">paragraph </w:t>
      </w:r>
      <w:r w:rsidR="0031231B">
        <w:rPr>
          <w:noProof/>
        </w:rPr>
        <w:t xml:space="preserve">2 </w:t>
      </w:r>
      <w:r w:rsidR="00867114">
        <w:rPr>
          <w:noProof/>
        </w:rPr>
        <w:t xml:space="preserve">is amended </w:t>
      </w:r>
      <w:r w:rsidR="00FC1B26">
        <w:rPr>
          <w:noProof/>
        </w:rPr>
        <w:t>as follows</w:t>
      </w:r>
      <w:r w:rsidR="00867114">
        <w:rPr>
          <w:noProof/>
        </w:rPr>
        <w:t>:</w:t>
      </w:r>
    </w:p>
    <w:p w:rsidR="00543EF5" w:rsidRPr="003F6891" w:rsidRDefault="00CB27D0" w:rsidP="00FB4A2A">
      <w:pPr>
        <w:pStyle w:val="Point2"/>
        <w:rPr>
          <w:noProof/>
          <w:lang w:val="en-IE" w:eastAsia="de-DE"/>
        </w:rPr>
      </w:pPr>
      <w:r>
        <w:rPr>
          <w:noProof/>
          <w:lang w:eastAsia="de-DE"/>
        </w:rPr>
        <w:t>(i)</w:t>
      </w:r>
      <w:r>
        <w:rPr>
          <w:noProof/>
          <w:lang w:eastAsia="de-DE"/>
        </w:rPr>
        <w:tab/>
      </w:r>
      <w:r w:rsidR="00867114">
        <w:rPr>
          <w:noProof/>
          <w:lang w:eastAsia="de-DE"/>
        </w:rPr>
        <w:t>the first subparagraph</w:t>
      </w:r>
      <w:r w:rsidR="00543EF5">
        <w:rPr>
          <w:noProof/>
          <w:lang w:eastAsia="de-DE"/>
        </w:rPr>
        <w:t xml:space="preserve"> is replaced by the following</w:t>
      </w:r>
      <w:r w:rsidR="00FC1B26">
        <w:rPr>
          <w:noProof/>
          <w:lang w:eastAsia="de-DE"/>
        </w:rPr>
        <w:t>:</w:t>
      </w:r>
    </w:p>
    <w:p w:rsidR="00FC1B26" w:rsidRDefault="00FC1B26" w:rsidP="00CD04D9">
      <w:pPr>
        <w:pStyle w:val="Text3"/>
        <w:rPr>
          <w:noProof/>
          <w:lang w:eastAsia="de-DE"/>
        </w:rPr>
      </w:pPr>
      <w:r>
        <w:rPr>
          <w:noProof/>
          <w:lang w:val="en-IE" w:eastAsia="de-DE"/>
        </w:rPr>
        <w:t>‘</w:t>
      </w:r>
      <w:r w:rsidRPr="00FC1B26">
        <w:rPr>
          <w:noProof/>
          <w:lang w:eastAsia="de-DE"/>
        </w:rPr>
        <w:t xml:space="preserve">2. The vehicles referred to </w:t>
      </w:r>
      <w:r w:rsidR="006D1C25">
        <w:rPr>
          <w:noProof/>
          <w:lang w:eastAsia="de-DE"/>
        </w:rPr>
        <w:t xml:space="preserve">in </w:t>
      </w:r>
      <w:r w:rsidRPr="00FC1B26">
        <w:rPr>
          <w:noProof/>
          <w:lang w:eastAsia="de-DE"/>
        </w:rPr>
        <w:t xml:space="preserve">paragraph 1 shall, for the purposes of this Regulation, be considered as new heavy-duty vehicles in a given </w:t>
      </w:r>
      <w:r>
        <w:rPr>
          <w:noProof/>
          <w:lang w:eastAsia="de-DE"/>
        </w:rPr>
        <w:t>reporting</w:t>
      </w:r>
      <w:r w:rsidRPr="00FC1B26">
        <w:rPr>
          <w:noProof/>
          <w:lang w:eastAsia="de-DE"/>
        </w:rPr>
        <w:t xml:space="preserve"> period, if they are registered in the Union for the first time in that period and have not been previously registered outside the Union.</w:t>
      </w:r>
      <w:r>
        <w:rPr>
          <w:noProof/>
          <w:lang w:eastAsia="de-DE"/>
        </w:rPr>
        <w:t>’;</w:t>
      </w:r>
    </w:p>
    <w:p w:rsidR="00867114" w:rsidRDefault="00CB27D0" w:rsidP="00FB4A2A">
      <w:pPr>
        <w:pStyle w:val="Point2"/>
        <w:rPr>
          <w:noProof/>
          <w:lang w:eastAsia="de-DE"/>
        </w:rPr>
      </w:pPr>
      <w:r>
        <w:rPr>
          <w:noProof/>
          <w:lang w:eastAsia="de-DE"/>
        </w:rPr>
        <w:t>(ii)</w:t>
      </w:r>
      <w:r>
        <w:rPr>
          <w:noProof/>
          <w:lang w:eastAsia="de-DE"/>
        </w:rPr>
        <w:tab/>
      </w:r>
      <w:r w:rsidR="00FC1B26">
        <w:rPr>
          <w:noProof/>
          <w:lang w:eastAsia="de-DE"/>
        </w:rPr>
        <w:t xml:space="preserve">the following </w:t>
      </w:r>
      <w:r w:rsidR="00867114">
        <w:rPr>
          <w:noProof/>
          <w:lang w:eastAsia="de-DE"/>
        </w:rPr>
        <w:t>subparagraph is added:</w:t>
      </w:r>
    </w:p>
    <w:p w:rsidR="00D2444C" w:rsidRDefault="00697F0B" w:rsidP="00697F0B">
      <w:pPr>
        <w:pStyle w:val="Text3"/>
        <w:rPr>
          <w:noProof/>
          <w:lang w:val="en-IE" w:eastAsia="de-DE"/>
        </w:rPr>
      </w:pPr>
      <w:r>
        <w:rPr>
          <w:noProof/>
          <w:lang w:val="en-IE" w:eastAsia="de-DE"/>
        </w:rPr>
        <w:t>‘</w:t>
      </w:r>
      <w:r w:rsidR="001B48F6">
        <w:rPr>
          <w:noProof/>
          <w:lang w:val="en-IE" w:eastAsia="de-DE"/>
        </w:rPr>
        <w:t>Paragraph 1 shall not apply to v</w:t>
      </w:r>
      <w:r w:rsidR="00D2444C">
        <w:rPr>
          <w:noProof/>
          <w:lang w:val="en-IE" w:eastAsia="de-DE"/>
        </w:rPr>
        <w:t>ehicles first registe</w:t>
      </w:r>
      <w:r w:rsidR="00543EF5">
        <w:rPr>
          <w:noProof/>
          <w:lang w:val="en-IE" w:eastAsia="de-DE"/>
        </w:rPr>
        <w:t>red for a period not exceeding one</w:t>
      </w:r>
      <w:r w:rsidR="00D2444C">
        <w:rPr>
          <w:noProof/>
          <w:lang w:val="en-IE" w:eastAsia="de-DE"/>
        </w:rPr>
        <w:t xml:space="preserve"> month and registered for the sole purpose of transition to a country outside of the Union.</w:t>
      </w:r>
      <w:r>
        <w:rPr>
          <w:noProof/>
          <w:lang w:val="en-IE" w:eastAsia="de-DE"/>
        </w:rPr>
        <w:t>’</w:t>
      </w:r>
      <w:r w:rsidR="00F72F44">
        <w:rPr>
          <w:noProof/>
          <w:lang w:val="en-IE" w:eastAsia="de-DE"/>
        </w:rPr>
        <w:t>;</w:t>
      </w:r>
    </w:p>
    <w:p w:rsidR="00697F0B" w:rsidRPr="002D06E4" w:rsidRDefault="005B4A90" w:rsidP="005B4A90">
      <w:pPr>
        <w:pStyle w:val="Point1"/>
        <w:rPr>
          <w:noProof/>
          <w:lang w:val="en-IE" w:eastAsia="de-DE"/>
        </w:rPr>
      </w:pPr>
      <w:r w:rsidRPr="005B4A90">
        <w:t>(c)</w:t>
      </w:r>
      <w:r w:rsidRPr="005B4A90">
        <w:tab/>
      </w:r>
      <w:r w:rsidR="00697F0B">
        <w:rPr>
          <w:noProof/>
          <w:lang w:val="en-IE" w:eastAsia="de-DE"/>
        </w:rPr>
        <w:t>The following paragraphs 4</w:t>
      </w:r>
      <w:r w:rsidR="00FC1B26">
        <w:rPr>
          <w:noProof/>
          <w:lang w:val="en-IE" w:eastAsia="de-DE"/>
        </w:rPr>
        <w:t>, 5 and</w:t>
      </w:r>
      <w:r w:rsidR="00697F0B">
        <w:rPr>
          <w:noProof/>
          <w:lang w:val="en-IE" w:eastAsia="de-DE"/>
        </w:rPr>
        <w:t xml:space="preserve"> 6 are added:</w:t>
      </w:r>
    </w:p>
    <w:p w:rsidR="00D2444C" w:rsidRPr="007A1B64" w:rsidRDefault="00697F0B" w:rsidP="00697F0B">
      <w:pPr>
        <w:pStyle w:val="Text3"/>
        <w:rPr>
          <w:noProof/>
          <w:lang w:val="en-IE"/>
        </w:rPr>
      </w:pPr>
      <w:r>
        <w:rPr>
          <w:noProof/>
          <w:lang w:val="en-IE"/>
        </w:rPr>
        <w:t>‘</w:t>
      </w:r>
      <w:r w:rsidR="00D2444C">
        <w:rPr>
          <w:noProof/>
          <w:lang w:val="en-IE"/>
        </w:rPr>
        <w:t>4.</w:t>
      </w:r>
      <w:r w:rsidR="00D2444C">
        <w:rPr>
          <w:noProof/>
          <w:lang w:val="en-IE"/>
        </w:rPr>
        <w:tab/>
      </w:r>
      <w:r w:rsidR="00D2444C" w:rsidRPr="00543EF5">
        <w:rPr>
          <w:noProof/>
          <w:lang w:val="en-IE"/>
        </w:rPr>
        <w:t>Notwithstanding</w:t>
      </w:r>
      <w:r w:rsidR="00D2444C" w:rsidRPr="007A1B64">
        <w:rPr>
          <w:noProof/>
          <w:lang w:val="en-IE"/>
        </w:rPr>
        <w:t xml:space="preserve"> Article 2(3) of Regulation (EU) 2017/2400, approved vehicles falling under Article 2(3)</w:t>
      </w:r>
      <w:r w:rsidR="00FC1B26">
        <w:rPr>
          <w:noProof/>
          <w:lang w:val="en-IE"/>
        </w:rPr>
        <w:t>, point</w:t>
      </w:r>
      <w:r w:rsidR="00D2444C" w:rsidRPr="007A1B64">
        <w:rPr>
          <w:noProof/>
          <w:lang w:val="en-IE"/>
        </w:rPr>
        <w:t xml:space="preserve"> (b)</w:t>
      </w:r>
      <w:r w:rsidR="00FC1B26">
        <w:rPr>
          <w:noProof/>
          <w:lang w:val="en-IE"/>
        </w:rPr>
        <w:t>,</w:t>
      </w:r>
      <w:r w:rsidR="00D2444C" w:rsidRPr="007A1B64">
        <w:rPr>
          <w:noProof/>
          <w:lang w:val="en-IE"/>
        </w:rPr>
        <w:t xml:space="preserve"> of Regulation (EU) 2018/858 shall </w:t>
      </w:r>
      <w:r w:rsidR="00D2444C" w:rsidRPr="007A1B64" w:rsidDel="00675EAB">
        <w:rPr>
          <w:noProof/>
          <w:lang w:val="en-IE"/>
        </w:rPr>
        <w:t>not be subject to</w:t>
      </w:r>
      <w:r w:rsidR="00D2444C" w:rsidRPr="007A1B64">
        <w:rPr>
          <w:noProof/>
          <w:lang w:val="en-IE"/>
        </w:rPr>
        <w:t xml:space="preserve"> the CO</w:t>
      </w:r>
      <w:r w:rsidR="00D2444C" w:rsidRPr="007A1B64">
        <w:rPr>
          <w:noProof/>
          <w:vertAlign w:val="subscript"/>
          <w:lang w:val="en-IE"/>
        </w:rPr>
        <w:t>2</w:t>
      </w:r>
      <w:r w:rsidR="00D2444C" w:rsidRPr="007A1B64">
        <w:rPr>
          <w:noProof/>
          <w:lang w:val="en-IE"/>
        </w:rPr>
        <w:t xml:space="preserve"> </w:t>
      </w:r>
      <w:r>
        <w:rPr>
          <w:noProof/>
          <w:lang w:val="en-IE"/>
        </w:rPr>
        <w:t xml:space="preserve">emission targets </w:t>
      </w:r>
      <w:r w:rsidR="00EE2DDF">
        <w:rPr>
          <w:noProof/>
          <w:lang w:val="en-IE"/>
        </w:rPr>
        <w:t xml:space="preserve">set out in </w:t>
      </w:r>
      <w:r>
        <w:rPr>
          <w:noProof/>
          <w:lang w:val="en-IE"/>
        </w:rPr>
        <w:t xml:space="preserve">Article </w:t>
      </w:r>
      <w:r w:rsidR="00D2444C">
        <w:rPr>
          <w:noProof/>
          <w:lang w:val="en-IE"/>
        </w:rPr>
        <w:t>3a</w:t>
      </w:r>
      <w:r w:rsidR="00D2444C" w:rsidRPr="007A1B64">
        <w:rPr>
          <w:noProof/>
          <w:lang w:val="en-IE"/>
        </w:rPr>
        <w:t xml:space="preserve"> of this Regulation, unless the manufacturer </w:t>
      </w:r>
      <w:r w:rsidR="00525B0E">
        <w:rPr>
          <w:noProof/>
          <w:lang w:val="en-IE"/>
        </w:rPr>
        <w:t>chooses to include</w:t>
      </w:r>
      <w:r w:rsidR="0058379B">
        <w:rPr>
          <w:noProof/>
          <w:lang w:val="en-IE"/>
        </w:rPr>
        <w:t xml:space="preserve"> those vehicles </w:t>
      </w:r>
      <w:r w:rsidR="004B7251">
        <w:rPr>
          <w:noProof/>
          <w:lang w:val="en-IE"/>
        </w:rPr>
        <w:t xml:space="preserve">in the calculation of its specific CO₂ emissions </w:t>
      </w:r>
      <w:r w:rsidR="004B7251" w:rsidRPr="00734B4F">
        <w:rPr>
          <w:noProof/>
          <w:lang w:val="en-IE"/>
        </w:rPr>
        <w:t>and targets</w:t>
      </w:r>
      <w:r w:rsidR="00D2444C" w:rsidRPr="0058379B">
        <w:rPr>
          <w:noProof/>
          <w:lang w:val="en-IE"/>
        </w:rPr>
        <w:t xml:space="preserve"> when reporting</w:t>
      </w:r>
      <w:r w:rsidR="00D2444C" w:rsidRPr="007A1B64">
        <w:rPr>
          <w:noProof/>
          <w:lang w:val="en-IE"/>
        </w:rPr>
        <w:t xml:space="preserve"> the vehicle in accordance with </w:t>
      </w:r>
      <w:r w:rsidR="00F72F44">
        <w:rPr>
          <w:noProof/>
          <w:lang w:val="en-IE"/>
        </w:rPr>
        <w:t>Part B</w:t>
      </w:r>
      <w:r w:rsidR="001162AC" w:rsidRPr="001162AC">
        <w:rPr>
          <w:noProof/>
          <w:lang w:val="en-IE"/>
        </w:rPr>
        <w:t xml:space="preserve"> </w:t>
      </w:r>
      <w:r w:rsidR="001162AC">
        <w:rPr>
          <w:noProof/>
          <w:lang w:val="en-IE"/>
        </w:rPr>
        <w:t xml:space="preserve">of </w:t>
      </w:r>
      <w:r w:rsidR="001162AC" w:rsidRPr="00697F0B">
        <w:rPr>
          <w:noProof/>
          <w:lang w:val="en-IE"/>
        </w:rPr>
        <w:t>Annex</w:t>
      </w:r>
      <w:r w:rsidR="001162AC">
        <w:rPr>
          <w:noProof/>
          <w:lang w:val="en-IE"/>
        </w:rPr>
        <w:t xml:space="preserve"> </w:t>
      </w:r>
      <w:r w:rsidR="001162AC" w:rsidRPr="007A1B64">
        <w:rPr>
          <w:noProof/>
          <w:lang w:val="en-IE"/>
        </w:rPr>
        <w:t>I</w:t>
      </w:r>
      <w:r w:rsidR="001162AC">
        <w:rPr>
          <w:noProof/>
          <w:lang w:val="en-IE"/>
        </w:rPr>
        <w:t>V to this Regulation</w:t>
      </w:r>
      <w:r w:rsidR="00F72F44">
        <w:rPr>
          <w:noProof/>
          <w:lang w:val="en-IE"/>
        </w:rPr>
        <w:t>.</w:t>
      </w:r>
    </w:p>
    <w:p w:rsidR="00D2444C" w:rsidRPr="00543EF5" w:rsidRDefault="00D2444C" w:rsidP="00697F0B">
      <w:pPr>
        <w:pStyle w:val="Text3"/>
        <w:rPr>
          <w:noProof/>
          <w:lang w:val="en-IE"/>
        </w:rPr>
      </w:pPr>
      <w:r w:rsidRPr="007A1B64">
        <w:rPr>
          <w:noProof/>
          <w:lang w:val="en-IE"/>
        </w:rPr>
        <w:t>5.</w:t>
      </w:r>
      <w:r w:rsidRPr="007A1B64">
        <w:rPr>
          <w:noProof/>
          <w:lang w:val="en-IE"/>
        </w:rPr>
        <w:tab/>
        <w:t xml:space="preserve">Vehicles </w:t>
      </w:r>
      <w:r w:rsidR="00F04BCD" w:rsidRPr="00F04BCD">
        <w:rPr>
          <w:noProof/>
          <w:lang w:val="en-IE"/>
        </w:rPr>
        <w:t xml:space="preserve">other than those referred to in paragraph 4 </w:t>
      </w:r>
      <w:r w:rsidRPr="007A1B64">
        <w:rPr>
          <w:noProof/>
          <w:lang w:val="en-IE"/>
        </w:rPr>
        <w:t>registered for use by civil protection, fire services, forces responsible for maintaining the public order</w:t>
      </w:r>
      <w:r>
        <w:rPr>
          <w:noProof/>
          <w:lang w:val="en-IE"/>
        </w:rPr>
        <w:t xml:space="preserve">, armed services or urgent medical care </w:t>
      </w:r>
      <w:r w:rsidRPr="007A1B64">
        <w:rPr>
          <w:noProof/>
          <w:lang w:val="en-IE"/>
        </w:rPr>
        <w:t>shall not be subject to the CO</w:t>
      </w:r>
      <w:r w:rsidRPr="007A1B64">
        <w:rPr>
          <w:noProof/>
          <w:vertAlign w:val="subscript"/>
          <w:lang w:val="en-IE"/>
        </w:rPr>
        <w:t>2</w:t>
      </w:r>
      <w:r w:rsidRPr="007A1B64">
        <w:rPr>
          <w:noProof/>
          <w:lang w:val="en-IE"/>
        </w:rPr>
        <w:t xml:space="preserve"> </w:t>
      </w:r>
      <w:r w:rsidR="00697F0B">
        <w:rPr>
          <w:noProof/>
          <w:lang w:val="en-IE"/>
        </w:rPr>
        <w:t xml:space="preserve">emission targets under Article </w:t>
      </w:r>
      <w:r>
        <w:rPr>
          <w:noProof/>
          <w:lang w:val="en-IE"/>
        </w:rPr>
        <w:t>3a</w:t>
      </w:r>
      <w:r w:rsidRPr="007A1B64">
        <w:rPr>
          <w:noProof/>
          <w:lang w:val="en-IE"/>
        </w:rPr>
        <w:t xml:space="preserve">, if a Member State so indicates in the registration and reporting process, thereby confirming in </w:t>
      </w:r>
      <w:r w:rsidR="003E0F10" w:rsidRPr="008670C1">
        <w:rPr>
          <w:noProof/>
          <w:lang w:val="en-IE"/>
        </w:rPr>
        <w:t xml:space="preserve">the data </w:t>
      </w:r>
      <w:r w:rsidR="003E0F10" w:rsidRPr="001A057C">
        <w:rPr>
          <w:noProof/>
          <w:lang w:val="en-IE"/>
        </w:rPr>
        <w:t xml:space="preserve">reported in accordance </w:t>
      </w:r>
      <w:r w:rsidR="003E0F10" w:rsidRPr="008670C1">
        <w:rPr>
          <w:noProof/>
          <w:lang w:val="en-IE"/>
        </w:rPr>
        <w:t>with</w:t>
      </w:r>
      <w:r w:rsidRPr="007A1B64">
        <w:rPr>
          <w:noProof/>
          <w:lang w:val="en-IE"/>
        </w:rPr>
        <w:t xml:space="preserve"> </w:t>
      </w:r>
      <w:r w:rsidR="00570B8A" w:rsidRPr="007A1B64">
        <w:rPr>
          <w:noProof/>
          <w:lang w:val="en-IE"/>
        </w:rPr>
        <w:t xml:space="preserve">Part </w:t>
      </w:r>
      <w:r w:rsidR="00570B8A">
        <w:rPr>
          <w:noProof/>
          <w:lang w:val="en-IE"/>
        </w:rPr>
        <w:t>A</w:t>
      </w:r>
      <w:r w:rsidR="00570B8A" w:rsidRPr="00697F0B">
        <w:rPr>
          <w:noProof/>
          <w:lang w:val="en-IE"/>
        </w:rPr>
        <w:t xml:space="preserve"> </w:t>
      </w:r>
      <w:r w:rsidR="00570B8A">
        <w:rPr>
          <w:noProof/>
          <w:lang w:val="en-IE"/>
        </w:rPr>
        <w:t xml:space="preserve">of </w:t>
      </w:r>
      <w:r w:rsidRPr="00697F0B">
        <w:rPr>
          <w:noProof/>
          <w:lang w:val="en-IE"/>
        </w:rPr>
        <w:t>Annex</w:t>
      </w:r>
      <w:r w:rsidR="00697F0B">
        <w:rPr>
          <w:noProof/>
          <w:lang w:val="en-IE"/>
        </w:rPr>
        <w:t xml:space="preserve"> </w:t>
      </w:r>
      <w:r>
        <w:rPr>
          <w:noProof/>
          <w:lang w:val="en-IE"/>
        </w:rPr>
        <w:t>IV</w:t>
      </w:r>
      <w:r w:rsidRPr="007A1B64">
        <w:rPr>
          <w:noProof/>
          <w:lang w:val="en-IE"/>
        </w:rPr>
        <w:t xml:space="preserve"> that the purpose of the vehicle cannot be equally served by a ZEV and it is thus in the public interest to register a vehicle </w:t>
      </w:r>
      <w:r w:rsidRPr="00543EF5">
        <w:rPr>
          <w:noProof/>
          <w:lang w:val="en-IE"/>
        </w:rPr>
        <w:t>with a combustion engine to fulfil that purpos</w:t>
      </w:r>
      <w:r w:rsidR="00F72F44" w:rsidRPr="00543EF5">
        <w:rPr>
          <w:noProof/>
          <w:lang w:val="en-IE"/>
        </w:rPr>
        <w:t>e.</w:t>
      </w:r>
    </w:p>
    <w:p w:rsidR="00D2444C" w:rsidRPr="002D06E4" w:rsidRDefault="00D2444C" w:rsidP="00697F0B">
      <w:pPr>
        <w:pStyle w:val="Text3"/>
        <w:rPr>
          <w:rFonts w:eastAsia="Times New Roman"/>
          <w:noProof/>
          <w:lang w:val="en-IE" w:eastAsia="de-DE"/>
        </w:rPr>
      </w:pPr>
      <w:r w:rsidRPr="00543EF5">
        <w:rPr>
          <w:noProof/>
          <w:lang w:val="en-IE"/>
        </w:rPr>
        <w:t>6.</w:t>
      </w:r>
      <w:r w:rsidRPr="00543EF5">
        <w:rPr>
          <w:noProof/>
          <w:lang w:val="en-IE"/>
        </w:rPr>
        <w:tab/>
      </w:r>
      <w:r w:rsidR="008E7ED1">
        <w:rPr>
          <w:noProof/>
          <w:lang w:val="en-IE"/>
        </w:rPr>
        <w:t>T</w:t>
      </w:r>
      <w:r w:rsidRPr="00543EF5">
        <w:rPr>
          <w:noProof/>
          <w:lang w:val="en-IE"/>
        </w:rPr>
        <w:t>he reporting obligation</w:t>
      </w:r>
      <w:r w:rsidR="008E7ED1">
        <w:rPr>
          <w:noProof/>
          <w:lang w:val="en-IE"/>
        </w:rPr>
        <w:t>s laid down</w:t>
      </w:r>
      <w:r w:rsidR="00697F0B" w:rsidRPr="00543EF5">
        <w:rPr>
          <w:noProof/>
          <w:lang w:val="en-IE"/>
        </w:rPr>
        <w:t xml:space="preserve"> in Articles </w:t>
      </w:r>
      <w:r w:rsidRPr="00543EF5">
        <w:rPr>
          <w:noProof/>
          <w:lang w:val="en-IE"/>
        </w:rPr>
        <w:t>13a to 13f</w:t>
      </w:r>
      <w:r w:rsidR="008E7ED1">
        <w:rPr>
          <w:noProof/>
          <w:lang w:val="en-IE"/>
        </w:rPr>
        <w:t xml:space="preserve"> shall also apply to the vehicles that are not </w:t>
      </w:r>
      <w:r w:rsidR="008E7ED1" w:rsidRPr="008E7ED1">
        <w:rPr>
          <w:noProof/>
          <w:lang w:val="en-IE"/>
        </w:rPr>
        <w:t>subject to CO</w:t>
      </w:r>
      <w:r w:rsidR="008E7ED1" w:rsidRPr="007A1B64">
        <w:rPr>
          <w:noProof/>
          <w:vertAlign w:val="subscript"/>
          <w:lang w:val="en-IE"/>
        </w:rPr>
        <w:t>2</w:t>
      </w:r>
      <w:r w:rsidR="008E7ED1" w:rsidRPr="008E7ED1">
        <w:rPr>
          <w:noProof/>
          <w:lang w:val="en-IE"/>
        </w:rPr>
        <w:t xml:space="preserve"> emission targets in accordance with paragraphs 4 and 5 of this Article</w:t>
      </w:r>
      <w:r w:rsidRPr="00543EF5">
        <w:rPr>
          <w:noProof/>
          <w:lang w:val="en-IE"/>
        </w:rPr>
        <w:t>.</w:t>
      </w:r>
      <w:r w:rsidR="00697F0B" w:rsidRPr="00543EF5">
        <w:rPr>
          <w:noProof/>
          <w:lang w:val="en-IE"/>
        </w:rPr>
        <w:t>’</w:t>
      </w:r>
      <w:r w:rsidR="0050101B" w:rsidRPr="00543EF5">
        <w:rPr>
          <w:noProof/>
          <w:lang w:val="en-IE"/>
        </w:rPr>
        <w:t>;</w:t>
      </w:r>
    </w:p>
    <w:p w:rsidR="003B424B" w:rsidRDefault="005B4A90" w:rsidP="005B4A90">
      <w:pPr>
        <w:pStyle w:val="Point0"/>
        <w:rPr>
          <w:noProof/>
        </w:rPr>
      </w:pPr>
      <w:r w:rsidRPr="005B4A90">
        <w:t>(3)</w:t>
      </w:r>
      <w:r w:rsidRPr="005B4A90">
        <w:tab/>
      </w:r>
      <w:r w:rsidR="0097314C" w:rsidRPr="003B424B">
        <w:rPr>
          <w:noProof/>
        </w:rPr>
        <w:t>Article</w:t>
      </w:r>
      <w:r w:rsidR="003B424B" w:rsidRPr="003B424B">
        <w:rPr>
          <w:noProof/>
        </w:rPr>
        <w:t xml:space="preserve"> 3 is amended as follows:</w:t>
      </w:r>
    </w:p>
    <w:p w:rsidR="00E96B6B" w:rsidRDefault="005B4A90" w:rsidP="005B4A90">
      <w:pPr>
        <w:pStyle w:val="Point1"/>
        <w:rPr>
          <w:noProof/>
        </w:rPr>
      </w:pPr>
      <w:r w:rsidRPr="005B4A90">
        <w:t>(a)</w:t>
      </w:r>
      <w:r w:rsidRPr="005B4A90">
        <w:tab/>
      </w:r>
      <w:r w:rsidR="00F72F44">
        <w:rPr>
          <w:noProof/>
        </w:rPr>
        <w:t>point (1)</w:t>
      </w:r>
      <w:r w:rsidR="00E96B6B">
        <w:rPr>
          <w:noProof/>
        </w:rPr>
        <w:t xml:space="preserve"> is replaced by the following</w:t>
      </w:r>
      <w:r w:rsidR="00CD04D9">
        <w:rPr>
          <w:noProof/>
        </w:rPr>
        <w:t>:</w:t>
      </w:r>
    </w:p>
    <w:p w:rsidR="00F72F44" w:rsidRDefault="00E96B6B" w:rsidP="00CD04D9">
      <w:pPr>
        <w:pStyle w:val="Text2"/>
        <w:rPr>
          <w:noProof/>
        </w:rPr>
      </w:pPr>
      <w:r>
        <w:rPr>
          <w:noProof/>
        </w:rPr>
        <w:t xml:space="preserve">‘(1) ‘reference </w:t>
      </w:r>
      <w:r w:rsidR="00DE39FD">
        <w:rPr>
          <w:noProof/>
        </w:rPr>
        <w:t>CO₂</w:t>
      </w:r>
      <w:r w:rsidR="00DE39FD">
        <w:rPr>
          <w:noProof/>
          <w:vertAlign w:val="subscript"/>
        </w:rPr>
        <w:t xml:space="preserve"> </w:t>
      </w:r>
      <w:r>
        <w:rPr>
          <w:noProof/>
        </w:rPr>
        <w:t xml:space="preserve">emissions’ means the average of the specific </w:t>
      </w:r>
      <w:r w:rsidR="009B3DC6" w:rsidRPr="007142D1">
        <w:rPr>
          <w:noProof/>
        </w:rPr>
        <w:t>CO</w:t>
      </w:r>
      <w:r w:rsidR="009B3DC6" w:rsidRPr="00953CAE">
        <w:rPr>
          <w:noProof/>
          <w:vertAlign w:val="subscript"/>
        </w:rPr>
        <w:t>2</w:t>
      </w:r>
      <w:r w:rsidR="00DE39FD">
        <w:rPr>
          <w:noProof/>
        </w:rPr>
        <w:t xml:space="preserve"> e</w:t>
      </w:r>
      <w:r>
        <w:rPr>
          <w:noProof/>
        </w:rPr>
        <w:t>missions in the reference period of all new heavy-duty vehicles in each of the vehicle sub-groups, determined in accordance with point 3 of Annex I;’</w:t>
      </w:r>
      <w:r w:rsidR="00F72F44">
        <w:rPr>
          <w:noProof/>
        </w:rPr>
        <w:t>;</w:t>
      </w:r>
    </w:p>
    <w:p w:rsidR="00F72F44" w:rsidRPr="00383869" w:rsidRDefault="005B4A90" w:rsidP="005B4A90">
      <w:pPr>
        <w:pStyle w:val="Point1"/>
        <w:rPr>
          <w:noProof/>
        </w:rPr>
      </w:pPr>
      <w:r w:rsidRPr="005B4A90">
        <w:t>(b)</w:t>
      </w:r>
      <w:r w:rsidRPr="005B4A90">
        <w:tab/>
      </w:r>
      <w:r w:rsidR="00F72F44" w:rsidRPr="00383869">
        <w:rPr>
          <w:noProof/>
        </w:rPr>
        <w:t>the following point</w:t>
      </w:r>
      <w:r w:rsidR="00E96B6B" w:rsidRPr="00383869">
        <w:rPr>
          <w:noProof/>
        </w:rPr>
        <w:t>s</w:t>
      </w:r>
      <w:r w:rsidR="00F72F44" w:rsidRPr="00383869">
        <w:rPr>
          <w:noProof/>
        </w:rPr>
        <w:t xml:space="preserve"> (3a) and (3b) are inserte</w:t>
      </w:r>
      <w:r w:rsidR="00E96B6B" w:rsidRPr="00383869">
        <w:rPr>
          <w:noProof/>
        </w:rPr>
        <w:t>d</w:t>
      </w:r>
      <w:r w:rsidR="00F72F44" w:rsidRPr="00383869">
        <w:rPr>
          <w:noProof/>
        </w:rPr>
        <w:t>:</w:t>
      </w:r>
    </w:p>
    <w:p w:rsidR="00F72F44" w:rsidRPr="00383869" w:rsidRDefault="00E96B6B" w:rsidP="00F72F44">
      <w:pPr>
        <w:pStyle w:val="Text20"/>
        <w:rPr>
          <w:noProof/>
        </w:rPr>
      </w:pPr>
      <w:r w:rsidRPr="00383869">
        <w:rPr>
          <w:noProof/>
        </w:rPr>
        <w:t>‘</w:t>
      </w:r>
      <w:r w:rsidR="00F72F44" w:rsidRPr="00383869">
        <w:rPr>
          <w:noProof/>
        </w:rPr>
        <w:t>(3a) ’reporting period’ means the period of a given year from 1 July to 30 June</w:t>
      </w:r>
      <w:r w:rsidR="006D5BDB" w:rsidRPr="00383869">
        <w:rPr>
          <w:noProof/>
        </w:rPr>
        <w:t xml:space="preserve"> of the following year</w:t>
      </w:r>
      <w:r w:rsidR="00F72F44" w:rsidRPr="00383869">
        <w:rPr>
          <w:noProof/>
        </w:rPr>
        <w:t>;</w:t>
      </w:r>
    </w:p>
    <w:p w:rsidR="00F72F44" w:rsidRDefault="00F72F44" w:rsidP="00F72F44">
      <w:pPr>
        <w:pStyle w:val="Text20"/>
        <w:rPr>
          <w:noProof/>
        </w:rPr>
      </w:pPr>
      <w:r w:rsidRPr="00383869">
        <w:rPr>
          <w:noProof/>
        </w:rPr>
        <w:t xml:space="preserve">(3b) ‘reference period’ means the reporting period of a certain year with respect to which the regulatory reduction obligations for a certain vehicle </w:t>
      </w:r>
      <w:r w:rsidR="00F07D0D" w:rsidRPr="00383869">
        <w:rPr>
          <w:noProof/>
        </w:rPr>
        <w:t>sub-group</w:t>
      </w:r>
      <w:r w:rsidRPr="00383869">
        <w:rPr>
          <w:noProof/>
        </w:rPr>
        <w:t xml:space="preserve"> are </w:t>
      </w:r>
      <w:r w:rsidR="00D77882" w:rsidRPr="00383869">
        <w:rPr>
          <w:noProof/>
        </w:rPr>
        <w:t xml:space="preserve">specified </w:t>
      </w:r>
      <w:r w:rsidRPr="00383869">
        <w:rPr>
          <w:noProof/>
        </w:rPr>
        <w:t>under this Regulation;</w:t>
      </w:r>
      <w:r w:rsidR="00E96B6B" w:rsidRPr="00383869">
        <w:rPr>
          <w:noProof/>
        </w:rPr>
        <w:t>’</w:t>
      </w:r>
      <w:r w:rsidR="004637B1">
        <w:rPr>
          <w:noProof/>
        </w:rPr>
        <w:t>;</w:t>
      </w:r>
    </w:p>
    <w:p w:rsidR="00671B74" w:rsidRDefault="005B4A90" w:rsidP="005B4A90">
      <w:pPr>
        <w:pStyle w:val="Point1"/>
        <w:rPr>
          <w:noProof/>
        </w:rPr>
      </w:pPr>
      <w:r w:rsidRPr="005B4A90">
        <w:t>(c)</w:t>
      </w:r>
      <w:r w:rsidRPr="005B4A90">
        <w:tab/>
      </w:r>
      <w:r w:rsidR="003A7649">
        <w:rPr>
          <w:noProof/>
        </w:rPr>
        <w:t>point (5)</w:t>
      </w:r>
      <w:r w:rsidR="00671B74">
        <w:rPr>
          <w:noProof/>
        </w:rPr>
        <w:t xml:space="preserve"> is replaced by the following:</w:t>
      </w:r>
    </w:p>
    <w:p w:rsidR="003A7649" w:rsidRDefault="00671B74" w:rsidP="00CD04D9">
      <w:pPr>
        <w:pStyle w:val="Text2"/>
        <w:rPr>
          <w:noProof/>
        </w:rPr>
      </w:pPr>
      <w:r>
        <w:rPr>
          <w:noProof/>
        </w:rPr>
        <w:t xml:space="preserve">‘(5) ‘specific </w:t>
      </w:r>
      <w:r w:rsidR="009B3DC6" w:rsidRPr="007142D1">
        <w:rPr>
          <w:noProof/>
        </w:rPr>
        <w:t>CO</w:t>
      </w:r>
      <w:r w:rsidR="009B3DC6" w:rsidRPr="00953CAE">
        <w:rPr>
          <w:noProof/>
          <w:vertAlign w:val="subscript"/>
        </w:rPr>
        <w:t>2</w:t>
      </w:r>
      <w:r>
        <w:rPr>
          <w:noProof/>
        </w:rPr>
        <w:t xml:space="preserve"> emissions target’ means the </w:t>
      </w:r>
      <w:r w:rsidR="00DE39FD">
        <w:rPr>
          <w:noProof/>
        </w:rPr>
        <w:t>CO₂ e</w:t>
      </w:r>
      <w:r>
        <w:rPr>
          <w:noProof/>
        </w:rPr>
        <w:t>missions target of an individual manufacturer determined annually for the preceding reporting period in accordance with point 4 of Annex I;’</w:t>
      </w:r>
      <w:r w:rsidR="003A7649">
        <w:rPr>
          <w:noProof/>
        </w:rPr>
        <w:t>;</w:t>
      </w:r>
    </w:p>
    <w:p w:rsidR="00F72F44" w:rsidRDefault="005B4A90" w:rsidP="005B4A90">
      <w:pPr>
        <w:pStyle w:val="Point1"/>
        <w:rPr>
          <w:noProof/>
        </w:rPr>
      </w:pPr>
      <w:r w:rsidRPr="005B4A90">
        <w:t>(d)</w:t>
      </w:r>
      <w:r w:rsidRPr="005B4A90">
        <w:tab/>
      </w:r>
      <w:r w:rsidR="003A7649">
        <w:rPr>
          <w:noProof/>
        </w:rPr>
        <w:t>point (9)</w:t>
      </w:r>
      <w:r w:rsidR="008E7ED1">
        <w:rPr>
          <w:noProof/>
        </w:rPr>
        <w:t>is</w:t>
      </w:r>
      <w:r w:rsidR="003A7649">
        <w:rPr>
          <w:noProof/>
        </w:rPr>
        <w:t xml:space="preserve"> replaced by the following:</w:t>
      </w:r>
    </w:p>
    <w:p w:rsidR="003A7649" w:rsidRDefault="00671B74" w:rsidP="003A7649">
      <w:pPr>
        <w:pStyle w:val="Text20"/>
        <w:rPr>
          <w:noProof/>
          <w:lang w:val="en-US"/>
        </w:rPr>
      </w:pPr>
      <w:r>
        <w:rPr>
          <w:noProof/>
          <w:lang w:val="en-US"/>
        </w:rPr>
        <w:t>‘</w:t>
      </w:r>
      <w:r w:rsidR="003A7649">
        <w:rPr>
          <w:noProof/>
          <w:lang w:val="en-US"/>
        </w:rPr>
        <w:t xml:space="preserve">(9) </w:t>
      </w:r>
      <w:r w:rsidR="003A7649" w:rsidRPr="003A7649">
        <w:rPr>
          <w:noProof/>
          <w:lang w:val="en-US"/>
        </w:rPr>
        <w:t xml:space="preserve">‘vocational vehicle’ means a heavy-duty vehicle intended to be used for specific duties, which according to the information in its </w:t>
      </w:r>
      <w:r w:rsidR="00F20E5E">
        <w:rPr>
          <w:noProof/>
          <w:lang w:val="en-US"/>
        </w:rPr>
        <w:t>c</w:t>
      </w:r>
      <w:r w:rsidR="003A7649" w:rsidRPr="003A7649">
        <w:rPr>
          <w:noProof/>
          <w:lang w:val="en-US"/>
        </w:rPr>
        <w:t>ertificate</w:t>
      </w:r>
      <w:r w:rsidR="00A04343">
        <w:rPr>
          <w:noProof/>
          <w:lang w:val="en-US"/>
        </w:rPr>
        <w:t xml:space="preserve"> </w:t>
      </w:r>
      <w:r w:rsidR="003A7649" w:rsidRPr="003A7649">
        <w:rPr>
          <w:noProof/>
          <w:lang w:val="en-US"/>
        </w:rPr>
        <w:t xml:space="preserve">of </w:t>
      </w:r>
      <w:r w:rsidR="00F20E5E">
        <w:rPr>
          <w:noProof/>
          <w:lang w:val="en-US"/>
        </w:rPr>
        <w:t>c</w:t>
      </w:r>
      <w:r w:rsidR="003A7649" w:rsidRPr="003A7649">
        <w:rPr>
          <w:noProof/>
          <w:lang w:val="en-US"/>
        </w:rPr>
        <w:t xml:space="preserve">onformity, as reported by Member States, fulfills the criteria laid out in </w:t>
      </w:r>
      <w:r w:rsidRPr="003A7649">
        <w:rPr>
          <w:noProof/>
          <w:lang w:val="en-US"/>
        </w:rPr>
        <w:t>point 1.2</w:t>
      </w:r>
      <w:r>
        <w:rPr>
          <w:noProof/>
          <w:lang w:val="en-US"/>
        </w:rPr>
        <w:t xml:space="preserve">. of </w:t>
      </w:r>
      <w:r w:rsidR="003A7649" w:rsidRPr="003A7649">
        <w:rPr>
          <w:noProof/>
          <w:lang w:val="en-US"/>
        </w:rPr>
        <w:t>Annex I</w:t>
      </w:r>
      <w:r w:rsidR="003A7649">
        <w:rPr>
          <w:noProof/>
          <w:lang w:val="en-US"/>
        </w:rPr>
        <w:t>;</w:t>
      </w:r>
      <w:r w:rsidR="008E7ED1">
        <w:rPr>
          <w:noProof/>
          <w:lang w:val="en-US"/>
        </w:rPr>
        <w:t>’;</w:t>
      </w:r>
    </w:p>
    <w:p w:rsidR="003A7649" w:rsidRDefault="003A7649" w:rsidP="003A7649">
      <w:pPr>
        <w:pStyle w:val="Text20"/>
        <w:rPr>
          <w:rFonts w:eastAsia="Times New Roman"/>
          <w:noProof/>
          <w:szCs w:val="24"/>
          <w:lang w:val="en-IE" w:eastAsia="de-DE"/>
        </w:rPr>
      </w:pPr>
    </w:p>
    <w:p w:rsidR="00B21722" w:rsidRDefault="005B4A90" w:rsidP="005B4A90">
      <w:pPr>
        <w:pStyle w:val="Point1"/>
        <w:rPr>
          <w:noProof/>
          <w:lang w:val="en-IE" w:eastAsia="de-DE"/>
        </w:rPr>
      </w:pPr>
      <w:r w:rsidRPr="005B4A90">
        <w:t>(e)</w:t>
      </w:r>
      <w:r w:rsidRPr="005B4A90">
        <w:tab/>
      </w:r>
      <w:r w:rsidR="00B21722">
        <w:rPr>
          <w:noProof/>
          <w:lang w:val="en-IE" w:eastAsia="de-DE"/>
        </w:rPr>
        <w:t>point (10) is deleted;</w:t>
      </w:r>
    </w:p>
    <w:p w:rsidR="00B21722" w:rsidRPr="000B6D27" w:rsidRDefault="005B4A90" w:rsidP="005B4A90">
      <w:pPr>
        <w:pStyle w:val="Point1"/>
        <w:rPr>
          <w:noProof/>
        </w:rPr>
      </w:pPr>
      <w:r w:rsidRPr="005B4A90">
        <w:t>(f)</w:t>
      </w:r>
      <w:r w:rsidRPr="005B4A90">
        <w:tab/>
      </w:r>
      <w:r w:rsidR="00B21722" w:rsidRPr="006258B0">
        <w:rPr>
          <w:noProof/>
        </w:rPr>
        <w:t>the following point</w:t>
      </w:r>
      <w:r w:rsidR="00B329BB">
        <w:rPr>
          <w:noProof/>
        </w:rPr>
        <w:t>s</w:t>
      </w:r>
      <w:r w:rsidR="00B21722" w:rsidRPr="000B6D27">
        <w:rPr>
          <w:noProof/>
        </w:rPr>
        <w:t xml:space="preserve"> (10a) </w:t>
      </w:r>
      <w:r w:rsidR="004B7251">
        <w:rPr>
          <w:noProof/>
        </w:rPr>
        <w:t xml:space="preserve">and (10b) are </w:t>
      </w:r>
      <w:r w:rsidR="00B21722">
        <w:rPr>
          <w:noProof/>
        </w:rPr>
        <w:t>inserted</w:t>
      </w:r>
      <w:r w:rsidR="00B21722" w:rsidRPr="000B6D27">
        <w:rPr>
          <w:noProof/>
        </w:rPr>
        <w:t>:</w:t>
      </w:r>
    </w:p>
    <w:p w:rsidR="00B21722" w:rsidRDefault="00B21722" w:rsidP="00B21722">
      <w:pPr>
        <w:pStyle w:val="Text20"/>
        <w:rPr>
          <w:noProof/>
        </w:rPr>
      </w:pPr>
      <w:r>
        <w:rPr>
          <w:noProof/>
          <w:lang w:val="en-US" w:eastAsia="de-DE"/>
        </w:rPr>
        <w:t>’</w:t>
      </w:r>
      <w:r w:rsidRPr="000B6D27">
        <w:rPr>
          <w:noProof/>
          <w:lang w:val="en-US" w:eastAsia="de-DE"/>
        </w:rPr>
        <w:t xml:space="preserve">(10a) ’reporter’ </w:t>
      </w:r>
      <w:r w:rsidRPr="00B01002">
        <w:rPr>
          <w:noProof/>
          <w:szCs w:val="24"/>
        </w:rPr>
        <w:t>means an entity which is responsible for the reporting of data to the Commission</w:t>
      </w:r>
      <w:r w:rsidRPr="00DB0916">
        <w:rPr>
          <w:noProof/>
          <w:szCs w:val="24"/>
        </w:rPr>
        <w:t>;</w:t>
      </w:r>
    </w:p>
    <w:p w:rsidR="004B7251" w:rsidRDefault="004B7251" w:rsidP="00B21722">
      <w:pPr>
        <w:pStyle w:val="Text20"/>
        <w:rPr>
          <w:noProof/>
        </w:rPr>
      </w:pPr>
      <w:r w:rsidRPr="00547D77">
        <w:rPr>
          <w:noProof/>
          <w:szCs w:val="24"/>
        </w:rPr>
        <w:t xml:space="preserve">(10b) ‘determination of a heavy-duty vehicle’ means the determination </w:t>
      </w:r>
      <w:r w:rsidRPr="00547D77">
        <w:rPr>
          <w:rFonts w:eastAsia="Times New Roman"/>
          <w:noProof/>
          <w:szCs w:val="24"/>
          <w:lang w:val="en-IE" w:eastAsia="de-DE"/>
        </w:rPr>
        <w:t>of its CO</w:t>
      </w:r>
      <w:r w:rsidRPr="00547D77">
        <w:rPr>
          <w:rFonts w:eastAsia="Times New Roman"/>
          <w:noProof/>
          <w:szCs w:val="24"/>
          <w:vertAlign w:val="subscript"/>
          <w:lang w:val="en-IE" w:eastAsia="de-DE"/>
        </w:rPr>
        <w:t>2</w:t>
      </w:r>
      <w:r w:rsidRPr="00547D77">
        <w:rPr>
          <w:rFonts w:eastAsia="Times New Roman"/>
          <w:noProof/>
          <w:szCs w:val="24"/>
          <w:lang w:val="en-IE" w:eastAsia="de-DE"/>
        </w:rPr>
        <w:t xml:space="preserve"> emissions or input parameters according to Article 9 of Regulation (EU) 2017/2400 or the assessment of its performance with regard to its influence on CO</w:t>
      </w:r>
      <w:r w:rsidRPr="00547D77">
        <w:rPr>
          <w:rFonts w:eastAsia="Times New Roman"/>
          <w:noProof/>
          <w:szCs w:val="24"/>
          <w:vertAlign w:val="subscript"/>
          <w:lang w:val="en-IE" w:eastAsia="de-DE"/>
        </w:rPr>
        <w:t>2</w:t>
      </w:r>
      <w:r w:rsidRPr="00547D77">
        <w:rPr>
          <w:rFonts w:eastAsia="Times New Roman"/>
          <w:noProof/>
          <w:szCs w:val="24"/>
          <w:lang w:val="en-IE" w:eastAsia="de-DE"/>
        </w:rPr>
        <w:t xml:space="preserve"> emissions and fuel consumption according to Article 8 of Commission Implementing Regulation (EU) 2022/1362;’</w:t>
      </w:r>
      <w:r w:rsidR="004637B1">
        <w:rPr>
          <w:rFonts w:eastAsia="Times New Roman"/>
          <w:noProof/>
          <w:szCs w:val="24"/>
          <w:lang w:val="en-IE" w:eastAsia="de-DE"/>
        </w:rPr>
        <w:t>;</w:t>
      </w:r>
    </w:p>
    <w:p w:rsidR="008E7ED1" w:rsidRPr="004B7251" w:rsidRDefault="005B4A90" w:rsidP="005B4A90">
      <w:pPr>
        <w:pStyle w:val="Point1"/>
        <w:rPr>
          <w:noProof/>
        </w:rPr>
      </w:pPr>
      <w:r w:rsidRPr="005B4A90">
        <w:t>(g)</w:t>
      </w:r>
      <w:r w:rsidRPr="005B4A90">
        <w:tab/>
      </w:r>
      <w:r w:rsidR="008E7ED1">
        <w:rPr>
          <w:noProof/>
        </w:rPr>
        <w:t>point (11) is replaced by the following:</w:t>
      </w:r>
    </w:p>
    <w:p w:rsidR="003A7649" w:rsidRPr="00DB0916" w:rsidRDefault="008E7ED1" w:rsidP="003A7649">
      <w:pPr>
        <w:pStyle w:val="Text20"/>
        <w:rPr>
          <w:rFonts w:eastAsia="Times New Roman"/>
          <w:noProof/>
          <w:lang w:val="en-IE" w:eastAsia="de-DE"/>
        </w:rPr>
      </w:pPr>
      <w:r>
        <w:rPr>
          <w:rFonts w:eastAsia="Times New Roman"/>
          <w:noProof/>
          <w:lang w:val="en-IE" w:eastAsia="de-DE"/>
        </w:rPr>
        <w:t>‘</w:t>
      </w:r>
      <w:r w:rsidR="003A7649" w:rsidRPr="00DB0916">
        <w:rPr>
          <w:rFonts w:eastAsia="Times New Roman"/>
          <w:noProof/>
          <w:lang w:val="en-IE" w:eastAsia="de-DE"/>
        </w:rPr>
        <w:t>(11) ‘zero</w:t>
      </w:r>
      <w:r w:rsidR="00953253">
        <w:rPr>
          <w:rFonts w:eastAsia="Times New Roman"/>
          <w:noProof/>
          <w:lang w:val="en-IE" w:eastAsia="de-DE"/>
        </w:rPr>
        <w:t>-</w:t>
      </w:r>
      <w:r w:rsidR="003A7649" w:rsidRPr="00DB0916">
        <w:rPr>
          <w:rFonts w:eastAsia="Times New Roman"/>
          <w:noProof/>
          <w:lang w:val="en-IE" w:eastAsia="de-DE"/>
        </w:rPr>
        <w:t xml:space="preserve">emission </w:t>
      </w:r>
      <w:r w:rsidR="003A7649" w:rsidRPr="004B7251">
        <w:rPr>
          <w:rFonts w:eastAsia="Times New Roman"/>
          <w:noProof/>
          <w:lang w:val="en-IE" w:eastAsia="de-DE"/>
        </w:rPr>
        <w:t>vehicle</w:t>
      </w:r>
      <w:r w:rsidR="00671B74" w:rsidRPr="004B7251">
        <w:rPr>
          <w:rFonts w:eastAsia="Times New Roman"/>
          <w:noProof/>
          <w:lang w:val="en-IE" w:eastAsia="de-DE"/>
        </w:rPr>
        <w:t>’</w:t>
      </w:r>
      <w:r w:rsidR="003A7649" w:rsidRPr="004B7251">
        <w:rPr>
          <w:rFonts w:eastAsia="Times New Roman"/>
          <w:noProof/>
          <w:lang w:val="en-IE" w:eastAsia="de-DE"/>
        </w:rPr>
        <w:t xml:space="preserve"> means</w:t>
      </w:r>
      <w:r w:rsidRPr="004B7251">
        <w:rPr>
          <w:rFonts w:eastAsia="Times New Roman"/>
          <w:noProof/>
          <w:lang w:val="en-IE" w:eastAsia="de-DE"/>
        </w:rPr>
        <w:t xml:space="preserve"> the following vehicles</w:t>
      </w:r>
      <w:r w:rsidR="003A7649" w:rsidRPr="004B7251">
        <w:rPr>
          <w:rFonts w:eastAsia="Times New Roman"/>
          <w:noProof/>
          <w:lang w:val="en-IE" w:eastAsia="de-DE"/>
        </w:rPr>
        <w:t>:</w:t>
      </w:r>
    </w:p>
    <w:p w:rsidR="003A7649" w:rsidRPr="00DB0916" w:rsidRDefault="00CD04D9" w:rsidP="00CD04D9">
      <w:pPr>
        <w:pStyle w:val="Text20"/>
        <w:ind w:left="2880" w:hanging="720"/>
        <w:rPr>
          <w:noProof/>
        </w:rPr>
      </w:pPr>
      <w:r>
        <w:rPr>
          <w:noProof/>
          <w:lang w:val="en-IE"/>
        </w:rPr>
        <w:t>(a)</w:t>
      </w:r>
      <w:r>
        <w:rPr>
          <w:noProof/>
          <w:lang w:val="en-IE"/>
        </w:rPr>
        <w:tab/>
      </w:r>
      <w:r w:rsidR="003A7649" w:rsidRPr="00DB0916">
        <w:rPr>
          <w:noProof/>
        </w:rPr>
        <w:t xml:space="preserve">a heavy-duty motor vehicle </w:t>
      </w:r>
      <w:r w:rsidR="003A7649" w:rsidRPr="00DB0916">
        <w:rPr>
          <w:noProof/>
          <w:lang w:val="en-IE"/>
        </w:rPr>
        <w:t xml:space="preserve">with </w:t>
      </w:r>
      <w:r w:rsidR="00DC0915" w:rsidRPr="00DC0915">
        <w:rPr>
          <w:noProof/>
          <w:lang w:val="en-IE"/>
        </w:rPr>
        <w:t xml:space="preserve">not more than </w:t>
      </w:r>
      <w:r w:rsidR="006244B3">
        <w:rPr>
          <w:noProof/>
          <w:lang w:val="en-IE"/>
        </w:rPr>
        <w:t>5</w:t>
      </w:r>
      <w:r w:rsidR="00DC0915" w:rsidRPr="00DC0915">
        <w:rPr>
          <w:noProof/>
          <w:lang w:val="en-IE"/>
        </w:rPr>
        <w:t xml:space="preserve"> g/(t∙km) or </w:t>
      </w:r>
      <w:r w:rsidR="006244B3">
        <w:rPr>
          <w:noProof/>
          <w:lang w:val="en-IE"/>
        </w:rPr>
        <w:t>5</w:t>
      </w:r>
      <w:r w:rsidR="00DC0915" w:rsidRPr="00DC0915">
        <w:rPr>
          <w:noProof/>
          <w:lang w:val="en-IE"/>
        </w:rPr>
        <w:t xml:space="preserve"> g/(p∙km)</w:t>
      </w:r>
      <w:r w:rsidR="00DC0915">
        <w:rPr>
          <w:noProof/>
          <w:lang w:val="en-IE"/>
        </w:rPr>
        <w:t xml:space="preserve"> </w:t>
      </w:r>
      <w:r w:rsidR="003A7649" w:rsidRPr="00DB0916">
        <w:rPr>
          <w:noProof/>
          <w:lang w:val="en-IE"/>
        </w:rPr>
        <w:t xml:space="preserve">of </w:t>
      </w:r>
      <w:r w:rsidR="009B3DC6" w:rsidRPr="007142D1">
        <w:rPr>
          <w:noProof/>
        </w:rPr>
        <w:t>CO</w:t>
      </w:r>
      <w:r w:rsidR="009B3DC6" w:rsidRPr="00953CAE">
        <w:rPr>
          <w:noProof/>
          <w:vertAlign w:val="subscript"/>
        </w:rPr>
        <w:t>2</w:t>
      </w:r>
      <w:r w:rsidR="00DE39FD">
        <w:rPr>
          <w:noProof/>
          <w:lang w:val="en-IE"/>
        </w:rPr>
        <w:t xml:space="preserve"> e</w:t>
      </w:r>
      <w:r w:rsidR="003A7649" w:rsidRPr="00DB0916">
        <w:rPr>
          <w:noProof/>
          <w:lang w:val="en-IE"/>
        </w:rPr>
        <w:t xml:space="preserve">missions as determined </w:t>
      </w:r>
      <w:r w:rsidR="008228C5">
        <w:rPr>
          <w:noProof/>
          <w:lang w:val="en-IE"/>
        </w:rPr>
        <w:t xml:space="preserve">in </w:t>
      </w:r>
      <w:r w:rsidR="003A7649" w:rsidRPr="00DB0916">
        <w:rPr>
          <w:noProof/>
          <w:lang w:val="en-IE"/>
        </w:rPr>
        <w:t>accord</w:t>
      </w:r>
      <w:r w:rsidR="008228C5">
        <w:rPr>
          <w:noProof/>
          <w:lang w:val="en-IE"/>
        </w:rPr>
        <w:t>ance</w:t>
      </w:r>
      <w:r w:rsidR="003A7649" w:rsidRPr="00DB0916">
        <w:rPr>
          <w:noProof/>
          <w:lang w:val="en-IE"/>
        </w:rPr>
        <w:t xml:space="preserve"> </w:t>
      </w:r>
      <w:r w:rsidR="008228C5">
        <w:rPr>
          <w:noProof/>
          <w:lang w:val="en-IE"/>
        </w:rPr>
        <w:t xml:space="preserve">with Article </w:t>
      </w:r>
      <w:r w:rsidR="004B7251">
        <w:rPr>
          <w:noProof/>
          <w:lang w:val="en-IE"/>
        </w:rPr>
        <w:t>9</w:t>
      </w:r>
      <w:r w:rsidR="008228C5">
        <w:rPr>
          <w:noProof/>
          <w:lang w:val="en-IE"/>
        </w:rPr>
        <w:t xml:space="preserve"> of</w:t>
      </w:r>
      <w:r w:rsidR="008228C5" w:rsidRPr="00DB0916">
        <w:rPr>
          <w:noProof/>
          <w:lang w:val="en-IE"/>
        </w:rPr>
        <w:t xml:space="preserve"> </w:t>
      </w:r>
      <w:r w:rsidR="003A7649" w:rsidRPr="00DB0916">
        <w:rPr>
          <w:noProof/>
          <w:lang w:val="en-IE"/>
        </w:rPr>
        <w:t>Regulation (EU) 2017/2400</w:t>
      </w:r>
      <w:r w:rsidR="00B21722">
        <w:rPr>
          <w:noProof/>
          <w:lang w:val="en-IE"/>
        </w:rPr>
        <w:t>;</w:t>
      </w:r>
    </w:p>
    <w:p w:rsidR="0022672A" w:rsidRPr="00DB0916" w:rsidRDefault="00CD04D9" w:rsidP="00CD04D9">
      <w:pPr>
        <w:pStyle w:val="Text20"/>
        <w:ind w:left="2880" w:hanging="720"/>
        <w:rPr>
          <w:noProof/>
        </w:rPr>
      </w:pPr>
      <w:r>
        <w:rPr>
          <w:noProof/>
        </w:rPr>
        <w:t>(b)</w:t>
      </w:r>
      <w:r>
        <w:rPr>
          <w:noProof/>
        </w:rPr>
        <w:tab/>
      </w:r>
      <w:r w:rsidR="0022672A" w:rsidRPr="00B01002">
        <w:rPr>
          <w:noProof/>
        </w:rPr>
        <w:t xml:space="preserve">a heavy-duty motor vehicle fulfilling the conditions of </w:t>
      </w:r>
      <w:r w:rsidR="000919F0">
        <w:rPr>
          <w:noProof/>
        </w:rPr>
        <w:t xml:space="preserve">point 1.1.4 of </w:t>
      </w:r>
      <w:r w:rsidR="00092540" w:rsidRPr="00B01002">
        <w:rPr>
          <w:noProof/>
        </w:rPr>
        <w:t xml:space="preserve">Annex </w:t>
      </w:r>
      <w:r w:rsidR="00092540">
        <w:rPr>
          <w:noProof/>
        </w:rPr>
        <w:t>I</w:t>
      </w:r>
      <w:r w:rsidR="000919F0">
        <w:rPr>
          <w:noProof/>
        </w:rPr>
        <w:t xml:space="preserve"> to this Regulation</w:t>
      </w:r>
      <w:r w:rsidR="00092540">
        <w:rPr>
          <w:noProof/>
        </w:rPr>
        <w:t xml:space="preserve"> </w:t>
      </w:r>
      <w:r w:rsidR="0022672A" w:rsidRPr="00B01002">
        <w:rPr>
          <w:noProof/>
        </w:rPr>
        <w:t xml:space="preserve">if no </w:t>
      </w:r>
      <w:r w:rsidR="009B3DC6" w:rsidRPr="007142D1">
        <w:rPr>
          <w:noProof/>
        </w:rPr>
        <w:t>CO</w:t>
      </w:r>
      <w:r w:rsidR="009B3DC6" w:rsidRPr="00953CAE">
        <w:rPr>
          <w:noProof/>
          <w:vertAlign w:val="subscript"/>
        </w:rPr>
        <w:t>2</w:t>
      </w:r>
      <w:r w:rsidR="00DE39FD">
        <w:rPr>
          <w:noProof/>
          <w:lang w:val="en-IE"/>
        </w:rPr>
        <w:t xml:space="preserve"> e</w:t>
      </w:r>
      <w:r w:rsidR="0022672A" w:rsidRPr="00B01002">
        <w:rPr>
          <w:noProof/>
          <w:lang w:val="en-IE"/>
        </w:rPr>
        <w:t>missions have been determined according to Regulation (EU) 2017/2400</w:t>
      </w:r>
      <w:r w:rsidR="00B21722">
        <w:rPr>
          <w:noProof/>
          <w:lang w:val="en-IE"/>
        </w:rPr>
        <w:t>;</w:t>
      </w:r>
    </w:p>
    <w:p w:rsidR="005041A2" w:rsidRPr="00F221E9" w:rsidRDefault="00CD04D9" w:rsidP="00F221E9">
      <w:pPr>
        <w:pStyle w:val="Text2"/>
        <w:ind w:left="2880" w:hanging="720"/>
        <w:rPr>
          <w:noProof/>
        </w:rPr>
      </w:pPr>
      <w:r w:rsidRPr="00F221E9">
        <w:rPr>
          <w:noProof/>
        </w:rPr>
        <w:t>(c )</w:t>
      </w:r>
      <w:r w:rsidRPr="00F221E9">
        <w:rPr>
          <w:noProof/>
        </w:rPr>
        <w:tab/>
      </w:r>
      <w:r w:rsidR="003A7649" w:rsidRPr="00F221E9">
        <w:rPr>
          <w:noProof/>
        </w:rPr>
        <w:t>a trailer equipped with a device</w:t>
      </w:r>
      <w:r w:rsidR="00EF12EA" w:rsidRPr="00F221E9">
        <w:rPr>
          <w:noProof/>
        </w:rPr>
        <w:t xml:space="preserve"> that </w:t>
      </w:r>
      <w:r w:rsidR="00953253" w:rsidRPr="00F221E9">
        <w:rPr>
          <w:noProof/>
        </w:rPr>
        <w:t xml:space="preserve">actively </w:t>
      </w:r>
      <w:r w:rsidR="003A7649" w:rsidRPr="00F221E9">
        <w:rPr>
          <w:noProof/>
        </w:rPr>
        <w:t xml:space="preserve">supports its propulsion and </w:t>
      </w:r>
      <w:r w:rsidR="00DD50A6" w:rsidRPr="00F221E9">
        <w:rPr>
          <w:noProof/>
        </w:rPr>
        <w:t>has no internal combustion engine or</w:t>
      </w:r>
      <w:r w:rsidR="00547D77" w:rsidRPr="00F221E9">
        <w:rPr>
          <w:noProof/>
        </w:rPr>
        <w:t xml:space="preserve"> has an internal combustion engine emitting less than </w:t>
      </w:r>
      <w:r w:rsidR="00482549" w:rsidRPr="00F221E9">
        <w:rPr>
          <w:noProof/>
        </w:rPr>
        <w:t>5</w:t>
      </w:r>
      <w:r w:rsidR="00547D77" w:rsidRPr="00F221E9">
        <w:rPr>
          <w:noProof/>
        </w:rPr>
        <w:t xml:space="preserve"> g CO2/k</w:t>
      </w:r>
      <w:r w:rsidR="00482549" w:rsidRPr="00F221E9">
        <w:rPr>
          <w:noProof/>
        </w:rPr>
        <w:t>Wh</w:t>
      </w:r>
      <w:r w:rsidR="00547D77" w:rsidRPr="00F221E9">
        <w:rPr>
          <w:noProof/>
        </w:rPr>
        <w:t xml:space="preserve"> as determined in accordance with Regulation (EC) No </w:t>
      </w:r>
      <w:r w:rsidR="00482549" w:rsidRPr="00F221E9">
        <w:rPr>
          <w:noProof/>
        </w:rPr>
        <w:t>595/2009</w:t>
      </w:r>
      <w:r w:rsidR="00547D77" w:rsidRPr="00F221E9">
        <w:rPr>
          <w:noProof/>
        </w:rPr>
        <w:t xml:space="preserve"> of the European Parliament and of the Council and its implementing measures or UNECE Regulation (EC) No 49.</w:t>
      </w:r>
    </w:p>
    <w:p w:rsidR="00023B4C" w:rsidRDefault="005B4A90" w:rsidP="005B4A90">
      <w:pPr>
        <w:pStyle w:val="Point1"/>
        <w:rPr>
          <w:noProof/>
        </w:rPr>
      </w:pPr>
      <w:r w:rsidRPr="005B4A90">
        <w:t>(h)</w:t>
      </w:r>
      <w:r w:rsidRPr="005B4A90">
        <w:tab/>
      </w:r>
      <w:r w:rsidR="00023B4C">
        <w:rPr>
          <w:noProof/>
        </w:rPr>
        <w:t>point (12) is replaced by the following:</w:t>
      </w:r>
    </w:p>
    <w:p w:rsidR="00023B4C" w:rsidRPr="00DB0916" w:rsidRDefault="00023B4C" w:rsidP="00023B4C">
      <w:pPr>
        <w:pStyle w:val="Text2"/>
        <w:rPr>
          <w:rFonts w:asciiTheme="minorHAnsi" w:hAnsiTheme="minorHAnsi" w:cstheme="minorBidi"/>
          <w:noProof/>
        </w:rPr>
      </w:pPr>
      <w:r>
        <w:rPr>
          <w:noProof/>
        </w:rPr>
        <w:t>‘(12) ‘</w:t>
      </w:r>
      <w:r w:rsidRPr="00DC4F17">
        <w:rPr>
          <w:rFonts w:eastAsia="Times New Roman"/>
          <w:noProof/>
          <w:szCs w:val="24"/>
          <w:lang w:val="en-IE" w:eastAsia="de-DE"/>
        </w:rPr>
        <w:t xml:space="preserve">low-emission heavy-duty vehicle’ means a heavy-duty vehicle, other than a zero-emission heavy-duty vehicle, with specific </w:t>
      </w:r>
      <w:r>
        <w:rPr>
          <w:rFonts w:eastAsia="Times New Roman"/>
          <w:noProof/>
          <w:szCs w:val="24"/>
          <w:lang w:val="en-IE" w:eastAsia="de-DE"/>
        </w:rPr>
        <w:t xml:space="preserve">CO₂ </w:t>
      </w:r>
      <w:r w:rsidRPr="00DC4F17">
        <w:rPr>
          <w:rFonts w:eastAsia="Times New Roman"/>
          <w:noProof/>
          <w:szCs w:val="24"/>
          <w:lang w:val="en-IE" w:eastAsia="de-DE"/>
        </w:rPr>
        <w:t xml:space="preserve">emissions of less than half of the reference </w:t>
      </w:r>
      <w:r>
        <w:rPr>
          <w:rFonts w:eastAsia="Times New Roman"/>
          <w:noProof/>
          <w:szCs w:val="24"/>
          <w:lang w:val="en-IE" w:eastAsia="de-DE"/>
        </w:rPr>
        <w:t xml:space="preserve">CO₂ </w:t>
      </w:r>
      <w:r w:rsidRPr="00DC4F17">
        <w:rPr>
          <w:rFonts w:eastAsia="Times New Roman"/>
          <w:noProof/>
          <w:szCs w:val="24"/>
          <w:lang w:val="en-IE" w:eastAsia="de-DE"/>
        </w:rPr>
        <w:t>emissions of all vehicles in the vehicle sub-group to which the heavy-</w:t>
      </w:r>
      <w:r w:rsidRPr="009A1163">
        <w:rPr>
          <w:noProof/>
          <w:lang w:val="en-US" w:eastAsia="de-DE"/>
        </w:rPr>
        <w:t>duty</w:t>
      </w:r>
      <w:r w:rsidRPr="00DC4F17">
        <w:rPr>
          <w:rFonts w:eastAsia="Times New Roman"/>
          <w:noProof/>
          <w:szCs w:val="24"/>
          <w:lang w:val="en-IE" w:eastAsia="de-DE"/>
        </w:rPr>
        <w:t xml:space="preserve"> vehicle belongs, as determined in accordance with point 2.3.</w:t>
      </w:r>
      <w:r>
        <w:rPr>
          <w:rFonts w:eastAsia="Times New Roman"/>
          <w:noProof/>
          <w:szCs w:val="24"/>
          <w:lang w:val="en-IE" w:eastAsia="de-DE"/>
        </w:rPr>
        <w:t>4</w:t>
      </w:r>
      <w:r w:rsidRPr="00DC4F17">
        <w:rPr>
          <w:rFonts w:eastAsia="Times New Roman"/>
          <w:noProof/>
          <w:szCs w:val="24"/>
          <w:lang w:val="en-IE" w:eastAsia="de-DE"/>
        </w:rPr>
        <w:t xml:space="preserve"> </w:t>
      </w:r>
      <w:r w:rsidRPr="005A239E">
        <w:rPr>
          <w:rFonts w:eastAsia="Times New Roman"/>
          <w:noProof/>
          <w:szCs w:val="24"/>
          <w:lang w:val="en-IE" w:eastAsia="de-DE"/>
        </w:rPr>
        <w:t xml:space="preserve">of </w:t>
      </w:r>
      <w:r w:rsidRPr="00E36157">
        <w:rPr>
          <w:rFonts w:eastAsia="Times New Roman"/>
          <w:noProof/>
          <w:szCs w:val="24"/>
          <w:lang w:val="en-IE" w:eastAsia="de-DE"/>
        </w:rPr>
        <w:t>Annex</w:t>
      </w:r>
      <w:r w:rsidRPr="005A239E">
        <w:rPr>
          <w:rFonts w:eastAsia="Times New Roman"/>
          <w:noProof/>
          <w:szCs w:val="24"/>
          <w:lang w:val="en-IE" w:eastAsia="de-DE"/>
        </w:rPr>
        <w:t xml:space="preserve"> I</w:t>
      </w:r>
      <w:r>
        <w:rPr>
          <w:noProof/>
        </w:rPr>
        <w:t>;’;</w:t>
      </w:r>
    </w:p>
    <w:p w:rsidR="00DB0916" w:rsidRPr="00A04343" w:rsidRDefault="005B4A90" w:rsidP="005B4A90">
      <w:pPr>
        <w:pStyle w:val="Point1"/>
        <w:rPr>
          <w:noProof/>
        </w:rPr>
      </w:pPr>
      <w:r w:rsidRPr="005B4A90">
        <w:t>(i)</w:t>
      </w:r>
      <w:r w:rsidRPr="005B4A90">
        <w:tab/>
      </w:r>
      <w:r w:rsidR="00AF55E2">
        <w:rPr>
          <w:noProof/>
        </w:rPr>
        <w:t xml:space="preserve">the following points </w:t>
      </w:r>
      <w:r w:rsidR="00AF55E2" w:rsidRPr="000B6D27">
        <w:rPr>
          <w:noProof/>
        </w:rPr>
        <w:t>(16) to (2</w:t>
      </w:r>
      <w:r w:rsidR="00037FAD">
        <w:rPr>
          <w:noProof/>
        </w:rPr>
        <w:t>3</w:t>
      </w:r>
      <w:r w:rsidR="00AF55E2" w:rsidRPr="000B6D27">
        <w:rPr>
          <w:noProof/>
        </w:rPr>
        <w:t>)</w:t>
      </w:r>
      <w:r w:rsidR="00AF55E2">
        <w:rPr>
          <w:noProof/>
        </w:rPr>
        <w:t xml:space="preserve"> are added:</w:t>
      </w:r>
    </w:p>
    <w:p w:rsidR="00F72F44" w:rsidRPr="00B262D6" w:rsidRDefault="00AF55E2" w:rsidP="00F72F44">
      <w:pPr>
        <w:pStyle w:val="Text20"/>
        <w:rPr>
          <w:noProof/>
          <w:lang w:val="en-US" w:eastAsia="de-DE"/>
        </w:rPr>
      </w:pPr>
      <w:r w:rsidRPr="00F31D6A">
        <w:rPr>
          <w:noProof/>
          <w:lang w:eastAsia="de-DE"/>
        </w:rPr>
        <w:t>‘</w:t>
      </w:r>
      <w:r w:rsidR="00F72F44" w:rsidRPr="00F31D6A">
        <w:rPr>
          <w:noProof/>
          <w:lang w:val="en-US" w:eastAsia="de-DE"/>
        </w:rPr>
        <w:t>(16) ‘</w:t>
      </w:r>
      <w:r w:rsidR="00F72F44" w:rsidRPr="00F31D6A">
        <w:rPr>
          <w:noProof/>
          <w:lang w:val="en-IE" w:eastAsia="de-DE"/>
        </w:rPr>
        <w:t>primary vehicle</w:t>
      </w:r>
      <w:r w:rsidR="007A6943">
        <w:rPr>
          <w:noProof/>
          <w:lang w:val="en-IE" w:eastAsia="de-DE"/>
        </w:rPr>
        <w:t xml:space="preserve"> of a heavy-duty vehicle</w:t>
      </w:r>
      <w:r w:rsidR="00F72F44" w:rsidRPr="00F31D6A">
        <w:rPr>
          <w:noProof/>
          <w:lang w:val="en-IE" w:eastAsia="de-DE"/>
        </w:rPr>
        <w:t>’ means a primary vehicle as defined in Article 3, point (22)</w:t>
      </w:r>
      <w:r w:rsidR="00F20E5E" w:rsidRPr="00F31D6A">
        <w:rPr>
          <w:noProof/>
          <w:lang w:val="en-IE" w:eastAsia="de-DE"/>
        </w:rPr>
        <w:t>,</w:t>
      </w:r>
      <w:r w:rsidR="00F72F44" w:rsidRPr="00F31D6A">
        <w:rPr>
          <w:noProof/>
          <w:lang w:val="en-IE" w:eastAsia="de-DE"/>
        </w:rPr>
        <w:t xml:space="preserve"> of Regulation (EU) 2017/2400</w:t>
      </w:r>
      <w:r w:rsidR="007A6943">
        <w:rPr>
          <w:noProof/>
          <w:lang w:val="en-IE" w:eastAsia="de-DE"/>
        </w:rPr>
        <w:t>, for the simulation of which a generic body is allocated that corresponds to the actual body of the heavy-duty vehicle with regard to its floor (low/high) deck (single/double) configuration</w:t>
      </w:r>
      <w:r w:rsidR="00415DD5">
        <w:rPr>
          <w:noProof/>
          <w:lang w:val="en-IE" w:eastAsia="de-DE"/>
        </w:rPr>
        <w:t>s</w:t>
      </w:r>
      <w:r w:rsidR="00547D77">
        <w:rPr>
          <w:noProof/>
          <w:lang w:val="en-IE" w:eastAsia="de-DE"/>
        </w:rPr>
        <w:t xml:space="preserve"> and any other parameters as applicable</w:t>
      </w:r>
      <w:r w:rsidR="00F72F44" w:rsidRPr="00F31D6A">
        <w:rPr>
          <w:noProof/>
          <w:lang w:val="en-IE" w:eastAsia="de-DE"/>
        </w:rPr>
        <w:t>;</w:t>
      </w:r>
    </w:p>
    <w:p w:rsidR="00F72F44" w:rsidRDefault="00F72F44" w:rsidP="00F72F44">
      <w:pPr>
        <w:pStyle w:val="Text20"/>
        <w:rPr>
          <w:noProof/>
          <w:lang w:val="en-IE" w:eastAsia="de-DE"/>
        </w:rPr>
      </w:pPr>
      <w:r>
        <w:rPr>
          <w:noProof/>
          <w:lang w:val="en-IE" w:eastAsia="de-DE"/>
        </w:rPr>
        <w:t>(17) ‘</w:t>
      </w:r>
      <w:r w:rsidRPr="00BB067A">
        <w:rPr>
          <w:noProof/>
          <w:lang w:val="en-IE" w:eastAsia="de-DE"/>
        </w:rPr>
        <w:t>completed vehicle’ means a completed vehicle as defined in Article 3, point (26), of Regulation (EU) 2018/858</w:t>
      </w:r>
      <w:r>
        <w:rPr>
          <w:noProof/>
          <w:lang w:val="en-IE" w:eastAsia="de-DE"/>
        </w:rPr>
        <w:t>;</w:t>
      </w:r>
    </w:p>
    <w:p w:rsidR="00F72F44" w:rsidRPr="00F31D6A" w:rsidRDefault="00F72F44" w:rsidP="00F72F44">
      <w:pPr>
        <w:pStyle w:val="Text20"/>
        <w:rPr>
          <w:noProof/>
          <w:lang w:val="en-IE" w:eastAsia="de-DE"/>
        </w:rPr>
      </w:pPr>
      <w:r>
        <w:rPr>
          <w:noProof/>
          <w:lang w:val="en-IE" w:eastAsia="de-DE"/>
        </w:rPr>
        <w:t>(18) ‘</w:t>
      </w:r>
      <w:r w:rsidRPr="00863EBC">
        <w:rPr>
          <w:noProof/>
          <w:lang w:val="en-IE" w:eastAsia="de-DE"/>
        </w:rPr>
        <w:t xml:space="preserve">complete vehicle’ means a </w:t>
      </w:r>
      <w:r w:rsidRPr="00F31D6A">
        <w:rPr>
          <w:noProof/>
          <w:lang w:val="en-IE" w:eastAsia="de-DE"/>
        </w:rPr>
        <w:t>complete vehicle as defined in Article 3, point (27), of Regulation (EU) 2018/858;</w:t>
      </w:r>
    </w:p>
    <w:p w:rsidR="00F72F44" w:rsidRPr="00F31D6A" w:rsidRDefault="00F72F44" w:rsidP="00F72F44">
      <w:pPr>
        <w:pStyle w:val="Text20"/>
        <w:rPr>
          <w:noProof/>
          <w:lang w:val="en-IE" w:eastAsia="de-DE"/>
        </w:rPr>
      </w:pPr>
      <w:r w:rsidRPr="00F31D6A">
        <w:rPr>
          <w:noProof/>
          <w:lang w:val="en-IE" w:eastAsia="de-DE"/>
        </w:rPr>
        <w:t xml:space="preserve">(19) ‘off-road vehicle’ means an off-road vehicle as defined in </w:t>
      </w:r>
      <w:r w:rsidR="00F20E5E" w:rsidRPr="00F31D6A">
        <w:rPr>
          <w:noProof/>
          <w:lang w:val="en-IE" w:eastAsia="de-DE"/>
        </w:rPr>
        <w:t xml:space="preserve">Part A, point 2.1., of </w:t>
      </w:r>
      <w:r w:rsidRPr="00F31D6A">
        <w:rPr>
          <w:noProof/>
          <w:lang w:val="en-IE" w:eastAsia="de-DE"/>
        </w:rPr>
        <w:t>Annex I to Regulation (EU) 2018/858;</w:t>
      </w:r>
    </w:p>
    <w:p w:rsidR="00F72F44" w:rsidRPr="00F31D6A" w:rsidRDefault="00F72F44" w:rsidP="00F72F44">
      <w:pPr>
        <w:pStyle w:val="Text20"/>
        <w:rPr>
          <w:noProof/>
          <w:lang w:val="en-IE" w:eastAsia="de-DE"/>
        </w:rPr>
      </w:pPr>
      <w:r w:rsidRPr="00F31D6A">
        <w:rPr>
          <w:noProof/>
          <w:lang w:val="en-IE" w:eastAsia="de-DE"/>
        </w:rPr>
        <w:t>(20) ‘special purpose vehicle’ means a special purpose vehicle as defined in Article 3</w:t>
      </w:r>
      <w:r w:rsidR="00F20E5E" w:rsidRPr="00F31D6A">
        <w:rPr>
          <w:noProof/>
          <w:lang w:val="en-IE" w:eastAsia="de-DE"/>
        </w:rPr>
        <w:t>,</w:t>
      </w:r>
      <w:r w:rsidRPr="00F31D6A">
        <w:rPr>
          <w:noProof/>
          <w:lang w:val="en-IE" w:eastAsia="de-DE"/>
        </w:rPr>
        <w:t xml:space="preserve"> point (31)</w:t>
      </w:r>
      <w:r w:rsidR="00F20E5E" w:rsidRPr="00F31D6A">
        <w:rPr>
          <w:noProof/>
          <w:lang w:val="en-IE" w:eastAsia="de-DE"/>
        </w:rPr>
        <w:t>,</w:t>
      </w:r>
      <w:r w:rsidRPr="00F31D6A">
        <w:rPr>
          <w:noProof/>
          <w:lang w:val="en-IE" w:eastAsia="de-DE"/>
        </w:rPr>
        <w:t xml:space="preserve"> of Regulation (EU) 2018/858;</w:t>
      </w:r>
    </w:p>
    <w:p w:rsidR="00F72F44" w:rsidRPr="00F31D6A" w:rsidRDefault="00F72F44" w:rsidP="00F72F44">
      <w:pPr>
        <w:pStyle w:val="Text20"/>
        <w:rPr>
          <w:noProof/>
          <w:lang w:val="en-IE" w:eastAsia="de-DE"/>
        </w:rPr>
      </w:pPr>
      <w:r w:rsidRPr="00F31D6A">
        <w:rPr>
          <w:noProof/>
          <w:lang w:val="en-IE" w:eastAsia="de-DE"/>
        </w:rPr>
        <w:t xml:space="preserve">(21) ‘off road special purpose vehicle’ means an off road special purpose vehicle as </w:t>
      </w:r>
      <w:r w:rsidR="0091022A" w:rsidRPr="00F31D6A">
        <w:rPr>
          <w:noProof/>
          <w:lang w:val="en-IE" w:eastAsia="de-DE"/>
        </w:rPr>
        <w:t xml:space="preserve">specified </w:t>
      </w:r>
      <w:r w:rsidRPr="00F31D6A">
        <w:rPr>
          <w:noProof/>
          <w:lang w:val="en-IE" w:eastAsia="de-DE"/>
        </w:rPr>
        <w:t xml:space="preserve">in </w:t>
      </w:r>
      <w:r w:rsidR="00AF55E2" w:rsidRPr="00F31D6A">
        <w:rPr>
          <w:noProof/>
          <w:lang w:val="en-IE" w:eastAsia="de-DE"/>
        </w:rPr>
        <w:t xml:space="preserve">Part A, point 2.3.1., of </w:t>
      </w:r>
      <w:r w:rsidRPr="00F31D6A">
        <w:rPr>
          <w:noProof/>
          <w:lang w:val="en-IE" w:eastAsia="de-DE"/>
        </w:rPr>
        <w:t>Annex I to Regulation (EU) 2018/858;</w:t>
      </w:r>
    </w:p>
    <w:p w:rsidR="00037FAD" w:rsidRDefault="00F72F44" w:rsidP="00F72F44">
      <w:pPr>
        <w:pStyle w:val="Text20"/>
        <w:rPr>
          <w:noProof/>
          <w:lang w:val="en-IE" w:eastAsia="de-DE"/>
        </w:rPr>
      </w:pPr>
      <w:r w:rsidRPr="00F31D6A">
        <w:rPr>
          <w:noProof/>
          <w:lang w:val="en-IE" w:eastAsia="de-DE"/>
        </w:rPr>
        <w:t>(22) ‘certificate of conformity’ means a certificate of conformity as defined in Article 3</w:t>
      </w:r>
      <w:r w:rsidR="00F20E5E" w:rsidRPr="00F31D6A">
        <w:rPr>
          <w:noProof/>
          <w:lang w:val="en-IE" w:eastAsia="de-DE"/>
        </w:rPr>
        <w:t>,</w:t>
      </w:r>
      <w:r w:rsidRPr="00F31D6A">
        <w:rPr>
          <w:noProof/>
          <w:lang w:val="en-IE" w:eastAsia="de-DE"/>
        </w:rPr>
        <w:t xml:space="preserve"> </w:t>
      </w:r>
      <w:r w:rsidR="00F20E5E" w:rsidRPr="00F31D6A">
        <w:rPr>
          <w:noProof/>
          <w:lang w:val="en-IE" w:eastAsia="de-DE"/>
        </w:rPr>
        <w:t xml:space="preserve">point </w:t>
      </w:r>
      <w:r w:rsidRPr="00F31D6A">
        <w:rPr>
          <w:noProof/>
          <w:lang w:val="en-IE" w:eastAsia="de-DE"/>
        </w:rPr>
        <w:t>(5)</w:t>
      </w:r>
      <w:r w:rsidR="00F20E5E" w:rsidRPr="00F31D6A">
        <w:rPr>
          <w:noProof/>
          <w:lang w:val="en-IE" w:eastAsia="de-DE"/>
        </w:rPr>
        <w:t>,</w:t>
      </w:r>
      <w:r w:rsidRPr="00F31D6A">
        <w:rPr>
          <w:noProof/>
          <w:lang w:val="en-IE" w:eastAsia="de-DE"/>
        </w:rPr>
        <w:t xml:space="preserve"> of Regulation (EU) 2018/858;</w:t>
      </w:r>
    </w:p>
    <w:p w:rsidR="00F72F44" w:rsidRDefault="00037FAD" w:rsidP="00F72F44">
      <w:pPr>
        <w:pStyle w:val="Text20"/>
        <w:rPr>
          <w:noProof/>
          <w:lang w:val="en-IE" w:eastAsia="de-DE"/>
        </w:rPr>
      </w:pPr>
      <w:r>
        <w:rPr>
          <w:noProof/>
          <w:lang w:val="en-IE" w:eastAsia="de-DE"/>
        </w:rPr>
        <w:t xml:space="preserve">(23) </w:t>
      </w:r>
      <w:r w:rsidRPr="00037FAD">
        <w:rPr>
          <w:noProof/>
          <w:lang w:val="en-IE" w:eastAsia="de-DE"/>
        </w:rPr>
        <w:t>‘public contract’, in the context of public procurement procedures and unless otherwise specified, means a public contract as defined in Article 2(1), point (5) of Directive 2014/24/EU, ‘contracts’ as defined in Article 2, point (1) of Directive 2014/25/EU, as well as ‘concessions’ as defined in Article 5, point (1) of Directive 2014/23/EU</w:t>
      </w:r>
      <w:r w:rsidR="00AF55E2" w:rsidRPr="00F31D6A">
        <w:rPr>
          <w:noProof/>
          <w:lang w:val="en-IE" w:eastAsia="de-DE"/>
        </w:rPr>
        <w:t>’</w:t>
      </w:r>
      <w:r w:rsidR="00F72F44" w:rsidRPr="00F31D6A">
        <w:rPr>
          <w:noProof/>
          <w:lang w:val="en-IE" w:eastAsia="de-DE"/>
        </w:rPr>
        <w:t>;</w:t>
      </w:r>
    </w:p>
    <w:p w:rsidR="00F72F44" w:rsidRDefault="005B4A90" w:rsidP="005B4A90">
      <w:pPr>
        <w:pStyle w:val="Point1"/>
        <w:rPr>
          <w:noProof/>
          <w:lang w:val="en-IE" w:eastAsia="de-DE"/>
        </w:rPr>
      </w:pPr>
      <w:r w:rsidRPr="005B4A90">
        <w:t>(j)</w:t>
      </w:r>
      <w:r w:rsidRPr="005B4A90">
        <w:tab/>
      </w:r>
      <w:r w:rsidR="00F72F44">
        <w:rPr>
          <w:noProof/>
          <w:lang w:val="en-IE" w:eastAsia="de-DE"/>
        </w:rPr>
        <w:t xml:space="preserve">the following </w:t>
      </w:r>
      <w:r w:rsidR="00F72F44" w:rsidRPr="00F72F44">
        <w:rPr>
          <w:noProof/>
        </w:rPr>
        <w:t>paragraph</w:t>
      </w:r>
      <w:r w:rsidR="00F72F44">
        <w:rPr>
          <w:noProof/>
          <w:lang w:val="en-IE" w:eastAsia="de-DE"/>
        </w:rPr>
        <w:t xml:space="preserve"> is added:</w:t>
      </w:r>
    </w:p>
    <w:p w:rsidR="009110AA" w:rsidRDefault="00CD04D9" w:rsidP="0070471F">
      <w:pPr>
        <w:pStyle w:val="Text20"/>
        <w:rPr>
          <w:noProof/>
          <w:lang w:val="en-IE" w:eastAsia="de-DE"/>
        </w:rPr>
      </w:pPr>
      <w:r>
        <w:rPr>
          <w:noProof/>
          <w:lang w:val="en-IE" w:eastAsia="de-DE"/>
        </w:rPr>
        <w:t>‘</w:t>
      </w:r>
      <w:r w:rsidR="00F72F44" w:rsidRPr="00A471F5">
        <w:rPr>
          <w:noProof/>
          <w:lang w:val="en-IE" w:eastAsia="de-DE"/>
        </w:rPr>
        <w:t>For the purposes of this Regulation, ‘</w:t>
      </w:r>
      <w:r w:rsidR="00F72F44">
        <w:rPr>
          <w:noProof/>
          <w:lang w:val="en-IE" w:eastAsia="de-DE"/>
        </w:rPr>
        <w:t xml:space="preserve">a group of connected manufacturers’ means a manufacturer and its connected undertakings. </w:t>
      </w:r>
    </w:p>
    <w:p w:rsidR="00F72F44" w:rsidRPr="00A471F5" w:rsidRDefault="00F72F44" w:rsidP="0070471F">
      <w:pPr>
        <w:pStyle w:val="Text20"/>
        <w:rPr>
          <w:noProof/>
          <w:lang w:val="en-IE" w:eastAsia="de-DE"/>
        </w:rPr>
      </w:pPr>
      <w:r>
        <w:rPr>
          <w:noProof/>
          <w:lang w:val="en-IE" w:eastAsia="de-DE"/>
        </w:rPr>
        <w:t>‘C</w:t>
      </w:r>
      <w:r w:rsidRPr="00A471F5">
        <w:rPr>
          <w:noProof/>
          <w:lang w:val="en-IE" w:eastAsia="de-DE"/>
        </w:rPr>
        <w:t>onnected undertaking’ means:</w:t>
      </w:r>
    </w:p>
    <w:p w:rsidR="00F72F44" w:rsidRPr="00A471F5" w:rsidRDefault="0070471F" w:rsidP="0070471F">
      <w:pPr>
        <w:pStyle w:val="Text20"/>
        <w:rPr>
          <w:noProof/>
          <w:lang w:val="en-IE"/>
        </w:rPr>
      </w:pPr>
      <w:r>
        <w:rPr>
          <w:noProof/>
          <w:lang w:val="en-IE" w:eastAsia="de-DE"/>
        </w:rPr>
        <w:t xml:space="preserve">(a) </w:t>
      </w:r>
      <w:r w:rsidR="00F72F44">
        <w:rPr>
          <w:noProof/>
          <w:lang w:val="en-IE" w:eastAsia="de-DE"/>
        </w:rPr>
        <w:t>undertakings in which the manufacturer has, directly or indirectly:</w:t>
      </w:r>
    </w:p>
    <w:p w:rsidR="00F72F44" w:rsidRPr="00A471F5" w:rsidRDefault="0070471F" w:rsidP="0070471F">
      <w:pPr>
        <w:pStyle w:val="Text20"/>
        <w:ind w:left="2137" w:firstLine="23"/>
        <w:rPr>
          <w:noProof/>
          <w:lang w:val="en-IE"/>
        </w:rPr>
      </w:pPr>
      <w:r>
        <w:rPr>
          <w:noProof/>
          <w:lang w:val="en-IE" w:eastAsia="de-DE"/>
        </w:rPr>
        <w:t xml:space="preserve">(i) </w:t>
      </w:r>
      <w:r w:rsidR="00F72F44">
        <w:rPr>
          <w:noProof/>
          <w:lang w:val="en-IE" w:eastAsia="de-DE"/>
        </w:rPr>
        <w:t>the power to exercise more than half the voting rights; or</w:t>
      </w:r>
    </w:p>
    <w:p w:rsidR="00F72F44" w:rsidRPr="00A471F5" w:rsidRDefault="0070471F" w:rsidP="0070471F">
      <w:pPr>
        <w:pStyle w:val="Text20"/>
        <w:ind w:left="2160"/>
        <w:rPr>
          <w:noProof/>
          <w:lang w:val="en-IE"/>
        </w:rPr>
      </w:pPr>
      <w:r>
        <w:rPr>
          <w:noProof/>
          <w:lang w:val="en-IE" w:eastAsia="de-DE"/>
        </w:rPr>
        <w:t xml:space="preserve">(ii) </w:t>
      </w:r>
      <w:r w:rsidR="00F72F44">
        <w:rPr>
          <w:noProof/>
          <w:lang w:val="en-IE" w:eastAsia="de-DE"/>
        </w:rPr>
        <w:t>the power to appoint more than half the members of the supervisory board, board of management or bodies legally representing the undertaking; or</w:t>
      </w:r>
    </w:p>
    <w:p w:rsidR="00F72F44" w:rsidRPr="00A471F5" w:rsidRDefault="0070471F" w:rsidP="0070471F">
      <w:pPr>
        <w:pStyle w:val="Text20"/>
        <w:ind w:left="2137" w:firstLine="23"/>
        <w:rPr>
          <w:noProof/>
          <w:lang w:val="en-IE"/>
        </w:rPr>
      </w:pPr>
      <w:r>
        <w:rPr>
          <w:noProof/>
          <w:lang w:val="en-IE" w:eastAsia="de-DE"/>
        </w:rPr>
        <w:t xml:space="preserve">(iii) </w:t>
      </w:r>
      <w:r w:rsidR="00F72F44">
        <w:rPr>
          <w:noProof/>
          <w:lang w:val="en-IE" w:eastAsia="de-DE"/>
        </w:rPr>
        <w:t>the right to manage the undertaking’s affairs;</w:t>
      </w:r>
    </w:p>
    <w:p w:rsidR="00F72F44" w:rsidRDefault="0070471F" w:rsidP="0070471F">
      <w:pPr>
        <w:pStyle w:val="Text20"/>
        <w:rPr>
          <w:noProof/>
          <w:lang w:val="en-IE"/>
        </w:rPr>
      </w:pPr>
      <w:r>
        <w:rPr>
          <w:noProof/>
          <w:lang w:val="en-IE"/>
        </w:rPr>
        <w:t xml:space="preserve">(b) </w:t>
      </w:r>
      <w:r w:rsidR="00F72F44">
        <w:rPr>
          <w:noProof/>
          <w:lang w:val="en-IE"/>
        </w:rPr>
        <w:t>undertakings which directly or indirectly have, over the manufacturer, the rights or powers referred to in point (a);</w:t>
      </w:r>
    </w:p>
    <w:p w:rsidR="00F72F44" w:rsidRDefault="0070471F" w:rsidP="0070471F">
      <w:pPr>
        <w:pStyle w:val="Text20"/>
        <w:rPr>
          <w:noProof/>
          <w:lang w:val="en-IE"/>
        </w:rPr>
      </w:pPr>
      <w:r>
        <w:rPr>
          <w:noProof/>
          <w:lang w:val="en-IE"/>
        </w:rPr>
        <w:t xml:space="preserve">(c) </w:t>
      </w:r>
      <w:r w:rsidR="00F72F44">
        <w:rPr>
          <w:noProof/>
          <w:lang w:val="en-IE"/>
        </w:rPr>
        <w:t xml:space="preserve">undertakings in which an undertaking referred to in point (b) has, directly or indirectly, the rights or powers referred to in point (a); </w:t>
      </w:r>
    </w:p>
    <w:p w:rsidR="00F72F44" w:rsidRDefault="0070471F" w:rsidP="0070471F">
      <w:pPr>
        <w:pStyle w:val="Text20"/>
        <w:rPr>
          <w:noProof/>
          <w:lang w:val="en-IE"/>
        </w:rPr>
      </w:pPr>
      <w:r>
        <w:rPr>
          <w:noProof/>
          <w:lang w:val="en-IE"/>
        </w:rPr>
        <w:t xml:space="preserve">(d) </w:t>
      </w:r>
      <w:r w:rsidR="00F72F44">
        <w:rPr>
          <w:noProof/>
          <w:lang w:val="en-IE"/>
        </w:rPr>
        <w:t>undertakings in which the manufacturer together with one or more of the undertakings referred to in point (a), (b) or (c), or in which two or more of the latter undertakings, jointly have the rights or powers referred to in point (a);</w:t>
      </w:r>
    </w:p>
    <w:p w:rsidR="00F72F44" w:rsidRDefault="0070471F" w:rsidP="0070471F">
      <w:pPr>
        <w:pStyle w:val="Text20"/>
        <w:rPr>
          <w:noProof/>
          <w:lang w:val="en-IE"/>
        </w:rPr>
      </w:pPr>
      <w:r>
        <w:rPr>
          <w:noProof/>
          <w:lang w:val="en-IE"/>
        </w:rPr>
        <w:t xml:space="preserve">(e ) </w:t>
      </w:r>
      <w:r w:rsidR="00F72F44" w:rsidRPr="00CF30B2">
        <w:rPr>
          <w:noProof/>
          <w:lang w:val="en-IE"/>
        </w:rPr>
        <w:t>undertakings in which the rights or the powers referred to in point (a) are jointly held by the manufacturer or one or more of its connected undertakings referred to in points (a) to (d) and one or more third parties</w:t>
      </w:r>
      <w:r w:rsidR="00CD04D9">
        <w:rPr>
          <w:noProof/>
          <w:lang w:val="en-IE"/>
        </w:rPr>
        <w:t>.’</w:t>
      </w:r>
      <w:r w:rsidR="00F72F44">
        <w:rPr>
          <w:noProof/>
          <w:lang w:val="en-IE"/>
        </w:rPr>
        <w:t>;</w:t>
      </w:r>
    </w:p>
    <w:p w:rsidR="003B424B" w:rsidRDefault="005B4A90" w:rsidP="005B4A90">
      <w:pPr>
        <w:pStyle w:val="Point0"/>
        <w:rPr>
          <w:noProof/>
        </w:rPr>
      </w:pPr>
      <w:r w:rsidRPr="005B4A90">
        <w:t>(4)</w:t>
      </w:r>
      <w:r w:rsidRPr="005B4A90">
        <w:tab/>
      </w:r>
      <w:r w:rsidR="008621CA">
        <w:rPr>
          <w:noProof/>
        </w:rPr>
        <w:t xml:space="preserve">the following </w:t>
      </w:r>
      <w:r w:rsidR="003B424B">
        <w:rPr>
          <w:noProof/>
        </w:rPr>
        <w:t>Articles 3a</w:t>
      </w:r>
      <w:r w:rsidR="00037680">
        <w:rPr>
          <w:noProof/>
        </w:rPr>
        <w:t xml:space="preserve"> to 3c</w:t>
      </w:r>
      <w:r w:rsidR="003B424B">
        <w:rPr>
          <w:noProof/>
        </w:rPr>
        <w:t xml:space="preserve">  are inserted:</w:t>
      </w:r>
    </w:p>
    <w:p w:rsidR="0070471F" w:rsidRPr="0070471F" w:rsidRDefault="0070471F" w:rsidP="0070471F">
      <w:pPr>
        <w:pStyle w:val="Text10"/>
        <w:jc w:val="center"/>
        <w:rPr>
          <w:b/>
          <w:noProof/>
          <w:lang w:val="en-IE"/>
        </w:rPr>
      </w:pPr>
      <w:r>
        <w:rPr>
          <w:noProof/>
          <w:lang w:val="en-IE"/>
        </w:rPr>
        <w:t>‘</w:t>
      </w:r>
      <w:r w:rsidRPr="00BB067A">
        <w:rPr>
          <w:noProof/>
          <w:lang w:val="en-IE"/>
        </w:rPr>
        <w:t>Article 3a</w:t>
      </w:r>
      <w:r w:rsidR="00C615A7">
        <w:rPr>
          <w:noProof/>
          <w:lang w:val="en-IE"/>
        </w:rPr>
        <w:br/>
      </w:r>
      <w:r w:rsidRPr="0070471F">
        <w:rPr>
          <w:b/>
          <w:noProof/>
          <w:lang w:val="en-IE"/>
        </w:rPr>
        <w:t>CO</w:t>
      </w:r>
      <w:r w:rsidRPr="0070471F">
        <w:rPr>
          <w:b/>
          <w:noProof/>
          <w:vertAlign w:val="subscript"/>
          <w:lang w:val="en-IE"/>
        </w:rPr>
        <w:t>2</w:t>
      </w:r>
      <w:r w:rsidRPr="0070471F">
        <w:rPr>
          <w:b/>
          <w:noProof/>
          <w:lang w:val="en-IE"/>
        </w:rPr>
        <w:t xml:space="preserve"> emission targets</w:t>
      </w:r>
    </w:p>
    <w:p w:rsidR="0070471F" w:rsidRPr="0070471F" w:rsidRDefault="00CD04D9" w:rsidP="00C9020F">
      <w:pPr>
        <w:pStyle w:val="Text10"/>
        <w:rPr>
          <w:noProof/>
          <w:lang w:val="en-IE" w:eastAsia="de-DE"/>
        </w:rPr>
      </w:pPr>
      <w:r>
        <w:rPr>
          <w:noProof/>
          <w:lang w:val="en-IE" w:eastAsia="de-DE"/>
        </w:rPr>
        <w:t>1.</w:t>
      </w:r>
      <w:r>
        <w:rPr>
          <w:noProof/>
          <w:lang w:val="en-IE" w:eastAsia="de-DE"/>
        </w:rPr>
        <w:tab/>
      </w:r>
      <w:r w:rsidR="0070471F" w:rsidRPr="0070471F">
        <w:rPr>
          <w:noProof/>
          <w:lang w:val="en-IE" w:eastAsia="de-DE"/>
        </w:rPr>
        <w:t xml:space="preserve">The </w:t>
      </w:r>
      <w:r w:rsidR="00DB0916">
        <w:rPr>
          <w:noProof/>
          <w:lang w:val="en-IE" w:eastAsia="de-DE"/>
        </w:rPr>
        <w:t>average</w:t>
      </w:r>
      <w:r w:rsidR="00DB0916" w:rsidRPr="0070471F">
        <w:rPr>
          <w:noProof/>
          <w:lang w:val="en-IE" w:eastAsia="de-DE"/>
        </w:rPr>
        <w:t xml:space="preserve"> </w:t>
      </w:r>
      <w:r w:rsidR="0070471F" w:rsidRPr="0070471F">
        <w:rPr>
          <w:noProof/>
          <w:lang w:val="en-IE" w:eastAsia="de-DE"/>
        </w:rPr>
        <w:t>CO</w:t>
      </w:r>
      <w:r w:rsidR="0070471F" w:rsidRPr="0070471F">
        <w:rPr>
          <w:noProof/>
          <w:vertAlign w:val="subscript"/>
          <w:lang w:val="en-IE" w:eastAsia="de-DE"/>
        </w:rPr>
        <w:t>2</w:t>
      </w:r>
      <w:r w:rsidR="0070471F" w:rsidRPr="0070471F">
        <w:rPr>
          <w:noProof/>
          <w:lang w:val="en-IE" w:eastAsia="de-DE"/>
        </w:rPr>
        <w:t xml:space="preserve"> emissions of the Union fleet of new heavy-duty motor </w:t>
      </w:r>
      <w:r w:rsidR="0070471F" w:rsidRPr="00F04BCD">
        <w:rPr>
          <w:noProof/>
          <w:lang w:val="en-IE" w:eastAsia="de-DE"/>
        </w:rPr>
        <w:t>vehicles</w:t>
      </w:r>
      <w:r w:rsidR="00F04BCD" w:rsidRPr="00F04BCD">
        <w:rPr>
          <w:noProof/>
          <w:lang w:val="en-IE" w:eastAsia="de-DE"/>
        </w:rPr>
        <w:t>,</w:t>
      </w:r>
      <w:r w:rsidR="0070471F" w:rsidRPr="00F04BCD">
        <w:rPr>
          <w:noProof/>
          <w:lang w:val="en-IE" w:eastAsia="de-DE"/>
        </w:rPr>
        <w:t xml:space="preserve"> </w:t>
      </w:r>
      <w:r w:rsidR="00F04BCD" w:rsidRPr="00E41C8E">
        <w:rPr>
          <w:noProof/>
          <w:lang w:val="en-IE" w:eastAsia="de-DE"/>
        </w:rPr>
        <w:t>other than special purpose,</w:t>
      </w:r>
      <w:r w:rsidR="00C30448">
        <w:rPr>
          <w:noProof/>
          <w:lang w:val="en-IE" w:eastAsia="de-DE"/>
        </w:rPr>
        <w:t xml:space="preserve"> off-road</w:t>
      </w:r>
      <w:r w:rsidR="00453EEC">
        <w:rPr>
          <w:noProof/>
          <w:lang w:val="en-IE" w:eastAsia="de-DE"/>
        </w:rPr>
        <w:t>,</w:t>
      </w:r>
      <w:r w:rsidR="00F04BCD" w:rsidRPr="00E41C8E">
        <w:rPr>
          <w:noProof/>
          <w:lang w:val="en-IE" w:eastAsia="de-DE"/>
        </w:rPr>
        <w:t xml:space="preserve"> </w:t>
      </w:r>
      <w:r w:rsidR="00734B4F">
        <w:rPr>
          <w:noProof/>
          <w:lang w:val="en-IE" w:eastAsia="de-DE"/>
        </w:rPr>
        <w:t xml:space="preserve"> </w:t>
      </w:r>
      <w:r w:rsidR="00F04BCD" w:rsidRPr="00E41C8E">
        <w:rPr>
          <w:noProof/>
          <w:lang w:val="en-IE" w:eastAsia="de-DE"/>
        </w:rPr>
        <w:t>off-road special purpose,</w:t>
      </w:r>
      <w:r w:rsidR="00453EEC">
        <w:rPr>
          <w:noProof/>
          <w:lang w:val="en-IE" w:eastAsia="de-DE"/>
        </w:rPr>
        <w:t xml:space="preserve"> and vocational vehicles</w:t>
      </w:r>
      <w:r w:rsidR="00F04BCD" w:rsidRPr="00F04BCD">
        <w:rPr>
          <w:noProof/>
          <w:lang w:val="en-IE" w:eastAsia="de-DE"/>
        </w:rPr>
        <w:t xml:space="preserve"> </w:t>
      </w:r>
      <w:r w:rsidR="0070471F" w:rsidRPr="00F04BCD">
        <w:rPr>
          <w:noProof/>
          <w:lang w:val="en-IE" w:eastAsia="de-DE"/>
        </w:rPr>
        <w:t>shall be</w:t>
      </w:r>
      <w:r w:rsidR="0070471F" w:rsidRPr="0070471F">
        <w:rPr>
          <w:noProof/>
          <w:lang w:val="en-IE" w:eastAsia="de-DE"/>
        </w:rPr>
        <w:t xml:space="preserve"> reduced </w:t>
      </w:r>
      <w:r w:rsidR="009D78FB">
        <w:rPr>
          <w:noProof/>
          <w:lang w:val="en-IE" w:eastAsia="de-DE"/>
        </w:rPr>
        <w:t>by the following</w:t>
      </w:r>
      <w:r w:rsidR="00670DEC">
        <w:rPr>
          <w:noProof/>
          <w:lang w:val="en-IE" w:eastAsia="de-DE"/>
        </w:rPr>
        <w:t xml:space="preserve"> percentages</w:t>
      </w:r>
      <w:r w:rsidR="009D78FB" w:rsidRPr="009D78FB">
        <w:rPr>
          <w:noProof/>
          <w:lang w:val="en-IE" w:eastAsia="de-DE"/>
        </w:rPr>
        <w:t xml:space="preserve"> </w:t>
      </w:r>
      <w:r w:rsidR="009D78FB">
        <w:rPr>
          <w:noProof/>
          <w:lang w:val="en-IE" w:eastAsia="de-DE"/>
        </w:rPr>
        <w:t xml:space="preserve">compared to the average </w:t>
      </w:r>
      <w:r w:rsidR="009B3DC6" w:rsidRPr="007142D1">
        <w:rPr>
          <w:noProof/>
        </w:rPr>
        <w:t>CO</w:t>
      </w:r>
      <w:r w:rsidR="009B3DC6" w:rsidRPr="00953CAE">
        <w:rPr>
          <w:noProof/>
          <w:vertAlign w:val="subscript"/>
        </w:rPr>
        <w:t>2</w:t>
      </w:r>
      <w:r w:rsidR="008218B9">
        <w:rPr>
          <w:noProof/>
          <w:lang w:val="en-IE" w:eastAsia="de-DE"/>
        </w:rPr>
        <w:t xml:space="preserve"> e</w:t>
      </w:r>
      <w:r w:rsidR="009D78FB">
        <w:rPr>
          <w:noProof/>
          <w:lang w:val="en-IE" w:eastAsia="de-DE"/>
        </w:rPr>
        <w:t>missions of the reporting period of the year 2019</w:t>
      </w:r>
      <w:r w:rsidR="0070471F" w:rsidRPr="0070471F">
        <w:rPr>
          <w:noProof/>
          <w:lang w:val="en-IE" w:eastAsia="de-DE"/>
        </w:rPr>
        <w:t>:</w:t>
      </w:r>
    </w:p>
    <w:p w:rsidR="0070471F" w:rsidRPr="004B7251" w:rsidRDefault="0070471F" w:rsidP="00CD04D9">
      <w:pPr>
        <w:pStyle w:val="Text10"/>
        <w:ind w:left="1210"/>
        <w:rPr>
          <w:noProof/>
          <w:lang w:val="en-IE" w:eastAsia="de-DE"/>
        </w:rPr>
      </w:pPr>
      <w:r>
        <w:rPr>
          <w:noProof/>
          <w:lang w:val="en-IE" w:eastAsia="de-DE"/>
        </w:rPr>
        <w:t xml:space="preserve">(a) </w:t>
      </w:r>
      <w:r w:rsidRPr="0070471F">
        <w:rPr>
          <w:noProof/>
          <w:lang w:val="en-IE" w:eastAsia="de-DE"/>
        </w:rPr>
        <w:t xml:space="preserve">for </w:t>
      </w:r>
      <w:r w:rsidR="00C4156F" w:rsidRPr="0051068F">
        <w:rPr>
          <w:noProof/>
          <w:lang w:val="en-IE" w:eastAsia="de-DE"/>
        </w:rPr>
        <w:t>vehicle su</w:t>
      </w:r>
      <w:r w:rsidR="00551715" w:rsidRPr="0051068F">
        <w:rPr>
          <w:noProof/>
          <w:lang w:val="en-IE" w:eastAsia="de-DE"/>
        </w:rPr>
        <w:t xml:space="preserve">b-groups 4-UD, 4-RD, </w:t>
      </w:r>
      <w:r w:rsidR="00F04BCD">
        <w:rPr>
          <w:noProof/>
          <w:lang w:val="en-IE" w:eastAsia="de-DE"/>
        </w:rPr>
        <w:t xml:space="preserve">4-LH, </w:t>
      </w:r>
      <w:r w:rsidR="00551715" w:rsidRPr="0051068F">
        <w:rPr>
          <w:noProof/>
          <w:lang w:val="en-IE" w:eastAsia="de-DE"/>
        </w:rPr>
        <w:t xml:space="preserve">5-RD, 5-LH, 9-RD, 9-LH, 10-RD, 10-LH for </w:t>
      </w:r>
      <w:r w:rsidRPr="0051068F">
        <w:rPr>
          <w:noProof/>
          <w:lang w:val="en-IE" w:eastAsia="de-DE"/>
        </w:rPr>
        <w:t>the reporting</w:t>
      </w:r>
      <w:r w:rsidRPr="0070471F">
        <w:rPr>
          <w:noProof/>
          <w:lang w:val="en-IE" w:eastAsia="de-DE"/>
        </w:rPr>
        <w:t xml:space="preserve"> periods of </w:t>
      </w:r>
      <w:r w:rsidRPr="004B7251">
        <w:rPr>
          <w:noProof/>
          <w:lang w:val="en-IE" w:eastAsia="de-DE"/>
        </w:rPr>
        <w:t>the year</w:t>
      </w:r>
      <w:r w:rsidR="004B7251" w:rsidRPr="004B7251">
        <w:rPr>
          <w:noProof/>
          <w:lang w:val="en-IE" w:eastAsia="de-DE"/>
        </w:rPr>
        <w:t>s</w:t>
      </w:r>
      <w:r w:rsidRPr="004B7251">
        <w:rPr>
          <w:noProof/>
          <w:lang w:val="en-IE" w:eastAsia="de-DE"/>
        </w:rPr>
        <w:t xml:space="preserve"> 2025 </w:t>
      </w:r>
      <w:r w:rsidR="009D78FB" w:rsidRPr="004B7251">
        <w:rPr>
          <w:noProof/>
          <w:lang w:val="en-IE" w:eastAsia="de-DE"/>
        </w:rPr>
        <w:t>to 2029</w:t>
      </w:r>
      <w:r w:rsidR="00676C64" w:rsidRPr="004B7251">
        <w:rPr>
          <w:noProof/>
          <w:lang w:val="en-IE" w:eastAsia="de-DE"/>
        </w:rPr>
        <w:t xml:space="preserve"> by 15 %,</w:t>
      </w:r>
      <w:r w:rsidR="000E16CE" w:rsidRPr="004B7251">
        <w:rPr>
          <w:noProof/>
          <w:lang w:val="en-IE" w:eastAsia="de-DE"/>
        </w:rPr>
        <w:t xml:space="preserve"> </w:t>
      </w:r>
    </w:p>
    <w:p w:rsidR="0070471F" w:rsidRPr="004B7251" w:rsidRDefault="0070471F" w:rsidP="00CD04D9">
      <w:pPr>
        <w:pStyle w:val="Text10"/>
        <w:ind w:left="1210"/>
        <w:rPr>
          <w:noProof/>
          <w:lang w:val="en-IE" w:eastAsia="de-DE"/>
        </w:rPr>
      </w:pPr>
      <w:r w:rsidRPr="007A2399">
        <w:rPr>
          <w:noProof/>
          <w:lang w:val="en-IE" w:eastAsia="de-DE"/>
        </w:rPr>
        <w:t xml:space="preserve">(b) </w:t>
      </w:r>
      <w:r w:rsidRPr="00B44F01">
        <w:rPr>
          <w:noProof/>
          <w:lang w:val="en-IE" w:eastAsia="de-DE"/>
        </w:rPr>
        <w:t xml:space="preserve">for </w:t>
      </w:r>
      <w:r w:rsidR="00C4156F" w:rsidRPr="003C1B2F">
        <w:rPr>
          <w:noProof/>
          <w:lang w:val="en-IE" w:eastAsia="de-DE"/>
        </w:rPr>
        <w:t>all vehicle sub-groups</w:t>
      </w:r>
      <w:r w:rsidR="00C4156F" w:rsidRPr="004B7251">
        <w:rPr>
          <w:noProof/>
          <w:lang w:val="en-IE" w:eastAsia="de-DE"/>
        </w:rPr>
        <w:t xml:space="preserve"> for </w:t>
      </w:r>
      <w:r w:rsidRPr="004B7251">
        <w:rPr>
          <w:noProof/>
          <w:lang w:val="en-IE" w:eastAsia="de-DE"/>
        </w:rPr>
        <w:t>the reporting periods of the year</w:t>
      </w:r>
      <w:r w:rsidR="004B7251" w:rsidRPr="004B7251">
        <w:rPr>
          <w:noProof/>
          <w:lang w:val="en-IE" w:eastAsia="de-DE"/>
        </w:rPr>
        <w:t>s</w:t>
      </w:r>
      <w:r w:rsidRPr="004B7251">
        <w:rPr>
          <w:noProof/>
          <w:lang w:val="en-IE" w:eastAsia="de-DE"/>
        </w:rPr>
        <w:t xml:space="preserve"> 2030 </w:t>
      </w:r>
      <w:r w:rsidR="009D78FB" w:rsidRPr="004B7251">
        <w:rPr>
          <w:noProof/>
          <w:lang w:val="en-IE" w:eastAsia="de-DE"/>
        </w:rPr>
        <w:t>to 2034</w:t>
      </w:r>
      <w:r w:rsidR="00676C64" w:rsidRPr="004B7251">
        <w:rPr>
          <w:noProof/>
          <w:lang w:val="en-IE" w:eastAsia="de-DE"/>
        </w:rPr>
        <w:t xml:space="preserve"> by </w:t>
      </w:r>
      <w:r w:rsidR="00DC4B4B">
        <w:rPr>
          <w:noProof/>
          <w:lang w:val="en-IE" w:eastAsia="de-DE"/>
        </w:rPr>
        <w:t xml:space="preserve">45 </w:t>
      </w:r>
      <w:r w:rsidR="00676C64" w:rsidRPr="004B7251">
        <w:rPr>
          <w:noProof/>
          <w:lang w:val="en-IE" w:eastAsia="de-DE"/>
        </w:rPr>
        <w:t>%,</w:t>
      </w:r>
    </w:p>
    <w:p w:rsidR="0070471F" w:rsidRPr="004B7251" w:rsidRDefault="0070471F" w:rsidP="00CD04D9">
      <w:pPr>
        <w:pStyle w:val="Text10"/>
        <w:ind w:left="1210"/>
        <w:rPr>
          <w:noProof/>
          <w:lang w:val="en-IE" w:eastAsia="de-DE"/>
        </w:rPr>
      </w:pPr>
      <w:r w:rsidRPr="007A2399">
        <w:rPr>
          <w:noProof/>
          <w:lang w:val="en-IE" w:eastAsia="de-DE"/>
        </w:rPr>
        <w:t xml:space="preserve">(c) </w:t>
      </w:r>
      <w:r w:rsidRPr="00B44F01">
        <w:rPr>
          <w:noProof/>
          <w:lang w:val="en-IE" w:eastAsia="de-DE"/>
        </w:rPr>
        <w:t xml:space="preserve">for </w:t>
      </w:r>
      <w:r w:rsidR="00C4156F" w:rsidRPr="003C1B2F">
        <w:rPr>
          <w:noProof/>
          <w:lang w:val="en-IE" w:eastAsia="de-DE"/>
        </w:rPr>
        <w:t xml:space="preserve">all vehicle sub-groups for </w:t>
      </w:r>
      <w:r w:rsidRPr="004B7251">
        <w:rPr>
          <w:noProof/>
          <w:lang w:val="en-IE" w:eastAsia="de-DE"/>
        </w:rPr>
        <w:t>the reporting periods of the year</w:t>
      </w:r>
      <w:r w:rsidR="004B7251" w:rsidRPr="004B7251">
        <w:rPr>
          <w:noProof/>
          <w:lang w:val="en-IE" w:eastAsia="de-DE"/>
        </w:rPr>
        <w:t>s</w:t>
      </w:r>
      <w:r w:rsidRPr="004B7251">
        <w:rPr>
          <w:noProof/>
          <w:lang w:val="en-IE" w:eastAsia="de-DE"/>
        </w:rPr>
        <w:t xml:space="preserve"> 2035 </w:t>
      </w:r>
      <w:r w:rsidR="009D78FB" w:rsidRPr="004B7251">
        <w:rPr>
          <w:noProof/>
          <w:lang w:val="en-IE" w:eastAsia="de-DE"/>
        </w:rPr>
        <w:t>to 2039</w:t>
      </w:r>
      <w:r w:rsidR="00676C64" w:rsidRPr="004B7251">
        <w:rPr>
          <w:noProof/>
          <w:lang w:val="en-IE" w:eastAsia="de-DE"/>
        </w:rPr>
        <w:t xml:space="preserve"> by </w:t>
      </w:r>
      <w:r w:rsidR="00DC4B4B">
        <w:rPr>
          <w:noProof/>
          <w:lang w:val="en-IE" w:eastAsia="de-DE"/>
        </w:rPr>
        <w:t xml:space="preserve">65 </w:t>
      </w:r>
      <w:r w:rsidR="00676C64" w:rsidRPr="004B7251">
        <w:rPr>
          <w:noProof/>
          <w:lang w:val="en-IE" w:eastAsia="de-DE"/>
        </w:rPr>
        <w:t>%,</w:t>
      </w:r>
    </w:p>
    <w:p w:rsidR="0070471F" w:rsidRPr="004B7251" w:rsidRDefault="0070471F" w:rsidP="00CD04D9">
      <w:pPr>
        <w:pStyle w:val="Text10"/>
        <w:ind w:left="1210"/>
        <w:rPr>
          <w:noProof/>
          <w:lang w:val="en-IE" w:eastAsia="de-DE"/>
        </w:rPr>
      </w:pPr>
      <w:r w:rsidRPr="004B7251">
        <w:rPr>
          <w:noProof/>
          <w:lang w:val="en-IE" w:eastAsia="de-DE"/>
        </w:rPr>
        <w:t xml:space="preserve">(d) for </w:t>
      </w:r>
      <w:r w:rsidR="00C4156F" w:rsidRPr="004B7251">
        <w:rPr>
          <w:noProof/>
          <w:lang w:val="en-IE" w:eastAsia="de-DE"/>
        </w:rPr>
        <w:t xml:space="preserve">all vehicle sub-groups for </w:t>
      </w:r>
      <w:r w:rsidRPr="004B7251">
        <w:rPr>
          <w:noProof/>
          <w:lang w:val="en-IE" w:eastAsia="de-DE"/>
        </w:rPr>
        <w:t>the reporting periods of the year</w:t>
      </w:r>
      <w:r w:rsidR="004B7251" w:rsidRPr="004B7251">
        <w:rPr>
          <w:noProof/>
          <w:lang w:val="en-IE" w:eastAsia="de-DE"/>
        </w:rPr>
        <w:t>s</w:t>
      </w:r>
      <w:r w:rsidRPr="004B7251">
        <w:rPr>
          <w:noProof/>
          <w:lang w:val="en-IE" w:eastAsia="de-DE"/>
        </w:rPr>
        <w:t xml:space="preserve"> 2040 onwards by </w:t>
      </w:r>
      <w:r w:rsidR="00DC4B4B">
        <w:rPr>
          <w:noProof/>
          <w:lang w:val="en-IE" w:eastAsia="de-DE"/>
        </w:rPr>
        <w:t>90</w:t>
      </w:r>
      <w:r w:rsidRPr="004B7251">
        <w:rPr>
          <w:noProof/>
          <w:lang w:val="en-IE" w:eastAsia="de-DE"/>
        </w:rPr>
        <w:t>%</w:t>
      </w:r>
      <w:r w:rsidR="00C21654" w:rsidRPr="004B7251">
        <w:rPr>
          <w:noProof/>
          <w:lang w:val="en-IE" w:eastAsia="de-DE"/>
        </w:rPr>
        <w:t>.</w:t>
      </w:r>
    </w:p>
    <w:p w:rsidR="007C3DF0" w:rsidRPr="00F04BCD" w:rsidRDefault="00CD04D9" w:rsidP="00C9020F">
      <w:pPr>
        <w:pStyle w:val="Text10"/>
        <w:rPr>
          <w:rFonts w:eastAsia="Times New Roman"/>
          <w:noProof/>
          <w:lang w:eastAsia="de-DE"/>
        </w:rPr>
      </w:pPr>
      <w:r w:rsidRPr="004B7251">
        <w:rPr>
          <w:noProof/>
        </w:rPr>
        <w:t>2.</w:t>
      </w:r>
      <w:r w:rsidRPr="004B7251">
        <w:rPr>
          <w:noProof/>
        </w:rPr>
        <w:tab/>
      </w:r>
      <w:r w:rsidR="0070471F" w:rsidRPr="004B7251">
        <w:rPr>
          <w:noProof/>
        </w:rPr>
        <w:t xml:space="preserve">To these </w:t>
      </w:r>
      <w:r w:rsidR="004B7251" w:rsidRPr="004B7251">
        <w:rPr>
          <w:noProof/>
          <w:lang w:val="en-IE" w:eastAsia="de-DE"/>
        </w:rPr>
        <w:t>CO</w:t>
      </w:r>
      <w:r w:rsidR="004B7251" w:rsidRPr="004B7251">
        <w:rPr>
          <w:noProof/>
          <w:vertAlign w:val="subscript"/>
          <w:lang w:val="en-IE" w:eastAsia="de-DE"/>
        </w:rPr>
        <w:t>2</w:t>
      </w:r>
      <w:r w:rsidR="004B7251" w:rsidRPr="004B7251">
        <w:rPr>
          <w:noProof/>
          <w:lang w:val="en-IE" w:eastAsia="de-DE"/>
        </w:rPr>
        <w:t xml:space="preserve"> emission </w:t>
      </w:r>
      <w:r w:rsidR="0070471F" w:rsidRPr="004B7251">
        <w:rPr>
          <w:noProof/>
        </w:rPr>
        <w:t xml:space="preserve">targets, the vehicle sub-groups have to </w:t>
      </w:r>
      <w:r w:rsidR="0070471F" w:rsidRPr="004B7251">
        <w:rPr>
          <w:noProof/>
          <w:lang w:val="en-IE" w:eastAsia="de-DE"/>
        </w:rPr>
        <w:t>contribute</w:t>
      </w:r>
      <w:r w:rsidR="0070471F" w:rsidRPr="004B7251">
        <w:rPr>
          <w:noProof/>
        </w:rPr>
        <w:t xml:space="preserve"> as </w:t>
      </w:r>
      <w:r w:rsidR="000919F0" w:rsidRPr="004B7251">
        <w:rPr>
          <w:noProof/>
        </w:rPr>
        <w:t xml:space="preserve">laid down </w:t>
      </w:r>
      <w:r w:rsidR="0070471F" w:rsidRPr="004B7251">
        <w:rPr>
          <w:noProof/>
        </w:rPr>
        <w:t xml:space="preserve">in </w:t>
      </w:r>
      <w:r w:rsidR="00F93784" w:rsidRPr="004B7251">
        <w:rPr>
          <w:noProof/>
        </w:rPr>
        <w:t>point 4.3</w:t>
      </w:r>
      <w:r w:rsidR="003D5E1F" w:rsidRPr="004B7251">
        <w:rPr>
          <w:noProof/>
        </w:rPr>
        <w:t>.</w:t>
      </w:r>
      <w:r w:rsidR="00F93784" w:rsidRPr="004B7251">
        <w:rPr>
          <w:noProof/>
        </w:rPr>
        <w:t xml:space="preserve"> of </w:t>
      </w:r>
      <w:r w:rsidR="0070471F" w:rsidRPr="00F04BCD">
        <w:rPr>
          <w:noProof/>
        </w:rPr>
        <w:t>Annex I</w:t>
      </w:r>
      <w:r w:rsidR="0070471F" w:rsidRPr="00F04BCD">
        <w:rPr>
          <w:rFonts w:eastAsia="Times New Roman"/>
          <w:noProof/>
          <w:lang w:val="en-IE" w:eastAsia="de-DE"/>
        </w:rPr>
        <w:t xml:space="preserve">. </w:t>
      </w:r>
    </w:p>
    <w:p w:rsidR="006258B0" w:rsidRPr="008670C1" w:rsidRDefault="00CD04D9" w:rsidP="00C9020F">
      <w:pPr>
        <w:pStyle w:val="Text10"/>
        <w:rPr>
          <w:noProof/>
        </w:rPr>
      </w:pPr>
      <w:r>
        <w:rPr>
          <w:noProof/>
        </w:rPr>
        <w:t>3.</w:t>
      </w:r>
      <w:r>
        <w:rPr>
          <w:noProof/>
        </w:rPr>
        <w:tab/>
      </w:r>
      <w:r w:rsidR="006258B0" w:rsidRPr="008670C1">
        <w:rPr>
          <w:noProof/>
        </w:rPr>
        <w:t xml:space="preserve">The </w:t>
      </w:r>
      <w:r w:rsidR="009B3DC6" w:rsidRPr="007142D1">
        <w:rPr>
          <w:noProof/>
        </w:rPr>
        <w:t>CO</w:t>
      </w:r>
      <w:r w:rsidR="009B3DC6" w:rsidRPr="00953CAE">
        <w:rPr>
          <w:noProof/>
          <w:vertAlign w:val="subscript"/>
        </w:rPr>
        <w:t>2</w:t>
      </w:r>
      <w:r w:rsidR="008218B9">
        <w:rPr>
          <w:noProof/>
        </w:rPr>
        <w:t xml:space="preserve"> e</w:t>
      </w:r>
      <w:r w:rsidR="00CA7DF2" w:rsidRPr="008670C1">
        <w:rPr>
          <w:noProof/>
        </w:rPr>
        <w:t>missions related to</w:t>
      </w:r>
      <w:r w:rsidR="008670C1" w:rsidRPr="008670C1">
        <w:rPr>
          <w:noProof/>
        </w:rPr>
        <w:t xml:space="preserve"> </w:t>
      </w:r>
      <w:r w:rsidR="006258B0" w:rsidRPr="008670C1">
        <w:rPr>
          <w:noProof/>
        </w:rPr>
        <w:t xml:space="preserve">the Union fleet of new trailers shall be improved </w:t>
      </w:r>
      <w:r w:rsidR="00204446">
        <w:rPr>
          <w:noProof/>
        </w:rPr>
        <w:t>in accordance with</w:t>
      </w:r>
      <w:r w:rsidR="006258B0" w:rsidRPr="008670C1">
        <w:rPr>
          <w:noProof/>
        </w:rPr>
        <w:t xml:space="preserve"> point 4.3</w:t>
      </w:r>
      <w:r w:rsidR="00786230">
        <w:rPr>
          <w:noProof/>
        </w:rPr>
        <w:t xml:space="preserve"> of Annex I</w:t>
      </w:r>
      <w:r w:rsidR="006258B0" w:rsidRPr="008670C1">
        <w:rPr>
          <w:noProof/>
        </w:rPr>
        <w:t>.</w:t>
      </w:r>
    </w:p>
    <w:p w:rsidR="0070471F" w:rsidRPr="0070471F" w:rsidRDefault="0070471F" w:rsidP="00C9020F">
      <w:pPr>
        <w:pStyle w:val="Text10"/>
        <w:rPr>
          <w:rFonts w:eastAsia="Times New Roman"/>
          <w:noProof/>
          <w:lang w:val="en-IE" w:eastAsia="de-DE"/>
        </w:rPr>
      </w:pPr>
    </w:p>
    <w:p w:rsidR="0070471F" w:rsidRPr="008621CA" w:rsidRDefault="0070471F" w:rsidP="0070471F">
      <w:pPr>
        <w:pStyle w:val="Text10"/>
        <w:jc w:val="center"/>
        <w:rPr>
          <w:b/>
          <w:noProof/>
          <w:lang w:val="en-IE"/>
        </w:rPr>
      </w:pPr>
      <w:r w:rsidRPr="0070471F">
        <w:rPr>
          <w:noProof/>
          <w:lang w:val="en-IE"/>
        </w:rPr>
        <w:t>Article 3b</w:t>
      </w:r>
      <w:r w:rsidR="00C615A7">
        <w:rPr>
          <w:noProof/>
          <w:lang w:val="en-IE"/>
        </w:rPr>
        <w:br/>
      </w:r>
      <w:r w:rsidRPr="008621CA">
        <w:rPr>
          <w:b/>
          <w:noProof/>
          <w:lang w:val="en-IE"/>
        </w:rPr>
        <w:t>Zero</w:t>
      </w:r>
      <w:r w:rsidR="00F93784">
        <w:rPr>
          <w:b/>
          <w:noProof/>
          <w:lang w:val="en-IE"/>
        </w:rPr>
        <w:t>-</w:t>
      </w:r>
      <w:r w:rsidRPr="008621CA">
        <w:rPr>
          <w:b/>
          <w:noProof/>
          <w:lang w:val="en-IE"/>
        </w:rPr>
        <w:t xml:space="preserve">emission vehicle target for </w:t>
      </w:r>
      <w:r w:rsidR="000B6D27">
        <w:rPr>
          <w:b/>
          <w:noProof/>
          <w:lang w:val="en-IE"/>
        </w:rPr>
        <w:t xml:space="preserve">urban </w:t>
      </w:r>
      <w:r w:rsidRPr="008621CA">
        <w:rPr>
          <w:b/>
          <w:noProof/>
          <w:lang w:val="en-IE"/>
        </w:rPr>
        <w:t>buses</w:t>
      </w:r>
    </w:p>
    <w:p w:rsidR="0070471F" w:rsidRPr="0085551C" w:rsidRDefault="0085551C" w:rsidP="0070471F">
      <w:pPr>
        <w:pStyle w:val="Text10"/>
        <w:rPr>
          <w:rFonts w:eastAsia="Times New Roman"/>
          <w:noProof/>
          <w:lang w:val="en-IE" w:eastAsia="de-DE"/>
        </w:rPr>
      </w:pPr>
      <w:r>
        <w:rPr>
          <w:rFonts w:eastAsia="Times New Roman"/>
          <w:noProof/>
          <w:lang w:val="en-IE" w:eastAsia="de-DE"/>
        </w:rPr>
        <w:t xml:space="preserve">1. </w:t>
      </w:r>
      <w:r>
        <w:rPr>
          <w:rFonts w:eastAsia="Times New Roman"/>
          <w:noProof/>
          <w:lang w:val="en-IE" w:eastAsia="de-DE"/>
        </w:rPr>
        <w:tab/>
      </w:r>
      <w:r w:rsidR="0070471F" w:rsidRPr="0085551C">
        <w:rPr>
          <w:rFonts w:eastAsia="Times New Roman"/>
          <w:noProof/>
          <w:lang w:val="en-IE" w:eastAsia="de-DE"/>
        </w:rPr>
        <w:t xml:space="preserve">For vehicles </w:t>
      </w:r>
      <w:r w:rsidR="005B759D" w:rsidRPr="0085551C">
        <w:rPr>
          <w:rFonts w:eastAsia="Times New Roman"/>
          <w:noProof/>
          <w:lang w:val="en-IE" w:eastAsia="de-DE"/>
        </w:rPr>
        <w:t>referred to</w:t>
      </w:r>
      <w:r w:rsidR="0070471F" w:rsidRPr="0085551C">
        <w:rPr>
          <w:rFonts w:eastAsia="Times New Roman"/>
          <w:noProof/>
          <w:lang w:val="en-IE" w:eastAsia="de-DE"/>
        </w:rPr>
        <w:t xml:space="preserve"> in </w:t>
      </w:r>
      <w:r w:rsidR="00F93784" w:rsidRPr="0085551C">
        <w:rPr>
          <w:rFonts w:eastAsia="Times New Roman"/>
          <w:noProof/>
          <w:lang w:val="en-IE" w:eastAsia="de-DE"/>
        </w:rPr>
        <w:t xml:space="preserve">point 4.2 of </w:t>
      </w:r>
      <w:r w:rsidR="0070471F" w:rsidRPr="0085551C">
        <w:rPr>
          <w:rFonts w:eastAsia="Times New Roman"/>
          <w:noProof/>
          <w:lang w:val="en-IE" w:eastAsia="de-DE"/>
        </w:rPr>
        <w:t xml:space="preserve">Annex I, manufacturers shall comply with the minimum shares of zero-emission vehicles in their fleet of new heavy-duty vehicles as laid down in </w:t>
      </w:r>
      <w:r w:rsidR="00F93784" w:rsidRPr="0085551C">
        <w:rPr>
          <w:rFonts w:eastAsia="Times New Roman"/>
          <w:noProof/>
          <w:lang w:val="en-IE" w:eastAsia="de-DE"/>
        </w:rPr>
        <w:t xml:space="preserve">point 4.3 of </w:t>
      </w:r>
      <w:r w:rsidR="0070471F" w:rsidRPr="0085551C">
        <w:rPr>
          <w:rFonts w:eastAsia="Times New Roman"/>
          <w:noProof/>
          <w:lang w:val="en-IE" w:eastAsia="de-DE"/>
        </w:rPr>
        <w:t>Annex I.</w:t>
      </w:r>
      <w:r w:rsidR="00B21159" w:rsidRPr="0085551C">
        <w:rPr>
          <w:rFonts w:eastAsia="Times New Roman"/>
          <w:noProof/>
          <w:lang w:val="en-IE" w:eastAsia="de-DE"/>
        </w:rPr>
        <w:t xml:space="preserve"> For new urban buses the share of zero-emissions vehicles shall be </w:t>
      </w:r>
      <w:r w:rsidR="00DC4B4B">
        <w:rPr>
          <w:rFonts w:eastAsia="Times New Roman"/>
          <w:noProof/>
          <w:lang w:val="en-IE" w:eastAsia="de-DE"/>
        </w:rPr>
        <w:t>100</w:t>
      </w:r>
      <w:r w:rsidR="00B21159" w:rsidRPr="0085551C">
        <w:rPr>
          <w:rFonts w:eastAsia="Times New Roman"/>
          <w:noProof/>
          <w:lang w:val="en-IE" w:eastAsia="de-DE"/>
        </w:rPr>
        <w:t>% as from the reporting period of the year 2030.</w:t>
      </w:r>
      <w:r w:rsidR="00F93784" w:rsidRPr="0085551C">
        <w:rPr>
          <w:rFonts w:eastAsia="Times New Roman"/>
          <w:noProof/>
          <w:lang w:val="en-IE" w:eastAsia="de-DE"/>
        </w:rPr>
        <w:t>;</w:t>
      </w:r>
    </w:p>
    <w:p w:rsidR="0085551C" w:rsidRPr="005B31E3" w:rsidRDefault="0085551C" w:rsidP="0085551C">
      <w:pPr>
        <w:pStyle w:val="text11"/>
        <w:rPr>
          <w:rFonts w:eastAsia="Times New Roman"/>
          <w:noProof/>
          <w:szCs w:val="22"/>
          <w:lang w:eastAsia="de-DE"/>
        </w:rPr>
      </w:pPr>
      <w:r w:rsidRPr="005B31E3">
        <w:rPr>
          <w:rFonts w:eastAsia="Times New Roman"/>
          <w:noProof/>
          <w:szCs w:val="22"/>
          <w:lang w:eastAsia="de-DE"/>
        </w:rPr>
        <w:t xml:space="preserve">2. </w:t>
      </w:r>
      <w:r w:rsidRPr="005B31E3">
        <w:rPr>
          <w:rFonts w:eastAsia="Times New Roman"/>
          <w:noProof/>
          <w:szCs w:val="22"/>
          <w:lang w:eastAsia="de-DE"/>
        </w:rPr>
        <w:tab/>
        <w:t xml:space="preserve">Member States may decide to exclude from the obligation under this Article a limited share of the urban buses registered in each reporting period, confirming that the purpose of the vehicle cannot be equally served by a zero-emission vehicle and it is thus in the public interest to register a non-zero emission vehicle to fulfil that purpose, due to </w:t>
      </w:r>
      <w:r w:rsidR="005D683A">
        <w:rPr>
          <w:rFonts w:eastAsia="Times New Roman"/>
          <w:noProof/>
          <w:szCs w:val="22"/>
          <w:lang w:eastAsia="de-DE"/>
        </w:rPr>
        <w:t xml:space="preserve">socio-economic cost-benefit in view of </w:t>
      </w:r>
      <w:r w:rsidRPr="005B31E3">
        <w:rPr>
          <w:rFonts w:eastAsia="Times New Roman"/>
          <w:noProof/>
          <w:szCs w:val="22"/>
          <w:lang w:eastAsia="de-DE"/>
        </w:rPr>
        <w:t xml:space="preserve">specific territorial morphology or meteorological circumstances. </w:t>
      </w:r>
    </w:p>
    <w:p w:rsidR="0085551C" w:rsidRPr="005B31E3" w:rsidRDefault="0085551C" w:rsidP="0085551C">
      <w:pPr>
        <w:pStyle w:val="text11"/>
        <w:rPr>
          <w:rFonts w:eastAsia="Times New Roman"/>
          <w:noProof/>
          <w:szCs w:val="22"/>
          <w:lang w:eastAsia="de-DE"/>
        </w:rPr>
      </w:pPr>
      <w:r w:rsidRPr="005B31E3">
        <w:rPr>
          <w:rFonts w:eastAsia="Times New Roman"/>
          <w:noProof/>
          <w:szCs w:val="22"/>
          <w:lang w:eastAsia="de-DE"/>
        </w:rPr>
        <w:t xml:space="preserve">The Commission is empowered to adopt delegated acts in accordance with Article 17 to define the maximum share of vehicles that a Member State can exclude, and the </w:t>
      </w:r>
      <w:r w:rsidR="005D683A">
        <w:rPr>
          <w:rFonts w:eastAsia="Times New Roman"/>
          <w:noProof/>
          <w:szCs w:val="22"/>
          <w:lang w:eastAsia="de-DE"/>
        </w:rPr>
        <w:t xml:space="preserve">socio-economic cost-benefit in view of </w:t>
      </w:r>
      <w:r w:rsidRPr="005B31E3">
        <w:rPr>
          <w:rFonts w:eastAsia="Times New Roman"/>
          <w:noProof/>
          <w:szCs w:val="22"/>
          <w:lang w:eastAsia="de-DE"/>
        </w:rPr>
        <w:t xml:space="preserve">territorial morphology and meteorological circumstance justifying the exclusion referred to in the previous paragraph. </w:t>
      </w:r>
    </w:p>
    <w:p w:rsidR="00AF6F64" w:rsidRPr="00AF6F64" w:rsidRDefault="0085551C" w:rsidP="00AF6F64">
      <w:pPr>
        <w:pStyle w:val="Text1"/>
        <w:rPr>
          <w:noProof/>
          <w:lang w:val="en-IE" w:eastAsia="de-DE"/>
        </w:rPr>
      </w:pPr>
      <w:r>
        <w:rPr>
          <w:noProof/>
          <w:lang w:val="en-IE" w:eastAsia="de-DE"/>
        </w:rPr>
        <w:t>3.</w:t>
      </w:r>
      <w:r>
        <w:rPr>
          <w:noProof/>
          <w:lang w:val="en-IE" w:eastAsia="de-DE"/>
        </w:rPr>
        <w:tab/>
      </w:r>
      <w:r w:rsidR="00AF6F64" w:rsidRPr="00AF6F64">
        <w:rPr>
          <w:noProof/>
          <w:lang w:val="en-IE" w:eastAsia="de-DE"/>
        </w:rPr>
        <w:t>Regarding the use of vehicles referred to</w:t>
      </w:r>
      <w:r w:rsidR="00AF6F64">
        <w:rPr>
          <w:noProof/>
          <w:lang w:val="en-IE" w:eastAsia="de-DE"/>
        </w:rPr>
        <w:t xml:space="preserve"> in this Article</w:t>
      </w:r>
      <w:r w:rsidR="00AF6F64" w:rsidRPr="00AF6F64">
        <w:rPr>
          <w:noProof/>
          <w:lang w:val="en-IE" w:eastAsia="de-DE"/>
        </w:rPr>
        <w:t xml:space="preserve">, the Commission shall be empowered to adopt delegated acts in accordance with Article </w:t>
      </w:r>
      <w:r w:rsidR="00AF6F64">
        <w:rPr>
          <w:noProof/>
          <w:lang w:val="en-IE" w:eastAsia="de-DE"/>
        </w:rPr>
        <w:t>17</w:t>
      </w:r>
      <w:r w:rsidR="00AF6F64" w:rsidRPr="00AF6F64">
        <w:rPr>
          <w:noProof/>
          <w:lang w:val="en-IE" w:eastAsia="de-DE"/>
        </w:rPr>
        <w:t xml:space="preserve"> to provide with common technical specifications, including standards, regarding: </w:t>
      </w:r>
    </w:p>
    <w:p w:rsidR="00AF6F64" w:rsidRPr="00AF6F64" w:rsidRDefault="00AF6F64" w:rsidP="00AF6F64">
      <w:pPr>
        <w:pStyle w:val="Text1"/>
        <w:ind w:left="1210"/>
        <w:rPr>
          <w:noProof/>
          <w:lang w:val="en-IE" w:eastAsia="de-DE"/>
        </w:rPr>
      </w:pPr>
      <w:r>
        <w:rPr>
          <w:noProof/>
          <w:lang w:val="en-IE" w:eastAsia="de-DE"/>
        </w:rPr>
        <w:t xml:space="preserve">(a) </w:t>
      </w:r>
      <w:r w:rsidRPr="00AF6F64">
        <w:rPr>
          <w:noProof/>
          <w:lang w:val="en-IE" w:eastAsia="de-DE"/>
        </w:rPr>
        <w:t xml:space="preserve">the technical and open interoperability between the recharging and refuelling infrastructure and the vehicles, in terms of physical connections and communication exchange. </w:t>
      </w:r>
    </w:p>
    <w:p w:rsidR="00AF6F64" w:rsidRDefault="00AF6F64" w:rsidP="00AF6F64">
      <w:pPr>
        <w:pStyle w:val="Text1"/>
        <w:ind w:firstLine="360"/>
        <w:rPr>
          <w:noProof/>
          <w:lang w:val="en-IE" w:eastAsia="de-DE"/>
        </w:rPr>
      </w:pPr>
      <w:r>
        <w:rPr>
          <w:noProof/>
          <w:lang w:val="en-IE" w:eastAsia="de-DE"/>
        </w:rPr>
        <w:t xml:space="preserve">(b) </w:t>
      </w:r>
      <w:r w:rsidRPr="00AF6F64">
        <w:rPr>
          <w:noProof/>
          <w:lang w:val="en-IE" w:eastAsia="de-DE"/>
        </w:rPr>
        <w:t>the safe and secure sharing and use of the data generated.</w:t>
      </w:r>
    </w:p>
    <w:p w:rsidR="00037680" w:rsidRDefault="00037680" w:rsidP="00AF6F64">
      <w:pPr>
        <w:pStyle w:val="Text1"/>
        <w:ind w:firstLine="360"/>
        <w:rPr>
          <w:noProof/>
          <w:lang w:val="en-IE" w:eastAsia="de-DE"/>
        </w:rPr>
      </w:pPr>
    </w:p>
    <w:p w:rsidR="00037680" w:rsidRDefault="00037680" w:rsidP="00037680">
      <w:pPr>
        <w:pStyle w:val="Text1"/>
        <w:ind w:left="3730" w:firstLine="590"/>
        <w:rPr>
          <w:noProof/>
          <w:lang w:val="en-IE"/>
        </w:rPr>
      </w:pPr>
      <w:r>
        <w:rPr>
          <w:noProof/>
          <w:lang w:val="en-IE"/>
        </w:rPr>
        <w:t>Article 3c</w:t>
      </w:r>
    </w:p>
    <w:p w:rsidR="00037680" w:rsidRPr="00037680" w:rsidRDefault="00037680" w:rsidP="0085551C">
      <w:pPr>
        <w:pStyle w:val="Text1"/>
        <w:ind w:left="2290" w:firstLine="590"/>
        <w:rPr>
          <w:b/>
          <w:noProof/>
          <w:lang w:val="en-IE"/>
        </w:rPr>
      </w:pPr>
      <w:r w:rsidRPr="00037680">
        <w:rPr>
          <w:b/>
          <w:noProof/>
          <w:lang w:val="en-IE"/>
        </w:rPr>
        <w:t>Public procurement procedures</w:t>
      </w:r>
    </w:p>
    <w:p w:rsidR="00037680" w:rsidRPr="00037680" w:rsidRDefault="00037680" w:rsidP="00037680">
      <w:pPr>
        <w:pStyle w:val="Text1"/>
        <w:rPr>
          <w:rFonts w:eastAsia="Times New Roman"/>
          <w:noProof/>
          <w:lang w:val="en-IE" w:eastAsia="de-DE"/>
        </w:rPr>
      </w:pPr>
      <w:r w:rsidRPr="00037680">
        <w:rPr>
          <w:rFonts w:eastAsia="Times New Roman"/>
          <w:noProof/>
          <w:lang w:val="en-IE" w:eastAsia="de-DE"/>
        </w:rPr>
        <w:t>1.</w:t>
      </w:r>
      <w:r w:rsidRPr="00037680">
        <w:rPr>
          <w:rFonts w:eastAsia="Times New Roman"/>
          <w:noProof/>
          <w:lang w:val="en-IE" w:eastAsia="de-DE"/>
        </w:rPr>
        <w:tab/>
        <w:t xml:space="preserve">Contracting authorities or contracting entities shall base the award of </w:t>
      </w:r>
      <w:r w:rsidR="00F73D97">
        <w:rPr>
          <w:rFonts w:eastAsia="Times New Roman"/>
          <w:noProof/>
          <w:lang w:val="en-IE" w:eastAsia="de-DE"/>
        </w:rPr>
        <w:t xml:space="preserve">public </w:t>
      </w:r>
      <w:r w:rsidRPr="00037680">
        <w:rPr>
          <w:rFonts w:eastAsia="Times New Roman"/>
          <w:noProof/>
          <w:lang w:val="en-IE" w:eastAsia="de-DE"/>
        </w:rPr>
        <w:t xml:space="preserve">contracts for the purchase or the use of vehicles referred to in </w:t>
      </w:r>
      <w:r>
        <w:rPr>
          <w:rFonts w:eastAsia="Times New Roman"/>
          <w:noProof/>
          <w:lang w:val="en-IE" w:eastAsia="de-DE"/>
        </w:rPr>
        <w:t>Article 3b</w:t>
      </w:r>
      <w:r w:rsidRPr="00037680">
        <w:rPr>
          <w:rFonts w:eastAsia="Times New Roman"/>
          <w:noProof/>
          <w:lang w:val="en-IE" w:eastAsia="de-DE"/>
        </w:rPr>
        <w:t xml:space="preserve"> on the most economically advantageous tender which shall include the best price-quality ratio </w:t>
      </w:r>
      <w:r w:rsidR="00F73D97">
        <w:rPr>
          <w:rFonts w:eastAsia="Times New Roman"/>
          <w:noProof/>
          <w:lang w:val="en-IE" w:eastAsia="de-DE"/>
        </w:rPr>
        <w:t xml:space="preserve">and </w:t>
      </w:r>
      <w:r w:rsidRPr="00037680">
        <w:rPr>
          <w:rFonts w:eastAsia="Times New Roman"/>
          <w:noProof/>
          <w:lang w:val="en-IE" w:eastAsia="de-DE"/>
        </w:rPr>
        <w:t>the security of supply contribution of the tender, in compliance with relevant international law.</w:t>
      </w:r>
    </w:p>
    <w:p w:rsidR="00037680" w:rsidRPr="00037680" w:rsidRDefault="00037680" w:rsidP="00037680">
      <w:pPr>
        <w:pStyle w:val="Text1"/>
        <w:rPr>
          <w:rFonts w:eastAsia="Times New Roman"/>
          <w:noProof/>
          <w:lang w:val="en-IE" w:eastAsia="de-DE"/>
        </w:rPr>
      </w:pPr>
      <w:r w:rsidRPr="00037680">
        <w:rPr>
          <w:noProof/>
          <w:lang w:val="en-IE" w:eastAsia="de-DE"/>
        </w:rPr>
        <w:t>2.</w:t>
      </w:r>
      <w:r w:rsidRPr="00037680">
        <w:rPr>
          <w:noProof/>
          <w:lang w:val="en-IE" w:eastAsia="de-DE"/>
        </w:rPr>
        <w:tab/>
      </w:r>
      <w:r w:rsidRPr="00037680">
        <w:rPr>
          <w:rFonts w:eastAsia="Times New Roman"/>
          <w:noProof/>
          <w:lang w:val="en-IE" w:eastAsia="de-DE"/>
        </w:rPr>
        <w:t xml:space="preserve">The tender’s contribution to the security of supply shall </w:t>
      </w:r>
      <w:r w:rsidR="00F73D97">
        <w:rPr>
          <w:rFonts w:eastAsia="Times New Roman"/>
          <w:noProof/>
          <w:lang w:val="en-IE" w:eastAsia="de-DE"/>
        </w:rPr>
        <w:t xml:space="preserve">be assessed, inter alia, based on </w:t>
      </w:r>
      <w:r w:rsidRPr="00037680">
        <w:rPr>
          <w:rFonts w:eastAsia="Times New Roman"/>
          <w:noProof/>
          <w:lang w:val="en-IE" w:eastAsia="de-DE"/>
        </w:rPr>
        <w:t xml:space="preserve">: </w:t>
      </w:r>
    </w:p>
    <w:p w:rsidR="00037680" w:rsidRDefault="00037680" w:rsidP="00037680">
      <w:pPr>
        <w:pStyle w:val="Text1"/>
        <w:ind w:left="1210"/>
        <w:rPr>
          <w:noProof/>
          <w:lang w:val="en-IE" w:eastAsia="de-DE"/>
        </w:rPr>
      </w:pPr>
      <w:r>
        <w:rPr>
          <w:noProof/>
          <w:lang w:val="en-IE" w:eastAsia="de-DE"/>
        </w:rPr>
        <w:t>(</w:t>
      </w:r>
      <w:r w:rsidRPr="00037680">
        <w:rPr>
          <w:noProof/>
          <w:lang w:val="en-IE" w:eastAsia="de-DE"/>
        </w:rPr>
        <w:t>a</w:t>
      </w:r>
      <w:r>
        <w:rPr>
          <w:noProof/>
          <w:lang w:val="en-IE" w:eastAsia="de-DE"/>
        </w:rPr>
        <w:t xml:space="preserve">) </w:t>
      </w:r>
      <w:r w:rsidRPr="00037680">
        <w:rPr>
          <w:noProof/>
          <w:lang w:val="en-IE" w:eastAsia="de-DE"/>
        </w:rPr>
        <w:t>the proportion of the products or tenders originating in third countries, as determined in accordance with Regulation (EU) No 952/2013 of the European Parliament and of the Council;</w:t>
      </w:r>
    </w:p>
    <w:p w:rsidR="00F73D97" w:rsidRPr="00037680" w:rsidRDefault="00F73D97" w:rsidP="00037680">
      <w:pPr>
        <w:pStyle w:val="Text1"/>
        <w:ind w:left="1210"/>
        <w:rPr>
          <w:noProof/>
          <w:lang w:val="en-IE" w:eastAsia="de-DE"/>
        </w:rPr>
      </w:pPr>
      <w:r>
        <w:rPr>
          <w:noProof/>
          <w:lang w:val="en-IE" w:eastAsia="de-DE"/>
        </w:rPr>
        <w:t xml:space="preserve">(b) the </w:t>
      </w:r>
      <w:r w:rsidRPr="00AE60D1">
        <w:rPr>
          <w:noProof/>
          <w:lang w:val="en-IE" w:eastAsia="de-DE"/>
        </w:rPr>
        <w:t>introduc</w:t>
      </w:r>
      <w:r>
        <w:rPr>
          <w:noProof/>
          <w:lang w:val="en-IE" w:eastAsia="de-DE"/>
        </w:rPr>
        <w:t>tion by third countries of</w:t>
      </w:r>
      <w:r w:rsidRPr="00AE60D1">
        <w:rPr>
          <w:noProof/>
          <w:lang w:val="en-IE" w:eastAsia="de-DE"/>
        </w:rPr>
        <w:t xml:space="preserve"> a restrictive or distortive measure on such vehicles or on the technical and open interoperability between the recharging and refuelling infrastructure and the vehicles</w:t>
      </w:r>
      <w:r w:rsidRPr="00037680">
        <w:rPr>
          <w:noProof/>
          <w:lang w:val="en-IE" w:eastAsia="de-DE"/>
        </w:rPr>
        <w:t>;</w:t>
      </w:r>
    </w:p>
    <w:p w:rsidR="00037680" w:rsidRPr="00037680" w:rsidRDefault="00037680" w:rsidP="00037680">
      <w:pPr>
        <w:pStyle w:val="Text1"/>
        <w:ind w:left="1210"/>
        <w:rPr>
          <w:noProof/>
          <w:lang w:val="en-IE" w:eastAsia="de-DE"/>
        </w:rPr>
      </w:pPr>
      <w:r>
        <w:rPr>
          <w:noProof/>
          <w:lang w:val="en-IE" w:eastAsia="de-DE"/>
        </w:rPr>
        <w:t>(</w:t>
      </w:r>
      <w:r w:rsidR="00F73D97">
        <w:rPr>
          <w:noProof/>
          <w:lang w:val="en-IE" w:eastAsia="de-DE"/>
        </w:rPr>
        <w:t>c</w:t>
      </w:r>
      <w:r>
        <w:rPr>
          <w:noProof/>
          <w:lang w:val="en-IE" w:eastAsia="de-DE"/>
        </w:rPr>
        <w:t xml:space="preserve">) </w:t>
      </w:r>
      <w:r w:rsidRPr="00037680">
        <w:rPr>
          <w:noProof/>
          <w:lang w:val="en-IE" w:eastAsia="de-DE"/>
        </w:rPr>
        <w:t xml:space="preserve">the </w:t>
      </w:r>
      <w:r w:rsidR="00F73D97">
        <w:rPr>
          <w:noProof/>
          <w:lang w:val="en-IE" w:eastAsia="de-DE"/>
        </w:rPr>
        <w:t xml:space="preserve">availability </w:t>
      </w:r>
      <w:r w:rsidRPr="00037680">
        <w:rPr>
          <w:noProof/>
          <w:lang w:val="en-IE" w:eastAsia="de-DE"/>
        </w:rPr>
        <w:t xml:space="preserve">of essential spare parts for the functioning of the equipment </w:t>
      </w:r>
      <w:r w:rsidR="00F73D97">
        <w:rPr>
          <w:noProof/>
          <w:lang w:val="en-IE" w:eastAsia="de-DE"/>
        </w:rPr>
        <w:t>subject to the tender</w:t>
      </w:r>
      <w:r w:rsidRPr="00037680">
        <w:rPr>
          <w:noProof/>
          <w:lang w:val="en-IE" w:eastAsia="de-DE"/>
        </w:rPr>
        <w:t xml:space="preserve">; </w:t>
      </w:r>
    </w:p>
    <w:p w:rsidR="00037680" w:rsidRPr="00037680" w:rsidRDefault="00037680" w:rsidP="00037680">
      <w:pPr>
        <w:pStyle w:val="Text1"/>
        <w:ind w:left="1210"/>
        <w:rPr>
          <w:noProof/>
          <w:lang w:val="en-IE" w:eastAsia="de-DE"/>
        </w:rPr>
      </w:pPr>
      <w:r>
        <w:rPr>
          <w:noProof/>
          <w:lang w:val="en-IE" w:eastAsia="de-DE"/>
        </w:rPr>
        <w:t>(</w:t>
      </w:r>
      <w:r w:rsidR="00F73D97">
        <w:rPr>
          <w:noProof/>
          <w:lang w:val="en-IE" w:eastAsia="de-DE"/>
        </w:rPr>
        <w:t>d</w:t>
      </w:r>
      <w:r>
        <w:rPr>
          <w:noProof/>
          <w:lang w:val="en-IE" w:eastAsia="de-DE"/>
        </w:rPr>
        <w:t xml:space="preserve">) </w:t>
      </w:r>
      <w:r w:rsidRPr="00037680">
        <w:rPr>
          <w:noProof/>
          <w:lang w:val="en-IE" w:eastAsia="de-DE"/>
        </w:rPr>
        <w:t xml:space="preserve">a commitment by the tenderer that possible changes in its supply chain during the execution of the contract will not affect adversely </w:t>
      </w:r>
      <w:r w:rsidR="00F73D97">
        <w:rPr>
          <w:noProof/>
          <w:lang w:val="en-IE" w:eastAsia="de-DE"/>
        </w:rPr>
        <w:t>the execution of the contract</w:t>
      </w:r>
      <w:r>
        <w:rPr>
          <w:noProof/>
          <w:lang w:val="en-IE" w:eastAsia="de-DE"/>
        </w:rPr>
        <w:t>;</w:t>
      </w:r>
      <w:r w:rsidRPr="00037680">
        <w:rPr>
          <w:noProof/>
          <w:lang w:val="en-IE" w:eastAsia="de-DE"/>
        </w:rPr>
        <w:t xml:space="preserve"> </w:t>
      </w:r>
    </w:p>
    <w:p w:rsidR="00037680" w:rsidRPr="00037680" w:rsidRDefault="00037680" w:rsidP="00037680">
      <w:pPr>
        <w:pStyle w:val="Text1"/>
        <w:ind w:left="1210"/>
        <w:rPr>
          <w:noProof/>
          <w:lang w:val="en-IE" w:eastAsia="de-DE"/>
        </w:rPr>
      </w:pPr>
      <w:r>
        <w:rPr>
          <w:noProof/>
          <w:lang w:val="en-IE" w:eastAsia="de-DE"/>
        </w:rPr>
        <w:t>(</w:t>
      </w:r>
      <w:r w:rsidR="00F73D97">
        <w:rPr>
          <w:noProof/>
          <w:lang w:val="en-IE" w:eastAsia="de-DE"/>
        </w:rPr>
        <w:t>e</w:t>
      </w:r>
      <w:r>
        <w:rPr>
          <w:noProof/>
          <w:lang w:val="en-IE" w:eastAsia="de-DE"/>
        </w:rPr>
        <w:t xml:space="preserve">) </w:t>
      </w:r>
      <w:r w:rsidR="00F73D97" w:rsidRPr="00AE60D1">
        <w:rPr>
          <w:noProof/>
          <w:lang w:val="en-IE" w:eastAsia="de-DE"/>
        </w:rPr>
        <w:t xml:space="preserve">a certification or documentation demonstrating that the organisation of the tenderer’s supply chain will allow it to comply with the </w:t>
      </w:r>
      <w:r w:rsidR="00F73D97">
        <w:rPr>
          <w:noProof/>
          <w:lang w:val="en-IE" w:eastAsia="de-DE"/>
        </w:rPr>
        <w:t>security</w:t>
      </w:r>
      <w:r w:rsidR="00F73D97" w:rsidRPr="00AE60D1">
        <w:rPr>
          <w:noProof/>
          <w:lang w:val="en-IE" w:eastAsia="de-DE"/>
        </w:rPr>
        <w:t xml:space="preserve"> of supply requirement</w:t>
      </w:r>
      <w:r w:rsidR="00F73D97">
        <w:rPr>
          <w:noProof/>
          <w:lang w:val="en-IE" w:eastAsia="de-DE"/>
        </w:rPr>
        <w:t>.</w:t>
      </w:r>
      <w:r w:rsidRPr="00037680">
        <w:rPr>
          <w:noProof/>
          <w:lang w:val="en-IE" w:eastAsia="de-DE"/>
        </w:rPr>
        <w:t xml:space="preserve"> </w:t>
      </w:r>
    </w:p>
    <w:p w:rsidR="00037680" w:rsidRPr="00037680" w:rsidRDefault="00037680" w:rsidP="00037680">
      <w:pPr>
        <w:pStyle w:val="Text1"/>
        <w:rPr>
          <w:rFonts w:eastAsia="Times New Roman"/>
          <w:noProof/>
          <w:lang w:val="en-IE" w:eastAsia="de-DE"/>
        </w:rPr>
      </w:pPr>
      <w:r w:rsidRPr="00037680">
        <w:rPr>
          <w:rFonts w:eastAsia="Times New Roman"/>
          <w:noProof/>
          <w:lang w:val="en-IE" w:eastAsia="de-DE"/>
        </w:rPr>
        <w:t>3.</w:t>
      </w:r>
      <w:r w:rsidRPr="00037680">
        <w:rPr>
          <w:rFonts w:eastAsia="Times New Roman"/>
          <w:noProof/>
          <w:lang w:val="en-IE" w:eastAsia="de-DE"/>
        </w:rPr>
        <w:tab/>
        <w:t>In accordance with Article</w:t>
      </w:r>
      <w:r>
        <w:rPr>
          <w:rFonts w:eastAsia="Times New Roman"/>
          <w:noProof/>
          <w:lang w:val="en-IE" w:eastAsia="de-DE"/>
        </w:rPr>
        <w:t xml:space="preserve"> 3b</w:t>
      </w:r>
      <w:r w:rsidRPr="00037680">
        <w:rPr>
          <w:rFonts w:eastAsia="Times New Roman"/>
          <w:noProof/>
          <w:lang w:val="en-IE" w:eastAsia="de-DE"/>
        </w:rPr>
        <w:t xml:space="preserve">, the tender’s contribution to security of supply shall be given a </w:t>
      </w:r>
      <w:r w:rsidR="00F30C38">
        <w:rPr>
          <w:rFonts w:eastAsia="Times New Roman"/>
          <w:noProof/>
          <w:lang w:val="en-IE" w:eastAsia="de-DE"/>
        </w:rPr>
        <w:t xml:space="preserve">weighting of between 15 to 40% </w:t>
      </w:r>
      <w:r w:rsidRPr="00037680">
        <w:rPr>
          <w:rFonts w:eastAsia="Times New Roman"/>
          <w:noProof/>
          <w:lang w:val="en-IE" w:eastAsia="de-DE"/>
        </w:rPr>
        <w:t xml:space="preserve"> of the award criteria.</w:t>
      </w:r>
      <w:r w:rsidR="00387F16" w:rsidRPr="00387F16">
        <w:rPr>
          <w:noProof/>
          <w:lang w:val="en-IE"/>
        </w:rPr>
        <w:t xml:space="preserve"> </w:t>
      </w:r>
      <w:r w:rsidR="00387F16">
        <w:rPr>
          <w:noProof/>
          <w:lang w:val="en-IE"/>
        </w:rPr>
        <w:t>’;</w:t>
      </w:r>
    </w:p>
    <w:p w:rsidR="00AF6F64" w:rsidRPr="00406DBD" w:rsidRDefault="00AF6F64" w:rsidP="0070471F">
      <w:pPr>
        <w:pStyle w:val="Text10"/>
        <w:rPr>
          <w:noProof/>
          <w:lang w:val="en-IE" w:eastAsia="de-DE"/>
        </w:rPr>
      </w:pPr>
    </w:p>
    <w:p w:rsidR="00676C64" w:rsidRDefault="005B4A90" w:rsidP="005B4A90">
      <w:pPr>
        <w:pStyle w:val="Point0"/>
        <w:rPr>
          <w:noProof/>
        </w:rPr>
      </w:pPr>
      <w:r w:rsidRPr="005B4A90">
        <w:t>(5)</w:t>
      </w:r>
      <w:r w:rsidRPr="005B4A90">
        <w:tab/>
      </w:r>
      <w:r w:rsidR="00F93784">
        <w:rPr>
          <w:noProof/>
        </w:rPr>
        <w:t>i</w:t>
      </w:r>
      <w:r w:rsidR="005A6506">
        <w:rPr>
          <w:noProof/>
        </w:rPr>
        <w:t xml:space="preserve">n Article 4, </w:t>
      </w:r>
      <w:r w:rsidR="00F93784">
        <w:rPr>
          <w:noProof/>
        </w:rPr>
        <w:t xml:space="preserve">first paragraph, </w:t>
      </w:r>
      <w:r w:rsidR="005A6506">
        <w:rPr>
          <w:noProof/>
        </w:rPr>
        <w:t>point (a)</w:t>
      </w:r>
      <w:r w:rsidR="00676C64">
        <w:rPr>
          <w:noProof/>
        </w:rPr>
        <w:t xml:space="preserve"> is </w:t>
      </w:r>
      <w:r w:rsidR="00F93784">
        <w:rPr>
          <w:noProof/>
        </w:rPr>
        <w:t>replaced by the following</w:t>
      </w:r>
      <w:r w:rsidR="00676C64">
        <w:rPr>
          <w:noProof/>
        </w:rPr>
        <w:t>:</w:t>
      </w:r>
    </w:p>
    <w:p w:rsidR="005A6506" w:rsidRPr="00AF0221" w:rsidRDefault="00676C64" w:rsidP="00676C64">
      <w:pPr>
        <w:pStyle w:val="Text10"/>
        <w:rPr>
          <w:noProof/>
          <w:lang w:val="en-IE"/>
        </w:rPr>
      </w:pPr>
      <w:r>
        <w:rPr>
          <w:noProof/>
        </w:rPr>
        <w:t>‘(a)</w:t>
      </w:r>
      <w:r w:rsidR="005A6506">
        <w:rPr>
          <w:noProof/>
        </w:rPr>
        <w:t xml:space="preserve"> </w:t>
      </w:r>
      <w:r w:rsidRPr="00DC4F17">
        <w:rPr>
          <w:rFonts w:eastAsia="Times New Roman"/>
          <w:noProof/>
          <w:szCs w:val="24"/>
          <w:lang w:val="en-IE" w:eastAsia="de-DE"/>
        </w:rPr>
        <w:t>the data reported for the manufacturer’s new heavy-duty vehicles registered in the preceding reporting period</w:t>
      </w:r>
      <w:r w:rsidR="00F93784">
        <w:rPr>
          <w:rFonts w:eastAsia="Times New Roman"/>
          <w:noProof/>
          <w:szCs w:val="24"/>
          <w:lang w:val="en-IE" w:eastAsia="de-DE"/>
        </w:rPr>
        <w:t>;</w:t>
      </w:r>
      <w:r w:rsidRPr="00DC4F17">
        <w:rPr>
          <w:rFonts w:eastAsia="Times New Roman"/>
          <w:noProof/>
          <w:szCs w:val="24"/>
          <w:lang w:val="en-IE" w:eastAsia="de-DE"/>
        </w:rPr>
        <w:t xml:space="preserve"> and</w:t>
      </w:r>
      <w:r>
        <w:rPr>
          <w:rFonts w:eastAsia="Times New Roman"/>
          <w:noProof/>
          <w:szCs w:val="24"/>
          <w:lang w:val="en-IE" w:eastAsia="de-DE"/>
        </w:rPr>
        <w:t>’</w:t>
      </w:r>
      <w:r w:rsidR="00AF0221">
        <w:rPr>
          <w:noProof/>
          <w:lang w:val="en-IE"/>
        </w:rPr>
        <w:t>;</w:t>
      </w:r>
    </w:p>
    <w:p w:rsidR="00DD3780" w:rsidRPr="00DD3780" w:rsidRDefault="005B4A90" w:rsidP="005B4A90">
      <w:pPr>
        <w:pStyle w:val="Point0"/>
        <w:rPr>
          <w:noProof/>
        </w:rPr>
      </w:pPr>
      <w:r w:rsidRPr="005B4A90">
        <w:t>(6)</w:t>
      </w:r>
      <w:r w:rsidRPr="005B4A90">
        <w:tab/>
      </w:r>
      <w:r w:rsidR="005A6506">
        <w:rPr>
          <w:noProof/>
          <w:lang w:val="en-IE" w:eastAsia="de-DE"/>
        </w:rPr>
        <w:t>Article 5</w:t>
      </w:r>
      <w:r w:rsidR="00DD3780">
        <w:rPr>
          <w:noProof/>
          <w:lang w:val="en-IE" w:eastAsia="de-DE"/>
        </w:rPr>
        <w:t xml:space="preserve"> is ame</w:t>
      </w:r>
      <w:r w:rsidR="00EF3E02">
        <w:rPr>
          <w:noProof/>
          <w:lang w:val="en-IE" w:eastAsia="de-DE"/>
        </w:rPr>
        <w:t>n</w:t>
      </w:r>
      <w:r w:rsidR="00DD3780">
        <w:rPr>
          <w:noProof/>
          <w:lang w:val="en-IE" w:eastAsia="de-DE"/>
        </w:rPr>
        <w:t>ded as follows:</w:t>
      </w:r>
    </w:p>
    <w:p w:rsidR="005A6506" w:rsidRPr="005A6506" w:rsidRDefault="005B4A90" w:rsidP="005B4A90">
      <w:pPr>
        <w:pStyle w:val="Point1"/>
        <w:rPr>
          <w:noProof/>
        </w:rPr>
      </w:pPr>
      <w:r w:rsidRPr="005B4A90">
        <w:t>(a)</w:t>
      </w:r>
      <w:r w:rsidRPr="005B4A90">
        <w:tab/>
      </w:r>
      <w:r w:rsidR="005A6506" w:rsidRPr="00DD3780">
        <w:rPr>
          <w:noProof/>
        </w:rPr>
        <w:t>paragraph</w:t>
      </w:r>
      <w:r w:rsidR="005A6506">
        <w:rPr>
          <w:noProof/>
          <w:lang w:val="en-IE" w:eastAsia="de-DE"/>
        </w:rPr>
        <w:t xml:space="preserve"> 1 is </w:t>
      </w:r>
      <w:r w:rsidR="00D53D65">
        <w:rPr>
          <w:noProof/>
          <w:lang w:val="en-IE" w:eastAsia="de-DE"/>
        </w:rPr>
        <w:t>replaced by the following</w:t>
      </w:r>
      <w:r w:rsidR="005A6506">
        <w:rPr>
          <w:noProof/>
          <w:lang w:val="en-IE" w:eastAsia="de-DE"/>
        </w:rPr>
        <w:t>:</w:t>
      </w:r>
    </w:p>
    <w:p w:rsidR="00DD3780" w:rsidRPr="00DC4F17" w:rsidRDefault="00DD3780" w:rsidP="00DD3780">
      <w:pPr>
        <w:pStyle w:val="Text10"/>
        <w:rPr>
          <w:noProof/>
          <w:lang w:val="en-IE" w:eastAsia="de-DE"/>
        </w:rPr>
      </w:pPr>
      <w:r>
        <w:rPr>
          <w:noProof/>
          <w:lang w:val="en-IE" w:eastAsia="de-DE"/>
        </w:rPr>
        <w:t>‘</w:t>
      </w:r>
      <w:r w:rsidRPr="00DC4F17">
        <w:rPr>
          <w:noProof/>
          <w:lang w:val="en-IE" w:eastAsia="de-DE"/>
        </w:rPr>
        <w:t>1.</w:t>
      </w:r>
      <w:r>
        <w:rPr>
          <w:noProof/>
          <w:lang w:val="en-IE" w:eastAsia="de-DE"/>
        </w:rPr>
        <w:t xml:space="preserve"> </w:t>
      </w:r>
      <w:r w:rsidRPr="00DC4F17">
        <w:rPr>
          <w:noProof/>
          <w:lang w:val="en-IE" w:eastAsia="de-DE"/>
        </w:rPr>
        <w:t>Starting from 1 July 2020 and for each subsequent reporting period</w:t>
      </w:r>
      <w:r w:rsidR="00876F71">
        <w:rPr>
          <w:noProof/>
          <w:lang w:val="en-IE" w:eastAsia="de-DE"/>
        </w:rPr>
        <w:t xml:space="preserve"> </w:t>
      </w:r>
      <w:r w:rsidR="004C70D8">
        <w:rPr>
          <w:noProof/>
          <w:lang w:val="en-IE" w:eastAsia="de-DE"/>
        </w:rPr>
        <w:t>until</w:t>
      </w:r>
      <w:r w:rsidR="000C32E1">
        <w:rPr>
          <w:noProof/>
          <w:lang w:val="en-IE" w:eastAsia="de-DE"/>
        </w:rPr>
        <w:t xml:space="preserve"> the reporting period</w:t>
      </w:r>
      <w:r>
        <w:rPr>
          <w:noProof/>
          <w:lang w:val="en-IE" w:eastAsia="de-DE"/>
        </w:rPr>
        <w:t xml:space="preserve"> </w:t>
      </w:r>
      <w:r w:rsidR="003D5E1F">
        <w:rPr>
          <w:noProof/>
          <w:lang w:val="en-IE" w:eastAsia="de-DE"/>
        </w:rPr>
        <w:t xml:space="preserve">of </w:t>
      </w:r>
      <w:r w:rsidR="004B7251">
        <w:rPr>
          <w:noProof/>
          <w:lang w:val="en-IE" w:eastAsia="de-DE"/>
        </w:rPr>
        <w:t xml:space="preserve">the year </w:t>
      </w:r>
      <w:r w:rsidRPr="009B5367">
        <w:rPr>
          <w:noProof/>
          <w:lang w:val="en-IE" w:eastAsia="de-DE"/>
        </w:rPr>
        <w:t>2029</w:t>
      </w:r>
      <w:r w:rsidRPr="00DC4F17">
        <w:rPr>
          <w:noProof/>
          <w:lang w:val="en-IE" w:eastAsia="de-DE"/>
        </w:rPr>
        <w:t>, the Commission shall determine for each manufacturer the zero- and low-emission factor for the preceding reporting period.</w:t>
      </w:r>
    </w:p>
    <w:p w:rsidR="00DD3780" w:rsidRPr="00DC4F17" w:rsidRDefault="00DD3780" w:rsidP="00E62A75">
      <w:pPr>
        <w:pStyle w:val="Text10"/>
        <w:rPr>
          <w:noProof/>
          <w:lang w:val="en-IE" w:eastAsia="de-DE"/>
        </w:rPr>
      </w:pPr>
      <w:r w:rsidRPr="00DC4F17">
        <w:rPr>
          <w:noProof/>
          <w:lang w:val="en-IE" w:eastAsia="de-DE"/>
        </w:rPr>
        <w:t>The zero-</w:t>
      </w:r>
      <w:r w:rsidR="00204446" w:rsidRPr="00DC4F17">
        <w:rPr>
          <w:noProof/>
          <w:lang w:val="en-IE" w:eastAsia="de-DE"/>
        </w:rPr>
        <w:t>emission</w:t>
      </w:r>
      <w:r w:rsidRPr="00DC4F17">
        <w:rPr>
          <w:noProof/>
          <w:lang w:val="en-IE" w:eastAsia="de-DE"/>
        </w:rPr>
        <w:t xml:space="preserve"> and low-emission factor shall take into account the number and the CO</w:t>
      </w:r>
      <w:r w:rsidRPr="00415679">
        <w:rPr>
          <w:noProof/>
          <w:vertAlign w:val="subscript"/>
          <w:lang w:val="en-IE" w:eastAsia="de-DE"/>
        </w:rPr>
        <w:t>2</w:t>
      </w:r>
      <w:r w:rsidRPr="00DC4F17">
        <w:rPr>
          <w:noProof/>
          <w:lang w:val="en-IE" w:eastAsia="de-DE"/>
        </w:rPr>
        <w:t xml:space="preserve"> emissions of </w:t>
      </w:r>
      <w:r w:rsidR="00E62A75">
        <w:rPr>
          <w:noProof/>
          <w:lang w:val="en-IE" w:eastAsia="de-DE"/>
        </w:rPr>
        <w:t xml:space="preserve">all </w:t>
      </w:r>
      <w:r w:rsidRPr="00DC4F17">
        <w:rPr>
          <w:noProof/>
          <w:lang w:val="en-IE" w:eastAsia="de-DE"/>
        </w:rPr>
        <w:t>zero- and low-emission heavy-duty vehicles in the manufacturer’s fleet</w:t>
      </w:r>
      <w:r>
        <w:rPr>
          <w:noProof/>
          <w:lang w:val="en-IE" w:eastAsia="de-DE"/>
        </w:rPr>
        <w:t>.’</w:t>
      </w:r>
      <w:r w:rsidR="00D53D65">
        <w:rPr>
          <w:noProof/>
          <w:lang w:val="en-IE" w:eastAsia="de-DE"/>
        </w:rPr>
        <w:t>;</w:t>
      </w:r>
    </w:p>
    <w:p w:rsidR="008129BD" w:rsidRDefault="005B4A90" w:rsidP="005B4A90">
      <w:pPr>
        <w:pStyle w:val="Point1"/>
        <w:rPr>
          <w:noProof/>
        </w:rPr>
      </w:pPr>
      <w:r w:rsidRPr="005B4A90">
        <w:t>(b)</w:t>
      </w:r>
      <w:r w:rsidRPr="005B4A90">
        <w:tab/>
      </w:r>
      <w:r w:rsidR="008129BD">
        <w:rPr>
          <w:noProof/>
        </w:rPr>
        <w:t>paragraph 3 is replaced by the following:</w:t>
      </w:r>
    </w:p>
    <w:p w:rsidR="008129BD" w:rsidRDefault="008129BD" w:rsidP="0051068F">
      <w:pPr>
        <w:pStyle w:val="Text10"/>
        <w:rPr>
          <w:noProof/>
        </w:rPr>
      </w:pPr>
      <w:r>
        <w:rPr>
          <w:noProof/>
        </w:rPr>
        <w:t>‘</w:t>
      </w:r>
      <w:r w:rsidRPr="00D53D65">
        <w:rPr>
          <w:noProof/>
        </w:rPr>
        <w:t>3. For the reporting periods from 2025</w:t>
      </w:r>
      <w:r>
        <w:rPr>
          <w:noProof/>
        </w:rPr>
        <w:t xml:space="preserve"> to 2029</w:t>
      </w:r>
      <w:r w:rsidRPr="00D53D65">
        <w:rPr>
          <w:noProof/>
        </w:rPr>
        <w:t xml:space="preserve"> the zero- and low-emission factor </w:t>
      </w:r>
      <w:r w:rsidRPr="0051068F">
        <w:rPr>
          <w:noProof/>
          <w:lang w:val="en-IE" w:eastAsia="de-DE"/>
        </w:rPr>
        <w:t>shall</w:t>
      </w:r>
      <w:r w:rsidRPr="00D53D65">
        <w:rPr>
          <w:noProof/>
        </w:rPr>
        <w:t xml:space="preserve"> be determined on the basis of a 2 % benchmark in accordance with point 2.3.2 of Annex I.</w:t>
      </w:r>
      <w:r>
        <w:rPr>
          <w:noProof/>
        </w:rPr>
        <w:t>’;</w:t>
      </w:r>
    </w:p>
    <w:p w:rsidR="00D53D65" w:rsidRPr="0051068F" w:rsidRDefault="005B4A90" w:rsidP="005B4A90">
      <w:pPr>
        <w:pStyle w:val="Point1"/>
        <w:rPr>
          <w:noProof/>
        </w:rPr>
      </w:pPr>
      <w:r w:rsidRPr="005B4A90">
        <w:t>(c)</w:t>
      </w:r>
      <w:r w:rsidRPr="005B4A90">
        <w:tab/>
      </w:r>
      <w:r w:rsidR="00DD3780" w:rsidRPr="0051068F">
        <w:rPr>
          <w:noProof/>
        </w:rPr>
        <w:t xml:space="preserve">paragraph </w:t>
      </w:r>
      <w:r w:rsidR="008129BD" w:rsidRPr="0051068F">
        <w:rPr>
          <w:noProof/>
        </w:rPr>
        <w:t>4</w:t>
      </w:r>
      <w:r w:rsidR="00D53D65" w:rsidRPr="0051068F">
        <w:rPr>
          <w:noProof/>
        </w:rPr>
        <w:t xml:space="preserve"> is replaced by the following:</w:t>
      </w:r>
    </w:p>
    <w:p w:rsidR="008129BD" w:rsidRDefault="00D53D65" w:rsidP="0051068F">
      <w:pPr>
        <w:pStyle w:val="Text10"/>
        <w:rPr>
          <w:noProof/>
        </w:rPr>
      </w:pPr>
      <w:r w:rsidRPr="0051068F">
        <w:rPr>
          <w:noProof/>
        </w:rPr>
        <w:t>‘</w:t>
      </w:r>
      <w:r w:rsidR="00C21654">
        <w:rPr>
          <w:rFonts w:eastAsia="Times New Roman"/>
          <w:noProof/>
          <w:szCs w:val="24"/>
          <w:lang w:val="en-IE" w:eastAsia="de-DE"/>
        </w:rPr>
        <w:t xml:space="preserve">4. </w:t>
      </w:r>
      <w:r w:rsidR="008129BD" w:rsidRPr="0051068F">
        <w:rPr>
          <w:rFonts w:eastAsia="Times New Roman"/>
          <w:noProof/>
          <w:szCs w:val="24"/>
          <w:lang w:val="en-IE" w:eastAsia="de-DE"/>
        </w:rPr>
        <w:t>The zero-</w:t>
      </w:r>
      <w:r w:rsidR="003F5F3A" w:rsidRPr="003F5F3A">
        <w:rPr>
          <w:rFonts w:eastAsia="Times New Roman"/>
          <w:noProof/>
          <w:szCs w:val="24"/>
          <w:lang w:val="en-IE" w:eastAsia="de-DE"/>
        </w:rPr>
        <w:t>emission</w:t>
      </w:r>
      <w:r w:rsidR="008129BD" w:rsidRPr="0051068F">
        <w:rPr>
          <w:rFonts w:eastAsia="Times New Roman"/>
          <w:noProof/>
          <w:szCs w:val="24"/>
          <w:lang w:val="en-IE" w:eastAsia="de-DE"/>
        </w:rPr>
        <w:t xml:space="preserve"> and low-emission factor shall reduce the average specific CO</w:t>
      </w:r>
      <w:r w:rsidR="008129BD" w:rsidRPr="0051068F">
        <w:rPr>
          <w:rFonts w:eastAsia="Times New Roman"/>
          <w:noProof/>
          <w:szCs w:val="24"/>
          <w:vertAlign w:val="subscript"/>
          <w:lang w:val="en-IE" w:eastAsia="de-DE"/>
        </w:rPr>
        <w:t>2</w:t>
      </w:r>
      <w:r w:rsidR="008129BD" w:rsidRPr="0051068F">
        <w:rPr>
          <w:rFonts w:eastAsia="Times New Roman"/>
          <w:noProof/>
          <w:szCs w:val="24"/>
          <w:lang w:val="en-IE" w:eastAsia="de-DE"/>
        </w:rPr>
        <w:t xml:space="preserve"> emissions of a manufacturer by a maximum of 3 %. The contribution </w:t>
      </w:r>
      <w:r w:rsidR="00770CF7" w:rsidRPr="0051068F">
        <w:rPr>
          <w:rFonts w:eastAsia="Times New Roman"/>
          <w:noProof/>
          <w:szCs w:val="24"/>
          <w:lang w:val="en-IE" w:eastAsia="de-DE"/>
        </w:rPr>
        <w:t xml:space="preserve">to that factor </w:t>
      </w:r>
      <w:r w:rsidR="008129BD" w:rsidRPr="0051068F">
        <w:rPr>
          <w:rFonts w:eastAsia="Times New Roman"/>
          <w:noProof/>
          <w:szCs w:val="24"/>
          <w:lang w:val="en-IE" w:eastAsia="de-DE"/>
        </w:rPr>
        <w:t>of the zero-</w:t>
      </w:r>
      <w:r w:rsidR="008129BD" w:rsidRPr="0051068F">
        <w:rPr>
          <w:noProof/>
          <w:lang w:val="en-IE" w:eastAsia="de-DE"/>
        </w:rPr>
        <w:t>emission</w:t>
      </w:r>
      <w:r w:rsidR="008129BD" w:rsidRPr="0051068F">
        <w:rPr>
          <w:rFonts w:eastAsia="Times New Roman"/>
          <w:noProof/>
          <w:szCs w:val="24"/>
          <w:lang w:val="en-IE" w:eastAsia="de-DE"/>
        </w:rPr>
        <w:t xml:space="preserve"> vehicles </w:t>
      </w:r>
      <w:r w:rsidR="00BA59B8" w:rsidRPr="0051068F">
        <w:rPr>
          <w:rFonts w:eastAsia="Times New Roman"/>
          <w:noProof/>
          <w:szCs w:val="24"/>
          <w:lang w:val="en-IE" w:eastAsia="de-DE"/>
        </w:rPr>
        <w:t xml:space="preserve">of category N, </w:t>
      </w:r>
      <w:r w:rsidR="008129BD" w:rsidRPr="0051068F">
        <w:rPr>
          <w:rFonts w:eastAsia="Times New Roman"/>
          <w:noProof/>
          <w:szCs w:val="24"/>
          <w:lang w:val="en-IE" w:eastAsia="de-DE"/>
        </w:rPr>
        <w:t xml:space="preserve">other than </w:t>
      </w:r>
      <w:r w:rsidR="00BA59B8" w:rsidRPr="0051068F">
        <w:rPr>
          <w:rFonts w:eastAsia="Times New Roman"/>
          <w:noProof/>
          <w:szCs w:val="24"/>
          <w:lang w:val="en-IE" w:eastAsia="de-DE"/>
        </w:rPr>
        <w:t xml:space="preserve">those in vehicles sub-groups </w:t>
      </w:r>
      <w:r w:rsidR="008129BD" w:rsidRPr="0051068F">
        <w:rPr>
          <w:rFonts w:eastAsia="Times New Roman"/>
          <w:noProof/>
          <w:szCs w:val="24"/>
          <w:lang w:val="en-IE" w:eastAsia="de-DE"/>
        </w:rPr>
        <w:t xml:space="preserve">4-UD, 4-RD, </w:t>
      </w:r>
      <w:r w:rsidR="00F04BCD">
        <w:rPr>
          <w:rFonts w:eastAsia="Times New Roman"/>
          <w:noProof/>
          <w:szCs w:val="24"/>
          <w:lang w:val="en-IE" w:eastAsia="de-DE"/>
        </w:rPr>
        <w:t xml:space="preserve">4-LH, </w:t>
      </w:r>
      <w:r w:rsidR="008129BD" w:rsidRPr="0051068F">
        <w:rPr>
          <w:rFonts w:eastAsia="Times New Roman"/>
          <w:noProof/>
          <w:szCs w:val="24"/>
          <w:lang w:val="en-IE" w:eastAsia="de-DE"/>
        </w:rPr>
        <w:t>5-RD, 5-LH, 9-RD, 9-LH, 10-RD, 10-LH</w:t>
      </w:r>
      <w:r w:rsidR="00770CF7" w:rsidRPr="0051068F">
        <w:rPr>
          <w:rFonts w:eastAsia="Times New Roman"/>
          <w:noProof/>
          <w:szCs w:val="24"/>
          <w:lang w:val="en-IE" w:eastAsia="de-DE"/>
        </w:rPr>
        <w:t>,</w:t>
      </w:r>
      <w:r w:rsidR="008129BD" w:rsidRPr="0051068F">
        <w:rPr>
          <w:rFonts w:eastAsia="Times New Roman"/>
          <w:noProof/>
          <w:szCs w:val="24"/>
          <w:lang w:val="en-IE" w:eastAsia="de-DE"/>
        </w:rPr>
        <w:t xml:space="preserve"> shall reduce the average specific CO</w:t>
      </w:r>
      <w:r w:rsidR="008129BD" w:rsidRPr="0051068F">
        <w:rPr>
          <w:rFonts w:eastAsia="Times New Roman"/>
          <w:noProof/>
          <w:szCs w:val="24"/>
          <w:vertAlign w:val="subscript"/>
          <w:lang w:val="en-IE" w:eastAsia="de-DE"/>
        </w:rPr>
        <w:t>2</w:t>
      </w:r>
      <w:r w:rsidR="008129BD" w:rsidRPr="0051068F">
        <w:rPr>
          <w:rFonts w:eastAsia="Times New Roman"/>
          <w:noProof/>
          <w:szCs w:val="24"/>
          <w:lang w:val="en-IE" w:eastAsia="de-DE"/>
        </w:rPr>
        <w:t xml:space="preserve"> emissions of a manufacturer by a maximum of 1,5 %.</w:t>
      </w:r>
      <w:r w:rsidR="00DD3780" w:rsidRPr="0051068F">
        <w:rPr>
          <w:noProof/>
        </w:rPr>
        <w:t>’;</w:t>
      </w:r>
    </w:p>
    <w:p w:rsidR="005A6506" w:rsidRDefault="005B4A90" w:rsidP="005B4A90">
      <w:pPr>
        <w:pStyle w:val="Point0"/>
        <w:rPr>
          <w:noProof/>
        </w:rPr>
      </w:pPr>
      <w:r w:rsidRPr="005B4A90">
        <w:t>(7)</w:t>
      </w:r>
      <w:r w:rsidRPr="005B4A90">
        <w:tab/>
      </w:r>
      <w:r w:rsidR="00DD3780">
        <w:rPr>
          <w:noProof/>
        </w:rPr>
        <w:t xml:space="preserve">Article 6 is </w:t>
      </w:r>
      <w:r w:rsidR="000A3990">
        <w:rPr>
          <w:noProof/>
        </w:rPr>
        <w:t>replaced by the following</w:t>
      </w:r>
      <w:r w:rsidR="00DD3780">
        <w:rPr>
          <w:noProof/>
        </w:rPr>
        <w:t>:</w:t>
      </w:r>
    </w:p>
    <w:p w:rsidR="008B101D" w:rsidRPr="008B101D" w:rsidRDefault="008B101D" w:rsidP="008B101D">
      <w:pPr>
        <w:pStyle w:val="Text10"/>
        <w:rPr>
          <w:rFonts w:eastAsia="Times New Roman"/>
          <w:noProof/>
          <w:szCs w:val="24"/>
          <w:lang w:val="en-IE" w:eastAsia="de-DE"/>
        </w:rPr>
      </w:pPr>
      <w:r>
        <w:rPr>
          <w:rFonts w:eastAsia="Times New Roman"/>
          <w:noProof/>
          <w:szCs w:val="24"/>
          <w:lang w:val="en-IE" w:eastAsia="de-DE"/>
        </w:rPr>
        <w:tab/>
      </w:r>
      <w:r>
        <w:rPr>
          <w:rFonts w:eastAsia="Times New Roman"/>
          <w:noProof/>
          <w:szCs w:val="24"/>
          <w:lang w:val="en-IE" w:eastAsia="de-DE"/>
        </w:rPr>
        <w:tab/>
      </w:r>
      <w:r>
        <w:rPr>
          <w:rFonts w:eastAsia="Times New Roman"/>
          <w:noProof/>
          <w:szCs w:val="24"/>
          <w:lang w:val="en-IE" w:eastAsia="de-DE"/>
        </w:rPr>
        <w:tab/>
      </w:r>
      <w:r>
        <w:rPr>
          <w:rFonts w:eastAsia="Times New Roman"/>
          <w:noProof/>
          <w:szCs w:val="24"/>
          <w:lang w:val="en-IE" w:eastAsia="de-DE"/>
        </w:rPr>
        <w:tab/>
      </w:r>
      <w:r w:rsidR="00C21654">
        <w:rPr>
          <w:rFonts w:eastAsia="Times New Roman"/>
          <w:noProof/>
          <w:szCs w:val="24"/>
          <w:lang w:val="en-IE" w:eastAsia="de-DE"/>
        </w:rPr>
        <w:t>‘</w:t>
      </w:r>
      <w:r w:rsidRPr="008B101D">
        <w:rPr>
          <w:rFonts w:eastAsia="Times New Roman"/>
          <w:noProof/>
          <w:szCs w:val="24"/>
          <w:lang w:val="en-IE" w:eastAsia="de-DE"/>
        </w:rPr>
        <w:t>Article 6</w:t>
      </w:r>
    </w:p>
    <w:p w:rsidR="008B101D" w:rsidRPr="00F31D6A" w:rsidRDefault="008B101D" w:rsidP="00F31D6A">
      <w:pPr>
        <w:pStyle w:val="Text10"/>
        <w:ind w:left="2160" w:firstLine="720"/>
        <w:rPr>
          <w:rFonts w:eastAsia="Times New Roman"/>
          <w:b/>
          <w:bCs/>
          <w:noProof/>
          <w:szCs w:val="24"/>
          <w:lang w:val="en-IE" w:eastAsia="de-DE"/>
        </w:rPr>
      </w:pPr>
      <w:r w:rsidRPr="00F31D6A">
        <w:rPr>
          <w:rFonts w:eastAsia="Times New Roman"/>
          <w:b/>
          <w:bCs/>
          <w:noProof/>
          <w:szCs w:val="24"/>
          <w:lang w:val="en-IE" w:eastAsia="de-DE"/>
        </w:rPr>
        <w:t xml:space="preserve">Specific </w:t>
      </w:r>
      <w:r w:rsidR="00DF379C">
        <w:rPr>
          <w:rFonts w:eastAsia="Times New Roman"/>
          <w:b/>
          <w:bCs/>
          <w:noProof/>
          <w:szCs w:val="24"/>
          <w:lang w:val="en-IE" w:eastAsia="de-DE"/>
        </w:rPr>
        <w:t>CO₂</w:t>
      </w:r>
      <w:r w:rsidRPr="00F31D6A">
        <w:rPr>
          <w:rFonts w:eastAsia="Times New Roman"/>
          <w:b/>
          <w:bCs/>
          <w:noProof/>
          <w:szCs w:val="24"/>
          <w:lang w:val="en-IE" w:eastAsia="de-DE"/>
        </w:rPr>
        <w:t xml:space="preserve"> emissions targets of a manufacturer</w:t>
      </w:r>
    </w:p>
    <w:p w:rsidR="007E23B9" w:rsidRPr="00F31D6A" w:rsidRDefault="007E23B9" w:rsidP="007E23B9">
      <w:pPr>
        <w:pStyle w:val="Text10"/>
        <w:rPr>
          <w:noProof/>
        </w:rPr>
      </w:pPr>
      <w:r w:rsidRPr="00F31D6A">
        <w:rPr>
          <w:rFonts w:eastAsia="Times New Roman"/>
          <w:noProof/>
          <w:szCs w:val="24"/>
          <w:lang w:val="en-IE" w:eastAsia="de-DE"/>
        </w:rPr>
        <w:t xml:space="preserve">For the reporting period </w:t>
      </w:r>
      <w:r w:rsidRPr="00F31D6A" w:rsidDel="008B101D">
        <w:rPr>
          <w:rFonts w:eastAsia="Times New Roman"/>
          <w:noProof/>
          <w:szCs w:val="24"/>
          <w:lang w:val="en-IE" w:eastAsia="de-DE"/>
        </w:rPr>
        <w:t>of the year</w:t>
      </w:r>
      <w:r w:rsidRPr="00F31D6A">
        <w:rPr>
          <w:rFonts w:eastAsia="Times New Roman"/>
          <w:noProof/>
          <w:szCs w:val="24"/>
          <w:lang w:val="en-IE" w:eastAsia="de-DE"/>
        </w:rPr>
        <w:t xml:space="preserve"> 2025 and for each subsequent reporting period, the </w:t>
      </w:r>
      <w:r w:rsidRPr="00F31D6A">
        <w:rPr>
          <w:noProof/>
          <w:lang w:val="en-IE" w:eastAsia="de-DE"/>
        </w:rPr>
        <w:t>Commission</w:t>
      </w:r>
      <w:r w:rsidRPr="00F31D6A">
        <w:rPr>
          <w:rFonts w:eastAsia="Times New Roman"/>
          <w:noProof/>
          <w:szCs w:val="24"/>
          <w:lang w:val="en-IE" w:eastAsia="de-DE"/>
        </w:rPr>
        <w:t xml:space="preserve"> shall determine for each manufacturer a specific CO</w:t>
      </w:r>
      <w:r w:rsidRPr="00F31D6A">
        <w:rPr>
          <w:rFonts w:eastAsia="Times New Roman"/>
          <w:noProof/>
          <w:szCs w:val="24"/>
          <w:vertAlign w:val="subscript"/>
          <w:lang w:val="en-IE" w:eastAsia="de-DE"/>
        </w:rPr>
        <w:t>2</w:t>
      </w:r>
      <w:r w:rsidRPr="00F31D6A">
        <w:rPr>
          <w:rFonts w:eastAsia="Times New Roman"/>
          <w:noProof/>
          <w:szCs w:val="24"/>
          <w:lang w:val="en-IE" w:eastAsia="de-DE"/>
        </w:rPr>
        <w:t xml:space="preserve"> emissions target for the preceding reporting period. That target shall be determined in accordance with </w:t>
      </w:r>
      <w:r w:rsidR="008B101D" w:rsidRPr="00F31D6A">
        <w:rPr>
          <w:rFonts w:eastAsia="Times New Roman"/>
          <w:noProof/>
          <w:szCs w:val="24"/>
          <w:lang w:val="en-IE" w:eastAsia="de-DE"/>
        </w:rPr>
        <w:t xml:space="preserve">point 4.1 of </w:t>
      </w:r>
      <w:r w:rsidRPr="00F31D6A">
        <w:rPr>
          <w:rFonts w:eastAsia="Times New Roman"/>
          <w:noProof/>
          <w:szCs w:val="24"/>
          <w:lang w:val="en-IE" w:eastAsia="de-DE"/>
        </w:rPr>
        <w:t>Annex I.’;</w:t>
      </w:r>
    </w:p>
    <w:p w:rsidR="00FF1EF5" w:rsidRPr="00F31D6A" w:rsidRDefault="005B4A90" w:rsidP="005B4A90">
      <w:pPr>
        <w:pStyle w:val="Point0"/>
        <w:rPr>
          <w:noProof/>
        </w:rPr>
      </w:pPr>
      <w:r w:rsidRPr="005B4A90">
        <w:t>(8)</w:t>
      </w:r>
      <w:r w:rsidRPr="005B4A90">
        <w:tab/>
      </w:r>
      <w:r w:rsidR="008621CA" w:rsidRPr="00F31D6A">
        <w:rPr>
          <w:noProof/>
        </w:rPr>
        <w:t xml:space="preserve">the following </w:t>
      </w:r>
      <w:r w:rsidR="00FF1EF5" w:rsidRPr="00F31D6A">
        <w:rPr>
          <w:noProof/>
        </w:rPr>
        <w:t>Articles 6a and 6b are inserted:</w:t>
      </w:r>
    </w:p>
    <w:p w:rsidR="00FF1EF5" w:rsidRPr="00AD13D9" w:rsidRDefault="00FF1EF5" w:rsidP="00FF1EF5">
      <w:pPr>
        <w:pStyle w:val="Text10"/>
        <w:jc w:val="center"/>
        <w:rPr>
          <w:b/>
          <w:noProof/>
          <w:lang w:val="en-IE"/>
        </w:rPr>
      </w:pPr>
      <w:r>
        <w:rPr>
          <w:noProof/>
        </w:rPr>
        <w:t>‘</w:t>
      </w:r>
      <w:r>
        <w:rPr>
          <w:noProof/>
          <w:lang w:val="en-IE"/>
        </w:rPr>
        <w:t>Article 6a</w:t>
      </w:r>
      <w:r w:rsidR="00C615A7">
        <w:rPr>
          <w:noProof/>
          <w:lang w:val="en-IE"/>
        </w:rPr>
        <w:br/>
      </w:r>
      <w:r w:rsidRPr="00AD13D9">
        <w:rPr>
          <w:b/>
          <w:noProof/>
          <w:lang w:val="en-IE"/>
        </w:rPr>
        <w:t>Transfer of vehicles</w:t>
      </w:r>
      <w:r>
        <w:rPr>
          <w:b/>
          <w:noProof/>
          <w:lang w:val="en-IE"/>
        </w:rPr>
        <w:t xml:space="preserve"> between manufacturers</w:t>
      </w:r>
    </w:p>
    <w:p w:rsidR="00FF1EF5" w:rsidRDefault="000F5E3B" w:rsidP="000F5E3B">
      <w:pPr>
        <w:pStyle w:val="Text10"/>
        <w:ind w:left="1210" w:hanging="360"/>
        <w:rPr>
          <w:noProof/>
          <w:szCs w:val="24"/>
        </w:rPr>
      </w:pPr>
      <w:r>
        <w:rPr>
          <w:noProof/>
          <w:szCs w:val="24"/>
        </w:rPr>
        <w:t>1.</w:t>
      </w:r>
      <w:r>
        <w:rPr>
          <w:noProof/>
          <w:szCs w:val="24"/>
        </w:rPr>
        <w:tab/>
      </w:r>
      <w:r w:rsidR="00FF1EF5" w:rsidRPr="00456047">
        <w:rPr>
          <w:noProof/>
          <w:szCs w:val="24"/>
        </w:rPr>
        <w:t>For the purpose of calculating the average specific CO</w:t>
      </w:r>
      <w:r w:rsidR="00FF1EF5" w:rsidRPr="00E742C2">
        <w:rPr>
          <w:noProof/>
          <w:szCs w:val="24"/>
          <w:vertAlign w:val="subscript"/>
        </w:rPr>
        <w:t>2</w:t>
      </w:r>
      <w:r w:rsidR="00FF1EF5" w:rsidRPr="00456047">
        <w:rPr>
          <w:noProof/>
          <w:szCs w:val="24"/>
        </w:rPr>
        <w:t xml:space="preserve"> emissions of manufacturers </w:t>
      </w:r>
      <w:r w:rsidR="006077A0">
        <w:rPr>
          <w:noProof/>
          <w:szCs w:val="24"/>
        </w:rPr>
        <w:t>in accordance with</w:t>
      </w:r>
      <w:r w:rsidR="00FF1EF5" w:rsidRPr="005812DC">
        <w:rPr>
          <w:noProof/>
          <w:szCs w:val="24"/>
        </w:rPr>
        <w:t xml:space="preserve"> </w:t>
      </w:r>
      <w:r w:rsidR="00FF1EF5">
        <w:rPr>
          <w:noProof/>
          <w:szCs w:val="24"/>
        </w:rPr>
        <w:t xml:space="preserve">Article 4 </w:t>
      </w:r>
      <w:r w:rsidR="006077A0">
        <w:rPr>
          <w:noProof/>
          <w:szCs w:val="24"/>
        </w:rPr>
        <w:t>and</w:t>
      </w:r>
      <w:r w:rsidR="00FF1EF5" w:rsidRPr="00456047">
        <w:rPr>
          <w:noProof/>
          <w:szCs w:val="24"/>
        </w:rPr>
        <w:t xml:space="preserve"> </w:t>
      </w:r>
      <w:r w:rsidR="00FB3AAE" w:rsidRPr="00456047">
        <w:rPr>
          <w:noProof/>
          <w:szCs w:val="24"/>
        </w:rPr>
        <w:t>point 2.2</w:t>
      </w:r>
      <w:r w:rsidR="00FB3AAE">
        <w:rPr>
          <w:noProof/>
          <w:szCs w:val="24"/>
        </w:rPr>
        <w:t xml:space="preserve"> of </w:t>
      </w:r>
      <w:r w:rsidR="00FF1EF5" w:rsidRPr="00456047">
        <w:rPr>
          <w:noProof/>
          <w:szCs w:val="24"/>
        </w:rPr>
        <w:t xml:space="preserve">Annex I, individual vehicles </w:t>
      </w:r>
      <w:r w:rsidR="00FF1EF5">
        <w:rPr>
          <w:noProof/>
          <w:szCs w:val="24"/>
        </w:rPr>
        <w:t>may</w:t>
      </w:r>
      <w:r w:rsidR="00FF1EF5" w:rsidRPr="00456047">
        <w:rPr>
          <w:noProof/>
          <w:szCs w:val="24"/>
        </w:rPr>
        <w:t xml:space="preserve"> be transferred between </w:t>
      </w:r>
      <w:r w:rsidR="00FF1EF5">
        <w:rPr>
          <w:noProof/>
          <w:szCs w:val="24"/>
        </w:rPr>
        <w:t>manufacturers</w:t>
      </w:r>
      <w:r w:rsidR="00FF1EF5" w:rsidRPr="00456047">
        <w:rPr>
          <w:noProof/>
          <w:szCs w:val="24"/>
        </w:rPr>
        <w:t>, subject to the following conditions:</w:t>
      </w:r>
    </w:p>
    <w:p w:rsidR="00FF1EF5" w:rsidRPr="00E742C2" w:rsidRDefault="00DA4835" w:rsidP="00DA4835">
      <w:pPr>
        <w:pStyle w:val="Text10"/>
        <w:ind w:left="1210"/>
        <w:rPr>
          <w:noProof/>
        </w:rPr>
      </w:pPr>
      <w:r>
        <w:rPr>
          <w:noProof/>
        </w:rPr>
        <w:t xml:space="preserve">(a) </w:t>
      </w:r>
      <w:r w:rsidR="00FB3AAE">
        <w:rPr>
          <w:noProof/>
        </w:rPr>
        <w:t>f</w:t>
      </w:r>
      <w:r w:rsidR="00FF1EF5" w:rsidRPr="00E742C2">
        <w:rPr>
          <w:noProof/>
        </w:rPr>
        <w:t xml:space="preserve">or all transfers: </w:t>
      </w:r>
      <w:r w:rsidR="00FF1EF5" w:rsidRPr="00E742C2" w:rsidDel="00F24DDB">
        <w:rPr>
          <w:noProof/>
        </w:rPr>
        <w:t xml:space="preserve">the request must be jointly submitted by </w:t>
      </w:r>
      <w:r w:rsidR="00FF1EF5" w:rsidRPr="00E742C2">
        <w:rPr>
          <w:noProof/>
        </w:rPr>
        <w:t xml:space="preserve">the transferring and the </w:t>
      </w:r>
      <w:r w:rsidR="00FF1EF5" w:rsidRPr="00AA3BF3">
        <w:rPr>
          <w:noProof/>
        </w:rPr>
        <w:t>receiving manufacturer</w:t>
      </w:r>
      <w:r w:rsidR="00FB3AAE">
        <w:rPr>
          <w:noProof/>
        </w:rPr>
        <w:t>;</w:t>
      </w:r>
    </w:p>
    <w:p w:rsidR="00FF1EF5" w:rsidRPr="00AD13D9" w:rsidRDefault="00DA4835" w:rsidP="00DA4835">
      <w:pPr>
        <w:pStyle w:val="Text10"/>
        <w:ind w:left="1210"/>
        <w:rPr>
          <w:noProof/>
        </w:rPr>
      </w:pPr>
      <w:r>
        <w:rPr>
          <w:noProof/>
        </w:rPr>
        <w:t xml:space="preserve">(b) </w:t>
      </w:r>
      <w:r w:rsidR="006077A0">
        <w:rPr>
          <w:noProof/>
          <w:lang w:val="en-IE"/>
        </w:rPr>
        <w:t>f</w:t>
      </w:r>
      <w:r w:rsidR="00FF1EF5">
        <w:rPr>
          <w:noProof/>
          <w:lang w:val="en-IE"/>
        </w:rPr>
        <w:t xml:space="preserve">or the transfer of vehicles </w:t>
      </w:r>
      <w:r w:rsidR="007C3D5B">
        <w:rPr>
          <w:noProof/>
          <w:lang w:val="en-IE"/>
        </w:rPr>
        <w:t xml:space="preserve">other </w:t>
      </w:r>
      <w:r w:rsidR="00FF1EF5">
        <w:rPr>
          <w:noProof/>
          <w:lang w:val="en-IE"/>
        </w:rPr>
        <w:t>than zero-emission vehicles</w:t>
      </w:r>
      <w:r w:rsidR="00E87C42">
        <w:rPr>
          <w:noProof/>
          <w:lang w:val="en-IE"/>
        </w:rPr>
        <w:t>,</w:t>
      </w:r>
      <w:r w:rsidR="00FF1EF5">
        <w:rPr>
          <w:noProof/>
          <w:lang w:val="en-IE"/>
        </w:rPr>
        <w:t xml:space="preserve"> the </w:t>
      </w:r>
      <w:r w:rsidR="00B21245">
        <w:rPr>
          <w:noProof/>
        </w:rPr>
        <w:t>transferring and the receiving</w:t>
      </w:r>
      <w:r w:rsidR="00B21245" w:rsidRPr="00AD13D9">
        <w:rPr>
          <w:noProof/>
        </w:rPr>
        <w:t xml:space="preserve"> </w:t>
      </w:r>
      <w:r w:rsidR="00FF1EF5" w:rsidRPr="00AD13D9">
        <w:rPr>
          <w:noProof/>
        </w:rPr>
        <w:t xml:space="preserve">manufacturer </w:t>
      </w:r>
      <w:r w:rsidR="00FF1EF5" w:rsidDel="00E87C42">
        <w:rPr>
          <w:noProof/>
        </w:rPr>
        <w:t xml:space="preserve">must </w:t>
      </w:r>
      <w:r w:rsidR="00B21245">
        <w:rPr>
          <w:noProof/>
        </w:rPr>
        <w:t>belong to</w:t>
      </w:r>
      <w:r w:rsidR="00E87C42">
        <w:rPr>
          <w:noProof/>
        </w:rPr>
        <w:t xml:space="preserve"> </w:t>
      </w:r>
      <w:r w:rsidR="00FF1EF5">
        <w:rPr>
          <w:noProof/>
        </w:rPr>
        <w:t>a group of connected manufacturers</w:t>
      </w:r>
      <w:r w:rsidR="00FB3AAE">
        <w:rPr>
          <w:noProof/>
        </w:rPr>
        <w:t>;</w:t>
      </w:r>
    </w:p>
    <w:p w:rsidR="00B21245" w:rsidRDefault="00FF1EF5" w:rsidP="00DA4835">
      <w:pPr>
        <w:pStyle w:val="Text10"/>
        <w:ind w:left="1210"/>
        <w:rPr>
          <w:noProof/>
          <w:szCs w:val="24"/>
        </w:rPr>
      </w:pPr>
      <w:r>
        <w:rPr>
          <w:noProof/>
          <w:szCs w:val="24"/>
        </w:rPr>
        <w:t xml:space="preserve">(c) </w:t>
      </w:r>
      <w:r w:rsidR="006077A0">
        <w:rPr>
          <w:noProof/>
          <w:szCs w:val="24"/>
        </w:rPr>
        <w:t>f</w:t>
      </w:r>
      <w:r>
        <w:rPr>
          <w:noProof/>
          <w:szCs w:val="24"/>
        </w:rPr>
        <w:t xml:space="preserve">or transfers of zero-emission vehicles between manufacturers </w:t>
      </w:r>
      <w:r w:rsidR="00F24DDB">
        <w:rPr>
          <w:noProof/>
          <w:szCs w:val="24"/>
        </w:rPr>
        <w:t>not</w:t>
      </w:r>
      <w:r>
        <w:rPr>
          <w:noProof/>
          <w:szCs w:val="24"/>
        </w:rPr>
        <w:t xml:space="preserve"> belong</w:t>
      </w:r>
      <w:r w:rsidR="00F24DDB">
        <w:rPr>
          <w:noProof/>
          <w:szCs w:val="24"/>
        </w:rPr>
        <w:t>ing</w:t>
      </w:r>
      <w:r>
        <w:rPr>
          <w:noProof/>
          <w:szCs w:val="24"/>
        </w:rPr>
        <w:t xml:space="preserve"> to a group of connected manufacturers: </w:t>
      </w:r>
      <w:r w:rsidRPr="00AD13D9">
        <w:rPr>
          <w:noProof/>
          <w:szCs w:val="24"/>
        </w:rPr>
        <w:t xml:space="preserve">the number of zero-emissions vehicles </w:t>
      </w:r>
      <w:r>
        <w:rPr>
          <w:noProof/>
          <w:szCs w:val="24"/>
        </w:rPr>
        <w:t>transferred to a manufacturer</w:t>
      </w:r>
      <w:r w:rsidRPr="00AD13D9">
        <w:rPr>
          <w:noProof/>
          <w:szCs w:val="24"/>
        </w:rPr>
        <w:t xml:space="preserve"> </w:t>
      </w:r>
      <w:r w:rsidR="00B21245">
        <w:rPr>
          <w:noProof/>
          <w:szCs w:val="24"/>
        </w:rPr>
        <w:t>must</w:t>
      </w:r>
      <w:r w:rsidR="00B21245" w:rsidRPr="00AD13D9">
        <w:rPr>
          <w:noProof/>
          <w:szCs w:val="24"/>
        </w:rPr>
        <w:t xml:space="preserve"> </w:t>
      </w:r>
      <w:r w:rsidRPr="00AD13D9">
        <w:rPr>
          <w:noProof/>
          <w:szCs w:val="24"/>
        </w:rPr>
        <w:t>not exceed 5</w:t>
      </w:r>
      <w:r w:rsidR="00FB3AAE">
        <w:rPr>
          <w:noProof/>
          <w:szCs w:val="24"/>
        </w:rPr>
        <w:t xml:space="preserve"> </w:t>
      </w:r>
      <w:r w:rsidRPr="00AD13D9">
        <w:rPr>
          <w:noProof/>
          <w:szCs w:val="24"/>
        </w:rPr>
        <w:t>% of all its new heavy-</w:t>
      </w:r>
      <w:r>
        <w:rPr>
          <w:noProof/>
          <w:szCs w:val="24"/>
        </w:rPr>
        <w:t>duty vehicles registered in a given</w:t>
      </w:r>
      <w:r w:rsidRPr="00AD13D9">
        <w:rPr>
          <w:noProof/>
          <w:szCs w:val="24"/>
        </w:rPr>
        <w:t xml:space="preserve"> reporting period.</w:t>
      </w:r>
      <w:r w:rsidR="00B21245">
        <w:rPr>
          <w:noProof/>
          <w:szCs w:val="24"/>
        </w:rPr>
        <w:t xml:space="preserve"> </w:t>
      </w:r>
    </w:p>
    <w:p w:rsidR="00FF1EF5" w:rsidRPr="009B1034" w:rsidRDefault="00B21245" w:rsidP="00DA4835">
      <w:pPr>
        <w:pStyle w:val="Text10"/>
        <w:ind w:left="1210"/>
        <w:rPr>
          <w:noProof/>
          <w:szCs w:val="24"/>
        </w:rPr>
      </w:pPr>
      <w:r>
        <w:rPr>
          <w:noProof/>
          <w:szCs w:val="24"/>
        </w:rPr>
        <w:t>The manufacturers shall communicate the transfer requests to the Commission using the electronic tools provided by the Commission.</w:t>
      </w:r>
    </w:p>
    <w:p w:rsidR="00FF1EF5" w:rsidRPr="00F31D6A" w:rsidRDefault="000F5E3B" w:rsidP="000F5E3B">
      <w:pPr>
        <w:pStyle w:val="Text10"/>
        <w:ind w:left="1210" w:hanging="360"/>
        <w:rPr>
          <w:iCs/>
          <w:noProof/>
          <w:szCs w:val="24"/>
          <w:lang w:val="en-IE"/>
        </w:rPr>
      </w:pPr>
      <w:r>
        <w:rPr>
          <w:iCs/>
          <w:noProof/>
          <w:szCs w:val="24"/>
          <w:lang w:val="en-IE"/>
        </w:rPr>
        <w:t>2.</w:t>
      </w:r>
      <w:r>
        <w:rPr>
          <w:iCs/>
          <w:noProof/>
          <w:szCs w:val="24"/>
          <w:lang w:val="en-IE"/>
        </w:rPr>
        <w:tab/>
      </w:r>
      <w:r w:rsidR="00FF1EF5" w:rsidRPr="00F31D6A">
        <w:rPr>
          <w:iCs/>
          <w:noProof/>
          <w:szCs w:val="24"/>
          <w:lang w:val="en-IE"/>
        </w:rPr>
        <w:t xml:space="preserve">Where the Commission considers that the conditions of a transfer are fulfilled, it </w:t>
      </w:r>
      <w:r w:rsidR="003E4158" w:rsidRPr="00F31D6A">
        <w:rPr>
          <w:iCs/>
          <w:noProof/>
          <w:szCs w:val="24"/>
          <w:lang w:val="en-IE"/>
        </w:rPr>
        <w:t xml:space="preserve">shall </w:t>
      </w:r>
      <w:r w:rsidR="00FF1EF5" w:rsidRPr="00F31D6A">
        <w:rPr>
          <w:iCs/>
          <w:noProof/>
          <w:szCs w:val="24"/>
          <w:lang w:val="en-IE"/>
        </w:rPr>
        <w:t xml:space="preserve">not take the transferred vehicle into account for the calculation of relevant values for the transferring manufacturer, but will take them into account for the calculation of relevant values for the receiving manufacturer. </w:t>
      </w:r>
    </w:p>
    <w:p w:rsidR="00FF1EF5" w:rsidRPr="00484807" w:rsidRDefault="00FF1EF5" w:rsidP="00FF1EF5">
      <w:pPr>
        <w:pStyle w:val="Text10"/>
        <w:jc w:val="center"/>
        <w:rPr>
          <w:b/>
          <w:noProof/>
          <w:lang w:val="en-IE"/>
        </w:rPr>
      </w:pPr>
      <w:r w:rsidRPr="00FF1EF5">
        <w:rPr>
          <w:noProof/>
          <w:lang w:val="en-IE"/>
        </w:rPr>
        <w:t>Article 6b</w:t>
      </w:r>
      <w:r w:rsidR="00C615A7">
        <w:rPr>
          <w:noProof/>
          <w:lang w:val="en-IE"/>
        </w:rPr>
        <w:br/>
      </w:r>
      <w:r w:rsidRPr="008621CA">
        <w:rPr>
          <w:b/>
          <w:noProof/>
          <w:lang w:val="en-IE"/>
        </w:rPr>
        <w:t xml:space="preserve">Exemption for manufacturers </w:t>
      </w:r>
      <w:r w:rsidR="00F04BCD">
        <w:rPr>
          <w:b/>
          <w:noProof/>
          <w:lang w:val="en-IE"/>
        </w:rPr>
        <w:t>producing few vehicles</w:t>
      </w:r>
      <w:r w:rsidR="00F04BCD" w:rsidRPr="008621CA">
        <w:rPr>
          <w:b/>
          <w:noProof/>
          <w:lang w:val="en-IE"/>
        </w:rPr>
        <w:t xml:space="preserve"> </w:t>
      </w:r>
    </w:p>
    <w:p w:rsidR="00FF1EF5" w:rsidRPr="00816058" w:rsidRDefault="000555CF" w:rsidP="000555CF">
      <w:pPr>
        <w:pStyle w:val="Text1"/>
        <w:ind w:left="1210" w:hanging="360"/>
        <w:rPr>
          <w:iCs/>
          <w:noProof/>
          <w:szCs w:val="24"/>
          <w:lang w:val="en-IE"/>
        </w:rPr>
      </w:pPr>
      <w:r>
        <w:rPr>
          <w:iCs/>
          <w:noProof/>
          <w:szCs w:val="24"/>
          <w:lang w:val="en-IE"/>
        </w:rPr>
        <w:t xml:space="preserve">1.  If </w:t>
      </w:r>
      <w:r w:rsidR="00FF1EF5" w:rsidRPr="00816058">
        <w:rPr>
          <w:iCs/>
          <w:noProof/>
          <w:szCs w:val="24"/>
          <w:lang w:val="en-IE"/>
        </w:rPr>
        <w:t xml:space="preserve">less than </w:t>
      </w:r>
      <w:r w:rsidR="00FF1EF5" w:rsidRPr="005812DC">
        <w:rPr>
          <w:iCs/>
          <w:noProof/>
          <w:szCs w:val="24"/>
          <w:lang w:val="en-IE"/>
        </w:rPr>
        <w:t>100</w:t>
      </w:r>
      <w:r w:rsidR="00FF1EF5" w:rsidRPr="00816058">
        <w:rPr>
          <w:iCs/>
          <w:noProof/>
          <w:szCs w:val="24"/>
          <w:lang w:val="en-IE"/>
        </w:rPr>
        <w:t xml:space="preserve"> new heavy-duty vehicles of a manufacturer were registered in a given </w:t>
      </w:r>
      <w:r w:rsidR="00FF1EF5" w:rsidRPr="000555CF">
        <w:rPr>
          <w:noProof/>
          <w:szCs w:val="24"/>
        </w:rPr>
        <w:t>reporting</w:t>
      </w:r>
      <w:r w:rsidR="00FF1EF5" w:rsidRPr="00816058">
        <w:rPr>
          <w:iCs/>
          <w:noProof/>
          <w:szCs w:val="24"/>
          <w:lang w:val="en-IE"/>
        </w:rPr>
        <w:t xml:space="preserve"> period, the average specific </w:t>
      </w:r>
      <w:r w:rsidR="00DF379C">
        <w:rPr>
          <w:iCs/>
          <w:noProof/>
          <w:szCs w:val="24"/>
          <w:lang w:val="en-IE"/>
        </w:rPr>
        <w:t>CO₂</w:t>
      </w:r>
      <w:r w:rsidR="00FF1EF5" w:rsidRPr="00816058">
        <w:rPr>
          <w:iCs/>
          <w:noProof/>
          <w:szCs w:val="24"/>
          <w:lang w:val="en-IE"/>
        </w:rPr>
        <w:t xml:space="preserve"> emissions as provided for </w:t>
      </w:r>
      <w:r w:rsidR="00FF1EF5" w:rsidRPr="00520DF5">
        <w:rPr>
          <w:iCs/>
          <w:noProof/>
          <w:szCs w:val="24"/>
          <w:lang w:val="en-IE"/>
        </w:rPr>
        <w:t xml:space="preserve">in Article 4 and </w:t>
      </w:r>
      <w:r w:rsidR="006077A0" w:rsidRPr="00520DF5">
        <w:rPr>
          <w:iCs/>
          <w:noProof/>
          <w:szCs w:val="24"/>
          <w:lang w:val="en-IE"/>
        </w:rPr>
        <w:t xml:space="preserve">point 2.7 </w:t>
      </w:r>
      <w:r w:rsidR="006077A0">
        <w:rPr>
          <w:iCs/>
          <w:noProof/>
          <w:szCs w:val="24"/>
          <w:lang w:val="en-IE"/>
        </w:rPr>
        <w:t xml:space="preserve">of </w:t>
      </w:r>
      <w:r w:rsidR="00FF1EF5" w:rsidRPr="00520DF5">
        <w:rPr>
          <w:iCs/>
          <w:noProof/>
          <w:szCs w:val="24"/>
          <w:lang w:val="en-IE"/>
        </w:rPr>
        <w:t xml:space="preserve">Annex I and the specific </w:t>
      </w:r>
      <w:r w:rsidR="00DF379C">
        <w:rPr>
          <w:iCs/>
          <w:noProof/>
          <w:szCs w:val="24"/>
          <w:lang w:val="en-IE"/>
        </w:rPr>
        <w:t>CO₂</w:t>
      </w:r>
      <w:r w:rsidR="00FF1EF5" w:rsidRPr="00520DF5">
        <w:rPr>
          <w:iCs/>
          <w:noProof/>
          <w:szCs w:val="24"/>
          <w:lang w:val="en-IE"/>
        </w:rPr>
        <w:t xml:space="preserve"> emissions targets as provided for in Article 6 and </w:t>
      </w:r>
      <w:r w:rsidR="006077A0" w:rsidRPr="00520DF5">
        <w:rPr>
          <w:iCs/>
          <w:noProof/>
          <w:szCs w:val="24"/>
          <w:lang w:val="en-IE"/>
        </w:rPr>
        <w:t xml:space="preserve">point 4.1 </w:t>
      </w:r>
      <w:r w:rsidR="006077A0">
        <w:rPr>
          <w:iCs/>
          <w:noProof/>
          <w:szCs w:val="24"/>
          <w:lang w:val="en-IE"/>
        </w:rPr>
        <w:t xml:space="preserve">of </w:t>
      </w:r>
      <w:r w:rsidR="00FF1EF5" w:rsidRPr="00520DF5">
        <w:rPr>
          <w:iCs/>
          <w:noProof/>
          <w:szCs w:val="24"/>
          <w:lang w:val="en-IE"/>
        </w:rPr>
        <w:t xml:space="preserve">Annex I </w:t>
      </w:r>
      <w:r w:rsidR="00F31D6A">
        <w:rPr>
          <w:iCs/>
          <w:noProof/>
          <w:szCs w:val="24"/>
          <w:lang w:val="en-IE"/>
        </w:rPr>
        <w:t>shall be set to</w:t>
      </w:r>
      <w:r w:rsidR="00FF1EF5" w:rsidRPr="00520DF5">
        <w:rPr>
          <w:iCs/>
          <w:noProof/>
          <w:szCs w:val="24"/>
          <w:lang w:val="en-IE"/>
        </w:rPr>
        <w:t xml:space="preserve"> </w:t>
      </w:r>
      <w:r w:rsidR="00A74E8D">
        <w:rPr>
          <w:iCs/>
          <w:noProof/>
          <w:szCs w:val="24"/>
          <w:lang w:val="en-IE"/>
        </w:rPr>
        <w:t xml:space="preserve">“0” </w:t>
      </w:r>
      <w:r w:rsidR="00FF1EF5" w:rsidRPr="00520DF5">
        <w:rPr>
          <w:iCs/>
          <w:noProof/>
          <w:szCs w:val="24"/>
          <w:lang w:val="en-IE"/>
        </w:rPr>
        <w:t>in the respective reporting period</w:t>
      </w:r>
      <w:r w:rsidR="00FF1EF5" w:rsidRPr="00816058">
        <w:rPr>
          <w:iCs/>
          <w:noProof/>
          <w:szCs w:val="24"/>
          <w:lang w:val="en-IE"/>
        </w:rPr>
        <w:t>.</w:t>
      </w:r>
    </w:p>
    <w:p w:rsidR="00FF1EF5" w:rsidRPr="007A1B64" w:rsidRDefault="000555CF" w:rsidP="000555CF">
      <w:pPr>
        <w:pStyle w:val="Text1"/>
        <w:ind w:left="1210" w:hanging="360"/>
        <w:rPr>
          <w:iCs/>
          <w:noProof/>
          <w:szCs w:val="24"/>
          <w:lang w:val="en-IE"/>
        </w:rPr>
      </w:pPr>
      <w:r>
        <w:rPr>
          <w:iCs/>
          <w:noProof/>
          <w:szCs w:val="24"/>
          <w:lang w:val="en-IE"/>
        </w:rPr>
        <w:t xml:space="preserve">2.  </w:t>
      </w:r>
      <w:r w:rsidR="00FF1EF5" w:rsidRPr="007A1B64">
        <w:rPr>
          <w:iCs/>
          <w:noProof/>
          <w:szCs w:val="24"/>
          <w:lang w:val="en-IE"/>
        </w:rPr>
        <w:t xml:space="preserve">The values of the </w:t>
      </w:r>
      <w:r w:rsidR="00FF1EF5">
        <w:rPr>
          <w:iCs/>
          <w:noProof/>
          <w:szCs w:val="24"/>
          <w:lang w:val="en-IE"/>
        </w:rPr>
        <w:t xml:space="preserve">average </w:t>
      </w:r>
      <w:r w:rsidR="00FF1EF5" w:rsidRPr="007A1B64">
        <w:rPr>
          <w:iCs/>
          <w:noProof/>
          <w:szCs w:val="24"/>
          <w:lang w:val="en-IE"/>
        </w:rPr>
        <w:t xml:space="preserve">specific </w:t>
      </w:r>
      <w:r w:rsidR="00DF379C">
        <w:rPr>
          <w:iCs/>
          <w:noProof/>
          <w:szCs w:val="24"/>
          <w:lang w:val="en-IE"/>
        </w:rPr>
        <w:t>CO₂</w:t>
      </w:r>
      <w:r w:rsidR="00FF1EF5" w:rsidRPr="007A1B64">
        <w:rPr>
          <w:iCs/>
          <w:noProof/>
          <w:szCs w:val="24"/>
          <w:lang w:val="en-IE"/>
        </w:rPr>
        <w:t xml:space="preserve"> emissions and specific </w:t>
      </w:r>
      <w:r w:rsidR="00DF379C">
        <w:rPr>
          <w:iCs/>
          <w:noProof/>
          <w:szCs w:val="24"/>
          <w:lang w:val="en-IE"/>
        </w:rPr>
        <w:t>CO₂</w:t>
      </w:r>
      <w:r w:rsidR="00FF1EF5" w:rsidRPr="007A1B64">
        <w:rPr>
          <w:iCs/>
          <w:noProof/>
          <w:szCs w:val="24"/>
          <w:lang w:val="en-IE"/>
        </w:rPr>
        <w:t xml:space="preserve"> emissions shall not be </w:t>
      </w:r>
      <w:r w:rsidR="00FF1EF5" w:rsidRPr="00520DF5">
        <w:rPr>
          <w:iCs/>
          <w:noProof/>
          <w:szCs w:val="24"/>
          <w:lang w:val="en-IE"/>
        </w:rPr>
        <w:t>included in the publication under Article 11 for the</w:t>
      </w:r>
      <w:r w:rsidR="00FF1EF5" w:rsidRPr="007A1B64">
        <w:rPr>
          <w:iCs/>
          <w:noProof/>
          <w:szCs w:val="24"/>
          <w:lang w:val="en-IE"/>
        </w:rPr>
        <w:t xml:space="preserve"> manufacturers a</w:t>
      </w:r>
      <w:r>
        <w:rPr>
          <w:iCs/>
          <w:noProof/>
          <w:szCs w:val="24"/>
          <w:lang w:val="en-IE"/>
        </w:rPr>
        <w:t>nd reporting periods concerned.</w:t>
      </w:r>
    </w:p>
    <w:p w:rsidR="00FF1EF5" w:rsidRPr="00F31D6A" w:rsidRDefault="000F5E3B" w:rsidP="000F5E3B">
      <w:pPr>
        <w:pStyle w:val="Text10"/>
        <w:ind w:left="1210" w:hanging="360"/>
        <w:rPr>
          <w:noProof/>
          <w:szCs w:val="24"/>
        </w:rPr>
      </w:pPr>
      <w:r>
        <w:rPr>
          <w:noProof/>
          <w:szCs w:val="24"/>
        </w:rPr>
        <w:t>3.</w:t>
      </w:r>
      <w:r>
        <w:rPr>
          <w:noProof/>
          <w:szCs w:val="24"/>
        </w:rPr>
        <w:tab/>
      </w:r>
      <w:r w:rsidR="00E87C42" w:rsidRPr="00F31D6A">
        <w:rPr>
          <w:noProof/>
          <w:szCs w:val="24"/>
        </w:rPr>
        <w:t xml:space="preserve">The </w:t>
      </w:r>
      <w:r w:rsidR="00FF1EF5" w:rsidRPr="00F31D6A">
        <w:rPr>
          <w:noProof/>
          <w:szCs w:val="24"/>
        </w:rPr>
        <w:t xml:space="preserve">exemption </w:t>
      </w:r>
      <w:r w:rsidR="006077A0" w:rsidRPr="00F31D6A">
        <w:rPr>
          <w:noProof/>
          <w:szCs w:val="24"/>
        </w:rPr>
        <w:t>laid down in</w:t>
      </w:r>
      <w:r w:rsidR="00FF1EF5" w:rsidRPr="00F31D6A">
        <w:rPr>
          <w:noProof/>
          <w:szCs w:val="24"/>
        </w:rPr>
        <w:t xml:space="preserve"> paragraph 1 shall not be applied in a given reporting period</w:t>
      </w:r>
      <w:r w:rsidR="00E87C42" w:rsidRPr="00F31D6A">
        <w:rPr>
          <w:noProof/>
          <w:szCs w:val="24"/>
        </w:rPr>
        <w:t xml:space="preserve"> in any of the following cases</w:t>
      </w:r>
      <w:r w:rsidR="00FF1EF5" w:rsidRPr="00F31D6A">
        <w:rPr>
          <w:noProof/>
          <w:szCs w:val="24"/>
        </w:rPr>
        <w:t>:</w:t>
      </w:r>
    </w:p>
    <w:p w:rsidR="00FF1EF5" w:rsidRPr="00F31D6A" w:rsidRDefault="00FF1EF5" w:rsidP="00FF1EF5">
      <w:pPr>
        <w:pStyle w:val="Text10"/>
        <w:ind w:firstLine="360"/>
        <w:rPr>
          <w:noProof/>
        </w:rPr>
      </w:pPr>
      <w:r w:rsidRPr="00F31D6A">
        <w:rPr>
          <w:noProof/>
        </w:rPr>
        <w:t>(a) upon request of the manufacturer</w:t>
      </w:r>
      <w:r w:rsidR="00F867C9">
        <w:rPr>
          <w:noProof/>
        </w:rPr>
        <w:t>;</w:t>
      </w:r>
      <w:r w:rsidRPr="00F31D6A">
        <w:rPr>
          <w:noProof/>
        </w:rPr>
        <w:t xml:space="preserve"> </w:t>
      </w:r>
    </w:p>
    <w:p w:rsidR="00FF1EF5" w:rsidRPr="00F31D6A" w:rsidRDefault="00FF1EF5" w:rsidP="00FF1EF5">
      <w:pPr>
        <w:pStyle w:val="Text10"/>
        <w:ind w:left="1438" w:hanging="228"/>
        <w:rPr>
          <w:noProof/>
        </w:rPr>
      </w:pPr>
      <w:r w:rsidRPr="00F31D6A">
        <w:rPr>
          <w:noProof/>
        </w:rPr>
        <w:t xml:space="preserve">(b) if the </w:t>
      </w:r>
      <w:r w:rsidRPr="00F31D6A">
        <w:rPr>
          <w:noProof/>
          <w:szCs w:val="24"/>
          <w:lang w:val="en-IE"/>
        </w:rPr>
        <w:t>manufacturer</w:t>
      </w:r>
      <w:r w:rsidRPr="00F31D6A">
        <w:rPr>
          <w:noProof/>
        </w:rPr>
        <w:t xml:space="preserve"> requests a transfer of vehicles </w:t>
      </w:r>
      <w:r w:rsidR="00EE1C7F" w:rsidRPr="00F31D6A">
        <w:rPr>
          <w:noProof/>
        </w:rPr>
        <w:t>in accordance with</w:t>
      </w:r>
      <w:r w:rsidRPr="00F31D6A">
        <w:rPr>
          <w:noProof/>
        </w:rPr>
        <w:t xml:space="preserve"> Article 6a</w:t>
      </w:r>
      <w:r w:rsidR="00F867C9">
        <w:rPr>
          <w:noProof/>
        </w:rPr>
        <w:t>;</w:t>
      </w:r>
      <w:r w:rsidRPr="00F31D6A">
        <w:rPr>
          <w:noProof/>
        </w:rPr>
        <w:t xml:space="preserve"> </w:t>
      </w:r>
    </w:p>
    <w:p w:rsidR="00FF1EF5" w:rsidRPr="00E23608" w:rsidRDefault="00FF1EF5" w:rsidP="00FF1EF5">
      <w:pPr>
        <w:pStyle w:val="Text10"/>
        <w:ind w:left="1438" w:hanging="228"/>
        <w:rPr>
          <w:rFonts w:eastAsia="Times New Roman"/>
          <w:noProof/>
          <w:szCs w:val="24"/>
          <w:lang w:val="en-IE" w:eastAsia="de-DE"/>
        </w:rPr>
      </w:pPr>
      <w:r w:rsidRPr="00F31D6A">
        <w:rPr>
          <w:noProof/>
          <w:szCs w:val="24"/>
          <w:lang w:val="en-IE"/>
        </w:rPr>
        <w:t>(c)</w:t>
      </w:r>
      <w:r w:rsidR="000055C5" w:rsidRPr="00F31D6A">
        <w:rPr>
          <w:noProof/>
          <w:szCs w:val="24"/>
          <w:lang w:val="en-IE"/>
        </w:rPr>
        <w:t xml:space="preserve"> </w:t>
      </w:r>
      <w:r w:rsidRPr="00F31D6A">
        <w:rPr>
          <w:noProof/>
          <w:szCs w:val="24"/>
          <w:lang w:val="en-IE"/>
        </w:rPr>
        <w:t xml:space="preserve">if the </w:t>
      </w:r>
      <w:r w:rsidRPr="00F31D6A">
        <w:rPr>
          <w:noProof/>
        </w:rPr>
        <w:t>manufacturer</w:t>
      </w:r>
      <w:r w:rsidRPr="00F31D6A">
        <w:rPr>
          <w:noProof/>
          <w:szCs w:val="24"/>
          <w:lang w:val="en-IE"/>
        </w:rPr>
        <w:t xml:space="preserve"> is part of a group of connected manufacturers </w:t>
      </w:r>
      <w:r w:rsidR="00F04BCD" w:rsidRPr="00954327">
        <w:rPr>
          <w:noProof/>
          <w:szCs w:val="24"/>
          <w:lang w:val="en-IE"/>
        </w:rPr>
        <w:t>that collectively registered more than 100 vehicles in that reporting period o</w:t>
      </w:r>
      <w:r w:rsidR="00F04BCD">
        <w:rPr>
          <w:noProof/>
          <w:szCs w:val="24"/>
          <w:lang w:val="en-IE"/>
        </w:rPr>
        <w:t>r</w:t>
      </w:r>
      <w:r w:rsidR="00F04BCD" w:rsidRPr="00F31D6A">
        <w:rPr>
          <w:noProof/>
          <w:szCs w:val="24"/>
          <w:lang w:val="en-IE"/>
        </w:rPr>
        <w:t xml:space="preserve"> </w:t>
      </w:r>
      <w:r w:rsidRPr="00F31D6A">
        <w:rPr>
          <w:noProof/>
          <w:szCs w:val="24"/>
          <w:lang w:val="en-IE"/>
        </w:rPr>
        <w:t>with another manufacturer to which the exemption of paragraph 1 does not apply.</w:t>
      </w:r>
    </w:p>
    <w:p w:rsidR="00FF1EF5" w:rsidRPr="00E23608" w:rsidRDefault="000F5E3B" w:rsidP="000F5E3B">
      <w:pPr>
        <w:pStyle w:val="Text10"/>
        <w:ind w:left="1210" w:hanging="360"/>
        <w:rPr>
          <w:rFonts w:eastAsia="Times New Roman"/>
          <w:noProof/>
          <w:szCs w:val="24"/>
          <w:lang w:val="en-IE" w:eastAsia="de-DE"/>
        </w:rPr>
      </w:pPr>
      <w:r>
        <w:rPr>
          <w:noProof/>
          <w:szCs w:val="24"/>
          <w:lang w:val="en-IE"/>
        </w:rPr>
        <w:t>4.</w:t>
      </w:r>
      <w:r>
        <w:rPr>
          <w:noProof/>
          <w:szCs w:val="24"/>
          <w:lang w:val="en-IE"/>
        </w:rPr>
        <w:tab/>
      </w:r>
      <w:r w:rsidR="00FF1EF5">
        <w:rPr>
          <w:noProof/>
          <w:szCs w:val="24"/>
          <w:lang w:val="en-IE"/>
        </w:rPr>
        <w:t>Manufacturer</w:t>
      </w:r>
      <w:r w:rsidR="004B7251">
        <w:rPr>
          <w:noProof/>
          <w:szCs w:val="24"/>
          <w:lang w:val="en-IE"/>
        </w:rPr>
        <w:t>s</w:t>
      </w:r>
      <w:r w:rsidR="00CF662D">
        <w:rPr>
          <w:noProof/>
          <w:szCs w:val="24"/>
          <w:lang w:val="en-IE"/>
        </w:rPr>
        <w:t xml:space="preserve">, who </w:t>
      </w:r>
      <w:r w:rsidR="004B7251">
        <w:rPr>
          <w:noProof/>
          <w:szCs w:val="24"/>
          <w:lang w:val="en-IE"/>
        </w:rPr>
        <w:t>are</w:t>
      </w:r>
      <w:r w:rsidR="00CF662D">
        <w:rPr>
          <w:noProof/>
          <w:szCs w:val="24"/>
          <w:lang w:val="en-IE"/>
        </w:rPr>
        <w:t xml:space="preserve"> part of a group in the meaning of paragraph 3, point (c),</w:t>
      </w:r>
      <w:r w:rsidR="00FF1EF5">
        <w:rPr>
          <w:noProof/>
          <w:szCs w:val="24"/>
          <w:lang w:val="en-IE"/>
        </w:rPr>
        <w:t xml:space="preserve"> shall inform the Commission if they </w:t>
      </w:r>
      <w:r w:rsidR="00A74E8D">
        <w:rPr>
          <w:noProof/>
          <w:szCs w:val="24"/>
          <w:lang w:val="en-IE"/>
        </w:rPr>
        <w:t>registered less than 100 vehicles in a given reporting period</w:t>
      </w:r>
      <w:r w:rsidR="00FF1EF5">
        <w:rPr>
          <w:noProof/>
          <w:szCs w:val="24"/>
          <w:lang w:val="en-IE"/>
        </w:rPr>
        <w:t xml:space="preserve">. </w:t>
      </w:r>
    </w:p>
    <w:p w:rsidR="00FF1EF5" w:rsidRPr="00F31D6A" w:rsidRDefault="000F5E3B" w:rsidP="000F5E3B">
      <w:pPr>
        <w:pStyle w:val="Text10"/>
        <w:ind w:left="1210" w:hanging="360"/>
        <w:rPr>
          <w:iCs/>
          <w:noProof/>
          <w:szCs w:val="24"/>
          <w:lang w:val="en-IE"/>
        </w:rPr>
      </w:pPr>
      <w:r>
        <w:rPr>
          <w:noProof/>
          <w:szCs w:val="24"/>
          <w:lang w:val="en-IE"/>
        </w:rPr>
        <w:t>5.</w:t>
      </w:r>
      <w:r>
        <w:rPr>
          <w:noProof/>
          <w:szCs w:val="24"/>
          <w:lang w:val="en-IE"/>
        </w:rPr>
        <w:tab/>
      </w:r>
      <w:r w:rsidR="00FF1EF5" w:rsidRPr="00F31D6A">
        <w:rPr>
          <w:noProof/>
          <w:szCs w:val="24"/>
          <w:lang w:val="en-IE"/>
        </w:rPr>
        <w:t xml:space="preserve">Manufacturers, to which the exemption </w:t>
      </w:r>
      <w:r w:rsidR="008734DD" w:rsidRPr="00F31D6A">
        <w:rPr>
          <w:noProof/>
          <w:szCs w:val="24"/>
          <w:lang w:val="en-IE"/>
        </w:rPr>
        <w:t xml:space="preserve">laid down in </w:t>
      </w:r>
      <w:r w:rsidR="00FF1EF5" w:rsidRPr="00F31D6A">
        <w:rPr>
          <w:noProof/>
          <w:szCs w:val="24"/>
          <w:lang w:val="en-IE"/>
        </w:rPr>
        <w:t>paragraph 1 does not apply, shall inform the Commission in each reporting</w:t>
      </w:r>
      <w:r w:rsidR="00882AD8" w:rsidRPr="00F31D6A">
        <w:rPr>
          <w:noProof/>
          <w:szCs w:val="24"/>
          <w:lang w:val="en-IE"/>
        </w:rPr>
        <w:t xml:space="preserve"> period</w:t>
      </w:r>
      <w:r w:rsidR="00FF1EF5" w:rsidRPr="00F31D6A">
        <w:rPr>
          <w:noProof/>
          <w:szCs w:val="24"/>
          <w:lang w:val="en-IE"/>
        </w:rPr>
        <w:t xml:space="preserve"> about all their connected undertakings that fulfil the conditions of the exemption </w:t>
      </w:r>
      <w:r w:rsidR="0041394D" w:rsidRPr="00F31D6A">
        <w:rPr>
          <w:noProof/>
          <w:szCs w:val="24"/>
          <w:lang w:val="en-IE"/>
        </w:rPr>
        <w:t xml:space="preserve">laid down in </w:t>
      </w:r>
      <w:r w:rsidR="00FF1EF5" w:rsidRPr="00F31D6A">
        <w:rPr>
          <w:noProof/>
          <w:szCs w:val="24"/>
          <w:lang w:val="en-IE"/>
        </w:rPr>
        <w:t xml:space="preserve">paragraph 1. </w:t>
      </w:r>
    </w:p>
    <w:p w:rsidR="00FF1EF5" w:rsidRPr="00F31D6A" w:rsidRDefault="000F5E3B" w:rsidP="000F5E3B">
      <w:pPr>
        <w:pStyle w:val="Text10"/>
        <w:ind w:left="1210" w:hanging="360"/>
        <w:rPr>
          <w:iCs/>
          <w:noProof/>
          <w:szCs w:val="24"/>
          <w:lang w:val="en-IE"/>
        </w:rPr>
      </w:pPr>
      <w:r>
        <w:rPr>
          <w:noProof/>
          <w:szCs w:val="24"/>
        </w:rPr>
        <w:t>6.</w:t>
      </w:r>
      <w:r>
        <w:rPr>
          <w:noProof/>
          <w:szCs w:val="24"/>
        </w:rPr>
        <w:tab/>
      </w:r>
      <w:r w:rsidR="00A74E8D" w:rsidRPr="00F31D6A">
        <w:rPr>
          <w:noProof/>
          <w:szCs w:val="24"/>
        </w:rPr>
        <w:t>The manufacturers shall communicate the necessary information to the Commission using the electronic tools provided by the Commission.</w:t>
      </w:r>
      <w:r w:rsidR="00FF1EF5" w:rsidRPr="00F31D6A">
        <w:rPr>
          <w:iCs/>
          <w:noProof/>
          <w:szCs w:val="24"/>
          <w:lang w:val="en-IE"/>
        </w:rPr>
        <w:t>’;</w:t>
      </w:r>
    </w:p>
    <w:p w:rsidR="00242087" w:rsidRDefault="005B4A90" w:rsidP="005B4A90">
      <w:pPr>
        <w:pStyle w:val="Point0"/>
        <w:rPr>
          <w:noProof/>
        </w:rPr>
      </w:pPr>
      <w:r w:rsidRPr="005B4A90">
        <w:t>(9)</w:t>
      </w:r>
      <w:r w:rsidRPr="005B4A90">
        <w:tab/>
      </w:r>
      <w:r w:rsidR="00242087">
        <w:rPr>
          <w:noProof/>
        </w:rPr>
        <w:t>Article 7 is amended as follows:</w:t>
      </w:r>
    </w:p>
    <w:p w:rsidR="0085173A" w:rsidRDefault="005B4A90" w:rsidP="005B4A90">
      <w:pPr>
        <w:pStyle w:val="Point1"/>
        <w:rPr>
          <w:noProof/>
        </w:rPr>
      </w:pPr>
      <w:r w:rsidRPr="005B4A90">
        <w:t>(a)</w:t>
      </w:r>
      <w:r w:rsidRPr="005B4A90">
        <w:tab/>
      </w:r>
      <w:r w:rsidR="00242087" w:rsidRPr="00A12C97">
        <w:rPr>
          <w:noProof/>
        </w:rPr>
        <w:t xml:space="preserve">in </w:t>
      </w:r>
      <w:r w:rsidR="0085173A">
        <w:rPr>
          <w:noProof/>
        </w:rPr>
        <w:t xml:space="preserve">paragraph 1, </w:t>
      </w:r>
      <w:r w:rsidR="00242087" w:rsidRPr="00A12C97">
        <w:rPr>
          <w:noProof/>
        </w:rPr>
        <w:t>first</w:t>
      </w:r>
      <w:r w:rsidR="0085173A">
        <w:rPr>
          <w:noProof/>
        </w:rPr>
        <w:t xml:space="preserve"> subparagraph, the introductory wording is replaced by the following:</w:t>
      </w:r>
    </w:p>
    <w:p w:rsidR="0085173A" w:rsidRDefault="0085173A" w:rsidP="000F5E3B">
      <w:pPr>
        <w:pStyle w:val="Text2"/>
        <w:rPr>
          <w:noProof/>
        </w:rPr>
      </w:pPr>
      <w:r>
        <w:rPr>
          <w:noProof/>
        </w:rPr>
        <w:t>‘</w:t>
      </w:r>
      <w:r w:rsidRPr="0085173A">
        <w:rPr>
          <w:noProof/>
        </w:rPr>
        <w:t xml:space="preserve">For the purpose of determining a manufacturer’s compliance with its specific </w:t>
      </w:r>
      <w:r w:rsidR="00DF379C">
        <w:rPr>
          <w:noProof/>
        </w:rPr>
        <w:t>CO₂</w:t>
      </w:r>
      <w:r w:rsidRPr="0085173A">
        <w:rPr>
          <w:noProof/>
        </w:rPr>
        <w:t xml:space="preserve"> emissions targets in the reporting periods of the years 2025 to 20</w:t>
      </w:r>
      <w:r w:rsidR="00AB5CB7">
        <w:rPr>
          <w:noProof/>
        </w:rPr>
        <w:t>3</w:t>
      </w:r>
      <w:r w:rsidRPr="0085173A">
        <w:rPr>
          <w:noProof/>
        </w:rPr>
        <w:t>9, account shall be taken of its emission credits or emission debts determined in accordance with point 5 of Annex I, which correspond to the number of new heavy-duty vehicles of the manufacturer in a reporting period, multiplied by:</w:t>
      </w:r>
      <w:r w:rsidR="00AB5CB7">
        <w:rPr>
          <w:noProof/>
        </w:rPr>
        <w:t>’;</w:t>
      </w:r>
    </w:p>
    <w:p w:rsidR="00A12C97" w:rsidRPr="00A12C97" w:rsidRDefault="005B4A90" w:rsidP="005B4A90">
      <w:pPr>
        <w:pStyle w:val="Point1"/>
        <w:rPr>
          <w:noProof/>
        </w:rPr>
      </w:pPr>
      <w:r w:rsidRPr="005B4A90">
        <w:t>(b)</w:t>
      </w:r>
      <w:r w:rsidRPr="005B4A90">
        <w:tab/>
      </w:r>
      <w:r w:rsidR="00AB5CB7">
        <w:rPr>
          <w:noProof/>
        </w:rPr>
        <w:t xml:space="preserve">in paragraph 1, </w:t>
      </w:r>
      <w:r w:rsidR="00A12C97" w:rsidRPr="00A12C97">
        <w:rPr>
          <w:noProof/>
        </w:rPr>
        <w:t xml:space="preserve">second </w:t>
      </w:r>
      <w:r w:rsidR="00242087" w:rsidRPr="00A12C97">
        <w:rPr>
          <w:noProof/>
        </w:rPr>
        <w:t>subparagraph, ‘2029’ is replaced by ‘2039’</w:t>
      </w:r>
      <w:r w:rsidR="00A12C97" w:rsidRPr="00A12C97">
        <w:rPr>
          <w:noProof/>
        </w:rPr>
        <w:t>;</w:t>
      </w:r>
    </w:p>
    <w:p w:rsidR="006F07B1" w:rsidRDefault="005B4A90" w:rsidP="005B4A90">
      <w:pPr>
        <w:pStyle w:val="Point1"/>
        <w:rPr>
          <w:noProof/>
        </w:rPr>
      </w:pPr>
      <w:r w:rsidRPr="005B4A90">
        <w:t>(c)</w:t>
      </w:r>
      <w:r w:rsidRPr="005B4A90">
        <w:tab/>
      </w:r>
      <w:r w:rsidR="00C8067A" w:rsidRPr="003B3FA9">
        <w:rPr>
          <w:noProof/>
        </w:rPr>
        <w:t xml:space="preserve">in </w:t>
      </w:r>
      <w:r w:rsidR="006F07B1" w:rsidRPr="003B3FA9">
        <w:rPr>
          <w:noProof/>
        </w:rPr>
        <w:t>paragraph 1</w:t>
      </w:r>
      <w:r w:rsidR="006F07B1">
        <w:rPr>
          <w:noProof/>
        </w:rPr>
        <w:t xml:space="preserve">, </w:t>
      </w:r>
      <w:r w:rsidR="00C8067A" w:rsidRPr="003B3FA9">
        <w:rPr>
          <w:noProof/>
        </w:rPr>
        <w:t xml:space="preserve">the third subparagraph </w:t>
      </w:r>
      <w:r w:rsidR="006F07B1">
        <w:rPr>
          <w:noProof/>
        </w:rPr>
        <w:t>is replaced by the following:</w:t>
      </w:r>
    </w:p>
    <w:p w:rsidR="00C8067A" w:rsidRDefault="006F07B1" w:rsidP="000F5E3B">
      <w:pPr>
        <w:pStyle w:val="Text2"/>
        <w:rPr>
          <w:noProof/>
        </w:rPr>
      </w:pPr>
      <w:r>
        <w:rPr>
          <w:noProof/>
        </w:rPr>
        <w:t>‘</w:t>
      </w:r>
      <w:r w:rsidRPr="006F07B1">
        <w:rPr>
          <w:noProof/>
        </w:rPr>
        <w:t>Emission debts shall be acquired in the reporting periods of the years 2025 to 20</w:t>
      </w:r>
      <w:r>
        <w:rPr>
          <w:noProof/>
        </w:rPr>
        <w:t>3</w:t>
      </w:r>
      <w:r w:rsidRPr="006F07B1">
        <w:rPr>
          <w:noProof/>
        </w:rPr>
        <w:t xml:space="preserve">9. However, the total emission debt of a manufacturer shall not exceed 5 % of the manufacturer’s specific </w:t>
      </w:r>
      <w:r w:rsidR="00DF379C">
        <w:rPr>
          <w:noProof/>
        </w:rPr>
        <w:t>CO₂</w:t>
      </w:r>
      <w:r w:rsidRPr="006F07B1">
        <w:rPr>
          <w:noProof/>
        </w:rPr>
        <w:t xml:space="preserve"> emissions target multiplied by the number of heavy-duty vehicles of the manufacturer in that period (‘emission debt limit’).</w:t>
      </w:r>
      <w:r>
        <w:rPr>
          <w:noProof/>
        </w:rPr>
        <w:t>’</w:t>
      </w:r>
      <w:r w:rsidR="00C8067A" w:rsidRPr="003B3FA9">
        <w:rPr>
          <w:noProof/>
        </w:rPr>
        <w:t>;</w:t>
      </w:r>
    </w:p>
    <w:p w:rsidR="0041147C" w:rsidRPr="00651D7F" w:rsidRDefault="005B4A90" w:rsidP="005B4A90">
      <w:pPr>
        <w:pStyle w:val="Point1"/>
        <w:rPr>
          <w:noProof/>
        </w:rPr>
      </w:pPr>
      <w:r w:rsidRPr="005B4A90">
        <w:t>(d)</w:t>
      </w:r>
      <w:r w:rsidRPr="005B4A90">
        <w:tab/>
      </w:r>
      <w:r w:rsidR="0041147C" w:rsidRPr="00651D7F">
        <w:rPr>
          <w:noProof/>
        </w:rPr>
        <w:t xml:space="preserve">in </w:t>
      </w:r>
      <w:r w:rsidR="006F07B1" w:rsidRPr="00651D7F">
        <w:rPr>
          <w:noProof/>
        </w:rPr>
        <w:t>paragraph 1</w:t>
      </w:r>
      <w:r w:rsidR="006F07B1">
        <w:rPr>
          <w:noProof/>
        </w:rPr>
        <w:t xml:space="preserve">, </w:t>
      </w:r>
      <w:r w:rsidR="009B5129">
        <w:rPr>
          <w:noProof/>
        </w:rPr>
        <w:t xml:space="preserve">the </w:t>
      </w:r>
      <w:r w:rsidR="0041147C" w:rsidRPr="00651D7F">
        <w:rPr>
          <w:noProof/>
        </w:rPr>
        <w:t>fourth subparagraph</w:t>
      </w:r>
      <w:r w:rsidR="004637B1">
        <w:rPr>
          <w:noProof/>
        </w:rPr>
        <w:t xml:space="preserve"> </w:t>
      </w:r>
      <w:r w:rsidR="009B5129">
        <w:rPr>
          <w:noProof/>
        </w:rPr>
        <w:t>is replaced by the following:</w:t>
      </w:r>
    </w:p>
    <w:p w:rsidR="00A12C97" w:rsidRPr="00DC4F17" w:rsidRDefault="009B5129" w:rsidP="009B5129">
      <w:pPr>
        <w:pStyle w:val="Text20"/>
        <w:rPr>
          <w:noProof/>
          <w:lang w:val="en-IE" w:eastAsia="de-DE"/>
        </w:rPr>
      </w:pPr>
      <w:r w:rsidRPr="00651D7F" w:rsidDel="009B5129">
        <w:rPr>
          <w:noProof/>
        </w:rPr>
        <w:t xml:space="preserve"> </w:t>
      </w:r>
      <w:r w:rsidR="00A12C97" w:rsidRPr="00651D7F">
        <w:rPr>
          <w:noProof/>
          <w:lang w:val="en-IE" w:eastAsia="de-DE"/>
        </w:rPr>
        <w:t xml:space="preserve">‘Emission credits and emission debts acquired in the reporting periods of the years </w:t>
      </w:r>
      <w:r>
        <w:rPr>
          <w:noProof/>
          <w:lang w:val="en-IE" w:eastAsia="de-DE"/>
        </w:rPr>
        <w:t xml:space="preserve">2025 </w:t>
      </w:r>
      <w:r w:rsidR="00A12C97" w:rsidRPr="00651D7F">
        <w:rPr>
          <w:noProof/>
          <w:lang w:val="en-IE" w:eastAsia="de-DE"/>
        </w:rPr>
        <w:t xml:space="preserve"> to </w:t>
      </w:r>
      <w:r>
        <w:rPr>
          <w:noProof/>
          <w:lang w:val="en-IE" w:eastAsia="de-DE"/>
        </w:rPr>
        <w:t xml:space="preserve">2039 </w:t>
      </w:r>
      <w:r w:rsidR="00A12C97" w:rsidRPr="00651D7F">
        <w:rPr>
          <w:noProof/>
          <w:lang w:val="en-IE" w:eastAsia="de-DE"/>
        </w:rPr>
        <w:t xml:space="preserve"> shall, where applicable, be carried</w:t>
      </w:r>
      <w:r w:rsidR="00E518B3">
        <w:rPr>
          <w:noProof/>
          <w:lang w:val="en-IE" w:eastAsia="de-DE"/>
        </w:rPr>
        <w:t xml:space="preserve"> </w:t>
      </w:r>
      <w:r w:rsidR="00A12C97" w:rsidRPr="00651D7F">
        <w:rPr>
          <w:noProof/>
          <w:lang w:val="en-IE" w:eastAsia="de-DE"/>
        </w:rPr>
        <w:t xml:space="preserve">over from one reporting period to the next reporting period. </w:t>
      </w:r>
      <w:r>
        <w:rPr>
          <w:noProof/>
          <w:lang w:val="en-IE" w:eastAsia="de-DE"/>
        </w:rPr>
        <w:t>However, a</w:t>
      </w:r>
      <w:r w:rsidR="00A12C97" w:rsidRPr="00651D7F">
        <w:rPr>
          <w:noProof/>
          <w:lang w:val="en-IE" w:eastAsia="de-DE"/>
        </w:rPr>
        <w:t>ny remaining emission debts shall be cleared in the reporting period</w:t>
      </w:r>
      <w:r>
        <w:rPr>
          <w:noProof/>
          <w:lang w:val="en-IE" w:eastAsia="de-DE"/>
        </w:rPr>
        <w:t>s</w:t>
      </w:r>
      <w:r w:rsidR="00A12C97" w:rsidRPr="00651D7F">
        <w:rPr>
          <w:noProof/>
          <w:lang w:val="en-IE" w:eastAsia="de-DE"/>
        </w:rPr>
        <w:t xml:space="preserve"> of the year </w:t>
      </w:r>
      <w:r>
        <w:rPr>
          <w:noProof/>
          <w:lang w:val="en-IE" w:eastAsia="de-DE"/>
        </w:rPr>
        <w:t xml:space="preserve">2029, </w:t>
      </w:r>
      <w:r w:rsidR="00A12C97" w:rsidRPr="00651D7F">
        <w:rPr>
          <w:noProof/>
          <w:lang w:val="en-IE" w:eastAsia="de-DE"/>
        </w:rPr>
        <w:t>2034</w:t>
      </w:r>
      <w:r>
        <w:rPr>
          <w:noProof/>
          <w:lang w:val="en-IE" w:eastAsia="de-DE"/>
        </w:rPr>
        <w:t xml:space="preserve"> and 2039</w:t>
      </w:r>
      <w:r w:rsidR="00A12C97" w:rsidRPr="00651D7F">
        <w:rPr>
          <w:noProof/>
          <w:lang w:val="en-IE" w:eastAsia="de-DE"/>
        </w:rPr>
        <w:t>.</w:t>
      </w:r>
      <w:r w:rsidR="00A12C97">
        <w:rPr>
          <w:noProof/>
          <w:lang w:val="en-IE" w:eastAsia="de-DE"/>
        </w:rPr>
        <w:t>’;</w:t>
      </w:r>
    </w:p>
    <w:p w:rsidR="00A12C97" w:rsidRPr="00D13CC0" w:rsidRDefault="005B4A90" w:rsidP="005B4A90">
      <w:pPr>
        <w:pStyle w:val="Point1"/>
        <w:rPr>
          <w:noProof/>
        </w:rPr>
      </w:pPr>
      <w:r w:rsidRPr="005B4A90">
        <w:t>(e)</w:t>
      </w:r>
      <w:r w:rsidRPr="005B4A90">
        <w:tab/>
      </w:r>
      <w:r w:rsidR="00A12C97">
        <w:rPr>
          <w:noProof/>
          <w:lang w:val="en-IE"/>
        </w:rPr>
        <w:t>paragraph</w:t>
      </w:r>
      <w:r w:rsidR="00A12C97">
        <w:rPr>
          <w:noProof/>
        </w:rPr>
        <w:t xml:space="preserve"> 2 is replaced by the </w:t>
      </w:r>
      <w:r w:rsidR="00A12C97" w:rsidRPr="00D13CC0">
        <w:rPr>
          <w:noProof/>
        </w:rPr>
        <w:t xml:space="preserve">following: </w:t>
      </w:r>
    </w:p>
    <w:p w:rsidR="00A12C97" w:rsidRPr="00D13CC0" w:rsidRDefault="008621CA" w:rsidP="00A12C97">
      <w:pPr>
        <w:pStyle w:val="Text20"/>
        <w:rPr>
          <w:noProof/>
          <w:lang w:val="en-IE" w:eastAsia="de-DE"/>
        </w:rPr>
      </w:pPr>
      <w:r w:rsidRPr="00D13CC0">
        <w:rPr>
          <w:noProof/>
          <w:lang w:val="en-IE" w:eastAsia="de-DE"/>
        </w:rPr>
        <w:t>‘</w:t>
      </w:r>
      <w:r w:rsidR="00A12C97" w:rsidRPr="00D13CC0">
        <w:rPr>
          <w:noProof/>
          <w:lang w:val="en-IE" w:eastAsia="de-DE"/>
        </w:rPr>
        <w:t xml:space="preserve">2. The </w:t>
      </w:r>
      <w:r w:rsidR="00DF379C">
        <w:rPr>
          <w:noProof/>
          <w:lang w:val="en-IE" w:eastAsia="de-DE"/>
        </w:rPr>
        <w:t>CO₂</w:t>
      </w:r>
      <w:r w:rsidR="00A12C97" w:rsidRPr="00D13CC0">
        <w:rPr>
          <w:noProof/>
          <w:lang w:val="en-IE" w:eastAsia="de-DE"/>
        </w:rPr>
        <w:t xml:space="preserve"> emissions reduction trajector</w:t>
      </w:r>
      <w:r w:rsidR="00086005" w:rsidRPr="00D13CC0">
        <w:rPr>
          <w:noProof/>
          <w:lang w:val="en-IE" w:eastAsia="de-DE"/>
        </w:rPr>
        <w:t>ies</w:t>
      </w:r>
      <w:r w:rsidR="00A12C97" w:rsidRPr="00D13CC0">
        <w:rPr>
          <w:noProof/>
          <w:lang w:val="en-IE" w:eastAsia="de-DE"/>
        </w:rPr>
        <w:t xml:space="preserve"> shall be set for each manufacturer in accordance with </w:t>
      </w:r>
      <w:r w:rsidR="0040431F">
        <w:rPr>
          <w:noProof/>
          <w:lang w:val="en-IE" w:eastAsia="de-DE"/>
        </w:rPr>
        <w:t xml:space="preserve">point 5.1. of </w:t>
      </w:r>
      <w:r w:rsidR="00A12C97" w:rsidRPr="00D13CC0">
        <w:rPr>
          <w:noProof/>
          <w:lang w:val="en-IE" w:eastAsia="de-DE"/>
        </w:rPr>
        <w:t>Annex I</w:t>
      </w:r>
      <w:r w:rsidR="000D5629">
        <w:rPr>
          <w:noProof/>
          <w:lang w:val="en-IE" w:eastAsia="de-DE"/>
        </w:rPr>
        <w:t xml:space="preserve">, </w:t>
      </w:r>
      <w:r w:rsidR="00A12C97" w:rsidRPr="00D13CC0">
        <w:rPr>
          <w:noProof/>
          <w:lang w:val="en-IE" w:eastAsia="de-DE"/>
        </w:rPr>
        <w:t xml:space="preserve">based </w:t>
      </w:r>
      <w:r w:rsidR="00CB775C" w:rsidRPr="00D13CC0">
        <w:rPr>
          <w:noProof/>
          <w:lang w:val="en-IE" w:eastAsia="de-DE"/>
        </w:rPr>
        <w:t xml:space="preserve">on </w:t>
      </w:r>
      <w:r w:rsidR="0040431F">
        <w:rPr>
          <w:noProof/>
          <w:lang w:val="en-IE" w:eastAsia="de-DE"/>
        </w:rPr>
        <w:t>the following</w:t>
      </w:r>
      <w:r w:rsidR="00681AE2">
        <w:rPr>
          <w:i/>
          <w:iCs/>
          <w:noProof/>
          <w:lang w:val="en-IE" w:eastAsia="de-DE"/>
        </w:rPr>
        <w:t xml:space="preserve"> </w:t>
      </w:r>
      <w:r w:rsidR="00A12C97" w:rsidRPr="00D13CC0">
        <w:rPr>
          <w:noProof/>
          <w:lang w:val="en-IE" w:eastAsia="de-DE"/>
        </w:rPr>
        <w:t>linear trajectories</w:t>
      </w:r>
      <w:r w:rsidR="0040431F">
        <w:rPr>
          <w:noProof/>
          <w:lang w:val="en-IE" w:eastAsia="de-DE"/>
        </w:rPr>
        <w:t>:</w:t>
      </w:r>
      <w:r w:rsidR="00A12C97" w:rsidRPr="00D13CC0">
        <w:rPr>
          <w:noProof/>
          <w:lang w:val="en-IE" w:eastAsia="de-DE"/>
        </w:rPr>
        <w:t xml:space="preserve"> </w:t>
      </w:r>
    </w:p>
    <w:p w:rsidR="00A12C97" w:rsidRDefault="000F5E3B" w:rsidP="000F5E3B">
      <w:pPr>
        <w:pStyle w:val="Text2"/>
        <w:ind w:left="1440"/>
        <w:rPr>
          <w:noProof/>
          <w:lang w:val="en-IE" w:eastAsia="de-DE"/>
        </w:rPr>
      </w:pPr>
      <w:r>
        <w:rPr>
          <w:noProof/>
          <w:lang w:val="en-IE" w:eastAsia="de-DE"/>
        </w:rPr>
        <w:t xml:space="preserve">(a)  </w:t>
      </w:r>
      <w:r w:rsidR="00A12C97" w:rsidRPr="00D13CC0">
        <w:rPr>
          <w:noProof/>
          <w:lang w:val="en-IE" w:eastAsia="de-DE"/>
        </w:rPr>
        <w:t xml:space="preserve">between the reference </w:t>
      </w:r>
      <w:r w:rsidR="00DF379C">
        <w:rPr>
          <w:noProof/>
          <w:lang w:val="en-IE" w:eastAsia="de-DE"/>
        </w:rPr>
        <w:t>CO₂</w:t>
      </w:r>
      <w:r w:rsidR="00A12C97" w:rsidRPr="00D13CC0">
        <w:rPr>
          <w:noProof/>
          <w:lang w:val="en-IE" w:eastAsia="de-DE"/>
        </w:rPr>
        <w:t xml:space="preserve"> emissions </w:t>
      </w:r>
      <w:r w:rsidR="00C70AC2">
        <w:rPr>
          <w:noProof/>
          <w:lang w:val="en-IE" w:eastAsia="de-DE"/>
        </w:rPr>
        <w:t xml:space="preserve">and </w:t>
      </w:r>
      <w:r w:rsidR="00C70AC2" w:rsidRPr="005D68C2">
        <w:rPr>
          <w:noProof/>
          <w:lang w:val="en-IE" w:eastAsia="de-DE"/>
        </w:rPr>
        <w:t xml:space="preserve">the </w:t>
      </w:r>
      <w:r w:rsidR="00DF379C">
        <w:rPr>
          <w:noProof/>
          <w:lang w:val="en-IE" w:eastAsia="de-DE"/>
        </w:rPr>
        <w:t>CO₂</w:t>
      </w:r>
      <w:r w:rsidR="00C70AC2" w:rsidRPr="005D68C2">
        <w:rPr>
          <w:noProof/>
          <w:lang w:val="en-IE" w:eastAsia="de-DE"/>
        </w:rPr>
        <w:t xml:space="preserve"> emissions target for the reporting period of the year</w:t>
      </w:r>
      <w:r w:rsidR="00C70AC2">
        <w:rPr>
          <w:noProof/>
          <w:lang w:val="en-IE" w:eastAsia="de-DE"/>
        </w:rPr>
        <w:t>s</w:t>
      </w:r>
      <w:r w:rsidR="00C70AC2" w:rsidRPr="005D68C2">
        <w:rPr>
          <w:noProof/>
          <w:lang w:val="en-IE" w:eastAsia="de-DE"/>
        </w:rPr>
        <w:t xml:space="preserve"> 2025</w:t>
      </w:r>
      <w:r w:rsidR="00C70AC2">
        <w:rPr>
          <w:noProof/>
          <w:lang w:val="en-IE" w:eastAsia="de-DE"/>
        </w:rPr>
        <w:t xml:space="preserve"> or 2030</w:t>
      </w:r>
      <w:r w:rsidR="00C70AC2" w:rsidRPr="005D68C2">
        <w:rPr>
          <w:noProof/>
          <w:lang w:val="en-IE" w:eastAsia="de-DE"/>
        </w:rPr>
        <w:t xml:space="preserve"> as specified in Article</w:t>
      </w:r>
      <w:r w:rsidR="00C70AC2">
        <w:rPr>
          <w:noProof/>
          <w:lang w:val="en-IE" w:eastAsia="de-DE"/>
        </w:rPr>
        <w:t xml:space="preserve"> 3a</w:t>
      </w:r>
      <w:r w:rsidR="00723888">
        <w:rPr>
          <w:noProof/>
          <w:lang w:val="en-IE" w:eastAsia="de-DE"/>
        </w:rPr>
        <w:t>(1)</w:t>
      </w:r>
      <w:r w:rsidR="0040431F">
        <w:rPr>
          <w:noProof/>
          <w:lang w:val="en-IE" w:eastAsia="de-DE"/>
        </w:rPr>
        <w:t>,</w:t>
      </w:r>
      <w:r w:rsidR="00723888">
        <w:rPr>
          <w:noProof/>
          <w:lang w:val="en-IE" w:eastAsia="de-DE"/>
        </w:rPr>
        <w:t xml:space="preserve"> point</w:t>
      </w:r>
      <w:r w:rsidR="00EF7862">
        <w:rPr>
          <w:noProof/>
          <w:lang w:val="en-IE" w:eastAsia="de-DE"/>
        </w:rPr>
        <w:t>s</w:t>
      </w:r>
      <w:r w:rsidR="00723888">
        <w:rPr>
          <w:noProof/>
          <w:lang w:val="en-IE" w:eastAsia="de-DE"/>
        </w:rPr>
        <w:t xml:space="preserve"> (a)</w:t>
      </w:r>
      <w:r w:rsidR="007D3D8E">
        <w:rPr>
          <w:noProof/>
          <w:lang w:val="en-IE" w:eastAsia="de-DE"/>
        </w:rPr>
        <w:t xml:space="preserve"> and (b</w:t>
      </w:r>
      <w:r w:rsidR="007D3D8E" w:rsidRPr="009B5129">
        <w:rPr>
          <w:noProof/>
          <w:lang w:val="en-IE" w:eastAsia="de-DE"/>
        </w:rPr>
        <w:t>)</w:t>
      </w:r>
      <w:r w:rsidR="00C70AC2" w:rsidRPr="009B5129">
        <w:rPr>
          <w:noProof/>
          <w:lang w:val="en-IE" w:eastAsia="de-DE"/>
        </w:rPr>
        <w:t xml:space="preserve">, </w:t>
      </w:r>
    </w:p>
    <w:p w:rsidR="00A12C97" w:rsidRDefault="000F5E3B" w:rsidP="00C9020F">
      <w:pPr>
        <w:pStyle w:val="Text20"/>
        <w:rPr>
          <w:noProof/>
          <w:lang w:val="en-IE" w:eastAsia="de-DE"/>
        </w:rPr>
      </w:pPr>
      <w:r>
        <w:rPr>
          <w:noProof/>
          <w:lang w:val="en-IE" w:eastAsia="de-DE"/>
        </w:rPr>
        <w:t xml:space="preserve">(b)  </w:t>
      </w:r>
      <w:r w:rsidR="00A12C97" w:rsidRPr="005D68C2">
        <w:rPr>
          <w:noProof/>
          <w:lang w:val="en-IE" w:eastAsia="de-DE"/>
        </w:rPr>
        <w:t xml:space="preserve">between the </w:t>
      </w:r>
      <w:r w:rsidR="00DF379C">
        <w:rPr>
          <w:noProof/>
          <w:lang w:val="en-IE" w:eastAsia="de-DE"/>
        </w:rPr>
        <w:t>CO₂</w:t>
      </w:r>
      <w:r w:rsidR="00A12C97" w:rsidRPr="005D68C2">
        <w:rPr>
          <w:noProof/>
          <w:lang w:val="en-IE" w:eastAsia="de-DE"/>
        </w:rPr>
        <w:t xml:space="preserve"> emissions target for the reporting period of the year 2025 and the </w:t>
      </w:r>
      <w:r w:rsidR="00DF379C">
        <w:rPr>
          <w:noProof/>
          <w:lang w:val="en-IE" w:eastAsia="de-DE"/>
        </w:rPr>
        <w:t>CO₂</w:t>
      </w:r>
      <w:r w:rsidR="00A12C97" w:rsidRPr="005D68C2">
        <w:rPr>
          <w:noProof/>
          <w:lang w:val="en-IE" w:eastAsia="de-DE"/>
        </w:rPr>
        <w:t xml:space="preserve"> emissions target for the reporting period of the year 2030 as specified in Article</w:t>
      </w:r>
      <w:r w:rsidR="00A12C97">
        <w:rPr>
          <w:noProof/>
          <w:lang w:val="en-IE" w:eastAsia="de-DE"/>
        </w:rPr>
        <w:t xml:space="preserve"> 3a</w:t>
      </w:r>
      <w:r w:rsidR="00723888">
        <w:rPr>
          <w:noProof/>
          <w:lang w:val="en-IE" w:eastAsia="de-DE"/>
        </w:rPr>
        <w:t>(1)</w:t>
      </w:r>
      <w:r w:rsidR="0040431F">
        <w:rPr>
          <w:noProof/>
          <w:lang w:val="en-IE" w:eastAsia="de-DE"/>
        </w:rPr>
        <w:t>,</w:t>
      </w:r>
      <w:r w:rsidR="00723888">
        <w:rPr>
          <w:noProof/>
          <w:lang w:val="en-IE" w:eastAsia="de-DE"/>
        </w:rPr>
        <w:t xml:space="preserve"> point (b)</w:t>
      </w:r>
      <w:r w:rsidR="00A12C97">
        <w:rPr>
          <w:noProof/>
          <w:lang w:val="en-IE" w:eastAsia="de-DE"/>
        </w:rPr>
        <w:t>,</w:t>
      </w:r>
    </w:p>
    <w:p w:rsidR="00A12C97" w:rsidRPr="000F658B" w:rsidRDefault="000F5E3B" w:rsidP="00C9020F">
      <w:pPr>
        <w:pStyle w:val="Text20"/>
        <w:rPr>
          <w:noProof/>
          <w:lang w:val="en-IE" w:eastAsia="de-DE"/>
        </w:rPr>
      </w:pPr>
      <w:r>
        <w:rPr>
          <w:noProof/>
          <w:lang w:val="en-IE" w:eastAsia="de-DE"/>
        </w:rPr>
        <w:t xml:space="preserve">(c)  </w:t>
      </w:r>
      <w:r w:rsidR="00A12C97" w:rsidRPr="000F658B">
        <w:rPr>
          <w:noProof/>
          <w:lang w:val="en-IE" w:eastAsia="de-DE"/>
        </w:rPr>
        <w:t xml:space="preserve">between the </w:t>
      </w:r>
      <w:r w:rsidR="00DF379C">
        <w:rPr>
          <w:noProof/>
          <w:lang w:val="en-IE" w:eastAsia="de-DE"/>
        </w:rPr>
        <w:t>CO₂</w:t>
      </w:r>
      <w:r w:rsidR="00A12C97" w:rsidRPr="000F658B">
        <w:rPr>
          <w:noProof/>
          <w:lang w:val="en-IE" w:eastAsia="de-DE"/>
        </w:rPr>
        <w:t xml:space="preserve"> emissions target for the reporting period of the year 20</w:t>
      </w:r>
      <w:r w:rsidR="00A12C97">
        <w:rPr>
          <w:noProof/>
          <w:lang w:val="en-IE" w:eastAsia="de-DE"/>
        </w:rPr>
        <w:t>30</w:t>
      </w:r>
      <w:r w:rsidR="00A12C97" w:rsidRPr="000F658B">
        <w:rPr>
          <w:noProof/>
          <w:lang w:val="en-IE" w:eastAsia="de-DE"/>
        </w:rPr>
        <w:t xml:space="preserve"> and the </w:t>
      </w:r>
      <w:r w:rsidR="00DF379C">
        <w:rPr>
          <w:noProof/>
          <w:lang w:val="en-IE" w:eastAsia="de-DE"/>
        </w:rPr>
        <w:t>CO₂</w:t>
      </w:r>
      <w:r w:rsidR="00A12C97" w:rsidRPr="000F658B">
        <w:rPr>
          <w:noProof/>
          <w:lang w:val="en-IE" w:eastAsia="de-DE"/>
        </w:rPr>
        <w:t xml:space="preserve"> emissions target for the reporting period of the year 203</w:t>
      </w:r>
      <w:r w:rsidR="00A12C97">
        <w:rPr>
          <w:noProof/>
          <w:lang w:val="en-IE" w:eastAsia="de-DE"/>
        </w:rPr>
        <w:t>5</w:t>
      </w:r>
      <w:r w:rsidR="00A12C97" w:rsidRPr="000F658B">
        <w:rPr>
          <w:noProof/>
          <w:lang w:val="en-IE" w:eastAsia="de-DE"/>
        </w:rPr>
        <w:t xml:space="preserve"> as specified in Article</w:t>
      </w:r>
      <w:r w:rsidR="00A12C97">
        <w:rPr>
          <w:noProof/>
          <w:lang w:val="en-IE" w:eastAsia="de-DE"/>
        </w:rPr>
        <w:t xml:space="preserve"> 3a</w:t>
      </w:r>
      <w:r w:rsidR="003B3FA9">
        <w:rPr>
          <w:noProof/>
          <w:lang w:val="en-IE" w:eastAsia="de-DE"/>
        </w:rPr>
        <w:t>(1)</w:t>
      </w:r>
      <w:r w:rsidR="0040431F">
        <w:rPr>
          <w:noProof/>
          <w:lang w:val="en-IE" w:eastAsia="de-DE"/>
        </w:rPr>
        <w:t>,</w:t>
      </w:r>
      <w:r w:rsidR="003B3FA9">
        <w:rPr>
          <w:noProof/>
          <w:lang w:val="en-IE" w:eastAsia="de-DE"/>
        </w:rPr>
        <w:t xml:space="preserve"> point (c)</w:t>
      </w:r>
      <w:r w:rsidR="00A12C97">
        <w:rPr>
          <w:noProof/>
          <w:lang w:val="en-IE" w:eastAsia="de-DE"/>
        </w:rPr>
        <w:t>,</w:t>
      </w:r>
      <w:r w:rsidR="009B5129">
        <w:rPr>
          <w:noProof/>
          <w:lang w:val="en-IE" w:eastAsia="de-DE"/>
        </w:rPr>
        <w:t xml:space="preserve"> and</w:t>
      </w:r>
    </w:p>
    <w:p w:rsidR="00A12C97" w:rsidRPr="000F658B" w:rsidRDefault="000F5E3B" w:rsidP="00C9020F">
      <w:pPr>
        <w:pStyle w:val="Text20"/>
        <w:rPr>
          <w:noProof/>
          <w:lang w:val="en-IE" w:eastAsia="de-DE"/>
        </w:rPr>
      </w:pPr>
      <w:r>
        <w:rPr>
          <w:noProof/>
          <w:lang w:val="en-IE" w:eastAsia="de-DE"/>
        </w:rPr>
        <w:t xml:space="preserve">(d)  </w:t>
      </w:r>
      <w:r w:rsidR="00A12C97" w:rsidRPr="000F658B">
        <w:rPr>
          <w:noProof/>
          <w:lang w:val="en-IE" w:eastAsia="de-DE"/>
        </w:rPr>
        <w:t xml:space="preserve">between the </w:t>
      </w:r>
      <w:r w:rsidR="00DF379C">
        <w:rPr>
          <w:noProof/>
          <w:lang w:val="en-IE" w:eastAsia="de-DE"/>
        </w:rPr>
        <w:t>CO₂</w:t>
      </w:r>
      <w:r w:rsidR="00A12C97" w:rsidRPr="000F658B">
        <w:rPr>
          <w:noProof/>
          <w:lang w:val="en-IE" w:eastAsia="de-DE"/>
        </w:rPr>
        <w:t xml:space="preserve"> emissions target for the reporting period of the year 20</w:t>
      </w:r>
      <w:r w:rsidR="00A12C97">
        <w:rPr>
          <w:noProof/>
          <w:lang w:val="en-IE" w:eastAsia="de-DE"/>
        </w:rPr>
        <w:t>3</w:t>
      </w:r>
      <w:r w:rsidR="00B81E82">
        <w:rPr>
          <w:noProof/>
          <w:lang w:val="en-IE" w:eastAsia="de-DE"/>
        </w:rPr>
        <w:t>5</w:t>
      </w:r>
      <w:r w:rsidR="00A12C97" w:rsidRPr="000F658B">
        <w:rPr>
          <w:noProof/>
          <w:lang w:val="en-IE" w:eastAsia="de-DE"/>
        </w:rPr>
        <w:t xml:space="preserve"> and the </w:t>
      </w:r>
      <w:r w:rsidR="00DF379C">
        <w:rPr>
          <w:noProof/>
          <w:lang w:val="en-IE" w:eastAsia="de-DE"/>
        </w:rPr>
        <w:t>CO₂</w:t>
      </w:r>
      <w:r w:rsidR="00A12C97" w:rsidRPr="000F658B">
        <w:rPr>
          <w:noProof/>
          <w:lang w:val="en-IE" w:eastAsia="de-DE"/>
        </w:rPr>
        <w:t xml:space="preserve"> emissions target for the reporting period of the year 2</w:t>
      </w:r>
      <w:r w:rsidR="00A12C97">
        <w:rPr>
          <w:noProof/>
          <w:lang w:val="en-IE" w:eastAsia="de-DE"/>
        </w:rPr>
        <w:t>040</w:t>
      </w:r>
      <w:r w:rsidR="00A12C97" w:rsidRPr="000F658B">
        <w:rPr>
          <w:noProof/>
          <w:lang w:val="en-IE" w:eastAsia="de-DE"/>
        </w:rPr>
        <w:t xml:space="preserve"> as specified in Article</w:t>
      </w:r>
      <w:r w:rsidR="00A12C97">
        <w:rPr>
          <w:noProof/>
          <w:lang w:val="en-IE" w:eastAsia="de-DE"/>
        </w:rPr>
        <w:t xml:space="preserve"> 3a</w:t>
      </w:r>
      <w:r w:rsidR="00723888">
        <w:rPr>
          <w:noProof/>
          <w:lang w:val="en-IE" w:eastAsia="de-DE"/>
        </w:rPr>
        <w:t>(1)</w:t>
      </w:r>
      <w:r w:rsidR="0040431F">
        <w:rPr>
          <w:noProof/>
          <w:lang w:val="en-IE" w:eastAsia="de-DE"/>
        </w:rPr>
        <w:t>,</w:t>
      </w:r>
      <w:r w:rsidR="00723888">
        <w:rPr>
          <w:noProof/>
          <w:lang w:val="en-IE" w:eastAsia="de-DE"/>
        </w:rPr>
        <w:t xml:space="preserve"> point (d)</w:t>
      </w:r>
      <w:r w:rsidR="00A12C97">
        <w:rPr>
          <w:noProof/>
          <w:lang w:val="en-IE" w:eastAsia="de-DE"/>
        </w:rPr>
        <w:t>.</w:t>
      </w:r>
      <w:r w:rsidR="008621CA">
        <w:rPr>
          <w:noProof/>
          <w:lang w:val="en-IE" w:eastAsia="de-DE"/>
        </w:rPr>
        <w:t>’</w:t>
      </w:r>
      <w:r w:rsidR="00A12C97">
        <w:rPr>
          <w:noProof/>
          <w:lang w:val="en-IE" w:eastAsia="de-DE"/>
        </w:rPr>
        <w:t>;</w:t>
      </w:r>
    </w:p>
    <w:p w:rsidR="00242087" w:rsidRDefault="005B4A90" w:rsidP="005B4A90">
      <w:pPr>
        <w:pStyle w:val="Point0"/>
        <w:rPr>
          <w:noProof/>
        </w:rPr>
      </w:pPr>
      <w:r w:rsidRPr="005B4A90">
        <w:t>(10)</w:t>
      </w:r>
      <w:r w:rsidRPr="005B4A90">
        <w:tab/>
      </w:r>
      <w:r w:rsidR="008621CA">
        <w:rPr>
          <w:noProof/>
        </w:rPr>
        <w:t xml:space="preserve">the following </w:t>
      </w:r>
      <w:r w:rsidR="00242087">
        <w:rPr>
          <w:noProof/>
        </w:rPr>
        <w:t>Articles 7a and 7b are inserted:</w:t>
      </w:r>
    </w:p>
    <w:p w:rsidR="00242087" w:rsidRPr="008621CA" w:rsidRDefault="008621CA" w:rsidP="008621CA">
      <w:pPr>
        <w:pStyle w:val="Text10"/>
        <w:jc w:val="center"/>
        <w:rPr>
          <w:b/>
          <w:noProof/>
          <w:lang w:val="en-IE"/>
        </w:rPr>
      </w:pPr>
      <w:r>
        <w:rPr>
          <w:noProof/>
        </w:rPr>
        <w:t>‘</w:t>
      </w:r>
      <w:r w:rsidR="00242087" w:rsidRPr="00242087">
        <w:rPr>
          <w:noProof/>
          <w:lang w:val="en-IE"/>
        </w:rPr>
        <w:t xml:space="preserve">Article 7a </w:t>
      </w:r>
      <w:r w:rsidR="00C615A7">
        <w:rPr>
          <w:noProof/>
          <w:lang w:val="en-IE"/>
        </w:rPr>
        <w:br/>
      </w:r>
      <w:r w:rsidR="00242087" w:rsidRPr="008621CA">
        <w:rPr>
          <w:b/>
          <w:noProof/>
          <w:lang w:val="en-IE"/>
        </w:rPr>
        <w:t>Attribution of vehicles to a manufacturer</w:t>
      </w:r>
    </w:p>
    <w:p w:rsidR="00242087" w:rsidRPr="00242087" w:rsidRDefault="00242087" w:rsidP="008621CA">
      <w:pPr>
        <w:pStyle w:val="Text10"/>
        <w:rPr>
          <w:rFonts w:eastAsia="Arial Unicode MS"/>
          <w:noProof/>
          <w:color w:val="000000"/>
          <w:u w:color="000000"/>
          <w:bdr w:val="nil"/>
          <w:lang w:val="en-US" w:eastAsia="en-GB"/>
        </w:rPr>
      </w:pPr>
      <w:r w:rsidRPr="00242087">
        <w:rPr>
          <w:rFonts w:eastAsia="Arial Unicode MS"/>
          <w:noProof/>
          <w:color w:val="000000"/>
          <w:u w:color="000000"/>
          <w:bdr w:val="nil"/>
          <w:lang w:val="en-US" w:eastAsia="en-GB"/>
        </w:rPr>
        <w:t xml:space="preserve">When calculating the average specific </w:t>
      </w:r>
      <w:r w:rsidR="00DF379C">
        <w:rPr>
          <w:rFonts w:eastAsia="Arial Unicode MS"/>
          <w:noProof/>
          <w:color w:val="000000"/>
          <w:u w:color="000000"/>
          <w:bdr w:val="nil"/>
          <w:lang w:val="en-US" w:eastAsia="en-GB"/>
        </w:rPr>
        <w:t>CO₂</w:t>
      </w:r>
      <w:r w:rsidRPr="00242087">
        <w:rPr>
          <w:rFonts w:eastAsia="Arial Unicode MS"/>
          <w:noProof/>
          <w:color w:val="000000"/>
          <w:u w:color="000000"/>
          <w:bdr w:val="nil"/>
          <w:lang w:val="en-US" w:eastAsia="en-GB"/>
        </w:rPr>
        <w:t xml:space="preserve"> emissions in Article 4 and the specific </w:t>
      </w:r>
      <w:r w:rsidR="00DF379C">
        <w:rPr>
          <w:rFonts w:eastAsia="Arial Unicode MS"/>
          <w:noProof/>
          <w:color w:val="000000"/>
          <w:u w:color="000000"/>
          <w:bdr w:val="nil"/>
          <w:lang w:val="en-US" w:eastAsia="en-GB"/>
        </w:rPr>
        <w:t>CO₂</w:t>
      </w:r>
      <w:r w:rsidRPr="00242087">
        <w:rPr>
          <w:rFonts w:eastAsia="Arial Unicode MS"/>
          <w:noProof/>
          <w:color w:val="000000"/>
          <w:u w:color="000000"/>
          <w:bdr w:val="nil"/>
          <w:lang w:val="en-US" w:eastAsia="en-GB"/>
        </w:rPr>
        <w:t xml:space="preserve"> emissions targets in Article 6, the vehicles registered in a given reporting period shall be attributed to the </w:t>
      </w:r>
      <w:r w:rsidR="004A2643">
        <w:rPr>
          <w:rFonts w:eastAsia="Arial Unicode MS"/>
          <w:noProof/>
          <w:color w:val="000000"/>
          <w:u w:color="000000"/>
          <w:bdr w:val="nil"/>
          <w:lang w:val="en-US" w:eastAsia="en-GB"/>
        </w:rPr>
        <w:t xml:space="preserve">following </w:t>
      </w:r>
      <w:r w:rsidRPr="00242087">
        <w:rPr>
          <w:rFonts w:eastAsia="Arial Unicode MS"/>
          <w:noProof/>
          <w:color w:val="000000"/>
          <w:u w:color="000000"/>
          <w:bdr w:val="nil"/>
          <w:lang w:val="en-US" w:eastAsia="en-GB"/>
        </w:rPr>
        <w:t>manufacturers:</w:t>
      </w:r>
    </w:p>
    <w:p w:rsidR="00242087" w:rsidRPr="00242087" w:rsidRDefault="008621CA" w:rsidP="00E7575E">
      <w:pPr>
        <w:pStyle w:val="Text10"/>
        <w:ind w:left="1570" w:hanging="720"/>
        <w:rPr>
          <w:rFonts w:eastAsia="Arial Unicode MS"/>
          <w:noProof/>
          <w:color w:val="000000"/>
          <w:u w:color="000000"/>
          <w:bdr w:val="nil"/>
          <w:lang w:val="en-IE" w:eastAsia="en-GB"/>
        </w:rPr>
      </w:pPr>
      <w:r>
        <w:rPr>
          <w:rFonts w:eastAsia="Arial Unicode MS"/>
          <w:noProof/>
          <w:color w:val="000000"/>
          <w:u w:color="000000"/>
          <w:bdr w:val="nil"/>
          <w:lang w:val="en-IE" w:eastAsia="en-GB"/>
        </w:rPr>
        <w:t>(a)</w:t>
      </w:r>
      <w:r w:rsidR="00E7575E">
        <w:rPr>
          <w:rFonts w:eastAsia="Arial Unicode MS"/>
          <w:noProof/>
          <w:color w:val="000000"/>
          <w:u w:color="000000"/>
          <w:bdr w:val="nil"/>
          <w:lang w:val="en-IE" w:eastAsia="en-GB"/>
        </w:rPr>
        <w:tab/>
      </w:r>
      <w:r w:rsidR="00324BC8">
        <w:rPr>
          <w:rFonts w:eastAsia="Arial Unicode MS"/>
          <w:noProof/>
          <w:color w:val="000000"/>
          <w:u w:color="000000"/>
          <w:bdr w:val="nil"/>
          <w:lang w:val="en-IE" w:eastAsia="en-GB"/>
        </w:rPr>
        <w:t>f</w:t>
      </w:r>
      <w:r w:rsidR="00242087" w:rsidRPr="00242087">
        <w:rPr>
          <w:rFonts w:eastAsia="Arial Unicode MS"/>
          <w:noProof/>
          <w:color w:val="000000"/>
          <w:u w:color="000000"/>
          <w:bdr w:val="nil"/>
          <w:lang w:val="en-IE" w:eastAsia="en-GB"/>
        </w:rPr>
        <w:t>or vehicles of category N, to the vehicle manufacturer as defined in Article 3</w:t>
      </w:r>
      <w:r w:rsidR="00EF7862">
        <w:rPr>
          <w:rFonts w:eastAsia="Arial Unicode MS"/>
          <w:noProof/>
          <w:color w:val="000000"/>
          <w:u w:color="000000"/>
          <w:bdr w:val="nil"/>
          <w:lang w:val="en-IE" w:eastAsia="en-GB"/>
        </w:rPr>
        <w:t xml:space="preserve">, point </w:t>
      </w:r>
      <w:r w:rsidR="00242087" w:rsidRPr="00242087">
        <w:rPr>
          <w:rFonts w:eastAsia="Arial Unicode MS"/>
          <w:noProof/>
          <w:color w:val="000000"/>
          <w:u w:color="000000"/>
          <w:bdr w:val="nil"/>
          <w:lang w:val="en-IE" w:eastAsia="en-GB"/>
        </w:rPr>
        <w:t>(4a)</w:t>
      </w:r>
      <w:r w:rsidR="00A56800">
        <w:rPr>
          <w:rFonts w:eastAsia="Arial Unicode MS"/>
          <w:noProof/>
          <w:color w:val="000000"/>
          <w:u w:color="000000"/>
          <w:bdr w:val="nil"/>
          <w:lang w:val="en-IE" w:eastAsia="en-GB"/>
        </w:rPr>
        <w:t>,</w:t>
      </w:r>
      <w:r w:rsidR="00242087" w:rsidRPr="00242087">
        <w:rPr>
          <w:rFonts w:eastAsia="Arial Unicode MS"/>
          <w:noProof/>
          <w:color w:val="000000"/>
          <w:u w:color="000000"/>
          <w:bdr w:val="nil"/>
          <w:lang w:val="en-IE" w:eastAsia="en-GB"/>
        </w:rPr>
        <w:t xml:space="preserve"> of Regulation (EU) 2017/2400;</w:t>
      </w:r>
    </w:p>
    <w:p w:rsidR="00242087" w:rsidRPr="00242087" w:rsidRDefault="008621CA" w:rsidP="00E7575E">
      <w:pPr>
        <w:pStyle w:val="Text10"/>
        <w:ind w:left="1570" w:hanging="720"/>
        <w:rPr>
          <w:rFonts w:eastAsia="Arial Unicode MS"/>
          <w:noProof/>
          <w:color w:val="000000"/>
          <w:u w:color="000000"/>
          <w:bdr w:val="nil"/>
          <w:lang w:val="en-US" w:eastAsia="en-GB"/>
        </w:rPr>
      </w:pPr>
      <w:r>
        <w:rPr>
          <w:rFonts w:eastAsia="Arial Unicode MS"/>
          <w:noProof/>
          <w:color w:val="000000"/>
          <w:u w:color="000000"/>
          <w:bdr w:val="nil"/>
          <w:lang w:val="en-IE" w:eastAsia="en-GB"/>
        </w:rPr>
        <w:t>(b)</w:t>
      </w:r>
      <w:r w:rsidR="00E7575E">
        <w:rPr>
          <w:rFonts w:eastAsia="Arial Unicode MS"/>
          <w:noProof/>
          <w:color w:val="000000"/>
          <w:u w:color="000000"/>
          <w:bdr w:val="nil"/>
          <w:lang w:val="en-IE" w:eastAsia="en-GB"/>
        </w:rPr>
        <w:tab/>
      </w:r>
      <w:r w:rsidR="00324BC8">
        <w:rPr>
          <w:rFonts w:eastAsia="Arial Unicode MS"/>
          <w:noProof/>
          <w:color w:val="000000"/>
          <w:u w:color="000000"/>
          <w:bdr w:val="nil"/>
          <w:lang w:val="en-US" w:eastAsia="en-GB"/>
        </w:rPr>
        <w:t>f</w:t>
      </w:r>
      <w:r w:rsidR="00242087" w:rsidRPr="00242087">
        <w:rPr>
          <w:rFonts w:eastAsia="Arial Unicode MS"/>
          <w:noProof/>
          <w:color w:val="000000"/>
          <w:u w:color="000000"/>
          <w:bdr w:val="nil"/>
          <w:lang w:val="en-US" w:eastAsia="en-GB"/>
        </w:rPr>
        <w:t>or vehicles of category M, to the primary vehicle manufacturer as defined in Article 3</w:t>
      </w:r>
      <w:r w:rsidR="00EF7862">
        <w:rPr>
          <w:rFonts w:eastAsia="Arial Unicode MS"/>
          <w:noProof/>
          <w:color w:val="000000"/>
          <w:u w:color="000000"/>
          <w:bdr w:val="nil"/>
          <w:lang w:val="en-US" w:eastAsia="en-GB"/>
        </w:rPr>
        <w:t xml:space="preserve">, point </w:t>
      </w:r>
      <w:r w:rsidR="00242087" w:rsidRPr="00242087">
        <w:rPr>
          <w:rFonts w:eastAsia="Arial Unicode MS"/>
          <w:noProof/>
          <w:color w:val="000000"/>
          <w:u w:color="000000"/>
          <w:bdr w:val="nil"/>
          <w:lang w:val="en-US" w:eastAsia="en-GB"/>
        </w:rPr>
        <w:t>(29)</w:t>
      </w:r>
      <w:r w:rsidR="00A56800">
        <w:rPr>
          <w:rFonts w:eastAsia="Arial Unicode MS"/>
          <w:noProof/>
          <w:color w:val="000000"/>
          <w:u w:color="000000"/>
          <w:bdr w:val="nil"/>
          <w:lang w:val="en-US" w:eastAsia="en-GB"/>
        </w:rPr>
        <w:t>,</w:t>
      </w:r>
      <w:r w:rsidR="00242087" w:rsidRPr="00242087">
        <w:rPr>
          <w:rFonts w:eastAsia="Arial Unicode MS"/>
          <w:noProof/>
          <w:color w:val="000000"/>
          <w:u w:color="000000"/>
          <w:bdr w:val="nil"/>
          <w:lang w:val="en-US" w:eastAsia="en-GB"/>
        </w:rPr>
        <w:t xml:space="preserve"> of Regulation (EU) 2017/2400;</w:t>
      </w:r>
    </w:p>
    <w:p w:rsidR="00242087" w:rsidRPr="00242087" w:rsidRDefault="008621CA" w:rsidP="00E7575E">
      <w:pPr>
        <w:pStyle w:val="Text10"/>
        <w:ind w:left="1570" w:hanging="720"/>
        <w:rPr>
          <w:rFonts w:eastAsia="Arial Unicode MS"/>
          <w:noProof/>
          <w:color w:val="000000"/>
          <w:u w:color="000000"/>
          <w:bdr w:val="nil"/>
          <w:lang w:val="en-US" w:eastAsia="en-GB"/>
        </w:rPr>
      </w:pPr>
      <w:r>
        <w:rPr>
          <w:rFonts w:eastAsia="Arial Unicode MS"/>
          <w:noProof/>
          <w:color w:val="000000"/>
          <w:u w:color="000000"/>
          <w:bdr w:val="nil"/>
          <w:lang w:val="en-US" w:eastAsia="en-GB"/>
        </w:rPr>
        <w:t>(c)</w:t>
      </w:r>
      <w:r w:rsidR="00E7575E">
        <w:rPr>
          <w:rFonts w:eastAsia="Arial Unicode MS"/>
          <w:noProof/>
          <w:color w:val="000000"/>
          <w:u w:color="000000"/>
          <w:bdr w:val="nil"/>
          <w:lang w:val="en-US" w:eastAsia="en-GB"/>
        </w:rPr>
        <w:tab/>
      </w:r>
      <w:r w:rsidR="00324BC8">
        <w:rPr>
          <w:rFonts w:eastAsia="Arial Unicode MS"/>
          <w:noProof/>
          <w:color w:val="000000"/>
          <w:u w:color="000000"/>
          <w:bdr w:val="nil"/>
          <w:lang w:val="en-US" w:eastAsia="en-GB"/>
        </w:rPr>
        <w:t>f</w:t>
      </w:r>
      <w:r w:rsidR="00242087" w:rsidRPr="00242087">
        <w:rPr>
          <w:rFonts w:eastAsia="Arial Unicode MS"/>
          <w:noProof/>
          <w:color w:val="000000"/>
          <w:u w:color="000000"/>
          <w:bdr w:val="nil"/>
          <w:lang w:val="en-US" w:eastAsia="en-GB"/>
        </w:rPr>
        <w:t>or vehicles of category O, to the vehicle manufacturer as defined in Article 2</w:t>
      </w:r>
      <w:r w:rsidR="00EF7862">
        <w:rPr>
          <w:rFonts w:eastAsia="Arial Unicode MS"/>
          <w:noProof/>
          <w:color w:val="000000"/>
          <w:u w:color="000000"/>
          <w:bdr w:val="nil"/>
          <w:lang w:val="en-US" w:eastAsia="en-GB"/>
        </w:rPr>
        <w:t xml:space="preserve">, point </w:t>
      </w:r>
      <w:r w:rsidR="00242087" w:rsidRPr="00242087">
        <w:rPr>
          <w:rFonts w:eastAsia="Arial Unicode MS"/>
          <w:noProof/>
          <w:color w:val="000000"/>
          <w:u w:color="000000"/>
          <w:bdr w:val="nil"/>
          <w:lang w:val="en-US" w:eastAsia="en-GB"/>
        </w:rPr>
        <w:t>(5)</w:t>
      </w:r>
      <w:r w:rsidR="00A56800">
        <w:rPr>
          <w:rFonts w:eastAsia="Arial Unicode MS"/>
          <w:noProof/>
          <w:color w:val="000000"/>
          <w:u w:color="000000"/>
          <w:bdr w:val="nil"/>
          <w:lang w:val="en-US" w:eastAsia="en-GB"/>
        </w:rPr>
        <w:t>,</w:t>
      </w:r>
      <w:r w:rsidR="00242087" w:rsidRPr="00242087">
        <w:rPr>
          <w:rFonts w:eastAsia="Arial Unicode MS"/>
          <w:noProof/>
          <w:color w:val="000000"/>
          <w:u w:color="000000"/>
          <w:bdr w:val="nil"/>
          <w:lang w:val="en-US" w:eastAsia="en-GB"/>
        </w:rPr>
        <w:t xml:space="preserve"> of </w:t>
      </w:r>
      <w:r w:rsidR="00553EBC">
        <w:rPr>
          <w:rFonts w:eastAsia="Arial Unicode MS"/>
          <w:noProof/>
          <w:color w:val="000000"/>
          <w:u w:color="000000"/>
          <w:bdr w:val="nil"/>
          <w:lang w:val="en-US" w:eastAsia="en-GB"/>
        </w:rPr>
        <w:t xml:space="preserve">Implementing </w:t>
      </w:r>
      <w:r w:rsidR="00242087" w:rsidRPr="00242087">
        <w:rPr>
          <w:rFonts w:eastAsia="Arial Unicode MS"/>
          <w:noProof/>
          <w:color w:val="000000"/>
          <w:u w:color="000000"/>
          <w:bdr w:val="nil"/>
          <w:lang w:val="en-US" w:eastAsia="en-GB"/>
        </w:rPr>
        <w:t>Regulation (EU) 2022/1362.</w:t>
      </w:r>
    </w:p>
    <w:p w:rsidR="00242087" w:rsidRPr="00242087" w:rsidRDefault="00C615A7" w:rsidP="008621CA">
      <w:pPr>
        <w:pStyle w:val="Text10"/>
        <w:jc w:val="center"/>
        <w:rPr>
          <w:b/>
          <w:noProof/>
          <w:lang w:val="en-IE"/>
        </w:rPr>
      </w:pPr>
      <w:r>
        <w:rPr>
          <w:noProof/>
          <w:lang w:val="en-IE"/>
        </w:rPr>
        <w:t>Article 7b</w:t>
      </w:r>
      <w:r>
        <w:rPr>
          <w:noProof/>
          <w:lang w:val="en-IE"/>
        </w:rPr>
        <w:br/>
      </w:r>
      <w:r w:rsidR="00242087" w:rsidRPr="00242087">
        <w:rPr>
          <w:b/>
          <w:noProof/>
          <w:lang w:val="en-IE"/>
        </w:rPr>
        <w:t xml:space="preserve">Calculation of average specific </w:t>
      </w:r>
      <w:r w:rsidR="00DF379C">
        <w:rPr>
          <w:b/>
          <w:noProof/>
          <w:lang w:val="en-IE"/>
        </w:rPr>
        <w:t>CO₂</w:t>
      </w:r>
      <w:r w:rsidR="00242087" w:rsidRPr="00242087">
        <w:rPr>
          <w:b/>
          <w:noProof/>
          <w:lang w:val="en-IE"/>
        </w:rPr>
        <w:t xml:space="preserve"> emissions of vehicles of category M</w:t>
      </w:r>
    </w:p>
    <w:p w:rsidR="00242087" w:rsidRPr="00242087" w:rsidRDefault="00242087" w:rsidP="00C21654">
      <w:pPr>
        <w:pStyle w:val="Text10"/>
        <w:rPr>
          <w:rFonts w:eastAsia="Arial Unicode MS"/>
          <w:noProof/>
          <w:color w:val="000000"/>
          <w:u w:color="000000"/>
          <w:bdr w:val="nil"/>
          <w:lang w:val="en-US" w:eastAsia="en-GB"/>
        </w:rPr>
      </w:pPr>
      <w:r w:rsidRPr="00B477B2">
        <w:rPr>
          <w:rFonts w:eastAsia="Arial Unicode MS"/>
          <w:noProof/>
          <w:color w:val="000000"/>
          <w:u w:color="000000"/>
          <w:bdr w:val="nil"/>
          <w:lang w:val="en-US" w:eastAsia="en-GB"/>
        </w:rPr>
        <w:t>For vehicles of category M, the following shall apply:</w:t>
      </w:r>
    </w:p>
    <w:p w:rsidR="00242087" w:rsidRPr="00B477B2" w:rsidRDefault="009B5129" w:rsidP="000555CF">
      <w:pPr>
        <w:pStyle w:val="Text10"/>
        <w:ind w:left="1210"/>
        <w:rPr>
          <w:rFonts w:eastAsia="Arial Unicode MS"/>
          <w:noProof/>
          <w:color w:val="000000"/>
          <w:u w:color="000000"/>
          <w:bdr w:val="nil"/>
          <w:lang w:val="en-US" w:eastAsia="en-GB"/>
        </w:rPr>
      </w:pPr>
      <w:r>
        <w:rPr>
          <w:rFonts w:eastAsia="Arial Unicode MS"/>
          <w:noProof/>
          <w:color w:val="000000"/>
          <w:u w:color="000000"/>
          <w:bdr w:val="nil"/>
          <w:lang w:val="en-US" w:eastAsia="en-GB"/>
        </w:rPr>
        <w:t xml:space="preserve">(a) </w:t>
      </w:r>
      <w:r w:rsidR="003C236B">
        <w:rPr>
          <w:rFonts w:eastAsia="Arial Unicode MS"/>
          <w:noProof/>
          <w:color w:val="000000"/>
          <w:u w:color="000000"/>
          <w:bdr w:val="nil"/>
          <w:lang w:val="en-US" w:eastAsia="en-GB"/>
        </w:rPr>
        <w:t>for</w:t>
      </w:r>
      <w:r w:rsidR="000555CF">
        <w:rPr>
          <w:rFonts w:eastAsia="Arial Unicode MS"/>
          <w:noProof/>
          <w:color w:val="000000"/>
          <w:u w:color="000000"/>
          <w:bdr w:val="nil"/>
          <w:lang w:val="en-US" w:eastAsia="en-GB"/>
        </w:rPr>
        <w:t xml:space="preserve"> </w:t>
      </w:r>
      <w:r w:rsidR="00242087" w:rsidRPr="00242087">
        <w:rPr>
          <w:rFonts w:eastAsia="Arial Unicode MS"/>
          <w:noProof/>
          <w:color w:val="000000"/>
          <w:u w:color="000000"/>
          <w:bdr w:val="nil"/>
          <w:lang w:val="en-US" w:eastAsia="en-GB"/>
        </w:rPr>
        <w:t>the calculation of the average specific CO</w:t>
      </w:r>
      <w:r w:rsidR="00242087" w:rsidRPr="00242087">
        <w:rPr>
          <w:rFonts w:eastAsia="Arial Unicode MS"/>
          <w:noProof/>
          <w:color w:val="000000"/>
          <w:u w:color="000000"/>
          <w:bdr w:val="nil"/>
          <w:vertAlign w:val="subscript"/>
          <w:lang w:val="en-US" w:eastAsia="en-GB"/>
        </w:rPr>
        <w:t>2</w:t>
      </w:r>
      <w:r w:rsidR="00242087" w:rsidRPr="00242087">
        <w:rPr>
          <w:rFonts w:eastAsia="Arial Unicode MS"/>
          <w:noProof/>
          <w:color w:val="000000"/>
          <w:u w:color="000000"/>
          <w:bdr w:val="nil"/>
          <w:lang w:val="en-US" w:eastAsia="en-GB"/>
        </w:rPr>
        <w:t xml:space="preserve"> emissions in a sub-group of a manufacturer, a new heavy-duty vehicle of category M </w:t>
      </w:r>
      <w:r w:rsidR="00242087" w:rsidRPr="000F02BD">
        <w:rPr>
          <w:rFonts w:eastAsia="Arial Unicode MS"/>
          <w:noProof/>
          <w:color w:val="000000"/>
          <w:u w:color="000000"/>
          <w:bdr w:val="nil"/>
          <w:lang w:val="en-US" w:eastAsia="en-GB"/>
        </w:rPr>
        <w:t xml:space="preserve">shall </w:t>
      </w:r>
      <w:r w:rsidR="00242087" w:rsidRPr="00B477B2">
        <w:rPr>
          <w:rFonts w:eastAsia="Arial Unicode MS"/>
          <w:noProof/>
          <w:color w:val="000000"/>
          <w:u w:color="000000"/>
          <w:bdr w:val="nil"/>
          <w:lang w:val="en-US" w:eastAsia="en-GB"/>
        </w:rPr>
        <w:t>be considered with its specific CO</w:t>
      </w:r>
      <w:r w:rsidR="00242087" w:rsidRPr="00B477B2">
        <w:rPr>
          <w:rFonts w:eastAsia="Arial Unicode MS"/>
          <w:noProof/>
          <w:color w:val="000000"/>
          <w:u w:color="000000"/>
          <w:bdr w:val="nil"/>
          <w:vertAlign w:val="subscript"/>
          <w:lang w:val="en-US" w:eastAsia="en-GB"/>
        </w:rPr>
        <w:t>2</w:t>
      </w:r>
      <w:r w:rsidR="00242087" w:rsidRPr="00B477B2">
        <w:rPr>
          <w:rFonts w:eastAsia="Arial Unicode MS"/>
          <w:noProof/>
          <w:color w:val="000000"/>
          <w:u w:color="000000"/>
          <w:bdr w:val="nil"/>
          <w:lang w:val="en-US" w:eastAsia="en-GB"/>
        </w:rPr>
        <w:t xml:space="preserve"> emissions as complete or completed vehicle </w:t>
      </w:r>
      <w:r w:rsidR="00242087" w:rsidRPr="00B477B2">
        <w:rPr>
          <w:rFonts w:eastAsia="Arial Unicode MS"/>
          <w:iCs/>
          <w:noProof/>
          <w:color w:val="000000"/>
          <w:u w:color="000000"/>
          <w:bdr w:val="nil"/>
          <w:lang w:val="en-US" w:eastAsia="en-GB"/>
        </w:rPr>
        <w:t xml:space="preserve">in </w:t>
      </w:r>
      <w:r w:rsidR="00CB31BE" w:rsidRPr="00B477B2">
        <w:rPr>
          <w:rFonts w:eastAsia="Arial Unicode MS"/>
          <w:iCs/>
          <w:noProof/>
          <w:color w:val="000000"/>
          <w:u w:color="000000"/>
          <w:bdr w:val="nil"/>
          <w:lang w:val="en-US" w:eastAsia="en-GB"/>
        </w:rPr>
        <w:t xml:space="preserve">point 2.2.2 of </w:t>
      </w:r>
      <w:r w:rsidR="000D5629" w:rsidRPr="00B477B2">
        <w:rPr>
          <w:rFonts w:eastAsia="Arial Unicode MS"/>
          <w:iCs/>
          <w:noProof/>
          <w:color w:val="000000"/>
          <w:u w:color="000000"/>
          <w:bdr w:val="nil"/>
          <w:lang w:val="en-US" w:eastAsia="en-GB"/>
        </w:rPr>
        <w:t xml:space="preserve">Annex I </w:t>
      </w:r>
      <w:r w:rsidR="00242087" w:rsidRPr="00B477B2">
        <w:rPr>
          <w:rFonts w:eastAsia="Arial Unicode MS"/>
          <w:iCs/>
          <w:noProof/>
          <w:color w:val="000000"/>
          <w:u w:color="000000"/>
          <w:bdr w:val="nil"/>
          <w:lang w:val="en-US" w:eastAsia="en-GB"/>
        </w:rPr>
        <w:t xml:space="preserve">and shall not be </w:t>
      </w:r>
      <w:r w:rsidR="005834E5" w:rsidRPr="00B477B2">
        <w:rPr>
          <w:rFonts w:eastAsia="Arial Unicode MS"/>
          <w:iCs/>
          <w:noProof/>
          <w:color w:val="000000"/>
          <w:u w:color="000000"/>
          <w:bdr w:val="nil"/>
          <w:lang w:val="en-US" w:eastAsia="en-GB"/>
        </w:rPr>
        <w:t xml:space="preserve">taken into account </w:t>
      </w:r>
      <w:r w:rsidR="00242087" w:rsidRPr="00B477B2">
        <w:rPr>
          <w:rFonts w:eastAsia="Arial Unicode MS"/>
          <w:iCs/>
          <w:noProof/>
          <w:color w:val="000000"/>
          <w:u w:color="000000"/>
          <w:bdr w:val="nil"/>
          <w:lang w:val="en-US" w:eastAsia="en-GB"/>
        </w:rPr>
        <w:t xml:space="preserve">in </w:t>
      </w:r>
      <w:r w:rsidR="00CB31BE" w:rsidRPr="00B477B2">
        <w:rPr>
          <w:rFonts w:eastAsia="Arial Unicode MS"/>
          <w:iCs/>
          <w:noProof/>
          <w:color w:val="000000"/>
          <w:u w:color="000000"/>
          <w:bdr w:val="nil"/>
          <w:lang w:val="en-US" w:eastAsia="en-GB"/>
        </w:rPr>
        <w:t xml:space="preserve">point 2.2.3 of </w:t>
      </w:r>
      <w:r w:rsidR="000555CF">
        <w:rPr>
          <w:rFonts w:eastAsia="Arial Unicode MS"/>
          <w:iCs/>
          <w:noProof/>
          <w:color w:val="000000"/>
          <w:u w:color="000000"/>
          <w:bdr w:val="nil"/>
          <w:lang w:val="en-US" w:eastAsia="en-GB"/>
        </w:rPr>
        <w:t>Annex I.</w:t>
      </w:r>
    </w:p>
    <w:p w:rsidR="00242087" w:rsidRPr="00B477B2" w:rsidRDefault="009B5129" w:rsidP="000555CF">
      <w:pPr>
        <w:pStyle w:val="Text10"/>
        <w:ind w:left="1210"/>
        <w:rPr>
          <w:rFonts w:eastAsia="Arial Unicode MS"/>
          <w:noProof/>
          <w:color w:val="000000"/>
          <w:u w:color="000000"/>
          <w:bdr w:val="nil"/>
          <w:lang w:val="en-US" w:eastAsia="en-GB"/>
        </w:rPr>
      </w:pPr>
      <w:r>
        <w:rPr>
          <w:rFonts w:eastAsia="Arial Unicode MS"/>
          <w:iCs/>
          <w:noProof/>
          <w:color w:val="000000"/>
          <w:u w:color="000000"/>
          <w:bdr w:val="nil"/>
          <w:lang w:val="en-US" w:eastAsia="en-GB"/>
        </w:rPr>
        <w:t xml:space="preserve">(b) </w:t>
      </w:r>
      <w:r w:rsidR="003C236B">
        <w:rPr>
          <w:rFonts w:eastAsia="Arial Unicode MS"/>
          <w:iCs/>
          <w:noProof/>
          <w:color w:val="000000"/>
          <w:u w:color="000000"/>
          <w:bdr w:val="nil"/>
          <w:lang w:val="en-US" w:eastAsia="en-GB"/>
        </w:rPr>
        <w:t>ho</w:t>
      </w:r>
      <w:r w:rsidR="003C236B" w:rsidRPr="00B477B2">
        <w:rPr>
          <w:rFonts w:eastAsia="Arial Unicode MS"/>
          <w:iCs/>
          <w:noProof/>
          <w:color w:val="000000"/>
          <w:u w:color="000000"/>
          <w:bdr w:val="nil"/>
          <w:lang w:val="en-US" w:eastAsia="en-GB"/>
        </w:rPr>
        <w:t>wever</w:t>
      </w:r>
      <w:r w:rsidR="00242087" w:rsidRPr="00B477B2">
        <w:rPr>
          <w:rFonts w:eastAsia="Arial Unicode MS"/>
          <w:iCs/>
          <w:noProof/>
          <w:color w:val="000000"/>
          <w:u w:color="000000"/>
          <w:bdr w:val="nil"/>
          <w:lang w:val="en-US" w:eastAsia="en-GB"/>
        </w:rPr>
        <w:t xml:space="preserve">, upon request of the manufacturer </w:t>
      </w:r>
      <w:r w:rsidR="00242087" w:rsidRPr="00B477B2" w:rsidDel="00EB743D">
        <w:rPr>
          <w:rFonts w:eastAsia="Arial Unicode MS"/>
          <w:iCs/>
          <w:noProof/>
          <w:color w:val="000000"/>
          <w:u w:color="000000"/>
          <w:bdr w:val="nil"/>
          <w:lang w:val="en-US" w:eastAsia="en-GB"/>
        </w:rPr>
        <w:t xml:space="preserve">as </w:t>
      </w:r>
      <w:r w:rsidR="00EB743D" w:rsidRPr="00B477B2">
        <w:rPr>
          <w:rFonts w:eastAsia="Arial Unicode MS"/>
          <w:iCs/>
          <w:noProof/>
          <w:color w:val="000000"/>
          <w:u w:color="000000"/>
          <w:bdr w:val="nil"/>
          <w:lang w:val="en-US" w:eastAsia="en-GB"/>
        </w:rPr>
        <w:t>referred to</w:t>
      </w:r>
      <w:r w:rsidR="00242087" w:rsidRPr="00B477B2">
        <w:rPr>
          <w:rFonts w:eastAsia="Arial Unicode MS"/>
          <w:iCs/>
          <w:noProof/>
          <w:color w:val="000000"/>
          <w:u w:color="000000"/>
          <w:bdr w:val="nil"/>
          <w:lang w:val="en-US" w:eastAsia="en-GB"/>
        </w:rPr>
        <w:t xml:space="preserve"> </w:t>
      </w:r>
      <w:bookmarkStart w:id="4" w:name="_Hlk118914443"/>
      <w:r w:rsidR="002E5022" w:rsidRPr="00B477B2">
        <w:rPr>
          <w:rFonts w:eastAsia="Arial Unicode MS"/>
          <w:iCs/>
          <w:noProof/>
          <w:color w:val="000000"/>
          <w:u w:color="000000"/>
          <w:bdr w:val="nil"/>
          <w:lang w:val="en-US" w:eastAsia="en-GB"/>
        </w:rPr>
        <w:t>in Article 7a</w:t>
      </w:r>
      <w:r w:rsidR="00CB31BE" w:rsidRPr="00B477B2">
        <w:rPr>
          <w:rFonts w:eastAsia="Arial Unicode MS"/>
          <w:iCs/>
          <w:noProof/>
          <w:color w:val="000000"/>
          <w:u w:color="000000"/>
          <w:bdr w:val="nil"/>
          <w:lang w:val="en-US" w:eastAsia="en-GB"/>
        </w:rPr>
        <w:t>,</w:t>
      </w:r>
      <w:r w:rsidR="000F02BD" w:rsidRPr="00B477B2">
        <w:rPr>
          <w:rFonts w:eastAsia="Arial Unicode MS"/>
          <w:iCs/>
          <w:noProof/>
          <w:color w:val="000000"/>
          <w:u w:color="000000"/>
          <w:bdr w:val="nil"/>
          <w:lang w:val="en-US" w:eastAsia="en-GB"/>
        </w:rPr>
        <w:t xml:space="preserve"> point </w:t>
      </w:r>
      <w:r w:rsidR="00242087" w:rsidRPr="00B477B2">
        <w:rPr>
          <w:rFonts w:eastAsia="Arial Unicode MS"/>
          <w:iCs/>
          <w:noProof/>
          <w:color w:val="000000"/>
          <w:u w:color="000000"/>
          <w:bdr w:val="nil"/>
          <w:lang w:val="en-US" w:eastAsia="en-GB"/>
        </w:rPr>
        <w:t>(b)</w:t>
      </w:r>
      <w:r w:rsidR="00CB31BE" w:rsidRPr="00B477B2">
        <w:rPr>
          <w:rFonts w:eastAsia="Arial Unicode MS"/>
          <w:iCs/>
          <w:noProof/>
          <w:color w:val="000000"/>
          <w:u w:color="000000"/>
          <w:bdr w:val="nil"/>
          <w:lang w:val="en-US" w:eastAsia="en-GB"/>
        </w:rPr>
        <w:t>,</w:t>
      </w:r>
      <w:r w:rsidR="00242087" w:rsidRPr="00B477B2">
        <w:rPr>
          <w:rFonts w:eastAsia="Arial Unicode MS"/>
          <w:iCs/>
          <w:noProof/>
          <w:color w:val="000000"/>
          <w:u w:color="000000"/>
          <w:bdr w:val="nil"/>
          <w:lang w:val="en-US" w:eastAsia="en-GB"/>
        </w:rPr>
        <w:t xml:space="preserve"> </w:t>
      </w:r>
      <w:bookmarkEnd w:id="4"/>
      <w:r w:rsidR="00242087" w:rsidRPr="00B477B2">
        <w:rPr>
          <w:rFonts w:eastAsia="Arial Unicode MS"/>
          <w:iCs/>
          <w:noProof/>
          <w:color w:val="000000"/>
          <w:u w:color="000000"/>
          <w:bdr w:val="nil"/>
          <w:lang w:val="en-US" w:eastAsia="en-GB"/>
        </w:rPr>
        <w:t xml:space="preserve">and subject to the condition </w:t>
      </w:r>
      <w:r w:rsidR="00C863E7" w:rsidRPr="00B477B2">
        <w:rPr>
          <w:rFonts w:eastAsia="Arial Unicode MS"/>
          <w:iCs/>
          <w:noProof/>
          <w:color w:val="000000"/>
          <w:u w:color="000000"/>
          <w:bdr w:val="nil"/>
          <w:lang w:val="en-US" w:eastAsia="en-GB"/>
        </w:rPr>
        <w:t xml:space="preserve">set out </w:t>
      </w:r>
      <w:r w:rsidR="00613082" w:rsidRPr="00B477B2">
        <w:rPr>
          <w:rFonts w:eastAsia="Arial Unicode MS"/>
          <w:iCs/>
          <w:noProof/>
          <w:color w:val="000000"/>
          <w:u w:color="000000"/>
          <w:bdr w:val="nil"/>
          <w:lang w:val="en-US" w:eastAsia="en-GB"/>
        </w:rPr>
        <w:t xml:space="preserve">in </w:t>
      </w:r>
      <w:r w:rsidR="00CB31BE" w:rsidRPr="00B477B2">
        <w:rPr>
          <w:rFonts w:eastAsia="Arial Unicode MS"/>
          <w:iCs/>
          <w:noProof/>
          <w:color w:val="000000"/>
          <w:u w:color="000000"/>
          <w:bdr w:val="nil"/>
          <w:lang w:val="en-US" w:eastAsia="en-GB"/>
        </w:rPr>
        <w:t>paragraph</w:t>
      </w:r>
      <w:r w:rsidR="00242087" w:rsidRPr="00B477B2" w:rsidDel="00CB31BE">
        <w:rPr>
          <w:rFonts w:eastAsia="Arial Unicode MS"/>
          <w:iCs/>
          <w:noProof/>
          <w:color w:val="000000"/>
          <w:u w:color="000000"/>
          <w:bdr w:val="nil"/>
          <w:lang w:val="en-US" w:eastAsia="en-GB"/>
        </w:rPr>
        <w:t xml:space="preserve"> </w:t>
      </w:r>
      <w:r w:rsidR="00613082" w:rsidRPr="00B477B2">
        <w:rPr>
          <w:rFonts w:eastAsia="Arial Unicode MS"/>
          <w:iCs/>
          <w:noProof/>
          <w:color w:val="000000"/>
          <w:u w:color="000000"/>
          <w:bdr w:val="nil"/>
          <w:lang w:val="en-US" w:eastAsia="en-GB"/>
        </w:rPr>
        <w:t>3</w:t>
      </w:r>
      <w:r w:rsidR="008A2A37" w:rsidRPr="00B477B2">
        <w:rPr>
          <w:rFonts w:eastAsia="Arial Unicode MS"/>
          <w:iCs/>
          <w:noProof/>
          <w:color w:val="000000"/>
          <w:u w:color="000000"/>
          <w:bdr w:val="nil"/>
          <w:lang w:val="en-US" w:eastAsia="en-GB"/>
        </w:rPr>
        <w:t>,</w:t>
      </w:r>
      <w:r w:rsidR="000F02BD" w:rsidRPr="00B477B2">
        <w:rPr>
          <w:rFonts w:eastAsia="Arial Unicode MS"/>
          <w:iCs/>
          <w:noProof/>
          <w:color w:val="000000"/>
          <w:u w:color="000000"/>
          <w:bdr w:val="nil"/>
          <w:lang w:val="en-US" w:eastAsia="en-GB"/>
        </w:rPr>
        <w:t xml:space="preserve"> </w:t>
      </w:r>
      <w:r w:rsidR="00242087" w:rsidRPr="00B477B2">
        <w:rPr>
          <w:rFonts w:eastAsia="Arial Unicode MS"/>
          <w:iCs/>
          <w:noProof/>
          <w:color w:val="000000"/>
          <w:u w:color="000000"/>
          <w:bdr w:val="nil"/>
          <w:lang w:val="en-US" w:eastAsia="en-GB"/>
        </w:rPr>
        <w:t xml:space="preserve">a new heavy-duty vehicle </w:t>
      </w:r>
      <w:r w:rsidR="00613082" w:rsidRPr="00B477B2">
        <w:rPr>
          <w:rFonts w:eastAsia="Arial Unicode MS"/>
          <w:iCs/>
          <w:noProof/>
          <w:color w:val="000000"/>
          <w:u w:color="000000"/>
          <w:bdr w:val="nil"/>
          <w:lang w:val="en-US" w:eastAsia="en-GB"/>
        </w:rPr>
        <w:t xml:space="preserve">of category M </w:t>
      </w:r>
      <w:r w:rsidR="00242087" w:rsidRPr="00B477B2">
        <w:rPr>
          <w:rFonts w:eastAsia="Arial Unicode MS"/>
          <w:iCs/>
          <w:noProof/>
          <w:color w:val="000000"/>
          <w:u w:color="000000"/>
          <w:bdr w:val="nil"/>
          <w:lang w:val="en-US" w:eastAsia="en-GB"/>
        </w:rPr>
        <w:t xml:space="preserve">shall be considered with the specific </w:t>
      </w:r>
      <w:r w:rsidR="00242087" w:rsidRPr="00B477B2">
        <w:rPr>
          <w:rFonts w:eastAsia="Arial Unicode MS"/>
          <w:noProof/>
          <w:color w:val="000000"/>
          <w:u w:color="000000"/>
          <w:bdr w:val="nil"/>
          <w:lang w:val="en-US" w:eastAsia="en-GB"/>
        </w:rPr>
        <w:t>CO</w:t>
      </w:r>
      <w:r w:rsidR="00242087" w:rsidRPr="00B477B2">
        <w:rPr>
          <w:rFonts w:eastAsia="Arial Unicode MS"/>
          <w:noProof/>
          <w:color w:val="000000"/>
          <w:u w:color="000000"/>
          <w:bdr w:val="nil"/>
          <w:vertAlign w:val="subscript"/>
          <w:lang w:val="en-US" w:eastAsia="en-GB"/>
        </w:rPr>
        <w:t>2</w:t>
      </w:r>
      <w:r w:rsidR="00242087" w:rsidRPr="00B477B2">
        <w:rPr>
          <w:rFonts w:eastAsia="Arial Unicode MS"/>
          <w:noProof/>
          <w:color w:val="000000"/>
          <w:u w:color="000000"/>
          <w:bdr w:val="nil"/>
          <w:lang w:val="en-US" w:eastAsia="en-GB"/>
        </w:rPr>
        <w:t xml:space="preserve"> emissions of its primary vehicle in </w:t>
      </w:r>
      <w:r w:rsidR="00CB31BE" w:rsidRPr="00B477B2">
        <w:rPr>
          <w:rFonts w:eastAsia="Arial Unicode MS"/>
          <w:noProof/>
          <w:color w:val="000000"/>
          <w:u w:color="000000"/>
          <w:bdr w:val="nil"/>
          <w:lang w:val="en-US" w:eastAsia="en-GB"/>
        </w:rPr>
        <w:t xml:space="preserve">point 2.2.3 of </w:t>
      </w:r>
      <w:r w:rsidR="000D5629" w:rsidRPr="00B477B2">
        <w:rPr>
          <w:rFonts w:eastAsia="Arial Unicode MS"/>
          <w:noProof/>
          <w:color w:val="000000"/>
          <w:u w:color="000000"/>
          <w:bdr w:val="nil"/>
          <w:lang w:val="en-US" w:eastAsia="en-GB"/>
        </w:rPr>
        <w:t xml:space="preserve">Annex I </w:t>
      </w:r>
      <w:r w:rsidR="00242087" w:rsidRPr="00B477B2">
        <w:rPr>
          <w:rFonts w:eastAsia="Arial Unicode MS"/>
          <w:iCs/>
          <w:noProof/>
          <w:color w:val="000000"/>
          <w:u w:color="000000"/>
          <w:bdr w:val="nil"/>
          <w:lang w:val="en-US" w:eastAsia="en-GB"/>
        </w:rPr>
        <w:t xml:space="preserve">and shall not be considered in </w:t>
      </w:r>
      <w:r w:rsidR="00CB31BE" w:rsidRPr="00B477B2">
        <w:rPr>
          <w:rFonts w:eastAsia="Arial Unicode MS"/>
          <w:iCs/>
          <w:noProof/>
          <w:color w:val="000000"/>
          <w:u w:color="000000"/>
          <w:bdr w:val="nil"/>
          <w:lang w:val="en-US" w:eastAsia="en-GB"/>
        </w:rPr>
        <w:t xml:space="preserve">point 2.2.2 of </w:t>
      </w:r>
      <w:r w:rsidR="000D5629" w:rsidRPr="00B477B2">
        <w:rPr>
          <w:rFonts w:eastAsia="Arial Unicode MS"/>
          <w:iCs/>
          <w:noProof/>
          <w:color w:val="000000"/>
          <w:u w:color="000000"/>
          <w:bdr w:val="nil"/>
          <w:lang w:val="en-US" w:eastAsia="en-GB"/>
        </w:rPr>
        <w:t>Annex I</w:t>
      </w:r>
      <w:r w:rsidR="00242087" w:rsidRPr="00B477B2">
        <w:rPr>
          <w:rFonts w:eastAsia="Arial Unicode MS"/>
          <w:iCs/>
          <w:noProof/>
          <w:color w:val="000000"/>
          <w:u w:color="000000"/>
          <w:bdr w:val="nil"/>
          <w:lang w:val="en-US" w:eastAsia="en-GB"/>
        </w:rPr>
        <w:t>.</w:t>
      </w:r>
    </w:p>
    <w:p w:rsidR="00242087" w:rsidRPr="008621CA" w:rsidRDefault="009B5129" w:rsidP="000555CF">
      <w:pPr>
        <w:pStyle w:val="Text10"/>
        <w:ind w:left="1210"/>
        <w:rPr>
          <w:rFonts w:eastAsia="Arial Unicode MS"/>
          <w:noProof/>
          <w:color w:val="000000"/>
          <w:u w:color="000000"/>
          <w:bdr w:val="nil"/>
          <w:lang w:val="en-US" w:eastAsia="en-GB"/>
        </w:rPr>
      </w:pPr>
      <w:r>
        <w:rPr>
          <w:rFonts w:eastAsia="Arial Unicode MS"/>
          <w:noProof/>
          <w:color w:val="000000"/>
          <w:u w:color="000000"/>
          <w:bdr w:val="nil"/>
          <w:lang w:val="en-US" w:eastAsia="en-GB"/>
        </w:rPr>
        <w:t xml:space="preserve">(c) </w:t>
      </w:r>
      <w:r w:rsidR="003C236B">
        <w:rPr>
          <w:rFonts w:eastAsia="Arial Unicode MS"/>
          <w:noProof/>
          <w:color w:val="000000"/>
          <w:u w:color="000000"/>
          <w:bdr w:val="nil"/>
          <w:lang w:val="en-US" w:eastAsia="en-GB"/>
        </w:rPr>
        <w:t>a</w:t>
      </w:r>
      <w:r w:rsidR="00242087" w:rsidRPr="00B477B2">
        <w:rPr>
          <w:rFonts w:eastAsia="Arial Unicode MS"/>
          <w:noProof/>
          <w:color w:val="000000"/>
          <w:u w:color="000000"/>
          <w:bdr w:val="nil"/>
          <w:lang w:val="en-US" w:eastAsia="en-GB"/>
        </w:rPr>
        <w:t xml:space="preserve"> request </w:t>
      </w:r>
      <w:r w:rsidR="00613082" w:rsidRPr="00B477B2">
        <w:rPr>
          <w:rFonts w:eastAsia="Arial Unicode MS"/>
          <w:noProof/>
          <w:color w:val="000000"/>
          <w:u w:color="000000"/>
          <w:bdr w:val="nil"/>
          <w:lang w:val="en-US" w:eastAsia="en-GB"/>
        </w:rPr>
        <w:t>referred to in</w:t>
      </w:r>
      <w:r w:rsidR="00CB31BE" w:rsidRPr="00B477B2">
        <w:rPr>
          <w:rFonts w:eastAsia="Arial Unicode MS"/>
          <w:noProof/>
          <w:color w:val="000000"/>
          <w:u w:color="000000"/>
          <w:bdr w:val="nil"/>
          <w:lang w:val="en-US" w:eastAsia="en-GB"/>
        </w:rPr>
        <w:t xml:space="preserve"> </w:t>
      </w:r>
      <w:r w:rsidR="003C236B">
        <w:rPr>
          <w:rFonts w:eastAsia="Arial Unicode MS"/>
          <w:noProof/>
          <w:color w:val="000000"/>
          <w:u w:color="000000"/>
          <w:bdr w:val="nil"/>
          <w:lang w:val="en-US" w:eastAsia="en-GB"/>
        </w:rPr>
        <w:t>point</w:t>
      </w:r>
      <w:r w:rsidR="003C236B" w:rsidRPr="00B477B2">
        <w:rPr>
          <w:rFonts w:eastAsia="Arial Unicode MS"/>
          <w:noProof/>
          <w:color w:val="000000"/>
          <w:u w:color="000000"/>
          <w:bdr w:val="nil"/>
          <w:lang w:val="en-US" w:eastAsia="en-GB"/>
        </w:rPr>
        <w:t xml:space="preserve"> </w:t>
      </w:r>
      <w:r w:rsidR="003C236B">
        <w:rPr>
          <w:rFonts w:eastAsia="Arial Unicode MS"/>
          <w:noProof/>
          <w:color w:val="000000"/>
          <w:u w:color="000000"/>
          <w:bdr w:val="nil"/>
          <w:lang w:val="en-US" w:eastAsia="en-GB"/>
        </w:rPr>
        <w:t>(b)</w:t>
      </w:r>
      <w:r w:rsidR="00242087" w:rsidRPr="00B477B2">
        <w:rPr>
          <w:rFonts w:eastAsia="Arial Unicode MS"/>
          <w:noProof/>
          <w:color w:val="000000"/>
          <w:u w:color="000000"/>
          <w:bdr w:val="nil"/>
          <w:lang w:val="en-US" w:eastAsia="en-GB"/>
        </w:rPr>
        <w:t xml:space="preserve"> </w:t>
      </w:r>
      <w:r w:rsidR="00CB31BE" w:rsidRPr="00B477B2">
        <w:rPr>
          <w:rFonts w:eastAsia="Arial Unicode MS"/>
          <w:noProof/>
          <w:color w:val="000000"/>
          <w:u w:color="000000"/>
          <w:bdr w:val="nil"/>
          <w:lang w:val="en-US" w:eastAsia="en-GB"/>
        </w:rPr>
        <w:t>for a new heavy-duty vehicle</w:t>
      </w:r>
      <w:r w:rsidR="00CB31BE" w:rsidRPr="00B477B2" w:rsidDel="00CB31BE">
        <w:rPr>
          <w:rFonts w:eastAsia="Arial Unicode MS"/>
          <w:noProof/>
          <w:color w:val="000000"/>
          <w:u w:color="000000"/>
          <w:bdr w:val="nil"/>
          <w:lang w:val="en-US" w:eastAsia="en-GB"/>
        </w:rPr>
        <w:t xml:space="preserve"> </w:t>
      </w:r>
      <w:r w:rsidR="00613082" w:rsidRPr="00B477B2">
        <w:rPr>
          <w:rFonts w:eastAsia="Arial Unicode MS"/>
          <w:noProof/>
          <w:color w:val="000000"/>
          <w:u w:color="000000"/>
          <w:bdr w:val="nil"/>
          <w:lang w:val="en-US" w:eastAsia="en-GB"/>
        </w:rPr>
        <w:t>of category</w:t>
      </w:r>
      <w:r w:rsidR="00613082">
        <w:rPr>
          <w:rFonts w:eastAsia="Arial Unicode MS"/>
          <w:noProof/>
          <w:color w:val="000000"/>
          <w:u w:color="000000"/>
          <w:bdr w:val="nil"/>
          <w:lang w:val="en-US" w:eastAsia="en-GB"/>
        </w:rPr>
        <w:t xml:space="preserve"> M</w:t>
      </w:r>
      <w:r w:rsidR="00242087" w:rsidRPr="000F02BD" w:rsidDel="00CB31BE">
        <w:rPr>
          <w:rFonts w:eastAsia="Arial Unicode MS"/>
          <w:noProof/>
          <w:color w:val="000000"/>
          <w:u w:color="000000"/>
          <w:bdr w:val="nil"/>
          <w:lang w:val="en-US" w:eastAsia="en-GB"/>
        </w:rPr>
        <w:t xml:space="preserve"> </w:t>
      </w:r>
      <w:r w:rsidR="00242087" w:rsidRPr="000F02BD">
        <w:rPr>
          <w:rFonts w:eastAsia="Arial Unicode MS"/>
          <w:noProof/>
          <w:color w:val="000000"/>
          <w:u w:color="000000"/>
          <w:bdr w:val="nil"/>
          <w:lang w:val="en-US" w:eastAsia="en-GB"/>
        </w:rPr>
        <w:t>shall not be admissible if</w:t>
      </w:r>
      <w:r w:rsidR="00242087" w:rsidRPr="000F02BD">
        <w:rPr>
          <w:rFonts w:eastAsia="Arial Unicode MS"/>
          <w:iCs/>
          <w:noProof/>
          <w:color w:val="000000"/>
          <w:u w:color="000000"/>
          <w:bdr w:val="nil"/>
          <w:lang w:val="en-US" w:eastAsia="en-GB"/>
        </w:rPr>
        <w:t xml:space="preserve"> its manufacturer as defined in</w:t>
      </w:r>
      <w:r w:rsidR="001C56EF" w:rsidRPr="000F02BD">
        <w:rPr>
          <w:rFonts w:eastAsia="Arial Unicode MS"/>
          <w:iCs/>
          <w:noProof/>
          <w:color w:val="000000"/>
          <w:u w:color="000000"/>
          <w:bdr w:val="nil"/>
          <w:lang w:val="en-US" w:eastAsia="en-GB"/>
        </w:rPr>
        <w:t xml:space="preserve"> Article 7a</w:t>
      </w:r>
      <w:r w:rsidR="00CB31BE">
        <w:rPr>
          <w:rFonts w:eastAsia="Arial Unicode MS"/>
          <w:iCs/>
          <w:noProof/>
          <w:color w:val="000000"/>
          <w:u w:color="000000"/>
          <w:bdr w:val="nil"/>
          <w:lang w:val="en-US" w:eastAsia="en-GB"/>
        </w:rPr>
        <w:t>,</w:t>
      </w:r>
      <w:r w:rsidR="000F02BD" w:rsidRPr="000F02BD">
        <w:rPr>
          <w:rFonts w:eastAsia="Arial Unicode MS"/>
          <w:iCs/>
          <w:noProof/>
          <w:color w:val="000000"/>
          <w:u w:color="000000"/>
          <w:bdr w:val="nil"/>
          <w:lang w:val="en-US" w:eastAsia="en-GB"/>
        </w:rPr>
        <w:t xml:space="preserve"> point </w:t>
      </w:r>
      <w:r w:rsidR="001C56EF" w:rsidRPr="000F02BD">
        <w:rPr>
          <w:rFonts w:eastAsia="Arial Unicode MS"/>
          <w:iCs/>
          <w:noProof/>
          <w:color w:val="000000"/>
          <w:u w:color="000000"/>
          <w:bdr w:val="nil"/>
          <w:lang w:val="en-US" w:eastAsia="en-GB"/>
        </w:rPr>
        <w:t>(b)</w:t>
      </w:r>
      <w:r w:rsidR="00CB31BE">
        <w:rPr>
          <w:rFonts w:eastAsia="Arial Unicode MS"/>
          <w:iCs/>
          <w:noProof/>
          <w:color w:val="000000"/>
          <w:u w:color="000000"/>
          <w:bdr w:val="nil"/>
          <w:lang w:val="en-US" w:eastAsia="en-GB"/>
        </w:rPr>
        <w:t>,</w:t>
      </w:r>
      <w:r w:rsidR="001C56EF" w:rsidRPr="000F02BD">
        <w:rPr>
          <w:rFonts w:eastAsia="Arial Unicode MS"/>
          <w:iCs/>
          <w:noProof/>
          <w:color w:val="000000"/>
          <w:u w:color="000000"/>
          <w:bdr w:val="nil"/>
          <w:lang w:val="en-US" w:eastAsia="en-GB"/>
        </w:rPr>
        <w:t xml:space="preserve"> </w:t>
      </w:r>
      <w:r w:rsidR="00242087" w:rsidRPr="000F02BD">
        <w:rPr>
          <w:rFonts w:eastAsia="Arial Unicode MS"/>
          <w:iCs/>
          <w:noProof/>
          <w:color w:val="000000"/>
          <w:u w:color="000000"/>
          <w:bdr w:val="nil"/>
          <w:lang w:val="en-US" w:eastAsia="en-GB"/>
        </w:rPr>
        <w:t xml:space="preserve">and the manufacturer of its complete or completed vehicle as defined in Article 3(4a) of Regulation (EU) 2017/2400 are connected undertakings or the same legal entity. By making such </w:t>
      </w:r>
      <w:r w:rsidR="007C3D5B">
        <w:rPr>
          <w:rFonts w:eastAsia="Arial Unicode MS"/>
          <w:iCs/>
          <w:noProof/>
          <w:color w:val="000000"/>
          <w:u w:color="000000"/>
          <w:bdr w:val="nil"/>
          <w:lang w:val="en-US" w:eastAsia="en-GB"/>
        </w:rPr>
        <w:t xml:space="preserve">a </w:t>
      </w:r>
      <w:r w:rsidR="00242087" w:rsidRPr="000F02BD">
        <w:rPr>
          <w:rFonts w:eastAsia="Arial Unicode MS"/>
          <w:iCs/>
          <w:noProof/>
          <w:color w:val="000000"/>
          <w:u w:color="000000"/>
          <w:bdr w:val="nil"/>
          <w:lang w:val="en-US" w:eastAsia="en-GB"/>
        </w:rPr>
        <w:t>request</w:t>
      </w:r>
      <w:r w:rsidR="007C3D5B">
        <w:rPr>
          <w:rFonts w:eastAsia="Arial Unicode MS"/>
          <w:iCs/>
          <w:noProof/>
          <w:color w:val="000000"/>
          <w:u w:color="000000"/>
          <w:bdr w:val="nil"/>
          <w:lang w:val="en-US" w:eastAsia="en-GB"/>
        </w:rPr>
        <w:t>,</w:t>
      </w:r>
      <w:r w:rsidR="00242087" w:rsidRPr="000F02BD">
        <w:rPr>
          <w:rFonts w:eastAsia="Arial Unicode MS"/>
          <w:iCs/>
          <w:noProof/>
          <w:color w:val="000000"/>
          <w:u w:color="000000"/>
          <w:bdr w:val="nil"/>
          <w:lang w:val="en-US" w:eastAsia="en-GB"/>
        </w:rPr>
        <w:t xml:space="preserve"> a manufacturer declares that this condition holds and </w:t>
      </w:r>
      <w:r w:rsidR="00CB31BE">
        <w:rPr>
          <w:rFonts w:eastAsia="Arial Unicode MS"/>
          <w:iCs/>
          <w:noProof/>
          <w:color w:val="000000"/>
          <w:u w:color="000000"/>
          <w:bdr w:val="nil"/>
          <w:lang w:val="en-US" w:eastAsia="en-GB"/>
        </w:rPr>
        <w:t>shall</w:t>
      </w:r>
      <w:r w:rsidR="00242087" w:rsidRPr="000F02BD">
        <w:rPr>
          <w:rFonts w:eastAsia="Arial Unicode MS"/>
          <w:iCs/>
          <w:noProof/>
          <w:color w:val="000000"/>
          <w:u w:color="000000"/>
          <w:bdr w:val="nil"/>
          <w:lang w:val="en-US" w:eastAsia="en-GB"/>
        </w:rPr>
        <w:t xml:space="preserve"> provide supporting information to the Commission upon demand.</w:t>
      </w:r>
    </w:p>
    <w:p w:rsidR="00242087" w:rsidRDefault="009B5129" w:rsidP="000555CF">
      <w:pPr>
        <w:pStyle w:val="Text10"/>
        <w:ind w:left="1210"/>
        <w:rPr>
          <w:rFonts w:eastAsia="Arial Unicode MS"/>
          <w:iCs/>
          <w:noProof/>
          <w:color w:val="000000"/>
          <w:u w:color="000000"/>
          <w:bdr w:val="nil"/>
          <w:lang w:val="en-US" w:eastAsia="en-GB"/>
        </w:rPr>
      </w:pPr>
      <w:r>
        <w:rPr>
          <w:rFonts w:eastAsia="Arial Unicode MS"/>
          <w:iCs/>
          <w:noProof/>
          <w:color w:val="000000"/>
          <w:u w:color="000000"/>
          <w:bdr w:val="nil"/>
          <w:lang w:val="en-US" w:eastAsia="en-GB"/>
        </w:rPr>
        <w:t>(d) t</w:t>
      </w:r>
      <w:r w:rsidR="000555CF">
        <w:rPr>
          <w:rFonts w:eastAsia="Arial Unicode MS"/>
          <w:iCs/>
          <w:noProof/>
          <w:color w:val="000000"/>
          <w:u w:color="000000"/>
          <w:bdr w:val="nil"/>
          <w:lang w:val="en-US" w:eastAsia="en-GB"/>
        </w:rPr>
        <w:t>he</w:t>
      </w:r>
      <w:r w:rsidR="00242087" w:rsidRPr="008621CA">
        <w:rPr>
          <w:rFonts w:eastAsia="Arial Unicode MS"/>
          <w:iCs/>
          <w:noProof/>
          <w:color w:val="000000"/>
          <w:u w:color="000000"/>
          <w:bdr w:val="nil"/>
          <w:lang w:val="en-US" w:eastAsia="en-GB"/>
        </w:rPr>
        <w:t xml:space="preserve"> Commission, with support of the Agency, shall make available in due time</w:t>
      </w:r>
      <w:r w:rsidR="00242087" w:rsidRPr="00242087">
        <w:rPr>
          <w:rFonts w:eastAsia="Arial Unicode MS"/>
          <w:iCs/>
          <w:noProof/>
          <w:color w:val="000000"/>
          <w:u w:color="000000"/>
          <w:bdr w:val="nil"/>
          <w:lang w:val="en-US" w:eastAsia="en-GB"/>
        </w:rPr>
        <w:t xml:space="preserve"> in electronic format the tools and procedural guidance necessary for manufacturers to communicate the requests referred to in point (b).</w:t>
      </w:r>
      <w:r w:rsidR="008621CA">
        <w:rPr>
          <w:rFonts w:eastAsia="Arial Unicode MS"/>
          <w:iCs/>
          <w:noProof/>
          <w:color w:val="000000"/>
          <w:u w:color="000000"/>
          <w:bdr w:val="nil"/>
          <w:lang w:val="en-US" w:eastAsia="en-GB"/>
        </w:rPr>
        <w:t>’;</w:t>
      </w:r>
    </w:p>
    <w:p w:rsidR="007D7149" w:rsidRDefault="005B4A90" w:rsidP="005B4A90">
      <w:pPr>
        <w:pStyle w:val="Point0"/>
        <w:rPr>
          <w:noProof/>
        </w:rPr>
      </w:pPr>
      <w:r w:rsidRPr="005B4A90">
        <w:t>(11)</w:t>
      </w:r>
      <w:r w:rsidRPr="005B4A90">
        <w:tab/>
      </w:r>
      <w:r w:rsidR="004F78F2">
        <w:rPr>
          <w:noProof/>
        </w:rPr>
        <w:t xml:space="preserve"> Article 8</w:t>
      </w:r>
      <w:r w:rsidR="003234F4">
        <w:rPr>
          <w:noProof/>
        </w:rPr>
        <w:t xml:space="preserve"> is amended as follows:</w:t>
      </w:r>
    </w:p>
    <w:p w:rsidR="003234F4" w:rsidRDefault="005B4A90" w:rsidP="005B4A90">
      <w:pPr>
        <w:pStyle w:val="Point1"/>
        <w:rPr>
          <w:noProof/>
        </w:rPr>
      </w:pPr>
      <w:r w:rsidRPr="005B4A90">
        <w:t>(a)</w:t>
      </w:r>
      <w:r w:rsidRPr="005B4A90">
        <w:tab/>
      </w:r>
      <w:r w:rsidR="003234F4">
        <w:rPr>
          <w:noProof/>
        </w:rPr>
        <w:t>in point (a) of paragraph 1, “to 2029” is replaced by “onwards”;</w:t>
      </w:r>
    </w:p>
    <w:p w:rsidR="003234F4" w:rsidRDefault="005B4A90" w:rsidP="005B4A90">
      <w:pPr>
        <w:pStyle w:val="Point1"/>
        <w:rPr>
          <w:noProof/>
        </w:rPr>
      </w:pPr>
      <w:r w:rsidRPr="005B4A90">
        <w:t>(b)</w:t>
      </w:r>
      <w:r w:rsidRPr="005B4A90">
        <w:tab/>
      </w:r>
      <w:r w:rsidR="003234F4">
        <w:rPr>
          <w:noProof/>
        </w:rPr>
        <w:t>point (b) of paragraph 1 is deleted;</w:t>
      </w:r>
    </w:p>
    <w:p w:rsidR="003234F4" w:rsidRDefault="005B4A90" w:rsidP="005B4A90">
      <w:pPr>
        <w:pStyle w:val="Point1"/>
        <w:rPr>
          <w:noProof/>
        </w:rPr>
      </w:pPr>
      <w:r w:rsidRPr="005B4A90">
        <w:t>(c)</w:t>
      </w:r>
      <w:r w:rsidRPr="005B4A90">
        <w:tab/>
      </w:r>
      <w:r w:rsidR="003234F4">
        <w:rPr>
          <w:noProof/>
        </w:rPr>
        <w:t>paragraph 2 is replaced by the following:</w:t>
      </w:r>
    </w:p>
    <w:p w:rsidR="007D7149" w:rsidRDefault="007D7149" w:rsidP="000F5E3B">
      <w:pPr>
        <w:pStyle w:val="Text1"/>
        <w:rPr>
          <w:noProof/>
          <w:lang w:val="en-IE" w:eastAsia="de-DE"/>
        </w:rPr>
      </w:pPr>
      <w:r w:rsidRPr="007D7149">
        <w:rPr>
          <w:noProof/>
        </w:rPr>
        <w:t>‘</w:t>
      </w:r>
      <w:r w:rsidRPr="007D7149">
        <w:rPr>
          <w:noProof/>
          <w:lang w:val="en-IE" w:eastAsia="de-DE"/>
        </w:rPr>
        <w:t xml:space="preserve">2. A manufacturer shall be deemed to have excess </w:t>
      </w:r>
      <w:r w:rsidR="00DF379C">
        <w:rPr>
          <w:noProof/>
          <w:lang w:val="en-IE" w:eastAsia="de-DE"/>
        </w:rPr>
        <w:t>CO₂</w:t>
      </w:r>
      <w:r w:rsidRPr="007D7149">
        <w:rPr>
          <w:noProof/>
          <w:lang w:val="en-IE" w:eastAsia="de-DE"/>
        </w:rPr>
        <w:t xml:space="preserve"> emissions in any of the following cases:</w:t>
      </w:r>
    </w:p>
    <w:p w:rsidR="00C22612" w:rsidRDefault="00C22612" w:rsidP="000F5E3B">
      <w:pPr>
        <w:pStyle w:val="Text1"/>
        <w:rPr>
          <w:rFonts w:eastAsia="Times New Roman"/>
          <w:noProof/>
          <w:szCs w:val="24"/>
          <w:lang w:val="en-IE" w:eastAsia="de-DE"/>
        </w:rPr>
      </w:pPr>
      <w:r>
        <w:rPr>
          <w:rFonts w:eastAsia="Times New Roman"/>
          <w:noProof/>
          <w:szCs w:val="24"/>
          <w:lang w:val="en-IE" w:eastAsia="de-DE"/>
        </w:rPr>
        <w:t xml:space="preserve">(a) </w:t>
      </w:r>
      <w:r w:rsidRPr="007D7149">
        <w:rPr>
          <w:rFonts w:eastAsia="Times New Roman"/>
          <w:noProof/>
          <w:szCs w:val="24"/>
          <w:lang w:val="en-IE" w:eastAsia="de-DE"/>
        </w:rPr>
        <w:t xml:space="preserve">where, in any of the reporting periods of the years 2025 to 2028, 2030 to 2033, 2035 to 2038 the sum of the emission debts reduced by the sum of the emission credits </w:t>
      </w:r>
      <w:r w:rsidRPr="000F5E3B">
        <w:rPr>
          <w:noProof/>
        </w:rPr>
        <w:t>exceeds</w:t>
      </w:r>
      <w:r w:rsidRPr="007D7149">
        <w:rPr>
          <w:rFonts w:eastAsia="Times New Roman"/>
          <w:noProof/>
          <w:szCs w:val="24"/>
          <w:lang w:val="en-IE" w:eastAsia="de-DE"/>
        </w:rPr>
        <w:t xml:space="preserve"> the emission debt limit referred to in Article 7(1)</w:t>
      </w:r>
      <w:r>
        <w:rPr>
          <w:rFonts w:eastAsia="Times New Roman"/>
          <w:noProof/>
          <w:szCs w:val="24"/>
          <w:lang w:val="en-IE" w:eastAsia="de-DE"/>
        </w:rPr>
        <w:t>, third subparagraph;</w:t>
      </w:r>
    </w:p>
    <w:p w:rsidR="00C22612" w:rsidRDefault="00C22612" w:rsidP="000F5E3B">
      <w:pPr>
        <w:pStyle w:val="Text1"/>
        <w:rPr>
          <w:rFonts w:eastAsia="Times New Roman"/>
          <w:noProof/>
          <w:szCs w:val="24"/>
          <w:lang w:val="en-IE" w:eastAsia="de-DE"/>
        </w:rPr>
      </w:pPr>
      <w:r>
        <w:rPr>
          <w:rFonts w:eastAsia="Times New Roman"/>
          <w:noProof/>
          <w:szCs w:val="24"/>
          <w:lang w:val="en-IE" w:eastAsia="de-DE"/>
        </w:rPr>
        <w:t xml:space="preserve">(b) </w:t>
      </w:r>
      <w:r w:rsidRPr="007D7149">
        <w:rPr>
          <w:rFonts w:eastAsia="Times New Roman"/>
          <w:noProof/>
          <w:szCs w:val="24"/>
          <w:lang w:val="en-IE" w:eastAsia="de-DE"/>
        </w:rPr>
        <w:t>where, in the reporting period of the years 2029, 2034, 2039 and 2040 the sum of the emission debts reduced by the sum of the emission credits is positive;</w:t>
      </w:r>
    </w:p>
    <w:p w:rsidR="00C22612" w:rsidRPr="007D7149" w:rsidRDefault="00C22612" w:rsidP="000F5E3B">
      <w:pPr>
        <w:pStyle w:val="Text1"/>
        <w:rPr>
          <w:rFonts w:eastAsia="Times New Roman"/>
          <w:noProof/>
          <w:szCs w:val="24"/>
          <w:lang w:val="en-IE" w:eastAsia="de-DE"/>
        </w:rPr>
      </w:pPr>
      <w:r>
        <w:rPr>
          <w:rFonts w:eastAsia="Times New Roman"/>
          <w:noProof/>
          <w:szCs w:val="24"/>
          <w:lang w:val="en-IE" w:eastAsia="de-DE"/>
        </w:rPr>
        <w:t xml:space="preserve">(c) </w:t>
      </w:r>
      <w:r w:rsidRPr="007D7149">
        <w:rPr>
          <w:rFonts w:eastAsia="Times New Roman"/>
          <w:noProof/>
          <w:szCs w:val="24"/>
          <w:lang w:val="en-IE" w:eastAsia="de-DE"/>
        </w:rPr>
        <w:t xml:space="preserve">where, from the reporting period of the year 2041 onwards, the manufacturer’s average specific </w:t>
      </w:r>
      <w:r>
        <w:rPr>
          <w:rFonts w:eastAsia="Times New Roman"/>
          <w:noProof/>
          <w:szCs w:val="24"/>
          <w:lang w:val="en-IE" w:eastAsia="de-DE"/>
        </w:rPr>
        <w:t>CO₂</w:t>
      </w:r>
      <w:r w:rsidRPr="007D7149">
        <w:rPr>
          <w:rFonts w:eastAsia="Times New Roman"/>
          <w:noProof/>
          <w:szCs w:val="24"/>
          <w:lang w:val="en-IE" w:eastAsia="de-DE"/>
        </w:rPr>
        <w:t xml:space="preserve"> emissions exceed its specific </w:t>
      </w:r>
      <w:r>
        <w:rPr>
          <w:rFonts w:eastAsia="Times New Roman"/>
          <w:noProof/>
          <w:szCs w:val="24"/>
          <w:lang w:val="en-IE" w:eastAsia="de-DE"/>
        </w:rPr>
        <w:t>CO₂</w:t>
      </w:r>
      <w:r w:rsidRPr="007D7149">
        <w:rPr>
          <w:rFonts w:eastAsia="Times New Roman"/>
          <w:noProof/>
          <w:szCs w:val="24"/>
          <w:lang w:val="en-IE" w:eastAsia="de-DE"/>
        </w:rPr>
        <w:t xml:space="preserve"> emissions target.’</w:t>
      </w:r>
      <w:r>
        <w:rPr>
          <w:rFonts w:eastAsia="Times New Roman"/>
          <w:noProof/>
          <w:szCs w:val="24"/>
          <w:lang w:val="en-IE" w:eastAsia="de-DE"/>
        </w:rPr>
        <w:t>;</w:t>
      </w:r>
    </w:p>
    <w:p w:rsidR="00351A4D" w:rsidRDefault="005B4A90" w:rsidP="005B4A90">
      <w:pPr>
        <w:pStyle w:val="Point0"/>
        <w:rPr>
          <w:noProof/>
        </w:rPr>
      </w:pPr>
      <w:r w:rsidRPr="005B4A90">
        <w:t>(12)</w:t>
      </w:r>
      <w:r w:rsidRPr="005B4A90">
        <w:tab/>
      </w:r>
      <w:r w:rsidR="00351A4D" w:rsidRPr="003B424B">
        <w:rPr>
          <w:noProof/>
        </w:rPr>
        <w:t>Article</w:t>
      </w:r>
      <w:r w:rsidR="00351A4D">
        <w:rPr>
          <w:noProof/>
        </w:rPr>
        <w:t xml:space="preserve"> 9</w:t>
      </w:r>
      <w:r w:rsidR="00351A4D" w:rsidRPr="003B424B">
        <w:rPr>
          <w:noProof/>
        </w:rPr>
        <w:t xml:space="preserve"> is amended as follows:</w:t>
      </w:r>
    </w:p>
    <w:p w:rsidR="00351A4D" w:rsidRDefault="005B4A90" w:rsidP="005B4A90">
      <w:pPr>
        <w:pStyle w:val="Point1"/>
        <w:rPr>
          <w:noProof/>
        </w:rPr>
      </w:pPr>
      <w:r w:rsidRPr="005B4A90">
        <w:t>(a)</w:t>
      </w:r>
      <w:r w:rsidRPr="005B4A90">
        <w:tab/>
      </w:r>
      <w:r w:rsidR="00351A4D">
        <w:rPr>
          <w:noProof/>
        </w:rPr>
        <w:t xml:space="preserve"> paragraph </w:t>
      </w:r>
      <w:r w:rsidR="004F78F2">
        <w:rPr>
          <w:noProof/>
        </w:rPr>
        <w:t xml:space="preserve">1 </w:t>
      </w:r>
      <w:r w:rsidR="00351A4D">
        <w:rPr>
          <w:noProof/>
        </w:rPr>
        <w:t xml:space="preserve">is </w:t>
      </w:r>
      <w:r w:rsidR="004F78F2">
        <w:rPr>
          <w:noProof/>
        </w:rPr>
        <w:t>replaced by the following</w:t>
      </w:r>
      <w:r w:rsidR="00351A4D">
        <w:rPr>
          <w:noProof/>
        </w:rPr>
        <w:t>:</w:t>
      </w:r>
    </w:p>
    <w:p w:rsidR="00351A4D" w:rsidRPr="00351A4D" w:rsidRDefault="00351A4D" w:rsidP="00196F4B">
      <w:pPr>
        <w:pStyle w:val="Text1"/>
        <w:ind w:left="1417" w:firstLine="23"/>
        <w:rPr>
          <w:noProof/>
        </w:rPr>
      </w:pPr>
      <w:r w:rsidRPr="00351A4D">
        <w:rPr>
          <w:noProof/>
        </w:rPr>
        <w:t>‘1.</w:t>
      </w:r>
      <w:r w:rsidRPr="00351A4D">
        <w:rPr>
          <w:noProof/>
        </w:rPr>
        <w:tab/>
        <w:t xml:space="preserve">Type-approval authorities </w:t>
      </w:r>
      <w:r w:rsidRPr="00196F4B">
        <w:rPr>
          <w:noProof/>
        </w:rPr>
        <w:t>and manufacturers</w:t>
      </w:r>
      <w:r w:rsidRPr="00351A4D">
        <w:rPr>
          <w:noProof/>
        </w:rPr>
        <w:t xml:space="preserve"> shall, without delay, report to the Commission any </w:t>
      </w:r>
      <w:r w:rsidR="00F63833">
        <w:rPr>
          <w:noProof/>
        </w:rPr>
        <w:t xml:space="preserve">of the following </w:t>
      </w:r>
      <w:r w:rsidRPr="00351A4D">
        <w:rPr>
          <w:noProof/>
        </w:rPr>
        <w:t xml:space="preserve">deviations </w:t>
      </w:r>
      <w:r w:rsidRPr="00196F4B">
        <w:rPr>
          <w:noProof/>
        </w:rPr>
        <w:t>from the data reported:</w:t>
      </w:r>
    </w:p>
    <w:p w:rsidR="00351A4D" w:rsidRPr="00196F4B" w:rsidRDefault="000F5E3B" w:rsidP="00826887">
      <w:pPr>
        <w:pStyle w:val="Text2"/>
        <w:rPr>
          <w:noProof/>
        </w:rPr>
      </w:pPr>
      <w:r>
        <w:rPr>
          <w:noProof/>
        </w:rPr>
        <w:t>(a)</w:t>
      </w:r>
      <w:r>
        <w:rPr>
          <w:noProof/>
        </w:rPr>
        <w:tab/>
      </w:r>
      <w:r w:rsidR="00351A4D" w:rsidRPr="00196F4B">
        <w:rPr>
          <w:noProof/>
        </w:rPr>
        <w:t xml:space="preserve">where </w:t>
      </w:r>
      <w:r w:rsidR="00351A4D" w:rsidRPr="00351A4D">
        <w:rPr>
          <w:noProof/>
        </w:rPr>
        <w:t xml:space="preserve">the </w:t>
      </w:r>
      <w:r w:rsidR="00DF379C">
        <w:rPr>
          <w:noProof/>
        </w:rPr>
        <w:t>CO₂</w:t>
      </w:r>
      <w:r w:rsidR="00351A4D" w:rsidRPr="00351A4D">
        <w:rPr>
          <w:noProof/>
        </w:rPr>
        <w:t xml:space="preserve"> emission values of heavy-duty vehicles in service </w:t>
      </w:r>
      <w:r w:rsidR="00351A4D" w:rsidRPr="00196F4B">
        <w:rPr>
          <w:noProof/>
        </w:rPr>
        <w:t xml:space="preserve">as a result of verifications performed in accordance with the procedure referred to in Article 13 of this Regulation deviate from </w:t>
      </w:r>
      <w:r w:rsidR="00351A4D" w:rsidRPr="00351A4D">
        <w:rPr>
          <w:noProof/>
        </w:rPr>
        <w:t>the values that are indicated in certificates of conformity or in the customer information file referred to in Article 9(4) of Regulation (EU) 2017/</w:t>
      </w:r>
      <w:r w:rsidR="00351A4D" w:rsidRPr="00196F4B">
        <w:rPr>
          <w:noProof/>
        </w:rPr>
        <w:t>2400;</w:t>
      </w:r>
    </w:p>
    <w:p w:rsidR="00351A4D" w:rsidRPr="00196F4B" w:rsidRDefault="000F5E3B" w:rsidP="00826887">
      <w:pPr>
        <w:pStyle w:val="Text2"/>
        <w:rPr>
          <w:noProof/>
        </w:rPr>
      </w:pPr>
      <w:r>
        <w:rPr>
          <w:noProof/>
        </w:rPr>
        <w:t>(b)</w:t>
      </w:r>
      <w:r>
        <w:rPr>
          <w:noProof/>
        </w:rPr>
        <w:tab/>
      </w:r>
      <w:r w:rsidR="00351A4D" w:rsidRPr="00196F4B">
        <w:rPr>
          <w:noProof/>
        </w:rPr>
        <w:t xml:space="preserve">where errors </w:t>
      </w:r>
      <w:r w:rsidR="009E2439">
        <w:rPr>
          <w:noProof/>
        </w:rPr>
        <w:t xml:space="preserve">due to wrong input data or other causes </w:t>
      </w:r>
      <w:r w:rsidR="00351A4D" w:rsidRPr="00196F4B">
        <w:rPr>
          <w:noProof/>
        </w:rPr>
        <w:t xml:space="preserve">in the execution of the </w:t>
      </w:r>
      <w:r w:rsidR="00DF379C">
        <w:rPr>
          <w:noProof/>
        </w:rPr>
        <w:t>CO₂</w:t>
      </w:r>
      <w:r w:rsidR="00351A4D" w:rsidRPr="00196F4B">
        <w:rPr>
          <w:noProof/>
        </w:rPr>
        <w:t xml:space="preserve"> determination were identified;</w:t>
      </w:r>
    </w:p>
    <w:p w:rsidR="009E2439" w:rsidRDefault="000F5E3B" w:rsidP="00826887">
      <w:pPr>
        <w:pStyle w:val="Text2"/>
        <w:rPr>
          <w:noProof/>
        </w:rPr>
      </w:pPr>
      <w:r>
        <w:rPr>
          <w:noProof/>
        </w:rPr>
        <w:t>(c)</w:t>
      </w:r>
      <w:r>
        <w:rPr>
          <w:noProof/>
        </w:rPr>
        <w:tab/>
      </w:r>
      <w:r w:rsidR="00351A4D" w:rsidRPr="00196F4B">
        <w:rPr>
          <w:noProof/>
        </w:rPr>
        <w:t xml:space="preserve">where errors in the execution of the </w:t>
      </w:r>
      <w:r w:rsidR="00DF379C">
        <w:rPr>
          <w:noProof/>
        </w:rPr>
        <w:t>CO₂</w:t>
      </w:r>
      <w:r w:rsidR="00351A4D" w:rsidRPr="00196F4B">
        <w:rPr>
          <w:noProof/>
        </w:rPr>
        <w:t xml:space="preserve"> monitoring and reporting were identified</w:t>
      </w:r>
      <w:r w:rsidR="009E2439">
        <w:rPr>
          <w:noProof/>
        </w:rPr>
        <w:t>;</w:t>
      </w:r>
    </w:p>
    <w:p w:rsidR="00351A4D" w:rsidRDefault="009E2439" w:rsidP="00826887">
      <w:pPr>
        <w:pStyle w:val="Text2"/>
        <w:rPr>
          <w:noProof/>
        </w:rPr>
      </w:pPr>
      <w:r>
        <w:rPr>
          <w:noProof/>
        </w:rPr>
        <w:t>(d)</w:t>
      </w:r>
      <w:r>
        <w:rPr>
          <w:noProof/>
        </w:rPr>
        <w:tab/>
        <w:t>any other deviations than those mentioned in points (a), (b) and (c)</w:t>
      </w:r>
      <w:r w:rsidR="00351A4D" w:rsidRPr="00196F4B">
        <w:rPr>
          <w:noProof/>
        </w:rPr>
        <w:t>.</w:t>
      </w:r>
      <w:r w:rsidR="00351A4D">
        <w:rPr>
          <w:noProof/>
        </w:rPr>
        <w:t>’</w:t>
      </w:r>
      <w:r w:rsidR="004F78F2">
        <w:rPr>
          <w:noProof/>
        </w:rPr>
        <w:t>;</w:t>
      </w:r>
    </w:p>
    <w:p w:rsidR="00351A4D" w:rsidRDefault="005B4A90" w:rsidP="005B4A90">
      <w:pPr>
        <w:pStyle w:val="Point1"/>
        <w:rPr>
          <w:noProof/>
        </w:rPr>
      </w:pPr>
      <w:r w:rsidRPr="005B4A90">
        <w:t>(b)</w:t>
      </w:r>
      <w:r w:rsidRPr="005B4A90">
        <w:tab/>
      </w:r>
      <w:r w:rsidR="00351A4D">
        <w:rPr>
          <w:noProof/>
          <w:lang w:val="en-IE"/>
        </w:rPr>
        <w:t xml:space="preserve">paragraph </w:t>
      </w:r>
      <w:r w:rsidR="004F78F2">
        <w:rPr>
          <w:noProof/>
          <w:lang w:val="en-IE"/>
        </w:rPr>
        <w:t xml:space="preserve">2 </w:t>
      </w:r>
      <w:r w:rsidR="00351A4D">
        <w:rPr>
          <w:noProof/>
          <w:lang w:val="en-IE"/>
        </w:rPr>
        <w:t xml:space="preserve">is </w:t>
      </w:r>
      <w:r w:rsidR="004F78F2">
        <w:rPr>
          <w:noProof/>
          <w:lang w:val="en-IE"/>
        </w:rPr>
        <w:t>replaced by the following</w:t>
      </w:r>
      <w:r w:rsidR="00351A4D">
        <w:rPr>
          <w:noProof/>
          <w:lang w:val="en-IE"/>
        </w:rPr>
        <w:t>:</w:t>
      </w:r>
    </w:p>
    <w:p w:rsidR="00351A4D" w:rsidRPr="00DC4F17" w:rsidRDefault="00351A4D" w:rsidP="00196F4B">
      <w:pPr>
        <w:pStyle w:val="Text1"/>
        <w:ind w:left="1417"/>
        <w:rPr>
          <w:noProof/>
        </w:rPr>
      </w:pPr>
      <w:r>
        <w:rPr>
          <w:noProof/>
        </w:rPr>
        <w:t>‘</w:t>
      </w:r>
      <w:r w:rsidRPr="00DC4F17">
        <w:rPr>
          <w:noProof/>
        </w:rPr>
        <w:t>2.</w:t>
      </w:r>
      <w:r>
        <w:rPr>
          <w:noProof/>
        </w:rPr>
        <w:tab/>
      </w:r>
      <w:r w:rsidRPr="00DC4F17">
        <w:rPr>
          <w:noProof/>
        </w:rPr>
        <w:t xml:space="preserve">The Commission shall take the deviations referred to in paragraph 1 into account for the purpose of calculating the average specific </w:t>
      </w:r>
      <w:r w:rsidR="00DF379C">
        <w:rPr>
          <w:noProof/>
        </w:rPr>
        <w:t>CO₂</w:t>
      </w:r>
      <w:r w:rsidRPr="00DC4F17">
        <w:rPr>
          <w:noProof/>
        </w:rPr>
        <w:t xml:space="preserve"> emissions of a manufacturer</w:t>
      </w:r>
      <w:r>
        <w:rPr>
          <w:noProof/>
        </w:rPr>
        <w:t xml:space="preserve"> </w:t>
      </w:r>
      <w:r w:rsidRPr="00196F4B">
        <w:rPr>
          <w:noProof/>
        </w:rPr>
        <w:t xml:space="preserve">and the reference </w:t>
      </w:r>
      <w:r w:rsidR="00DF379C">
        <w:rPr>
          <w:noProof/>
        </w:rPr>
        <w:t>CO₂</w:t>
      </w:r>
      <w:r w:rsidRPr="00196F4B">
        <w:rPr>
          <w:noProof/>
        </w:rPr>
        <w:t xml:space="preserve"> </w:t>
      </w:r>
      <w:r w:rsidRPr="00BA6B34">
        <w:rPr>
          <w:noProof/>
        </w:rPr>
        <w:t xml:space="preserve">emissions and consider modifying the decisions taken </w:t>
      </w:r>
      <w:r w:rsidR="00681E81" w:rsidRPr="00BA6B34">
        <w:rPr>
          <w:noProof/>
        </w:rPr>
        <w:t xml:space="preserve">in accordance with </w:t>
      </w:r>
      <w:r w:rsidRPr="00BA6B34">
        <w:rPr>
          <w:noProof/>
        </w:rPr>
        <w:t>Article 11 accordingly. The Commission is not obliged to take deviations into account if the recalculation</w:t>
      </w:r>
      <w:r w:rsidRPr="00196F4B">
        <w:rPr>
          <w:noProof/>
        </w:rPr>
        <w:t xml:space="preserve"> of the average specific </w:t>
      </w:r>
      <w:r w:rsidR="00DF379C">
        <w:rPr>
          <w:noProof/>
        </w:rPr>
        <w:t>CO₂</w:t>
      </w:r>
      <w:r w:rsidRPr="00196F4B">
        <w:rPr>
          <w:noProof/>
        </w:rPr>
        <w:t xml:space="preserve"> emissions of a manufacturer or the reference </w:t>
      </w:r>
      <w:r w:rsidR="00DF379C">
        <w:rPr>
          <w:noProof/>
        </w:rPr>
        <w:t>CO₂</w:t>
      </w:r>
      <w:r w:rsidRPr="00196F4B">
        <w:rPr>
          <w:noProof/>
        </w:rPr>
        <w:t xml:space="preserve"> emissions results in a d</w:t>
      </w:r>
      <w:r>
        <w:rPr>
          <w:noProof/>
        </w:rPr>
        <w:t>e</w:t>
      </w:r>
      <w:r w:rsidRPr="00196F4B">
        <w:rPr>
          <w:noProof/>
        </w:rPr>
        <w:t>viation of less than 0,1</w:t>
      </w:r>
      <w:r w:rsidR="00681E81">
        <w:rPr>
          <w:noProof/>
        </w:rPr>
        <w:t xml:space="preserve"> </w:t>
      </w:r>
      <w:r w:rsidRPr="00196F4B">
        <w:rPr>
          <w:noProof/>
        </w:rPr>
        <w:t>%.</w:t>
      </w:r>
      <w:r>
        <w:rPr>
          <w:noProof/>
        </w:rPr>
        <w:t>’;</w:t>
      </w:r>
    </w:p>
    <w:p w:rsidR="008A4EA2" w:rsidRPr="00C9020F" w:rsidRDefault="005B4A90" w:rsidP="005B4A90">
      <w:pPr>
        <w:pStyle w:val="Point0"/>
        <w:rPr>
          <w:noProof/>
        </w:rPr>
      </w:pPr>
      <w:r w:rsidRPr="005B4A90">
        <w:t>(13)</w:t>
      </w:r>
      <w:r w:rsidRPr="005B4A90">
        <w:tab/>
      </w:r>
      <w:r w:rsidR="008A4EA2" w:rsidRPr="00C9020F">
        <w:rPr>
          <w:noProof/>
        </w:rPr>
        <w:t>Article 10 is replaced by the following:</w:t>
      </w:r>
    </w:p>
    <w:p w:rsidR="008A4EA2" w:rsidRPr="00E03AE6" w:rsidRDefault="008A4EA2" w:rsidP="00E7575E">
      <w:pPr>
        <w:pStyle w:val="Text10"/>
        <w:jc w:val="center"/>
        <w:rPr>
          <w:b/>
          <w:noProof/>
          <w:lang w:val="en-IE" w:eastAsia="de-DE"/>
        </w:rPr>
      </w:pPr>
      <w:r>
        <w:rPr>
          <w:noProof/>
          <w:lang w:val="en-IE" w:eastAsia="de-DE"/>
        </w:rPr>
        <w:t>‘</w:t>
      </w:r>
      <w:r w:rsidRPr="00BB067A">
        <w:rPr>
          <w:noProof/>
          <w:lang w:val="en-IE" w:eastAsia="de-DE"/>
        </w:rPr>
        <w:t xml:space="preserve">Article 10 </w:t>
      </w:r>
      <w:r w:rsidR="00C615A7">
        <w:rPr>
          <w:noProof/>
          <w:lang w:val="en-IE" w:eastAsia="de-DE"/>
        </w:rPr>
        <w:br/>
      </w:r>
      <w:r w:rsidRPr="00E03AE6">
        <w:rPr>
          <w:b/>
          <w:noProof/>
          <w:lang w:val="en-IE" w:eastAsia="de-DE"/>
        </w:rPr>
        <w:t xml:space="preserve">Assessment of reference </w:t>
      </w:r>
      <w:r w:rsidR="00DF379C">
        <w:rPr>
          <w:b/>
          <w:noProof/>
          <w:lang w:val="en-IE" w:eastAsia="de-DE"/>
        </w:rPr>
        <w:t>CO₂</w:t>
      </w:r>
      <w:r w:rsidRPr="00E03AE6">
        <w:rPr>
          <w:b/>
          <w:noProof/>
          <w:lang w:val="en-IE" w:eastAsia="de-DE"/>
        </w:rPr>
        <w:t xml:space="preserve"> emissions</w:t>
      </w:r>
    </w:p>
    <w:p w:rsidR="008A4EA2" w:rsidRPr="00082CE1" w:rsidRDefault="00E7575E" w:rsidP="00E7575E">
      <w:pPr>
        <w:pStyle w:val="Text10"/>
        <w:ind w:left="1570" w:hanging="720"/>
        <w:rPr>
          <w:noProof/>
          <w:lang w:val="en-IE" w:eastAsia="de-DE"/>
        </w:rPr>
      </w:pPr>
      <w:r>
        <w:rPr>
          <w:noProof/>
          <w:lang w:val="en-IE" w:eastAsia="de-DE"/>
        </w:rPr>
        <w:t>1.</w:t>
      </w:r>
      <w:r>
        <w:rPr>
          <w:noProof/>
          <w:lang w:val="en-IE" w:eastAsia="de-DE"/>
        </w:rPr>
        <w:tab/>
      </w:r>
      <w:r w:rsidR="008A4EA2" w:rsidRPr="00082CE1">
        <w:rPr>
          <w:noProof/>
          <w:lang w:val="en-IE" w:eastAsia="de-DE"/>
        </w:rPr>
        <w:t>In order to ensure the robustness and representativeness of the reference CO</w:t>
      </w:r>
      <w:r w:rsidR="008A4EA2" w:rsidRPr="00082CE1">
        <w:rPr>
          <w:noProof/>
          <w:vertAlign w:val="subscript"/>
          <w:lang w:val="en-IE" w:eastAsia="de-DE"/>
        </w:rPr>
        <w:t>2</w:t>
      </w:r>
      <w:r w:rsidR="008A4EA2" w:rsidRPr="00082CE1">
        <w:rPr>
          <w:noProof/>
          <w:lang w:val="en-IE" w:eastAsia="de-DE"/>
        </w:rPr>
        <w:t xml:space="preserve"> emissions of vehicle </w:t>
      </w:r>
      <w:r w:rsidR="00F04BCD">
        <w:rPr>
          <w:noProof/>
          <w:lang w:val="en-IE" w:eastAsia="de-DE"/>
        </w:rPr>
        <w:t>sub-</w:t>
      </w:r>
      <w:r w:rsidR="008A4EA2" w:rsidRPr="00082CE1">
        <w:rPr>
          <w:noProof/>
          <w:lang w:val="en-IE" w:eastAsia="de-DE"/>
        </w:rPr>
        <w:t xml:space="preserve">groups, to which a reporting period of the year 2024 or later applies as reference period according to </w:t>
      </w:r>
      <w:r w:rsidR="000740B0" w:rsidRPr="00082CE1">
        <w:rPr>
          <w:noProof/>
          <w:lang w:val="en-IE" w:eastAsia="de-DE"/>
        </w:rPr>
        <w:t>point 3.2</w:t>
      </w:r>
      <w:r w:rsidR="000740B0">
        <w:rPr>
          <w:noProof/>
          <w:lang w:val="en-IE" w:eastAsia="de-DE"/>
        </w:rPr>
        <w:t xml:space="preserve"> of </w:t>
      </w:r>
      <w:r w:rsidR="008A4EA2" w:rsidRPr="00082CE1">
        <w:rPr>
          <w:noProof/>
          <w:lang w:val="en-IE" w:eastAsia="de-DE"/>
        </w:rPr>
        <w:t>Annex I, the Commission shall assess the application of the conditions under which the reference CO</w:t>
      </w:r>
      <w:r w:rsidR="008A4EA2" w:rsidRPr="00082CE1">
        <w:rPr>
          <w:noProof/>
          <w:vertAlign w:val="subscript"/>
          <w:lang w:val="en-IE" w:eastAsia="de-DE"/>
        </w:rPr>
        <w:t>2</w:t>
      </w:r>
      <w:r w:rsidR="008A4EA2" w:rsidRPr="00082CE1">
        <w:rPr>
          <w:noProof/>
          <w:lang w:val="en-IE" w:eastAsia="de-DE"/>
        </w:rPr>
        <w:t xml:space="preserve"> emis</w:t>
      </w:r>
      <w:r w:rsidR="008A2A37">
        <w:rPr>
          <w:noProof/>
          <w:lang w:val="en-IE" w:eastAsia="de-DE"/>
        </w:rPr>
        <w:t xml:space="preserve">sions have been determined and </w:t>
      </w:r>
      <w:r w:rsidR="008A4EA2" w:rsidRPr="00082CE1">
        <w:rPr>
          <w:noProof/>
          <w:lang w:val="en-IE" w:eastAsia="de-DE"/>
        </w:rPr>
        <w:t>determine whether those emissions have been unduly increased and, if so, how they are to be corrected.</w:t>
      </w:r>
    </w:p>
    <w:p w:rsidR="008A4EA2" w:rsidRPr="00B477B2" w:rsidRDefault="00E7575E" w:rsidP="00E7575E">
      <w:pPr>
        <w:pStyle w:val="Text10"/>
        <w:ind w:left="1570" w:hanging="720"/>
        <w:rPr>
          <w:noProof/>
          <w:lang w:val="en-IE" w:eastAsia="de-DE"/>
        </w:rPr>
      </w:pPr>
      <w:r w:rsidRPr="001A057C">
        <w:rPr>
          <w:noProof/>
          <w:lang w:val="en-IE" w:eastAsia="de-DE"/>
        </w:rPr>
        <w:t>2.</w:t>
      </w:r>
      <w:r w:rsidRPr="001A057C">
        <w:rPr>
          <w:noProof/>
          <w:lang w:val="en-IE" w:eastAsia="de-DE"/>
        </w:rPr>
        <w:tab/>
      </w:r>
      <w:r w:rsidR="008A4EA2" w:rsidRPr="001A057C">
        <w:rPr>
          <w:noProof/>
          <w:lang w:val="en-IE" w:eastAsia="de-DE"/>
        </w:rPr>
        <w:t xml:space="preserve">If the Commission concludes that all or some of the reference emissions shall be corrected, it shall </w:t>
      </w:r>
      <w:r w:rsidR="008A4EA2" w:rsidRPr="00B477B2">
        <w:rPr>
          <w:noProof/>
          <w:lang w:val="en-IE" w:eastAsia="de-DE"/>
        </w:rPr>
        <w:t>adopt an implementing act in accordance with the examination procedure referred to in Article 16(2) performing these corrections</w:t>
      </w:r>
      <w:r w:rsidRPr="00B477B2">
        <w:rPr>
          <w:noProof/>
          <w:lang w:val="en-IE" w:eastAsia="de-DE"/>
        </w:rPr>
        <w:t>.’</w:t>
      </w:r>
      <w:r w:rsidR="008A4EA2" w:rsidRPr="00B477B2">
        <w:rPr>
          <w:noProof/>
          <w:lang w:val="en-IE" w:eastAsia="de-DE"/>
        </w:rPr>
        <w:t>;</w:t>
      </w:r>
    </w:p>
    <w:p w:rsidR="00DD74BC" w:rsidRPr="00C9020F" w:rsidRDefault="005B4A90" w:rsidP="005B4A90">
      <w:pPr>
        <w:pStyle w:val="Point0"/>
        <w:rPr>
          <w:noProof/>
        </w:rPr>
      </w:pPr>
      <w:r w:rsidRPr="005B4A90">
        <w:t>(14)</w:t>
      </w:r>
      <w:r w:rsidRPr="005B4A90">
        <w:tab/>
      </w:r>
      <w:r w:rsidR="00DD74BC" w:rsidRPr="00C9020F">
        <w:rPr>
          <w:noProof/>
        </w:rPr>
        <w:t>Article 11</w:t>
      </w:r>
      <w:r w:rsidR="0041147C" w:rsidRPr="00C9020F">
        <w:rPr>
          <w:noProof/>
        </w:rPr>
        <w:t xml:space="preserve"> is amended as follows:</w:t>
      </w:r>
      <w:r w:rsidR="008F3CE7" w:rsidRPr="00C9020F">
        <w:rPr>
          <w:noProof/>
        </w:rPr>
        <w:t xml:space="preserve"> </w:t>
      </w:r>
    </w:p>
    <w:p w:rsidR="0041147C" w:rsidRPr="00C9020F" w:rsidRDefault="005B4A90" w:rsidP="005B4A90">
      <w:pPr>
        <w:pStyle w:val="Point1"/>
        <w:rPr>
          <w:noProof/>
        </w:rPr>
      </w:pPr>
      <w:r w:rsidRPr="005B4A90">
        <w:t>(a)</w:t>
      </w:r>
      <w:r w:rsidRPr="005B4A90">
        <w:tab/>
      </w:r>
      <w:r w:rsidR="00246348" w:rsidRPr="00C9020F">
        <w:rPr>
          <w:noProof/>
        </w:rPr>
        <w:t xml:space="preserve">in paragraph 1, </w:t>
      </w:r>
      <w:r w:rsidR="0041147C" w:rsidRPr="00C9020F">
        <w:rPr>
          <w:noProof/>
        </w:rPr>
        <w:t xml:space="preserve">the </w:t>
      </w:r>
      <w:r w:rsidR="009B5129">
        <w:rPr>
          <w:noProof/>
        </w:rPr>
        <w:t>second subparagraph</w:t>
      </w:r>
      <w:r w:rsidR="0041147C" w:rsidRPr="00C9020F">
        <w:rPr>
          <w:noProof/>
        </w:rPr>
        <w:t xml:space="preserve"> is replaced by the following:</w:t>
      </w:r>
    </w:p>
    <w:p w:rsidR="0041147C" w:rsidRPr="00C9020F" w:rsidRDefault="0041147C" w:rsidP="00783B98">
      <w:pPr>
        <w:pStyle w:val="Text2"/>
        <w:rPr>
          <w:noProof/>
        </w:rPr>
      </w:pPr>
      <w:r w:rsidRPr="00C9020F">
        <w:rPr>
          <w:noProof/>
        </w:rPr>
        <w:t>‘</w:t>
      </w:r>
      <w:r w:rsidRPr="00B477B2">
        <w:rPr>
          <w:noProof/>
          <w:lang w:val="en-IE" w:eastAsia="de-DE"/>
        </w:rPr>
        <w:t xml:space="preserve">The list to be published by 30 April of the year following a year in which a reference period has ended, shall include the reference </w:t>
      </w:r>
      <w:r w:rsidR="00DF379C">
        <w:rPr>
          <w:noProof/>
          <w:lang w:val="en-IE" w:eastAsia="de-DE"/>
        </w:rPr>
        <w:t>CO₂</w:t>
      </w:r>
      <w:r w:rsidRPr="00B477B2">
        <w:rPr>
          <w:noProof/>
          <w:lang w:val="en-IE" w:eastAsia="de-DE"/>
        </w:rPr>
        <w:t xml:space="preserve"> emissions determined in </w:t>
      </w:r>
      <w:r w:rsidR="003821A6" w:rsidRPr="00B477B2">
        <w:rPr>
          <w:noProof/>
          <w:lang w:val="en-IE" w:eastAsia="de-DE"/>
        </w:rPr>
        <w:t xml:space="preserve">that </w:t>
      </w:r>
      <w:r w:rsidRPr="00B477B2">
        <w:rPr>
          <w:noProof/>
          <w:lang w:val="en-IE" w:eastAsia="de-DE"/>
        </w:rPr>
        <w:t>reference period.’</w:t>
      </w:r>
    </w:p>
    <w:p w:rsidR="0041147C" w:rsidRPr="00C9020F" w:rsidRDefault="005B4A90" w:rsidP="005B4A90">
      <w:pPr>
        <w:pStyle w:val="Point1"/>
        <w:rPr>
          <w:noProof/>
        </w:rPr>
      </w:pPr>
      <w:r w:rsidRPr="005B4A90">
        <w:t>(b)</w:t>
      </w:r>
      <w:r w:rsidRPr="005B4A90">
        <w:tab/>
      </w:r>
      <w:r w:rsidR="0041147C" w:rsidRPr="00C9020F">
        <w:rPr>
          <w:noProof/>
        </w:rPr>
        <w:t xml:space="preserve">paragraph 2 is replaced </w:t>
      </w:r>
      <w:r w:rsidR="00050091" w:rsidRPr="00C9020F">
        <w:rPr>
          <w:noProof/>
        </w:rPr>
        <w:t>by the following</w:t>
      </w:r>
      <w:r w:rsidR="0041147C" w:rsidRPr="00C9020F">
        <w:rPr>
          <w:noProof/>
        </w:rPr>
        <w:t>:</w:t>
      </w:r>
    </w:p>
    <w:p w:rsidR="00494DE8" w:rsidRPr="00871945" w:rsidRDefault="00494DE8" w:rsidP="00783B98">
      <w:pPr>
        <w:pStyle w:val="Text2"/>
        <w:ind w:left="2137" w:hanging="720"/>
        <w:rPr>
          <w:noProof/>
          <w:lang w:val="en-IE" w:eastAsia="de-DE"/>
        </w:rPr>
      </w:pPr>
      <w:r w:rsidRPr="009E5C23">
        <w:rPr>
          <w:noProof/>
          <w:lang w:eastAsia="de-DE"/>
        </w:rPr>
        <w:t>‘</w:t>
      </w:r>
      <w:r w:rsidR="001C63E3">
        <w:rPr>
          <w:noProof/>
          <w:lang w:val="en-IE" w:eastAsia="de-DE"/>
        </w:rPr>
        <w:t>2</w:t>
      </w:r>
      <w:r w:rsidRPr="00871945">
        <w:rPr>
          <w:noProof/>
          <w:lang w:val="en-IE" w:eastAsia="de-DE"/>
        </w:rPr>
        <w:t>.</w:t>
      </w:r>
      <w:r w:rsidRPr="00871945">
        <w:rPr>
          <w:noProof/>
          <w:lang w:val="en-IE" w:eastAsia="de-DE"/>
        </w:rPr>
        <w:tab/>
        <w:t xml:space="preserve">The Commission shall </w:t>
      </w:r>
      <w:r w:rsidR="00E25DCE">
        <w:rPr>
          <w:noProof/>
          <w:lang w:val="en-IE" w:eastAsia="de-DE"/>
        </w:rPr>
        <w:t>amend</w:t>
      </w:r>
      <w:r w:rsidR="00E25DCE" w:rsidRPr="00871945">
        <w:rPr>
          <w:noProof/>
          <w:lang w:val="en-IE" w:eastAsia="de-DE"/>
        </w:rPr>
        <w:t xml:space="preserve"> </w:t>
      </w:r>
      <w:r w:rsidRPr="00871945">
        <w:rPr>
          <w:noProof/>
          <w:lang w:val="en-IE" w:eastAsia="de-DE"/>
        </w:rPr>
        <w:t>implementing acts adopted under paragraph 1:</w:t>
      </w:r>
    </w:p>
    <w:p w:rsidR="00494DE8" w:rsidRPr="009E5C23" w:rsidRDefault="00494DE8" w:rsidP="00494DE8">
      <w:pPr>
        <w:pStyle w:val="Text20"/>
        <w:ind w:left="2137" w:hanging="567"/>
        <w:rPr>
          <w:noProof/>
        </w:rPr>
      </w:pPr>
      <w:r w:rsidRPr="001D18D6">
        <w:rPr>
          <w:noProof/>
          <w:lang w:val="en-IE"/>
        </w:rPr>
        <w:t>(a)</w:t>
      </w:r>
      <w:r w:rsidRPr="009E5C23">
        <w:rPr>
          <w:noProof/>
          <w:lang w:val="en-IE"/>
        </w:rPr>
        <w:t xml:space="preserve"> </w:t>
      </w:r>
      <w:r w:rsidRPr="009E5C23">
        <w:rPr>
          <w:noProof/>
        </w:rPr>
        <w:t xml:space="preserve">where the type-approval procedures </w:t>
      </w:r>
      <w:r w:rsidR="00C52C9F">
        <w:rPr>
          <w:noProof/>
        </w:rPr>
        <w:t>referred to</w:t>
      </w:r>
      <w:r w:rsidRPr="009E5C23">
        <w:rPr>
          <w:noProof/>
        </w:rPr>
        <w:t xml:space="preserve"> in Regulation (EC) No 595/2009 are </w:t>
      </w:r>
      <w:r w:rsidR="00C52C9F">
        <w:rPr>
          <w:noProof/>
        </w:rPr>
        <w:t>amended</w:t>
      </w:r>
      <w:r w:rsidRPr="009E5C23">
        <w:rPr>
          <w:noProof/>
        </w:rPr>
        <w:t xml:space="preserve">, other than </w:t>
      </w:r>
      <w:r w:rsidR="00C52C9F">
        <w:rPr>
          <w:noProof/>
        </w:rPr>
        <w:t>the amendments related to</w:t>
      </w:r>
      <w:r w:rsidRPr="009E5C23">
        <w:rPr>
          <w:noProof/>
        </w:rPr>
        <w:t xml:space="preserve"> the payload and passenger number values used for the determination of </w:t>
      </w:r>
      <w:r w:rsidR="00DF379C">
        <w:rPr>
          <w:noProof/>
        </w:rPr>
        <w:t>CO₂</w:t>
      </w:r>
      <w:r w:rsidRPr="009E5C23">
        <w:rPr>
          <w:noProof/>
        </w:rPr>
        <w:t xml:space="preserve"> emissions, in such a way that the level of the </w:t>
      </w:r>
      <w:r w:rsidR="00DF379C">
        <w:rPr>
          <w:noProof/>
        </w:rPr>
        <w:t>CO₂</w:t>
      </w:r>
      <w:r w:rsidRPr="009E5C23">
        <w:rPr>
          <w:noProof/>
        </w:rPr>
        <w:t xml:space="preserve"> emissions of the representative vehicles </w:t>
      </w:r>
      <w:r w:rsidR="00C52C9F">
        <w:rPr>
          <w:noProof/>
        </w:rPr>
        <w:t>specified</w:t>
      </w:r>
      <w:r w:rsidR="00C52C9F" w:rsidRPr="009E5C23">
        <w:rPr>
          <w:noProof/>
        </w:rPr>
        <w:t xml:space="preserve"> </w:t>
      </w:r>
      <w:r w:rsidRPr="009E5C23">
        <w:rPr>
          <w:noProof/>
        </w:rPr>
        <w:t xml:space="preserve">pursuant to this paragraph increase or decrease by more than 5 g </w:t>
      </w:r>
      <w:r w:rsidR="00DF379C">
        <w:rPr>
          <w:noProof/>
        </w:rPr>
        <w:t>CO₂</w:t>
      </w:r>
      <w:r w:rsidRPr="009E5C23">
        <w:rPr>
          <w:noProof/>
        </w:rPr>
        <w:t xml:space="preserve">/km: </w:t>
      </w:r>
    </w:p>
    <w:p w:rsidR="00494DE8" w:rsidRPr="009E5C23" w:rsidRDefault="000555CF" w:rsidP="000555CF">
      <w:pPr>
        <w:pStyle w:val="Text20"/>
        <w:ind w:left="2857"/>
        <w:rPr>
          <w:noProof/>
        </w:rPr>
      </w:pPr>
      <w:r>
        <w:rPr>
          <w:noProof/>
        </w:rPr>
        <w:t>(i)  ad</w:t>
      </w:r>
      <w:r w:rsidR="00494DE8" w:rsidRPr="009E5C23">
        <w:rPr>
          <w:noProof/>
        </w:rPr>
        <w:t xml:space="preserve">justed reference emissions shall be calculated in accordance with </w:t>
      </w:r>
      <w:r w:rsidR="00050091" w:rsidRPr="009E5C23">
        <w:rPr>
          <w:noProof/>
        </w:rPr>
        <w:t>point 1</w:t>
      </w:r>
      <w:r w:rsidR="00050091">
        <w:rPr>
          <w:noProof/>
        </w:rPr>
        <w:t xml:space="preserve"> of </w:t>
      </w:r>
      <w:r>
        <w:rPr>
          <w:noProof/>
        </w:rPr>
        <w:t>Annex II;</w:t>
      </w:r>
    </w:p>
    <w:p w:rsidR="00494DE8" w:rsidRPr="009E5C23" w:rsidRDefault="000555CF" w:rsidP="000555CF">
      <w:pPr>
        <w:pStyle w:val="Text2"/>
        <w:ind w:left="2857"/>
        <w:rPr>
          <w:noProof/>
        </w:rPr>
      </w:pPr>
      <w:r>
        <w:rPr>
          <w:noProof/>
        </w:rPr>
        <w:t xml:space="preserve">(ii)  the </w:t>
      </w:r>
      <w:r w:rsidR="00494DE8" w:rsidRPr="009E5C23">
        <w:rPr>
          <w:noProof/>
        </w:rPr>
        <w:t xml:space="preserve">new values shall be published </w:t>
      </w:r>
      <w:r w:rsidR="007D4250">
        <w:rPr>
          <w:noProof/>
        </w:rPr>
        <w:t xml:space="preserve">as a complement to previous values, </w:t>
      </w:r>
      <w:r w:rsidR="00494DE8" w:rsidRPr="009E5C23">
        <w:rPr>
          <w:noProof/>
        </w:rPr>
        <w:t>indicating the reporting period when they apply the fir</w:t>
      </w:r>
      <w:r>
        <w:rPr>
          <w:noProof/>
        </w:rPr>
        <w:t>st time;</w:t>
      </w:r>
    </w:p>
    <w:p w:rsidR="00494DE8" w:rsidRPr="009E5C23" w:rsidRDefault="00494DE8" w:rsidP="00494DE8">
      <w:pPr>
        <w:pStyle w:val="Text20"/>
        <w:ind w:left="2137" w:hanging="720"/>
        <w:rPr>
          <w:noProof/>
        </w:rPr>
      </w:pPr>
      <w:r w:rsidRPr="009E5C23">
        <w:rPr>
          <w:noProof/>
        </w:rPr>
        <w:t xml:space="preserve">(b) where the </w:t>
      </w:r>
      <w:r w:rsidR="00B97168">
        <w:rPr>
          <w:noProof/>
        </w:rPr>
        <w:t xml:space="preserve">Annexes have been amended </w:t>
      </w:r>
      <w:r w:rsidR="00050091">
        <w:rPr>
          <w:noProof/>
        </w:rPr>
        <w:t>in accordance with</w:t>
      </w:r>
      <w:r w:rsidRPr="009E5C23">
        <w:rPr>
          <w:noProof/>
        </w:rPr>
        <w:t xml:space="preserve"> </w:t>
      </w:r>
      <w:r w:rsidR="00C50AF4" w:rsidRPr="001C63E3">
        <w:rPr>
          <w:noProof/>
        </w:rPr>
        <w:t>Article 14</w:t>
      </w:r>
      <w:r w:rsidR="00C50AF4">
        <w:rPr>
          <w:noProof/>
        </w:rPr>
        <w:t xml:space="preserve"> (1), </w:t>
      </w:r>
      <w:r w:rsidRPr="009E5C23">
        <w:rPr>
          <w:noProof/>
        </w:rPr>
        <w:t>point</w:t>
      </w:r>
      <w:r w:rsidR="00050091">
        <w:rPr>
          <w:noProof/>
        </w:rPr>
        <w:t>s</w:t>
      </w:r>
      <w:r w:rsidRPr="009E5C23">
        <w:rPr>
          <w:noProof/>
        </w:rPr>
        <w:t xml:space="preserve"> (a) to (f): </w:t>
      </w:r>
    </w:p>
    <w:p w:rsidR="00494DE8" w:rsidRPr="009E5C23" w:rsidRDefault="000555CF" w:rsidP="000555CF">
      <w:pPr>
        <w:pStyle w:val="Text20"/>
        <w:ind w:left="2857"/>
        <w:rPr>
          <w:noProof/>
        </w:rPr>
      </w:pPr>
      <w:r>
        <w:rPr>
          <w:noProof/>
        </w:rPr>
        <w:t>(i)   pr</w:t>
      </w:r>
      <w:r w:rsidR="00494DE8" w:rsidRPr="009E5C23">
        <w:rPr>
          <w:noProof/>
        </w:rPr>
        <w:t xml:space="preserve">eviously published reference </w:t>
      </w:r>
      <w:r w:rsidR="00DF379C">
        <w:rPr>
          <w:noProof/>
        </w:rPr>
        <w:t>CO₂</w:t>
      </w:r>
      <w:r w:rsidR="00494DE8" w:rsidRPr="009E5C23">
        <w:rPr>
          <w:noProof/>
        </w:rPr>
        <w:t xml:space="preserve"> emissions shall be </w:t>
      </w:r>
      <w:r w:rsidR="00783B98">
        <w:rPr>
          <w:noProof/>
        </w:rPr>
        <w:t>re</w:t>
      </w:r>
      <w:r w:rsidR="00494DE8" w:rsidRPr="009E5C23">
        <w:rPr>
          <w:noProof/>
        </w:rPr>
        <w:t xml:space="preserve">calculated in accordance with Annex I, taking into account the </w:t>
      </w:r>
      <w:r w:rsidR="00494DE8" w:rsidRPr="007864B9">
        <w:rPr>
          <w:noProof/>
        </w:rPr>
        <w:t>parameters</w:t>
      </w:r>
      <w:r w:rsidR="00E15D64" w:rsidRPr="000555CF">
        <w:rPr>
          <w:rFonts w:eastAsia="Times New Roman"/>
          <w:noProof/>
          <w:szCs w:val="24"/>
          <w:lang w:val="en-IE" w:eastAsia="de-DE"/>
        </w:rPr>
        <w:t xml:space="preserve"> amended according to one of the points of Article 14 (1), point (a) to (f)</w:t>
      </w:r>
      <w:r w:rsidR="00494DE8" w:rsidRPr="009E5C23">
        <w:rPr>
          <w:noProof/>
        </w:rPr>
        <w:t xml:space="preserve">; </w:t>
      </w:r>
    </w:p>
    <w:p w:rsidR="00050091" w:rsidRPr="00C9020F" w:rsidRDefault="000555CF" w:rsidP="000555CF">
      <w:pPr>
        <w:pStyle w:val="Text2"/>
        <w:ind w:left="2857"/>
        <w:rPr>
          <w:noProof/>
        </w:rPr>
      </w:pPr>
      <w:r>
        <w:rPr>
          <w:rFonts w:eastAsia="Times New Roman"/>
          <w:noProof/>
          <w:szCs w:val="24"/>
          <w:lang w:val="en-IE" w:eastAsia="de-DE"/>
        </w:rPr>
        <w:t>(ii)   the</w:t>
      </w:r>
      <w:r w:rsidR="00E15D64" w:rsidRPr="007864B9">
        <w:rPr>
          <w:rFonts w:eastAsia="Times New Roman"/>
          <w:noProof/>
          <w:szCs w:val="24"/>
          <w:lang w:val="en-IE" w:eastAsia="de-DE"/>
        </w:rPr>
        <w:t xml:space="preserve"> recalculated set of reference </w:t>
      </w:r>
      <w:r w:rsidR="00DF379C">
        <w:rPr>
          <w:rFonts w:eastAsia="Times New Roman"/>
          <w:noProof/>
          <w:szCs w:val="24"/>
          <w:lang w:val="en-IE" w:eastAsia="de-DE"/>
        </w:rPr>
        <w:t>CO₂</w:t>
      </w:r>
      <w:r w:rsidR="00E15D64" w:rsidRPr="007864B9">
        <w:rPr>
          <w:rFonts w:eastAsia="Times New Roman"/>
          <w:noProof/>
          <w:szCs w:val="24"/>
          <w:lang w:val="en-IE" w:eastAsia="de-DE"/>
        </w:rPr>
        <w:t xml:space="preserve"> emissions shall be published</w:t>
      </w:r>
      <w:r w:rsidR="00E15D64">
        <w:rPr>
          <w:rFonts w:eastAsia="Times New Roman"/>
          <w:noProof/>
          <w:szCs w:val="24"/>
          <w:lang w:val="en-IE" w:eastAsia="de-DE"/>
        </w:rPr>
        <w:t xml:space="preserve"> and</w:t>
      </w:r>
      <w:r w:rsidR="00E15D64" w:rsidRPr="007864B9">
        <w:rPr>
          <w:rFonts w:eastAsia="Times New Roman"/>
          <w:noProof/>
          <w:szCs w:val="24"/>
          <w:lang w:val="en-IE" w:eastAsia="de-DE"/>
        </w:rPr>
        <w:t xml:space="preserve"> shall replace the previous set of reference emissions as from the reporting period in which the </w:t>
      </w:r>
      <w:r w:rsidR="00E15D64" w:rsidRPr="00783B98">
        <w:rPr>
          <w:noProof/>
        </w:rPr>
        <w:t>amended</w:t>
      </w:r>
      <w:r w:rsidR="00E15D64" w:rsidRPr="007864B9">
        <w:rPr>
          <w:rFonts w:eastAsia="Times New Roman"/>
          <w:noProof/>
          <w:szCs w:val="24"/>
          <w:lang w:val="en-IE" w:eastAsia="de-DE"/>
        </w:rPr>
        <w:t xml:space="preserve"> parameters according to one of the points of Article 14 (1), point (a) to (f), apply </w:t>
      </w:r>
      <w:r w:rsidR="00E15D64">
        <w:rPr>
          <w:rFonts w:eastAsia="Times New Roman"/>
          <w:noProof/>
          <w:szCs w:val="24"/>
          <w:lang w:val="en-IE" w:eastAsia="de-DE"/>
        </w:rPr>
        <w:t xml:space="preserve">for </w:t>
      </w:r>
      <w:r w:rsidR="00E15D64" w:rsidRPr="007864B9">
        <w:rPr>
          <w:rFonts w:eastAsia="Times New Roman"/>
          <w:noProof/>
          <w:szCs w:val="24"/>
          <w:lang w:val="en-IE" w:eastAsia="de-DE"/>
        </w:rPr>
        <w:t>the first time</w:t>
      </w:r>
      <w:r w:rsidR="009A6B67" w:rsidRPr="00C9020F">
        <w:rPr>
          <w:noProof/>
        </w:rPr>
        <w:t>.</w:t>
      </w:r>
      <w:r w:rsidR="00050091" w:rsidRPr="00C9020F">
        <w:rPr>
          <w:noProof/>
        </w:rPr>
        <w:t>’;</w:t>
      </w:r>
    </w:p>
    <w:p w:rsidR="00050091" w:rsidRPr="009E5C23" w:rsidRDefault="005B4A90" w:rsidP="005B4A90">
      <w:pPr>
        <w:pStyle w:val="Point1"/>
        <w:rPr>
          <w:noProof/>
        </w:rPr>
      </w:pPr>
      <w:r w:rsidRPr="005B4A90">
        <w:t>(c)</w:t>
      </w:r>
      <w:r w:rsidRPr="005B4A90">
        <w:tab/>
      </w:r>
      <w:r w:rsidR="00050091">
        <w:rPr>
          <w:noProof/>
        </w:rPr>
        <w:t>the following paragraph is added:</w:t>
      </w:r>
    </w:p>
    <w:p w:rsidR="00494DE8" w:rsidRPr="00DC4F17" w:rsidRDefault="00050091" w:rsidP="00494DE8">
      <w:pPr>
        <w:pStyle w:val="Text10"/>
        <w:ind w:left="1570" w:hanging="720"/>
        <w:rPr>
          <w:noProof/>
          <w:lang w:val="en-IE" w:eastAsia="de-DE"/>
        </w:rPr>
      </w:pPr>
      <w:r>
        <w:rPr>
          <w:rFonts w:eastAsia="Times New Roman"/>
          <w:noProof/>
          <w:szCs w:val="24"/>
          <w:lang w:val="en-IE" w:eastAsia="de-DE"/>
        </w:rPr>
        <w:t>‘</w:t>
      </w:r>
      <w:r w:rsidR="001C63E3">
        <w:rPr>
          <w:rFonts w:eastAsia="Times New Roman"/>
          <w:noProof/>
          <w:szCs w:val="24"/>
          <w:lang w:val="en-IE" w:eastAsia="de-DE"/>
        </w:rPr>
        <w:t>3</w:t>
      </w:r>
      <w:r w:rsidR="00494DE8" w:rsidRPr="009E5C23">
        <w:rPr>
          <w:rFonts w:eastAsia="Times New Roman"/>
          <w:noProof/>
          <w:szCs w:val="24"/>
          <w:lang w:val="en-IE" w:eastAsia="de-DE"/>
        </w:rPr>
        <w:t>.</w:t>
      </w:r>
      <w:r w:rsidR="00494DE8" w:rsidRPr="009E5C23">
        <w:rPr>
          <w:rFonts w:eastAsia="Times New Roman"/>
          <w:noProof/>
          <w:szCs w:val="24"/>
          <w:lang w:val="en-IE" w:eastAsia="de-DE"/>
        </w:rPr>
        <w:tab/>
        <w:t>In case of amendments of the type-approval procedures referred to in paragraph 2</w:t>
      </w:r>
      <w:r w:rsidR="00494DE8" w:rsidRPr="00BA6B34">
        <w:rPr>
          <w:rFonts w:eastAsia="Times New Roman"/>
          <w:noProof/>
          <w:szCs w:val="24"/>
          <w:lang w:val="en-IE" w:eastAsia="de-DE"/>
        </w:rPr>
        <w:t>(a)</w:t>
      </w:r>
      <w:r w:rsidR="007C3D5B">
        <w:rPr>
          <w:rFonts w:eastAsia="Times New Roman"/>
          <w:noProof/>
          <w:szCs w:val="24"/>
          <w:lang w:val="en-IE" w:eastAsia="de-DE"/>
        </w:rPr>
        <w:t>,</w:t>
      </w:r>
      <w:r w:rsidR="00494DE8" w:rsidRPr="00BA6B34">
        <w:rPr>
          <w:rFonts w:eastAsia="Times New Roman"/>
          <w:noProof/>
          <w:szCs w:val="24"/>
          <w:lang w:val="en-IE" w:eastAsia="de-DE"/>
        </w:rPr>
        <w:t xml:space="preserve"> the </w:t>
      </w:r>
      <w:r w:rsidR="00B87A62" w:rsidRPr="00BA6B34">
        <w:rPr>
          <w:rFonts w:eastAsia="Times New Roman"/>
          <w:noProof/>
          <w:szCs w:val="24"/>
          <w:lang w:val="en-IE" w:eastAsia="de-DE"/>
        </w:rPr>
        <w:t xml:space="preserve">amending </w:t>
      </w:r>
      <w:r w:rsidR="00494DE8" w:rsidRPr="00BA6B34">
        <w:rPr>
          <w:rFonts w:eastAsia="Times New Roman"/>
          <w:noProof/>
          <w:szCs w:val="24"/>
          <w:lang w:val="en-IE" w:eastAsia="de-DE"/>
        </w:rPr>
        <w:t>implementing act</w:t>
      </w:r>
      <w:r w:rsidR="00494DE8" w:rsidRPr="009E5C23">
        <w:rPr>
          <w:rFonts w:eastAsia="Times New Roman"/>
          <w:noProof/>
          <w:szCs w:val="24"/>
          <w:lang w:val="en-IE" w:eastAsia="de-DE"/>
        </w:rPr>
        <w:t xml:space="preserve"> shall </w:t>
      </w:r>
      <w:r w:rsidR="00C52C9F">
        <w:rPr>
          <w:rFonts w:eastAsia="Times New Roman"/>
          <w:noProof/>
          <w:szCs w:val="24"/>
          <w:lang w:val="en-IE" w:eastAsia="de-DE"/>
        </w:rPr>
        <w:t>either specify</w:t>
      </w:r>
      <w:r w:rsidR="00494DE8" w:rsidRPr="009E5C23">
        <w:rPr>
          <w:rFonts w:eastAsia="Times New Roman"/>
          <w:noProof/>
          <w:szCs w:val="24"/>
          <w:lang w:val="en-IE" w:eastAsia="de-DE"/>
        </w:rPr>
        <w:t xml:space="preserve"> or establish a methodology for </w:t>
      </w:r>
      <w:r w:rsidR="00494DE8" w:rsidRPr="009E5C23">
        <w:rPr>
          <w:noProof/>
          <w:lang w:eastAsia="de-DE"/>
        </w:rPr>
        <w:t>defining</w:t>
      </w:r>
      <w:r w:rsidR="00494DE8" w:rsidRPr="009E5C23">
        <w:rPr>
          <w:rFonts w:eastAsia="Times New Roman"/>
          <w:noProof/>
          <w:szCs w:val="24"/>
          <w:lang w:val="en-IE" w:eastAsia="de-DE"/>
        </w:rPr>
        <w:t xml:space="preserve"> one or more representative vehicles of a vehicle sub-group, including their statistical weightings and the payload and passenger number values to be used for the determination of </w:t>
      </w:r>
      <w:r w:rsidR="00DF379C">
        <w:rPr>
          <w:rFonts w:eastAsia="Times New Roman"/>
          <w:noProof/>
          <w:szCs w:val="24"/>
          <w:lang w:val="en-IE" w:eastAsia="de-DE"/>
        </w:rPr>
        <w:t>CO₂</w:t>
      </w:r>
      <w:r w:rsidR="00494DE8" w:rsidRPr="009E5C23">
        <w:rPr>
          <w:rFonts w:eastAsia="Times New Roman"/>
          <w:noProof/>
          <w:szCs w:val="24"/>
          <w:lang w:val="en-IE" w:eastAsia="de-DE"/>
        </w:rPr>
        <w:t xml:space="preserve"> emissions, on the basis of which the adjustment referred to in paragraph 2(a) shall be determined, taking into account the monitoring data reported pursuant to this Regulation and the technical characteristics of the vehicles listed in Article 12(1) of Regulation (EU) 2017/2400. Those implementing acts shall be adopted in accordance with the examination procedure set out in Article 16(2) of this Regulation.’;</w:t>
      </w:r>
    </w:p>
    <w:p w:rsidR="00E43B73" w:rsidRDefault="005B4A90" w:rsidP="005B4A90">
      <w:pPr>
        <w:pStyle w:val="Point0"/>
        <w:rPr>
          <w:noProof/>
        </w:rPr>
      </w:pPr>
      <w:r w:rsidRPr="005B4A90">
        <w:t>(15)</w:t>
      </w:r>
      <w:r w:rsidRPr="005B4A90">
        <w:tab/>
      </w:r>
      <w:r w:rsidR="002A35E8">
        <w:rPr>
          <w:noProof/>
        </w:rPr>
        <w:t xml:space="preserve">in </w:t>
      </w:r>
      <w:r w:rsidR="00E43B73">
        <w:rPr>
          <w:noProof/>
        </w:rPr>
        <w:t>Article 13</w:t>
      </w:r>
      <w:r w:rsidR="002A35E8">
        <w:rPr>
          <w:noProof/>
        </w:rPr>
        <w:t>, paragraph 3,</w:t>
      </w:r>
      <w:r w:rsidR="00075C6D">
        <w:rPr>
          <w:noProof/>
        </w:rPr>
        <w:t xml:space="preserve"> </w:t>
      </w:r>
      <w:r w:rsidR="002A35E8">
        <w:rPr>
          <w:noProof/>
        </w:rPr>
        <w:t>t</w:t>
      </w:r>
      <w:r w:rsidR="00E43B73">
        <w:rPr>
          <w:noProof/>
        </w:rPr>
        <w:t xml:space="preserve">he following sentence is </w:t>
      </w:r>
      <w:r w:rsidR="00E43B73" w:rsidRPr="00C9020F">
        <w:rPr>
          <w:noProof/>
        </w:rPr>
        <w:t>added</w:t>
      </w:r>
      <w:r w:rsidR="00E43B73">
        <w:rPr>
          <w:noProof/>
        </w:rPr>
        <w:t>:</w:t>
      </w:r>
    </w:p>
    <w:p w:rsidR="005A6506" w:rsidRPr="008A4EA2" w:rsidRDefault="00E43B73" w:rsidP="00E43B73">
      <w:pPr>
        <w:pStyle w:val="Text10"/>
        <w:rPr>
          <w:noProof/>
          <w:lang w:val="en-IE"/>
        </w:rPr>
      </w:pPr>
      <w:r>
        <w:rPr>
          <w:noProof/>
          <w:szCs w:val="24"/>
          <w:lang w:val="en-IE"/>
        </w:rPr>
        <w:t>‘</w:t>
      </w:r>
      <w:r w:rsidRPr="00481512">
        <w:rPr>
          <w:noProof/>
          <w:szCs w:val="24"/>
          <w:lang w:val="en-IE"/>
        </w:rPr>
        <w:t xml:space="preserve">Where the data in the </w:t>
      </w:r>
      <w:r w:rsidR="00F04BCD">
        <w:rPr>
          <w:noProof/>
          <w:szCs w:val="24"/>
          <w:lang w:val="en-IE"/>
        </w:rPr>
        <w:t>customer information files, the certificates of conformity and the individual approval certificates</w:t>
      </w:r>
      <w:r w:rsidR="00F04BCD" w:rsidRPr="00481512">
        <w:rPr>
          <w:noProof/>
          <w:szCs w:val="24"/>
          <w:lang w:val="en-IE"/>
        </w:rPr>
        <w:t xml:space="preserve"> </w:t>
      </w:r>
      <w:r w:rsidRPr="00481512">
        <w:rPr>
          <w:noProof/>
          <w:szCs w:val="24"/>
          <w:lang w:val="en-IE"/>
        </w:rPr>
        <w:t>may not be corrected under Regulation (EU) 2018/858, the responsible type-approval authority shall issue a statement of correction with the corrected data and transmit that statement to the Commission and the parties concerned.</w:t>
      </w:r>
      <w:r>
        <w:rPr>
          <w:noProof/>
          <w:szCs w:val="24"/>
          <w:lang w:val="en-IE"/>
        </w:rPr>
        <w:t>’;</w:t>
      </w:r>
    </w:p>
    <w:p w:rsidR="003B424B" w:rsidRDefault="005B4A90" w:rsidP="005B4A90">
      <w:pPr>
        <w:pStyle w:val="Point0"/>
        <w:rPr>
          <w:noProof/>
        </w:rPr>
      </w:pPr>
      <w:r w:rsidRPr="005B4A90">
        <w:t>(16)</w:t>
      </w:r>
      <w:r w:rsidRPr="005B4A90">
        <w:tab/>
      </w:r>
      <w:r w:rsidR="00635E54" w:rsidRPr="00C345B9">
        <w:rPr>
          <w:noProof/>
        </w:rPr>
        <w:t>t</w:t>
      </w:r>
      <w:r w:rsidR="003B424B" w:rsidRPr="00C345B9">
        <w:rPr>
          <w:noProof/>
        </w:rPr>
        <w:t>he following Articles 13a to 13f are inserted</w:t>
      </w:r>
      <w:r w:rsidR="003B424B">
        <w:rPr>
          <w:noProof/>
        </w:rPr>
        <w:t>:</w:t>
      </w:r>
    </w:p>
    <w:p w:rsidR="00A10DAF" w:rsidRPr="00A10DAF" w:rsidRDefault="00A10DAF" w:rsidP="00A10DAF">
      <w:pPr>
        <w:pStyle w:val="Text1"/>
        <w:ind w:left="1080"/>
        <w:jc w:val="center"/>
        <w:rPr>
          <w:b/>
          <w:noProof/>
        </w:rPr>
      </w:pPr>
      <w:r>
        <w:rPr>
          <w:noProof/>
        </w:rPr>
        <w:t>‘</w:t>
      </w:r>
      <w:r w:rsidRPr="00E4301A">
        <w:rPr>
          <w:noProof/>
        </w:rPr>
        <w:t>Article 13a</w:t>
      </w:r>
      <w:r w:rsidR="00C615A7">
        <w:rPr>
          <w:noProof/>
        </w:rPr>
        <w:br/>
      </w:r>
      <w:r w:rsidRPr="00A10DAF">
        <w:rPr>
          <w:b/>
          <w:noProof/>
        </w:rPr>
        <w:t>Monitoring and reporting by Member States</w:t>
      </w:r>
    </w:p>
    <w:p w:rsidR="00A10DAF" w:rsidRPr="00A10DAF" w:rsidRDefault="00A10DAF" w:rsidP="00A10DAF">
      <w:pPr>
        <w:pStyle w:val="Text1"/>
        <w:ind w:left="1080"/>
        <w:rPr>
          <w:noProof/>
        </w:rPr>
      </w:pPr>
      <w:r w:rsidRPr="00932D6E">
        <w:rPr>
          <w:noProof/>
        </w:rPr>
        <w:t xml:space="preserve">1. Starting from </w:t>
      </w:r>
      <w:r>
        <w:rPr>
          <w:noProof/>
        </w:rPr>
        <w:t xml:space="preserve">the reporting period of </w:t>
      </w:r>
      <w:r w:rsidR="00A37A30">
        <w:rPr>
          <w:noProof/>
        </w:rPr>
        <w:t xml:space="preserve">the year </w:t>
      </w:r>
      <w:r w:rsidRPr="00C345B9">
        <w:rPr>
          <w:noProof/>
        </w:rPr>
        <w:t>[</w:t>
      </w:r>
      <w:r w:rsidR="00783B98" w:rsidRPr="00783B98">
        <w:rPr>
          <w:i/>
          <w:noProof/>
        </w:rPr>
        <w:t>PO</w:t>
      </w:r>
      <w:r w:rsidR="00C345B9" w:rsidRPr="00783B98">
        <w:rPr>
          <w:i/>
          <w:noProof/>
        </w:rPr>
        <w:t xml:space="preserve">: please </w:t>
      </w:r>
      <w:r w:rsidRPr="00783B98">
        <w:rPr>
          <w:i/>
          <w:noProof/>
        </w:rPr>
        <w:t>insert year: if entry into force is before 1</w:t>
      </w:r>
      <w:r w:rsidRPr="00783B98">
        <w:rPr>
          <w:i/>
          <w:noProof/>
          <w:vertAlign w:val="superscript"/>
        </w:rPr>
        <w:t>st</w:t>
      </w:r>
      <w:r w:rsidRPr="00783B98">
        <w:rPr>
          <w:i/>
          <w:noProof/>
        </w:rPr>
        <w:t xml:space="preserve"> July, insert the year of entry into force of the Regulation minus 1; if entry into force is after 30</w:t>
      </w:r>
      <w:r w:rsidRPr="00783B98">
        <w:rPr>
          <w:i/>
          <w:noProof/>
          <w:vertAlign w:val="superscript"/>
        </w:rPr>
        <w:t>th</w:t>
      </w:r>
      <w:r w:rsidRPr="00783B98">
        <w:rPr>
          <w:i/>
          <w:noProof/>
        </w:rPr>
        <w:t xml:space="preserve"> of June, insert the following year</w:t>
      </w:r>
      <w:r w:rsidRPr="00C345B9">
        <w:rPr>
          <w:noProof/>
        </w:rPr>
        <w:t>],</w:t>
      </w:r>
      <w:r w:rsidRPr="00932D6E">
        <w:rPr>
          <w:noProof/>
        </w:rPr>
        <w:t xml:space="preserve"> Member States shall monitor the</w:t>
      </w:r>
      <w:r>
        <w:rPr>
          <w:noProof/>
        </w:rPr>
        <w:t xml:space="preserve"> </w:t>
      </w:r>
      <w:r w:rsidRPr="00932D6E">
        <w:rPr>
          <w:noProof/>
        </w:rPr>
        <w:t xml:space="preserve">data specified </w:t>
      </w:r>
      <w:r w:rsidRPr="00A10DAF">
        <w:rPr>
          <w:noProof/>
        </w:rPr>
        <w:t>in Annex IV, Part A relating to new heavy-duty vehicles registered for the first time in the Union.</w:t>
      </w:r>
    </w:p>
    <w:p w:rsidR="00A10DAF" w:rsidRDefault="00A10DAF" w:rsidP="00A10DAF">
      <w:pPr>
        <w:pStyle w:val="Text1"/>
        <w:ind w:left="1080"/>
        <w:rPr>
          <w:noProof/>
        </w:rPr>
      </w:pPr>
      <w:r w:rsidRPr="00A10DAF">
        <w:rPr>
          <w:noProof/>
        </w:rPr>
        <w:t>By 30 September each year, starting in 2020, the competent authorities of the Member States shall report those data of the previous reporting period of 1 July to 30 June to the Commission in accordance with the reporting procedure set out in Annex V.</w:t>
      </w:r>
    </w:p>
    <w:p w:rsidR="00A10DAF" w:rsidRDefault="00A10DAF" w:rsidP="00A10DAF">
      <w:pPr>
        <w:pStyle w:val="Text1"/>
        <w:ind w:left="1080"/>
        <w:rPr>
          <w:noProof/>
        </w:rPr>
      </w:pPr>
      <w:r w:rsidRPr="00932D6E">
        <w:rPr>
          <w:noProof/>
        </w:rPr>
        <w:t>2. The competent authorities responsible for the monitoring and</w:t>
      </w:r>
      <w:r>
        <w:rPr>
          <w:noProof/>
        </w:rPr>
        <w:t xml:space="preserve"> </w:t>
      </w:r>
      <w:r w:rsidRPr="00932D6E">
        <w:rPr>
          <w:noProof/>
        </w:rPr>
        <w:t>reporting of data in accordance with this Regulation shall be those</w:t>
      </w:r>
      <w:r>
        <w:rPr>
          <w:noProof/>
        </w:rPr>
        <w:t xml:space="preserve"> </w:t>
      </w:r>
      <w:r w:rsidRPr="00932D6E">
        <w:rPr>
          <w:noProof/>
        </w:rPr>
        <w:t xml:space="preserve">designated by the Member States in accordance with Article </w:t>
      </w:r>
      <w:r>
        <w:rPr>
          <w:noProof/>
        </w:rPr>
        <w:t>7</w:t>
      </w:r>
      <w:r w:rsidRPr="00932D6E">
        <w:rPr>
          <w:noProof/>
        </w:rPr>
        <w:t>(</w:t>
      </w:r>
      <w:r>
        <w:rPr>
          <w:noProof/>
        </w:rPr>
        <w:t>6</w:t>
      </w:r>
      <w:r w:rsidRPr="00932D6E">
        <w:rPr>
          <w:noProof/>
        </w:rPr>
        <w:t>) of</w:t>
      </w:r>
      <w:r>
        <w:rPr>
          <w:noProof/>
        </w:rPr>
        <w:t xml:space="preserve"> </w:t>
      </w:r>
      <w:r w:rsidRPr="00932D6E">
        <w:rPr>
          <w:noProof/>
        </w:rPr>
        <w:t xml:space="preserve">Regulation </w:t>
      </w:r>
      <w:r>
        <w:rPr>
          <w:noProof/>
        </w:rPr>
        <w:t>(EU) 2019/631</w:t>
      </w:r>
      <w:r w:rsidRPr="00932D6E">
        <w:rPr>
          <w:noProof/>
        </w:rPr>
        <w:t>.</w:t>
      </w:r>
    </w:p>
    <w:p w:rsidR="00A10DAF" w:rsidRPr="00C345B9" w:rsidRDefault="00A10DAF" w:rsidP="00A10DAF">
      <w:pPr>
        <w:pStyle w:val="Text1"/>
        <w:ind w:left="1080"/>
        <w:rPr>
          <w:noProof/>
        </w:rPr>
      </w:pPr>
      <w:r w:rsidRPr="00C345B9">
        <w:rPr>
          <w:noProof/>
        </w:rPr>
        <w:t xml:space="preserve">3. </w:t>
      </w:r>
      <w:r w:rsidR="00F04BCD">
        <w:rPr>
          <w:noProof/>
        </w:rPr>
        <w:t>V</w:t>
      </w:r>
      <w:r w:rsidRPr="00C345B9">
        <w:rPr>
          <w:noProof/>
        </w:rPr>
        <w:t xml:space="preserve">ehicles designed and constructed or adapted for the use by civil protection, fire services and forces responsible for maintaining public order shall be subject to the obligation under this </w:t>
      </w:r>
      <w:r w:rsidR="00E27E4F">
        <w:rPr>
          <w:noProof/>
        </w:rPr>
        <w:t>A</w:t>
      </w:r>
      <w:r w:rsidR="00E27E4F" w:rsidRPr="00C345B9">
        <w:rPr>
          <w:noProof/>
        </w:rPr>
        <w:t>rticle</w:t>
      </w:r>
      <w:r w:rsidRPr="00C345B9">
        <w:rPr>
          <w:noProof/>
        </w:rPr>
        <w:t xml:space="preserve">, unless they are exempted on the basis of other provisions. </w:t>
      </w:r>
    </w:p>
    <w:p w:rsidR="00A10DAF" w:rsidRPr="00F54CEC" w:rsidRDefault="00A10DAF" w:rsidP="00A10DAF">
      <w:pPr>
        <w:pStyle w:val="Text1"/>
        <w:ind w:left="1080"/>
        <w:rPr>
          <w:noProof/>
        </w:rPr>
      </w:pPr>
      <w:r w:rsidRPr="00C345B9">
        <w:rPr>
          <w:noProof/>
        </w:rPr>
        <w:t>4. Vehicles registered for the use by civil protection, fire services, medical urgency care and forces responsible for maintaining public order and vehicles registered for the use by the armed services shall be subject to the obligation under this Article, regardless of being exempted from Article 3a, unless they are exempted on the basis of other provisions.</w:t>
      </w:r>
    </w:p>
    <w:p w:rsidR="00A10DAF" w:rsidRPr="00A10DAF" w:rsidRDefault="00A10DAF" w:rsidP="00A10DAF">
      <w:pPr>
        <w:pStyle w:val="Text1"/>
        <w:ind w:left="1080"/>
        <w:jc w:val="center"/>
        <w:rPr>
          <w:b/>
          <w:noProof/>
        </w:rPr>
      </w:pPr>
      <w:r w:rsidRPr="00D95615">
        <w:rPr>
          <w:noProof/>
        </w:rPr>
        <w:t>Article 13b</w:t>
      </w:r>
      <w:r w:rsidR="00C615A7">
        <w:rPr>
          <w:noProof/>
        </w:rPr>
        <w:br/>
      </w:r>
      <w:r w:rsidRPr="00A10DAF">
        <w:rPr>
          <w:b/>
          <w:noProof/>
        </w:rPr>
        <w:t xml:space="preserve">Reporting by manufacturers or other entities responsible for the determination of a heavy-duty vehicle </w:t>
      </w:r>
      <w:r w:rsidR="00503D2A">
        <w:rPr>
          <w:b/>
          <w:noProof/>
        </w:rPr>
        <w:t>CO</w:t>
      </w:r>
      <w:r w:rsidR="00503D2A" w:rsidRPr="007943F1">
        <w:rPr>
          <w:b/>
          <w:noProof/>
          <w:vertAlign w:val="subscript"/>
        </w:rPr>
        <w:t>2</w:t>
      </w:r>
      <w:r w:rsidR="00503D2A">
        <w:rPr>
          <w:b/>
          <w:noProof/>
        </w:rPr>
        <w:t xml:space="preserve"> emissions</w:t>
      </w:r>
    </w:p>
    <w:p w:rsidR="00A10DAF" w:rsidRPr="00A10DAF" w:rsidRDefault="00A10DAF" w:rsidP="00A10DAF">
      <w:pPr>
        <w:pStyle w:val="Text1"/>
        <w:ind w:left="1080"/>
        <w:rPr>
          <w:noProof/>
        </w:rPr>
      </w:pPr>
      <w:r w:rsidRPr="00BC2848">
        <w:rPr>
          <w:noProof/>
        </w:rPr>
        <w:t xml:space="preserve">1. Manufacturers or other entities responsible for the determination of a heavy-duty vehicle to which the obligations of Article 9 of Regulation (EU) 2017/2400 or Article 8 of </w:t>
      </w:r>
      <w:r>
        <w:rPr>
          <w:noProof/>
        </w:rPr>
        <w:t xml:space="preserve">Implementing </w:t>
      </w:r>
      <w:r w:rsidRPr="00A10DAF">
        <w:rPr>
          <w:noProof/>
        </w:rPr>
        <w:t xml:space="preserve">Regulation (EU) 2022/1362 are addressed shall report the data of the new heavy-duty vehicle according to the provisions set out in </w:t>
      </w:r>
      <w:r w:rsidR="008A21A5" w:rsidRPr="00A10DAF">
        <w:rPr>
          <w:noProof/>
        </w:rPr>
        <w:t xml:space="preserve">part B </w:t>
      </w:r>
      <w:r w:rsidR="008A21A5">
        <w:rPr>
          <w:noProof/>
        </w:rPr>
        <w:t xml:space="preserve">of </w:t>
      </w:r>
      <w:r w:rsidRPr="00A10DAF">
        <w:rPr>
          <w:noProof/>
        </w:rPr>
        <w:t>Annex IV</w:t>
      </w:r>
      <w:r>
        <w:rPr>
          <w:noProof/>
        </w:rPr>
        <w:t>.</w:t>
      </w:r>
    </w:p>
    <w:p w:rsidR="00117233" w:rsidRDefault="00A10DAF" w:rsidP="00A10DAF">
      <w:pPr>
        <w:pStyle w:val="Text1"/>
        <w:ind w:left="1080"/>
        <w:rPr>
          <w:noProof/>
        </w:rPr>
      </w:pPr>
      <w:r w:rsidRPr="00A10DAF">
        <w:rPr>
          <w:noProof/>
        </w:rPr>
        <w:t>By 30 September of each year</w:t>
      </w:r>
      <w:r>
        <w:rPr>
          <w:noProof/>
        </w:rPr>
        <w:t xml:space="preserve">, </w:t>
      </w:r>
      <w:r w:rsidRPr="00A10DAF">
        <w:rPr>
          <w:noProof/>
        </w:rPr>
        <w:t xml:space="preserve">they shall report those data </w:t>
      </w:r>
      <w:r>
        <w:rPr>
          <w:noProof/>
        </w:rPr>
        <w:t>for each new heavy-duty vehicle</w:t>
      </w:r>
      <w:r w:rsidRPr="00A10DAF">
        <w:rPr>
          <w:noProof/>
        </w:rPr>
        <w:t xml:space="preserve"> with a date of determination or assessment falling within the reporting period ending on</w:t>
      </w:r>
      <w:r>
        <w:rPr>
          <w:noProof/>
        </w:rPr>
        <w:t xml:space="preserve"> 30 June</w:t>
      </w:r>
      <w:r w:rsidRPr="00A10DAF">
        <w:rPr>
          <w:noProof/>
        </w:rPr>
        <w:t xml:space="preserve"> to the Commission in accordance with the reporting procedure set out in Annex V. </w:t>
      </w:r>
    </w:p>
    <w:p w:rsidR="00653119" w:rsidRPr="00A10DAF" w:rsidRDefault="00653119" w:rsidP="00A10DAF">
      <w:pPr>
        <w:pStyle w:val="Text1"/>
        <w:ind w:left="1080"/>
        <w:rPr>
          <w:noProof/>
        </w:rPr>
      </w:pPr>
      <w:r w:rsidRPr="00117233">
        <w:rPr>
          <w:noProof/>
        </w:rPr>
        <w:t>This paragraph shall not apply to manufacturers or other entities exempted in accordance with Article 6b.</w:t>
      </w:r>
    </w:p>
    <w:p w:rsidR="00A10DAF" w:rsidRDefault="00A10DAF" w:rsidP="00A10DAF">
      <w:pPr>
        <w:pStyle w:val="Text1"/>
        <w:ind w:left="1080"/>
        <w:rPr>
          <w:noProof/>
        </w:rPr>
      </w:pPr>
      <w:r w:rsidRPr="00A10DAF">
        <w:rPr>
          <w:noProof/>
        </w:rPr>
        <w:t>2. Each manufacturer or other entity in the meaning of paragraph</w:t>
      </w:r>
      <w:r w:rsidRPr="00BC2848">
        <w:rPr>
          <w:noProof/>
        </w:rPr>
        <w:t xml:space="preserve"> 1 shall appoint a contact point for the purpose of reporting data in accordance with this Regulation.</w:t>
      </w:r>
    </w:p>
    <w:p w:rsidR="00B44F01" w:rsidRDefault="00835A33" w:rsidP="00653119">
      <w:pPr>
        <w:pStyle w:val="Text1"/>
        <w:ind w:left="1080"/>
        <w:rPr>
          <w:noProof/>
        </w:rPr>
      </w:pPr>
      <w:r w:rsidRPr="00B87A62">
        <w:rPr>
          <w:noProof/>
        </w:rPr>
        <w:t xml:space="preserve">3. </w:t>
      </w:r>
      <w:r w:rsidR="00B87A62" w:rsidRPr="007864B9">
        <w:rPr>
          <w:noProof/>
        </w:rPr>
        <w:t xml:space="preserve">The reporting obligation under </w:t>
      </w:r>
      <w:r w:rsidRPr="00B87A62">
        <w:rPr>
          <w:noProof/>
        </w:rPr>
        <w:t>Article 13a, paragraphs 3 and 4</w:t>
      </w:r>
      <w:r w:rsidR="00B87A62" w:rsidRPr="007864B9">
        <w:rPr>
          <w:noProof/>
        </w:rPr>
        <w:t xml:space="preserve"> </w:t>
      </w:r>
      <w:r w:rsidR="00D74A5B">
        <w:rPr>
          <w:noProof/>
        </w:rPr>
        <w:t>shall</w:t>
      </w:r>
      <w:r w:rsidR="00D74A5B" w:rsidRPr="007864B9">
        <w:rPr>
          <w:noProof/>
        </w:rPr>
        <w:t xml:space="preserve"> appl</w:t>
      </w:r>
      <w:r w:rsidR="00D74A5B">
        <w:rPr>
          <w:noProof/>
        </w:rPr>
        <w:t>y</w:t>
      </w:r>
      <w:r w:rsidR="00D74A5B" w:rsidRPr="007864B9">
        <w:rPr>
          <w:noProof/>
        </w:rPr>
        <w:t xml:space="preserve"> </w:t>
      </w:r>
      <w:r w:rsidR="00B87A62" w:rsidRPr="007864B9">
        <w:rPr>
          <w:noProof/>
        </w:rPr>
        <w:t>to manufacturers</w:t>
      </w:r>
      <w:r w:rsidR="00B87A62">
        <w:rPr>
          <w:noProof/>
        </w:rPr>
        <w:t xml:space="preserve"> and other entities in the meaning of paragraph 1</w:t>
      </w:r>
      <w:r w:rsidR="00B87A62" w:rsidRPr="007864B9">
        <w:rPr>
          <w:noProof/>
        </w:rPr>
        <w:t xml:space="preserve">. </w:t>
      </w:r>
    </w:p>
    <w:p w:rsidR="0033356D" w:rsidRPr="0033356D" w:rsidRDefault="0033356D" w:rsidP="0033356D">
      <w:pPr>
        <w:pStyle w:val="Text1"/>
        <w:ind w:left="1080"/>
        <w:jc w:val="center"/>
        <w:rPr>
          <w:noProof/>
        </w:rPr>
      </w:pPr>
      <w:r w:rsidRPr="005C7147">
        <w:rPr>
          <w:noProof/>
        </w:rPr>
        <w:t>Article 13</w:t>
      </w:r>
      <w:r w:rsidR="008676B8">
        <w:rPr>
          <w:noProof/>
        </w:rPr>
        <w:t>c</w:t>
      </w:r>
      <w:r w:rsidR="00C615A7">
        <w:rPr>
          <w:noProof/>
        </w:rPr>
        <w:br/>
      </w:r>
      <w:r w:rsidRPr="0033356D">
        <w:rPr>
          <w:b/>
          <w:noProof/>
        </w:rPr>
        <w:t xml:space="preserve">Central </w:t>
      </w:r>
      <w:r w:rsidR="008A21A5">
        <w:rPr>
          <w:b/>
          <w:noProof/>
        </w:rPr>
        <w:t>r</w:t>
      </w:r>
      <w:r w:rsidRPr="0033356D">
        <w:rPr>
          <w:b/>
          <w:noProof/>
        </w:rPr>
        <w:t>egister for data on heavy-duty vehicles</w:t>
      </w:r>
    </w:p>
    <w:p w:rsidR="0033356D" w:rsidRDefault="000555CF" w:rsidP="000555CF">
      <w:pPr>
        <w:pStyle w:val="Text1"/>
        <w:ind w:left="1080"/>
        <w:rPr>
          <w:noProof/>
        </w:rPr>
      </w:pPr>
      <w:r>
        <w:rPr>
          <w:noProof/>
        </w:rPr>
        <w:t>1.  T</w:t>
      </w:r>
      <w:r w:rsidR="0033356D" w:rsidRPr="007142D1">
        <w:rPr>
          <w:noProof/>
        </w:rPr>
        <w:t xml:space="preserve">he Commission shall keep a </w:t>
      </w:r>
      <w:r w:rsidR="008A21A5">
        <w:rPr>
          <w:noProof/>
        </w:rPr>
        <w:t>c</w:t>
      </w:r>
      <w:r w:rsidR="0033356D" w:rsidRPr="007142D1">
        <w:rPr>
          <w:noProof/>
        </w:rPr>
        <w:t xml:space="preserve">entral </w:t>
      </w:r>
      <w:r w:rsidR="008A21A5">
        <w:rPr>
          <w:noProof/>
        </w:rPr>
        <w:t>r</w:t>
      </w:r>
      <w:r w:rsidR="0033356D" w:rsidRPr="007142D1">
        <w:rPr>
          <w:noProof/>
        </w:rPr>
        <w:t>egister for the data on</w:t>
      </w:r>
      <w:r w:rsidR="0033356D">
        <w:rPr>
          <w:noProof/>
        </w:rPr>
        <w:t xml:space="preserve"> </w:t>
      </w:r>
      <w:r w:rsidR="0033356D" w:rsidRPr="007142D1">
        <w:rPr>
          <w:noProof/>
        </w:rPr>
        <w:t xml:space="preserve">heavy-duty vehicles (‘the </w:t>
      </w:r>
      <w:r w:rsidR="008A21A5">
        <w:rPr>
          <w:noProof/>
        </w:rPr>
        <w:t>r</w:t>
      </w:r>
      <w:r w:rsidR="0033356D" w:rsidRPr="007142D1">
        <w:rPr>
          <w:noProof/>
        </w:rPr>
        <w:t>egister’) reported in accordance with</w:t>
      </w:r>
      <w:r w:rsidR="0033356D">
        <w:rPr>
          <w:noProof/>
        </w:rPr>
        <w:t xml:space="preserve"> </w:t>
      </w:r>
      <w:r w:rsidR="0033356D" w:rsidRPr="007142D1">
        <w:rPr>
          <w:noProof/>
        </w:rPr>
        <w:t xml:space="preserve">Articles </w:t>
      </w:r>
      <w:r w:rsidR="0033356D">
        <w:rPr>
          <w:noProof/>
        </w:rPr>
        <w:t xml:space="preserve">13a </w:t>
      </w:r>
      <w:r w:rsidR="0033356D" w:rsidRPr="007142D1">
        <w:rPr>
          <w:noProof/>
        </w:rPr>
        <w:t xml:space="preserve">and </w:t>
      </w:r>
      <w:r w:rsidR="0033356D">
        <w:rPr>
          <w:noProof/>
        </w:rPr>
        <w:t>13b</w:t>
      </w:r>
      <w:r w:rsidR="0033356D" w:rsidRPr="007142D1">
        <w:rPr>
          <w:noProof/>
        </w:rPr>
        <w:t>.</w:t>
      </w:r>
    </w:p>
    <w:p w:rsidR="0033356D" w:rsidRDefault="0033356D" w:rsidP="0033356D">
      <w:pPr>
        <w:pStyle w:val="Text1"/>
        <w:ind w:left="1080"/>
        <w:rPr>
          <w:noProof/>
        </w:rPr>
      </w:pPr>
      <w:r w:rsidRPr="007142D1">
        <w:rPr>
          <w:noProof/>
        </w:rPr>
        <w:t xml:space="preserve">The </w:t>
      </w:r>
      <w:r w:rsidR="008A21A5">
        <w:rPr>
          <w:noProof/>
        </w:rPr>
        <w:t>r</w:t>
      </w:r>
      <w:r w:rsidRPr="007142D1">
        <w:rPr>
          <w:noProof/>
        </w:rPr>
        <w:t>egister shall be publicly available with the exception of data entr</w:t>
      </w:r>
      <w:r>
        <w:rPr>
          <w:noProof/>
        </w:rPr>
        <w:t xml:space="preserve">ies </w:t>
      </w:r>
      <w:r w:rsidRPr="007E3804">
        <w:rPr>
          <w:noProof/>
        </w:rPr>
        <w:t xml:space="preserve">listed in </w:t>
      </w:r>
      <w:r w:rsidR="008A21A5" w:rsidRPr="007E3804">
        <w:rPr>
          <w:noProof/>
        </w:rPr>
        <w:t>point 3.2.2</w:t>
      </w:r>
      <w:r w:rsidR="008A21A5">
        <w:rPr>
          <w:noProof/>
        </w:rPr>
        <w:t xml:space="preserve"> of </w:t>
      </w:r>
      <w:r w:rsidRPr="007E3804">
        <w:rPr>
          <w:noProof/>
        </w:rPr>
        <w:t>Annex V.</w:t>
      </w:r>
    </w:p>
    <w:p w:rsidR="0033356D" w:rsidRDefault="0033356D" w:rsidP="0033356D">
      <w:pPr>
        <w:pStyle w:val="Text1"/>
        <w:ind w:left="1080"/>
        <w:rPr>
          <w:noProof/>
        </w:rPr>
      </w:pPr>
      <w:r w:rsidRPr="007142D1">
        <w:rPr>
          <w:noProof/>
        </w:rPr>
        <w:t>With regard to data</w:t>
      </w:r>
      <w:r>
        <w:rPr>
          <w:noProof/>
        </w:rPr>
        <w:t xml:space="preserve"> </w:t>
      </w:r>
      <w:r w:rsidRPr="007142D1">
        <w:rPr>
          <w:noProof/>
        </w:rPr>
        <w:t xml:space="preserve">entry 23 specified in </w:t>
      </w:r>
      <w:r w:rsidR="008A21A5" w:rsidRPr="00231C65">
        <w:rPr>
          <w:noProof/>
        </w:rPr>
        <w:t>Part B, point 2</w:t>
      </w:r>
      <w:r w:rsidR="008A21A5">
        <w:rPr>
          <w:noProof/>
        </w:rPr>
        <w:t xml:space="preserve"> of </w:t>
      </w:r>
      <w:r w:rsidRPr="00231C65">
        <w:rPr>
          <w:noProof/>
        </w:rPr>
        <w:t>Annex</w:t>
      </w:r>
      <w:r w:rsidRPr="007E3804">
        <w:rPr>
          <w:noProof/>
        </w:rPr>
        <w:t xml:space="preserve"> IV</w:t>
      </w:r>
      <w:r w:rsidRPr="00231C65">
        <w:rPr>
          <w:noProof/>
        </w:rPr>
        <w:t xml:space="preserve">, the value shall be made publicly available in a range format as set out in </w:t>
      </w:r>
      <w:r w:rsidR="007D1D2A">
        <w:rPr>
          <w:noProof/>
        </w:rPr>
        <w:t>Part C</w:t>
      </w:r>
      <w:r w:rsidR="007D1D2A" w:rsidRPr="00231C65">
        <w:rPr>
          <w:noProof/>
        </w:rPr>
        <w:t xml:space="preserve"> </w:t>
      </w:r>
      <w:r w:rsidR="007D1D2A">
        <w:rPr>
          <w:noProof/>
        </w:rPr>
        <w:t xml:space="preserve">of </w:t>
      </w:r>
      <w:r w:rsidRPr="00231C65">
        <w:rPr>
          <w:noProof/>
        </w:rPr>
        <w:t>Annex</w:t>
      </w:r>
      <w:r w:rsidR="00AD2237">
        <w:rPr>
          <w:noProof/>
        </w:rPr>
        <w:t xml:space="preserve"> IV</w:t>
      </w:r>
      <w:r w:rsidRPr="007142D1">
        <w:rPr>
          <w:noProof/>
        </w:rPr>
        <w:t>.</w:t>
      </w:r>
    </w:p>
    <w:p w:rsidR="0033356D" w:rsidRDefault="000555CF" w:rsidP="000555CF">
      <w:pPr>
        <w:pStyle w:val="Text1"/>
        <w:ind w:left="1080"/>
        <w:rPr>
          <w:noProof/>
        </w:rPr>
      </w:pPr>
      <w:r>
        <w:rPr>
          <w:noProof/>
        </w:rPr>
        <w:t xml:space="preserve">2.  The </w:t>
      </w:r>
      <w:r w:rsidR="00251EDC">
        <w:rPr>
          <w:noProof/>
        </w:rPr>
        <w:t>r</w:t>
      </w:r>
      <w:r w:rsidR="0033356D" w:rsidRPr="007142D1">
        <w:rPr>
          <w:noProof/>
        </w:rPr>
        <w:t>egister shall be managed by the Agency on behalf of the Commission.</w:t>
      </w:r>
    </w:p>
    <w:p w:rsidR="0033356D" w:rsidRPr="00E03AE6" w:rsidRDefault="0033356D" w:rsidP="00427779">
      <w:pPr>
        <w:pStyle w:val="Text1"/>
        <w:ind w:left="1080"/>
        <w:jc w:val="center"/>
        <w:rPr>
          <w:noProof/>
        </w:rPr>
      </w:pPr>
      <w:r w:rsidRPr="005C7147">
        <w:rPr>
          <w:noProof/>
        </w:rPr>
        <w:t>Article 13d</w:t>
      </w:r>
      <w:r w:rsidR="00C615A7">
        <w:rPr>
          <w:noProof/>
        </w:rPr>
        <w:br/>
      </w:r>
      <w:r w:rsidRPr="00427779">
        <w:rPr>
          <w:b/>
          <w:noProof/>
        </w:rPr>
        <w:t>Monitoring of the results of on-road verification tests</w:t>
      </w:r>
    </w:p>
    <w:p w:rsidR="0033356D" w:rsidRDefault="00ED4C1B" w:rsidP="00427779">
      <w:pPr>
        <w:pStyle w:val="Text1"/>
        <w:ind w:left="1080"/>
        <w:rPr>
          <w:noProof/>
        </w:rPr>
      </w:pPr>
      <w:r>
        <w:rPr>
          <w:noProof/>
        </w:rPr>
        <w:t>1.</w:t>
      </w:r>
      <w:r>
        <w:rPr>
          <w:noProof/>
        </w:rPr>
        <w:tab/>
      </w:r>
      <w:r w:rsidR="0033356D" w:rsidRPr="007142D1">
        <w:rPr>
          <w:noProof/>
        </w:rPr>
        <w:t>The Commission shall monitor, where available, the results of</w:t>
      </w:r>
      <w:r w:rsidR="0033356D">
        <w:rPr>
          <w:noProof/>
        </w:rPr>
        <w:t xml:space="preserve"> </w:t>
      </w:r>
      <w:r w:rsidR="0033356D" w:rsidRPr="007142D1">
        <w:rPr>
          <w:noProof/>
        </w:rPr>
        <w:t>on-road tests performed within the framework of Regulation (EC)</w:t>
      </w:r>
      <w:r w:rsidR="0033356D">
        <w:rPr>
          <w:noProof/>
        </w:rPr>
        <w:t xml:space="preserve"> </w:t>
      </w:r>
      <w:r w:rsidR="0033356D" w:rsidRPr="007142D1">
        <w:rPr>
          <w:noProof/>
        </w:rPr>
        <w:t xml:space="preserve">No 595/2009 to verify the </w:t>
      </w:r>
      <w:r w:rsidR="00DF379C">
        <w:rPr>
          <w:noProof/>
        </w:rPr>
        <w:t>CO₂</w:t>
      </w:r>
      <w:r w:rsidR="0033356D" w:rsidRPr="007142D1">
        <w:rPr>
          <w:noProof/>
        </w:rPr>
        <w:t xml:space="preserve"> emissions and fuel consumption of</w:t>
      </w:r>
      <w:r w:rsidR="0033356D">
        <w:rPr>
          <w:noProof/>
        </w:rPr>
        <w:t xml:space="preserve"> </w:t>
      </w:r>
      <w:r w:rsidR="0033356D" w:rsidRPr="007142D1">
        <w:rPr>
          <w:noProof/>
        </w:rPr>
        <w:t>new heavy-duty vehicles.</w:t>
      </w:r>
    </w:p>
    <w:p w:rsidR="00FB140C" w:rsidRDefault="00FB140C" w:rsidP="00FB140C">
      <w:pPr>
        <w:pStyle w:val="Text1"/>
        <w:ind w:left="1080"/>
        <w:rPr>
          <w:noProof/>
        </w:rPr>
      </w:pPr>
      <w:r>
        <w:rPr>
          <w:noProof/>
        </w:rPr>
        <w:t>2. The Commission is empowered to adopt delegated acts in accordance with Article 17 in order to supplement this Regulation by specifying the data to be reported by the competent authorities of the Member States for the purposes of paragraph 1 of this Article.</w:t>
      </w:r>
    </w:p>
    <w:p w:rsidR="00C615A7" w:rsidRPr="00C615A7" w:rsidRDefault="00C615A7" w:rsidP="00C615A7">
      <w:pPr>
        <w:pStyle w:val="Text1"/>
        <w:ind w:left="1080"/>
        <w:jc w:val="center"/>
        <w:rPr>
          <w:b/>
          <w:noProof/>
        </w:rPr>
      </w:pPr>
      <w:r w:rsidRPr="005C7147">
        <w:rPr>
          <w:noProof/>
        </w:rPr>
        <w:t>Article 13</w:t>
      </w:r>
      <w:r>
        <w:rPr>
          <w:noProof/>
        </w:rPr>
        <w:t>e</w:t>
      </w:r>
      <w:r>
        <w:rPr>
          <w:noProof/>
        </w:rPr>
        <w:br/>
      </w:r>
      <w:r w:rsidRPr="00C615A7">
        <w:rPr>
          <w:b/>
          <w:noProof/>
        </w:rPr>
        <w:t>Data quality</w:t>
      </w:r>
    </w:p>
    <w:p w:rsidR="00C615A7" w:rsidRDefault="00C615A7" w:rsidP="00C615A7">
      <w:pPr>
        <w:pStyle w:val="Text1"/>
        <w:ind w:left="1080"/>
        <w:rPr>
          <w:noProof/>
        </w:rPr>
      </w:pPr>
      <w:r w:rsidRPr="00932D6E">
        <w:rPr>
          <w:noProof/>
        </w:rPr>
        <w:t>1. The competent authorities and manufacturers shall be responsible</w:t>
      </w:r>
      <w:r>
        <w:rPr>
          <w:noProof/>
        </w:rPr>
        <w:t xml:space="preserve"> </w:t>
      </w:r>
      <w:r w:rsidRPr="00932D6E">
        <w:rPr>
          <w:noProof/>
        </w:rPr>
        <w:t>for the correctness and quality of the data they report pursuant to</w:t>
      </w:r>
      <w:r>
        <w:rPr>
          <w:noProof/>
        </w:rPr>
        <w:t xml:space="preserve"> </w:t>
      </w:r>
      <w:r w:rsidRPr="00932D6E">
        <w:rPr>
          <w:noProof/>
        </w:rPr>
        <w:t xml:space="preserve">Articles </w:t>
      </w:r>
      <w:r>
        <w:rPr>
          <w:noProof/>
        </w:rPr>
        <w:t xml:space="preserve">13a </w:t>
      </w:r>
      <w:r w:rsidRPr="00932D6E">
        <w:rPr>
          <w:noProof/>
        </w:rPr>
        <w:t xml:space="preserve">and </w:t>
      </w:r>
      <w:r>
        <w:rPr>
          <w:noProof/>
        </w:rPr>
        <w:t>13b</w:t>
      </w:r>
      <w:r w:rsidRPr="00932D6E">
        <w:rPr>
          <w:noProof/>
        </w:rPr>
        <w:t>. They shall inform the Commission without delay of</w:t>
      </w:r>
      <w:r>
        <w:rPr>
          <w:noProof/>
        </w:rPr>
        <w:t xml:space="preserve"> </w:t>
      </w:r>
      <w:r w:rsidRPr="00932D6E">
        <w:rPr>
          <w:noProof/>
        </w:rPr>
        <w:t>any errors detected in the data reported.</w:t>
      </w:r>
    </w:p>
    <w:p w:rsidR="00C615A7" w:rsidRDefault="00C615A7" w:rsidP="00C615A7">
      <w:pPr>
        <w:pStyle w:val="Text1"/>
        <w:ind w:left="1080"/>
        <w:rPr>
          <w:noProof/>
        </w:rPr>
      </w:pPr>
      <w:r w:rsidRPr="00932D6E">
        <w:rPr>
          <w:noProof/>
        </w:rPr>
        <w:t>2. The Commission shall carry out its own verification of the quality</w:t>
      </w:r>
      <w:r>
        <w:rPr>
          <w:noProof/>
        </w:rPr>
        <w:t xml:space="preserve"> </w:t>
      </w:r>
      <w:r w:rsidRPr="00932D6E">
        <w:rPr>
          <w:noProof/>
        </w:rPr>
        <w:t xml:space="preserve">of the data reported pursuant to Articles </w:t>
      </w:r>
      <w:r>
        <w:rPr>
          <w:noProof/>
        </w:rPr>
        <w:t xml:space="preserve">13a </w:t>
      </w:r>
      <w:r w:rsidRPr="00932D6E">
        <w:rPr>
          <w:noProof/>
        </w:rPr>
        <w:t>and</w:t>
      </w:r>
      <w:r>
        <w:rPr>
          <w:noProof/>
        </w:rPr>
        <w:t xml:space="preserve"> 13b</w:t>
      </w:r>
      <w:r w:rsidRPr="00932D6E">
        <w:rPr>
          <w:noProof/>
        </w:rPr>
        <w:t>.</w:t>
      </w:r>
    </w:p>
    <w:p w:rsidR="00C615A7" w:rsidRDefault="00C615A7" w:rsidP="00C615A7">
      <w:pPr>
        <w:pStyle w:val="Text1"/>
        <w:ind w:left="1080"/>
        <w:rPr>
          <w:noProof/>
        </w:rPr>
      </w:pPr>
      <w:r w:rsidRPr="00932D6E">
        <w:rPr>
          <w:noProof/>
        </w:rPr>
        <w:t>3. Where the Commission is informed of errors in the data or finds,</w:t>
      </w:r>
      <w:r>
        <w:rPr>
          <w:noProof/>
        </w:rPr>
        <w:t xml:space="preserve"> </w:t>
      </w:r>
      <w:r w:rsidRPr="00932D6E">
        <w:rPr>
          <w:noProof/>
        </w:rPr>
        <w:t>pursuant to its own verification, discrepancies in the dataset, it shall,</w:t>
      </w:r>
      <w:r>
        <w:rPr>
          <w:noProof/>
        </w:rPr>
        <w:t xml:space="preserve"> </w:t>
      </w:r>
      <w:r w:rsidRPr="00932D6E">
        <w:rPr>
          <w:noProof/>
        </w:rPr>
        <w:t>where appropriate, take the necessary measures to correct the data</w:t>
      </w:r>
      <w:r>
        <w:rPr>
          <w:noProof/>
        </w:rPr>
        <w:t xml:space="preserve"> </w:t>
      </w:r>
      <w:r w:rsidRPr="00932D6E">
        <w:rPr>
          <w:noProof/>
        </w:rPr>
        <w:t xml:space="preserve">published in the </w:t>
      </w:r>
      <w:r w:rsidR="00251EDC">
        <w:rPr>
          <w:noProof/>
        </w:rPr>
        <w:t>r</w:t>
      </w:r>
      <w:r w:rsidRPr="00932D6E">
        <w:rPr>
          <w:noProof/>
        </w:rPr>
        <w:t xml:space="preserve">egister referred to in Article </w:t>
      </w:r>
      <w:r>
        <w:rPr>
          <w:noProof/>
        </w:rPr>
        <w:t>13c</w:t>
      </w:r>
      <w:r w:rsidRPr="00932D6E">
        <w:rPr>
          <w:noProof/>
        </w:rPr>
        <w:t>.</w:t>
      </w:r>
    </w:p>
    <w:p w:rsidR="00EA3BE7" w:rsidRDefault="00FB140C" w:rsidP="00C615A7">
      <w:pPr>
        <w:pStyle w:val="Text1"/>
        <w:ind w:left="1080"/>
        <w:rPr>
          <w:noProof/>
        </w:rPr>
      </w:pPr>
      <w:r>
        <w:rPr>
          <w:noProof/>
        </w:rPr>
        <w:t>4. The Commission may, by means of implementing acts, determine the verification and correction measures referred to in paragraphs 2 and 3 of this Article. Those implementing acts shall be adopted in accordance with the examination procedure referred to in Article 16.</w:t>
      </w:r>
    </w:p>
    <w:p w:rsidR="00A10DAF" w:rsidRPr="002410C8" w:rsidRDefault="002410C8" w:rsidP="002410C8">
      <w:pPr>
        <w:pStyle w:val="Text1"/>
        <w:ind w:left="1080"/>
        <w:jc w:val="center"/>
        <w:rPr>
          <w:b/>
          <w:noProof/>
        </w:rPr>
      </w:pPr>
      <w:r w:rsidRPr="002410C8">
        <w:rPr>
          <w:noProof/>
        </w:rPr>
        <w:t>Article 13f</w:t>
      </w:r>
      <w:r w:rsidRPr="002410C8">
        <w:rPr>
          <w:b/>
          <w:noProof/>
        </w:rPr>
        <w:br/>
        <w:t>Administrative fines</w:t>
      </w:r>
    </w:p>
    <w:p w:rsidR="002410C8" w:rsidRDefault="002410C8" w:rsidP="002410C8">
      <w:pPr>
        <w:pStyle w:val="Text10"/>
        <w:rPr>
          <w:noProof/>
          <w:lang w:val="en-IE" w:eastAsia="de-DE"/>
        </w:rPr>
      </w:pPr>
      <w:r w:rsidRPr="007142D1">
        <w:rPr>
          <w:noProof/>
          <w:lang w:val="en-IE" w:eastAsia="de-DE"/>
        </w:rPr>
        <w:t>1. The Commission may impose an administrative fine in each of the</w:t>
      </w:r>
      <w:r>
        <w:rPr>
          <w:noProof/>
          <w:lang w:val="en-IE" w:eastAsia="de-DE"/>
        </w:rPr>
        <w:t xml:space="preserve"> </w:t>
      </w:r>
      <w:r w:rsidRPr="007142D1">
        <w:rPr>
          <w:noProof/>
          <w:lang w:val="en-IE" w:eastAsia="de-DE"/>
        </w:rPr>
        <w:t>following cases:</w:t>
      </w:r>
    </w:p>
    <w:p w:rsidR="00172193" w:rsidRDefault="002410C8" w:rsidP="002410C8">
      <w:pPr>
        <w:pStyle w:val="Text10"/>
        <w:rPr>
          <w:noProof/>
          <w:lang w:val="en-IE" w:eastAsia="de-DE"/>
        </w:rPr>
      </w:pPr>
      <w:r w:rsidRPr="007142D1">
        <w:rPr>
          <w:noProof/>
          <w:lang w:val="en-IE" w:eastAsia="de-DE"/>
        </w:rPr>
        <w:t>(a) where it finds that the data reported by the manufacturer pursuant to</w:t>
      </w:r>
      <w:r>
        <w:rPr>
          <w:noProof/>
          <w:lang w:val="en-IE" w:eastAsia="de-DE"/>
        </w:rPr>
        <w:t xml:space="preserve"> </w:t>
      </w:r>
      <w:r w:rsidRPr="007142D1">
        <w:rPr>
          <w:noProof/>
          <w:lang w:val="en-IE" w:eastAsia="de-DE"/>
        </w:rPr>
        <w:t>Article 5 of this Regulation deviate from the data resulting from the</w:t>
      </w:r>
      <w:r>
        <w:rPr>
          <w:noProof/>
          <w:lang w:val="en-IE" w:eastAsia="de-DE"/>
        </w:rPr>
        <w:t xml:space="preserve"> </w:t>
      </w:r>
      <w:r w:rsidRPr="007142D1">
        <w:rPr>
          <w:noProof/>
          <w:lang w:val="en-IE" w:eastAsia="de-DE"/>
        </w:rPr>
        <w:t>manufacturer’s records file or the engine type-approval certificate</w:t>
      </w:r>
      <w:r>
        <w:rPr>
          <w:noProof/>
          <w:lang w:val="en-IE" w:eastAsia="de-DE"/>
        </w:rPr>
        <w:t xml:space="preserve"> </w:t>
      </w:r>
      <w:r w:rsidRPr="007142D1">
        <w:rPr>
          <w:noProof/>
          <w:lang w:val="en-IE" w:eastAsia="de-DE"/>
        </w:rPr>
        <w:t>issued within the framework of Regulation (EC) No 595/2009,</w:t>
      </w:r>
      <w:r>
        <w:rPr>
          <w:noProof/>
          <w:lang w:val="en-IE" w:eastAsia="de-DE"/>
        </w:rPr>
        <w:t xml:space="preserve"> </w:t>
      </w:r>
      <w:r w:rsidRPr="007142D1">
        <w:rPr>
          <w:noProof/>
          <w:lang w:val="en-IE" w:eastAsia="de-DE"/>
        </w:rPr>
        <w:t>and</w:t>
      </w:r>
      <w:r>
        <w:rPr>
          <w:noProof/>
          <w:lang w:val="en-IE" w:eastAsia="de-DE"/>
        </w:rPr>
        <w:t xml:space="preserve"> </w:t>
      </w:r>
      <w:r w:rsidRPr="007142D1">
        <w:rPr>
          <w:noProof/>
          <w:lang w:val="en-IE" w:eastAsia="de-DE"/>
        </w:rPr>
        <w:t>the deviation is intentional or due to serious negligence;</w:t>
      </w:r>
      <w:r>
        <w:rPr>
          <w:noProof/>
          <w:lang w:val="en-IE" w:eastAsia="de-DE"/>
        </w:rPr>
        <w:t xml:space="preserve"> </w:t>
      </w:r>
    </w:p>
    <w:p w:rsidR="002410C8" w:rsidRDefault="002410C8" w:rsidP="002410C8">
      <w:pPr>
        <w:pStyle w:val="Text10"/>
        <w:rPr>
          <w:noProof/>
          <w:lang w:val="en-IE" w:eastAsia="de-DE"/>
        </w:rPr>
      </w:pPr>
      <w:r w:rsidRPr="007142D1">
        <w:rPr>
          <w:noProof/>
          <w:lang w:val="en-IE" w:eastAsia="de-DE"/>
        </w:rPr>
        <w:t>(b) where the data are not submitted within the deadline applicable</w:t>
      </w:r>
      <w:r>
        <w:rPr>
          <w:noProof/>
          <w:lang w:val="en-IE" w:eastAsia="de-DE"/>
        </w:rPr>
        <w:t xml:space="preserve"> </w:t>
      </w:r>
      <w:r w:rsidRPr="007142D1">
        <w:rPr>
          <w:noProof/>
          <w:lang w:val="en-IE" w:eastAsia="de-DE"/>
        </w:rPr>
        <w:t>pursuant to Article 5(1) and the delay cannot be duly justified.</w:t>
      </w:r>
      <w:r w:rsidRPr="005C0B27">
        <w:rPr>
          <w:noProof/>
          <w:lang w:val="en-IE" w:eastAsia="de-DE"/>
        </w:rPr>
        <w:t xml:space="preserve"> </w:t>
      </w:r>
    </w:p>
    <w:p w:rsidR="002410C8" w:rsidRDefault="002410C8" w:rsidP="002410C8">
      <w:pPr>
        <w:pStyle w:val="Text10"/>
        <w:rPr>
          <w:noProof/>
          <w:lang w:val="en-IE" w:eastAsia="de-DE"/>
        </w:rPr>
      </w:pPr>
      <w:r w:rsidRPr="007142D1">
        <w:rPr>
          <w:noProof/>
          <w:lang w:val="en-IE" w:eastAsia="de-DE"/>
        </w:rPr>
        <w:t>The Commission shall, for the purposes of verifying the data referred to</w:t>
      </w:r>
      <w:r>
        <w:rPr>
          <w:noProof/>
          <w:lang w:val="en-IE" w:eastAsia="de-DE"/>
        </w:rPr>
        <w:t xml:space="preserve"> </w:t>
      </w:r>
      <w:r w:rsidRPr="007142D1">
        <w:rPr>
          <w:noProof/>
          <w:lang w:val="en-IE" w:eastAsia="de-DE"/>
        </w:rPr>
        <w:t>in point (a), consult with the relevant approval authorities.</w:t>
      </w:r>
    </w:p>
    <w:p w:rsidR="002410C8" w:rsidRDefault="002410C8" w:rsidP="002410C8">
      <w:pPr>
        <w:pStyle w:val="Text10"/>
        <w:rPr>
          <w:noProof/>
          <w:lang w:val="en-IE" w:eastAsia="de-DE"/>
        </w:rPr>
      </w:pPr>
      <w:r w:rsidRPr="007142D1">
        <w:rPr>
          <w:noProof/>
          <w:lang w:val="en-IE" w:eastAsia="de-DE"/>
        </w:rPr>
        <w:t>The administrative fines shall be effective, proportional and dissuasive</w:t>
      </w:r>
      <w:r>
        <w:rPr>
          <w:noProof/>
          <w:lang w:val="en-IE" w:eastAsia="de-DE"/>
        </w:rPr>
        <w:t xml:space="preserve"> </w:t>
      </w:r>
      <w:r w:rsidRPr="007142D1">
        <w:rPr>
          <w:noProof/>
          <w:lang w:val="en-IE" w:eastAsia="de-DE"/>
        </w:rPr>
        <w:t>and shall not exceed EUR 30 000 per heavy-duty vehicle concerned by</w:t>
      </w:r>
      <w:r>
        <w:rPr>
          <w:noProof/>
          <w:lang w:val="en-IE" w:eastAsia="de-DE"/>
        </w:rPr>
        <w:t xml:space="preserve"> </w:t>
      </w:r>
      <w:r w:rsidRPr="007142D1">
        <w:rPr>
          <w:noProof/>
          <w:lang w:val="en-IE" w:eastAsia="de-DE"/>
        </w:rPr>
        <w:t>deviating or delayed data as referred to in points (a) and (b).</w:t>
      </w:r>
    </w:p>
    <w:p w:rsidR="00EA3BE7" w:rsidRDefault="00EA3BE7" w:rsidP="00EA3BE7">
      <w:pPr>
        <w:pStyle w:val="Text10"/>
        <w:rPr>
          <w:rFonts w:eastAsia="Times New Roman"/>
          <w:noProof/>
          <w:szCs w:val="24"/>
          <w:lang w:val="en-IE" w:eastAsia="de-DE"/>
        </w:rPr>
      </w:pPr>
      <w:r>
        <w:rPr>
          <w:rFonts w:eastAsia="Times New Roman"/>
          <w:noProof/>
          <w:szCs w:val="24"/>
          <w:lang w:val="en-IE" w:eastAsia="de-DE"/>
        </w:rPr>
        <w:t xml:space="preserve">2. The Commission shall on the basis of the principles set out in paragraph 3 of this Article, adopt delegated acts in accordance </w:t>
      </w:r>
      <w:r w:rsidRPr="00EA3BE7">
        <w:rPr>
          <w:noProof/>
          <w:lang w:val="en-IE" w:eastAsia="de-DE"/>
        </w:rPr>
        <w:t>with</w:t>
      </w:r>
      <w:r>
        <w:rPr>
          <w:rFonts w:eastAsia="Times New Roman"/>
          <w:noProof/>
          <w:szCs w:val="24"/>
          <w:lang w:val="en-IE" w:eastAsia="de-DE"/>
        </w:rPr>
        <w:t xml:space="preserve"> Article 17 to supplement this Regulation by laying down the procedure, methods for the calculation and collection of the administrative fines referred to in paragraph 1 of this Article.</w:t>
      </w:r>
    </w:p>
    <w:p w:rsidR="00EA3BE7" w:rsidRDefault="00EA3BE7" w:rsidP="00EA3BE7">
      <w:pPr>
        <w:pStyle w:val="Text10"/>
        <w:rPr>
          <w:rFonts w:eastAsia="Times New Roman"/>
          <w:noProof/>
          <w:szCs w:val="24"/>
          <w:lang w:val="en-IE" w:eastAsia="de-DE"/>
        </w:rPr>
      </w:pPr>
      <w:r>
        <w:rPr>
          <w:rFonts w:eastAsia="Times New Roman"/>
          <w:noProof/>
          <w:szCs w:val="24"/>
          <w:lang w:val="en-IE" w:eastAsia="de-DE"/>
        </w:rPr>
        <w:t>3. The delegated acts referred to in paragraph 2 shall respect the following principles:</w:t>
      </w:r>
    </w:p>
    <w:p w:rsidR="002410C8" w:rsidRDefault="002410C8" w:rsidP="002410C8">
      <w:pPr>
        <w:pStyle w:val="Text10"/>
        <w:rPr>
          <w:noProof/>
          <w:lang w:val="en-IE" w:eastAsia="de-DE"/>
        </w:rPr>
      </w:pPr>
      <w:r w:rsidRPr="007142D1">
        <w:rPr>
          <w:noProof/>
          <w:lang w:val="en-IE" w:eastAsia="de-DE"/>
        </w:rPr>
        <w:t>(a) the procedure established by the Commission shall respect the right</w:t>
      </w:r>
      <w:r>
        <w:rPr>
          <w:noProof/>
          <w:lang w:val="en-IE" w:eastAsia="de-DE"/>
        </w:rPr>
        <w:t xml:space="preserve"> </w:t>
      </w:r>
      <w:r w:rsidRPr="007142D1">
        <w:rPr>
          <w:noProof/>
          <w:lang w:val="en-IE" w:eastAsia="de-DE"/>
        </w:rPr>
        <w:t>to good administration, and in particular the right to be heard and</w:t>
      </w:r>
      <w:r>
        <w:rPr>
          <w:noProof/>
          <w:lang w:val="en-IE" w:eastAsia="de-DE"/>
        </w:rPr>
        <w:t xml:space="preserve"> </w:t>
      </w:r>
      <w:r w:rsidRPr="007142D1">
        <w:rPr>
          <w:noProof/>
          <w:lang w:val="en-IE" w:eastAsia="de-DE"/>
        </w:rPr>
        <w:t>the right to have access to the file, while respecting the legitimate</w:t>
      </w:r>
      <w:r>
        <w:rPr>
          <w:noProof/>
          <w:lang w:val="en-IE" w:eastAsia="de-DE"/>
        </w:rPr>
        <w:t xml:space="preserve"> </w:t>
      </w:r>
      <w:r w:rsidRPr="007142D1">
        <w:rPr>
          <w:noProof/>
          <w:lang w:val="en-IE" w:eastAsia="de-DE"/>
        </w:rPr>
        <w:t>interests of confidentiality and of commercial secrets;</w:t>
      </w:r>
    </w:p>
    <w:p w:rsidR="002410C8" w:rsidRDefault="002410C8" w:rsidP="002410C8">
      <w:pPr>
        <w:pStyle w:val="Text10"/>
        <w:rPr>
          <w:noProof/>
          <w:lang w:val="en-IE" w:eastAsia="de-DE"/>
        </w:rPr>
      </w:pPr>
      <w:r w:rsidRPr="007142D1">
        <w:rPr>
          <w:noProof/>
          <w:lang w:val="en-IE" w:eastAsia="de-DE"/>
        </w:rPr>
        <w:t>(b) in calculating the appropriate administrative fine, the Commission</w:t>
      </w:r>
      <w:r>
        <w:rPr>
          <w:noProof/>
          <w:lang w:val="en-IE" w:eastAsia="de-DE"/>
        </w:rPr>
        <w:t xml:space="preserve"> </w:t>
      </w:r>
      <w:r w:rsidRPr="007142D1">
        <w:rPr>
          <w:noProof/>
          <w:lang w:val="en-IE" w:eastAsia="de-DE"/>
        </w:rPr>
        <w:t>shall be guided by the principles of effectiveness, proportionality</w:t>
      </w:r>
      <w:r>
        <w:rPr>
          <w:noProof/>
          <w:lang w:val="en-IE" w:eastAsia="de-DE"/>
        </w:rPr>
        <w:t xml:space="preserve"> </w:t>
      </w:r>
      <w:r w:rsidRPr="007142D1">
        <w:rPr>
          <w:noProof/>
          <w:lang w:val="en-IE" w:eastAsia="de-DE"/>
        </w:rPr>
        <w:t>and dissuasiveness, taking into consideration, where relevant, the</w:t>
      </w:r>
      <w:r>
        <w:rPr>
          <w:noProof/>
          <w:lang w:val="en-IE" w:eastAsia="de-DE"/>
        </w:rPr>
        <w:t xml:space="preserve"> </w:t>
      </w:r>
      <w:r w:rsidRPr="007142D1">
        <w:rPr>
          <w:noProof/>
          <w:lang w:val="en-IE" w:eastAsia="de-DE"/>
        </w:rPr>
        <w:t>seriousness and effects of the deviation or delay, the number of</w:t>
      </w:r>
      <w:r>
        <w:rPr>
          <w:noProof/>
          <w:lang w:val="en-IE" w:eastAsia="de-DE"/>
        </w:rPr>
        <w:t xml:space="preserve"> </w:t>
      </w:r>
      <w:r w:rsidRPr="007142D1">
        <w:rPr>
          <w:noProof/>
          <w:lang w:val="en-IE" w:eastAsia="de-DE"/>
        </w:rPr>
        <w:t>heavy-duty vehicles concerned by the deviating or delayed data,</w:t>
      </w:r>
      <w:r>
        <w:rPr>
          <w:noProof/>
          <w:lang w:val="en-IE" w:eastAsia="de-DE"/>
        </w:rPr>
        <w:t xml:space="preserve"> </w:t>
      </w:r>
      <w:r w:rsidRPr="007142D1">
        <w:rPr>
          <w:noProof/>
          <w:lang w:val="en-IE" w:eastAsia="de-DE"/>
        </w:rPr>
        <w:t>the good faith of the manufacturer, the degree of diligence and</w:t>
      </w:r>
      <w:r>
        <w:rPr>
          <w:noProof/>
          <w:lang w:val="en-IE" w:eastAsia="de-DE"/>
        </w:rPr>
        <w:t xml:space="preserve"> </w:t>
      </w:r>
      <w:r w:rsidRPr="007142D1">
        <w:rPr>
          <w:noProof/>
          <w:lang w:val="en-IE" w:eastAsia="de-DE"/>
        </w:rPr>
        <w:t>cooperation of the manufacturer, the repetition, frequency or</w:t>
      </w:r>
      <w:r>
        <w:rPr>
          <w:noProof/>
          <w:lang w:val="en-IE" w:eastAsia="de-DE"/>
        </w:rPr>
        <w:t xml:space="preserve"> </w:t>
      </w:r>
      <w:r w:rsidRPr="007142D1">
        <w:rPr>
          <w:noProof/>
          <w:lang w:val="en-IE" w:eastAsia="de-DE"/>
        </w:rPr>
        <w:t>duration of the deviation or the delay as well as prior sanctions</w:t>
      </w:r>
      <w:r>
        <w:rPr>
          <w:noProof/>
          <w:lang w:val="en-IE" w:eastAsia="de-DE"/>
        </w:rPr>
        <w:t xml:space="preserve"> </w:t>
      </w:r>
      <w:r w:rsidRPr="007142D1">
        <w:rPr>
          <w:noProof/>
          <w:lang w:val="en-IE" w:eastAsia="de-DE"/>
        </w:rPr>
        <w:t>imposed on the same manufacturer;</w:t>
      </w:r>
    </w:p>
    <w:p w:rsidR="002410C8" w:rsidRDefault="002410C8" w:rsidP="002410C8">
      <w:pPr>
        <w:pStyle w:val="Text10"/>
        <w:rPr>
          <w:noProof/>
          <w:lang w:val="en-IE" w:eastAsia="de-DE"/>
        </w:rPr>
      </w:pPr>
      <w:r w:rsidRPr="007142D1">
        <w:rPr>
          <w:noProof/>
          <w:lang w:val="en-IE" w:eastAsia="de-DE"/>
        </w:rPr>
        <w:t>(c) administrative fines shall be collected without undue delay by fixing</w:t>
      </w:r>
      <w:r>
        <w:rPr>
          <w:noProof/>
          <w:lang w:val="en-IE" w:eastAsia="de-DE"/>
        </w:rPr>
        <w:t xml:space="preserve"> </w:t>
      </w:r>
      <w:r w:rsidRPr="007142D1">
        <w:rPr>
          <w:noProof/>
          <w:lang w:val="en-IE" w:eastAsia="de-DE"/>
        </w:rPr>
        <w:t>deadlines for the payment and, as a</w:t>
      </w:r>
      <w:r w:rsidR="002736F4">
        <w:rPr>
          <w:noProof/>
          <w:lang w:val="en-IE" w:eastAsia="de-DE"/>
        </w:rPr>
        <w:t>ppropriate, including the possi</w:t>
      </w:r>
      <w:r w:rsidRPr="007142D1">
        <w:rPr>
          <w:noProof/>
          <w:lang w:val="en-IE" w:eastAsia="de-DE"/>
        </w:rPr>
        <w:t>bility of splitting payments into several instalments and phases.</w:t>
      </w:r>
    </w:p>
    <w:p w:rsidR="002410C8" w:rsidRDefault="002410C8" w:rsidP="002410C8">
      <w:pPr>
        <w:pStyle w:val="Text10"/>
        <w:rPr>
          <w:noProof/>
          <w:lang w:val="en-IE" w:eastAsia="de-DE"/>
        </w:rPr>
      </w:pPr>
      <w:r w:rsidRPr="007142D1">
        <w:rPr>
          <w:noProof/>
          <w:lang w:val="en-IE" w:eastAsia="de-DE"/>
        </w:rPr>
        <w:t>4. The amounts of the administrative fines shall be considered as</w:t>
      </w:r>
      <w:r>
        <w:rPr>
          <w:noProof/>
          <w:lang w:val="en-IE" w:eastAsia="de-DE"/>
        </w:rPr>
        <w:t xml:space="preserve"> </w:t>
      </w:r>
      <w:r w:rsidRPr="007142D1">
        <w:rPr>
          <w:noProof/>
          <w:lang w:val="en-IE" w:eastAsia="de-DE"/>
        </w:rPr>
        <w:t>revenue for the general budget of the Union.</w:t>
      </w:r>
      <w:r w:rsidR="00C21654">
        <w:rPr>
          <w:noProof/>
          <w:lang w:val="en-IE" w:eastAsia="de-DE"/>
        </w:rPr>
        <w:t>’</w:t>
      </w:r>
    </w:p>
    <w:p w:rsidR="003B424B" w:rsidRPr="00BA6B34" w:rsidRDefault="005B4A90" w:rsidP="005B4A90">
      <w:pPr>
        <w:pStyle w:val="Point0"/>
        <w:rPr>
          <w:noProof/>
        </w:rPr>
      </w:pPr>
      <w:r w:rsidRPr="005B4A90">
        <w:t>(17)</w:t>
      </w:r>
      <w:r w:rsidRPr="005B4A90">
        <w:tab/>
      </w:r>
      <w:r w:rsidR="003B424B">
        <w:rPr>
          <w:noProof/>
        </w:rPr>
        <w:t xml:space="preserve">Article 14 is </w:t>
      </w:r>
      <w:r w:rsidR="008F72B4">
        <w:rPr>
          <w:noProof/>
        </w:rPr>
        <w:t xml:space="preserve">replaced by the </w:t>
      </w:r>
      <w:r w:rsidR="008F72B4" w:rsidRPr="00BA6B34">
        <w:rPr>
          <w:noProof/>
        </w:rPr>
        <w:t>follow</w:t>
      </w:r>
      <w:r w:rsidR="00906D3F" w:rsidRPr="00BA6B34">
        <w:rPr>
          <w:noProof/>
        </w:rPr>
        <w:t>i</w:t>
      </w:r>
      <w:r w:rsidR="008F72B4" w:rsidRPr="00BA6B34">
        <w:rPr>
          <w:noProof/>
        </w:rPr>
        <w:t>n</w:t>
      </w:r>
      <w:r w:rsidR="00906D3F" w:rsidRPr="00BA6B34">
        <w:rPr>
          <w:noProof/>
        </w:rPr>
        <w:t>g</w:t>
      </w:r>
      <w:r w:rsidR="003B424B" w:rsidRPr="00BA6B34">
        <w:rPr>
          <w:noProof/>
        </w:rPr>
        <w:t>:</w:t>
      </w:r>
    </w:p>
    <w:p w:rsidR="008F72B4" w:rsidRPr="00BA6B34" w:rsidRDefault="008F72B4" w:rsidP="008F72B4">
      <w:pPr>
        <w:pStyle w:val="Text10"/>
        <w:jc w:val="center"/>
        <w:rPr>
          <w:b/>
          <w:noProof/>
          <w:lang w:val="en-IE" w:eastAsia="de-DE"/>
        </w:rPr>
      </w:pPr>
      <w:r w:rsidRPr="00BA6B34">
        <w:rPr>
          <w:noProof/>
          <w:lang w:eastAsia="de-DE"/>
        </w:rPr>
        <w:t>‘</w:t>
      </w:r>
      <w:r w:rsidR="00C615A7" w:rsidRPr="00BA6B34">
        <w:rPr>
          <w:noProof/>
          <w:lang w:val="en-IE" w:eastAsia="de-DE"/>
        </w:rPr>
        <w:t>Article 14</w:t>
      </w:r>
      <w:r w:rsidR="00C615A7" w:rsidRPr="00BA6B34">
        <w:rPr>
          <w:noProof/>
          <w:lang w:val="en-IE" w:eastAsia="de-DE"/>
        </w:rPr>
        <w:br/>
      </w:r>
      <w:r w:rsidRPr="00BA6B34">
        <w:rPr>
          <w:b/>
          <w:noProof/>
          <w:lang w:val="en-IE" w:eastAsia="de-DE"/>
        </w:rPr>
        <w:t>Amendments to the Annexes</w:t>
      </w:r>
    </w:p>
    <w:p w:rsidR="008F72B4" w:rsidRDefault="00906D3F" w:rsidP="00906D3F">
      <w:pPr>
        <w:pStyle w:val="Text10"/>
        <w:ind w:left="1570" w:hanging="720"/>
        <w:rPr>
          <w:noProof/>
          <w:lang w:val="en-IE" w:eastAsia="de-DE"/>
        </w:rPr>
      </w:pPr>
      <w:r w:rsidRPr="00BA6B34">
        <w:rPr>
          <w:noProof/>
          <w:lang w:val="en-IE" w:eastAsia="de-DE"/>
        </w:rPr>
        <w:t>1.</w:t>
      </w:r>
      <w:r w:rsidRPr="00BA6B34">
        <w:rPr>
          <w:noProof/>
          <w:lang w:val="en-IE" w:eastAsia="de-DE"/>
        </w:rPr>
        <w:tab/>
      </w:r>
      <w:r w:rsidR="00A50BBC" w:rsidRPr="00BA6B34">
        <w:rPr>
          <w:noProof/>
          <w:lang w:val="en-IE" w:eastAsia="de-DE"/>
        </w:rPr>
        <w:t>T</w:t>
      </w:r>
      <w:r w:rsidR="008F72B4" w:rsidRPr="00BA6B34">
        <w:rPr>
          <w:noProof/>
          <w:lang w:val="en-IE" w:eastAsia="de-DE"/>
        </w:rPr>
        <w:t>he Commission is empowered to adopt delegated acts</w:t>
      </w:r>
      <w:r w:rsidR="008F72B4" w:rsidRPr="00CF41E1">
        <w:rPr>
          <w:noProof/>
          <w:lang w:val="en-IE" w:eastAsia="de-DE"/>
        </w:rPr>
        <w:t xml:space="preserve"> in accordance with Article 17 with a view to amending</w:t>
      </w:r>
      <w:r w:rsidR="008F72B4">
        <w:rPr>
          <w:noProof/>
          <w:lang w:val="en-IE" w:eastAsia="de-DE"/>
        </w:rPr>
        <w:t xml:space="preserve"> the following element</w:t>
      </w:r>
      <w:r w:rsidR="00331B26">
        <w:rPr>
          <w:noProof/>
          <w:lang w:val="en-IE" w:eastAsia="de-DE"/>
        </w:rPr>
        <w:t>s</w:t>
      </w:r>
      <w:r w:rsidR="008F72B4">
        <w:rPr>
          <w:noProof/>
          <w:lang w:val="en-IE" w:eastAsia="de-DE"/>
        </w:rPr>
        <w:t xml:space="preserve"> in</w:t>
      </w:r>
      <w:r w:rsidR="008F72B4" w:rsidRPr="00CF41E1">
        <w:rPr>
          <w:noProof/>
          <w:lang w:val="en-IE" w:eastAsia="de-DE"/>
        </w:rPr>
        <w:t xml:space="preserve"> </w:t>
      </w:r>
      <w:r w:rsidR="008F72B4">
        <w:rPr>
          <w:noProof/>
          <w:lang w:val="en-IE" w:eastAsia="de-DE"/>
        </w:rPr>
        <w:t>Annex I</w:t>
      </w:r>
      <w:r w:rsidR="00331B26" w:rsidRPr="00331B26">
        <w:rPr>
          <w:noProof/>
          <w:lang w:val="en-IE" w:eastAsia="de-DE"/>
        </w:rPr>
        <w:t xml:space="preserve"> </w:t>
      </w:r>
      <w:r w:rsidR="00331B26">
        <w:rPr>
          <w:noProof/>
          <w:lang w:val="en-IE" w:eastAsia="de-DE"/>
        </w:rPr>
        <w:t xml:space="preserve">to take into account </w:t>
      </w:r>
      <w:r w:rsidR="00800FA5">
        <w:rPr>
          <w:noProof/>
          <w:lang w:val="en-IE" w:eastAsia="de-DE"/>
        </w:rPr>
        <w:t xml:space="preserve">technical progress, the evolution of </w:t>
      </w:r>
      <w:r w:rsidR="00206543">
        <w:rPr>
          <w:noProof/>
          <w:lang w:val="en-IE" w:eastAsia="de-DE"/>
        </w:rPr>
        <w:t xml:space="preserve">freight transport logistics, </w:t>
      </w:r>
      <w:r w:rsidR="00780ED9" w:rsidRPr="00780ED9">
        <w:rPr>
          <w:noProof/>
        </w:rPr>
        <w:t xml:space="preserve">necessary adjustments based on the application of this Regulation </w:t>
      </w:r>
      <w:r w:rsidR="00206543">
        <w:rPr>
          <w:noProof/>
        </w:rPr>
        <w:t>and amendments of the underlying type-approval legislation, in particular Regulations (EU) 2018/858 and (EU) 595/2009</w:t>
      </w:r>
      <w:r w:rsidR="008F72B4">
        <w:rPr>
          <w:noProof/>
          <w:lang w:val="en-IE" w:eastAsia="de-DE"/>
        </w:rPr>
        <w:t>:</w:t>
      </w:r>
      <w:r w:rsidR="00331B26">
        <w:rPr>
          <w:noProof/>
          <w:lang w:val="en-IE" w:eastAsia="de-DE"/>
        </w:rPr>
        <w:t xml:space="preserve"> </w:t>
      </w:r>
    </w:p>
    <w:p w:rsidR="008F72B4" w:rsidRDefault="008F72B4" w:rsidP="00906D3F">
      <w:pPr>
        <w:pStyle w:val="Text20"/>
        <w:rPr>
          <w:noProof/>
          <w:lang w:val="en-IE" w:eastAsia="de-DE"/>
        </w:rPr>
      </w:pPr>
      <w:r>
        <w:rPr>
          <w:noProof/>
          <w:lang w:val="en-IE" w:eastAsia="de-DE"/>
        </w:rPr>
        <w:t xml:space="preserve">(a) </w:t>
      </w:r>
      <w:r>
        <w:rPr>
          <w:noProof/>
          <w:lang w:val="en-IE" w:eastAsia="de-DE"/>
        </w:rPr>
        <w:tab/>
      </w:r>
      <w:r w:rsidRPr="008F72B4">
        <w:rPr>
          <w:noProof/>
          <w:lang w:val="en-IE" w:eastAsia="de-DE"/>
        </w:rPr>
        <w:t>t</w:t>
      </w:r>
      <w:r w:rsidRPr="008F72B4">
        <w:rPr>
          <w:noProof/>
          <w:color w:val="000000"/>
          <w:u w:color="000000"/>
          <w:bdr w:val="nil"/>
          <w:lang w:val="en-IE" w:eastAsia="de-DE"/>
        </w:rPr>
        <w:t>he</w:t>
      </w:r>
      <w:r w:rsidRPr="008F72B4">
        <w:rPr>
          <w:noProof/>
          <w:lang w:val="en-IE" w:eastAsia="de-DE"/>
        </w:rPr>
        <w:t xml:space="preserve"> criteria defining vehicle sub-groups set out in point 1.1</w:t>
      </w:r>
      <w:r>
        <w:rPr>
          <w:noProof/>
          <w:lang w:val="en-IE" w:eastAsia="de-DE"/>
        </w:rPr>
        <w:t>;</w:t>
      </w:r>
    </w:p>
    <w:p w:rsidR="008F72B4" w:rsidRDefault="008F72B4" w:rsidP="00906D3F">
      <w:pPr>
        <w:pStyle w:val="Text20"/>
        <w:rPr>
          <w:noProof/>
          <w:lang w:val="en-IE" w:eastAsia="de-DE"/>
        </w:rPr>
      </w:pPr>
      <w:r>
        <w:rPr>
          <w:noProof/>
          <w:lang w:val="en-IE" w:eastAsia="de-DE"/>
        </w:rPr>
        <w:t xml:space="preserve">(b) </w:t>
      </w:r>
      <w:r>
        <w:rPr>
          <w:noProof/>
          <w:lang w:val="en-IE" w:eastAsia="de-DE"/>
        </w:rPr>
        <w:tab/>
      </w:r>
      <w:r w:rsidRPr="008F72B4">
        <w:rPr>
          <w:noProof/>
          <w:lang w:val="en-IE" w:eastAsia="de-DE"/>
        </w:rPr>
        <w:t>the criteria defining vocational vehicles set out in point 1.2</w:t>
      </w:r>
      <w:r>
        <w:rPr>
          <w:noProof/>
          <w:lang w:val="en-IE" w:eastAsia="de-DE"/>
        </w:rPr>
        <w:t>;</w:t>
      </w:r>
    </w:p>
    <w:p w:rsidR="008F72B4" w:rsidRDefault="008F72B4" w:rsidP="00906D3F">
      <w:pPr>
        <w:pStyle w:val="Text20"/>
        <w:ind w:left="2137" w:hanging="720"/>
        <w:rPr>
          <w:noProof/>
          <w:lang w:val="en-IE" w:eastAsia="de-DE"/>
        </w:rPr>
      </w:pPr>
      <w:r>
        <w:rPr>
          <w:noProof/>
          <w:lang w:val="en-IE" w:eastAsia="de-DE"/>
        </w:rPr>
        <w:t xml:space="preserve">(c) </w:t>
      </w:r>
      <w:r>
        <w:rPr>
          <w:noProof/>
          <w:lang w:val="en-IE" w:eastAsia="de-DE"/>
        </w:rPr>
        <w:tab/>
      </w:r>
      <w:r w:rsidRPr="008F72B4">
        <w:rPr>
          <w:noProof/>
          <w:lang w:val="en-IE" w:eastAsia="de-DE"/>
        </w:rPr>
        <w:t>the criteria for the operational ranges of different powertrain technologies set out in point 1.3</w:t>
      </w:r>
      <w:r>
        <w:rPr>
          <w:noProof/>
          <w:lang w:val="en-IE" w:eastAsia="de-DE"/>
        </w:rPr>
        <w:t>;</w:t>
      </w:r>
    </w:p>
    <w:p w:rsidR="008F72B4" w:rsidRDefault="008F72B4" w:rsidP="00906D3F">
      <w:pPr>
        <w:pStyle w:val="Text20"/>
        <w:rPr>
          <w:noProof/>
          <w:lang w:val="en-IE" w:eastAsia="de-DE"/>
        </w:rPr>
      </w:pPr>
      <w:r>
        <w:rPr>
          <w:noProof/>
          <w:lang w:val="en-IE" w:eastAsia="de-DE"/>
        </w:rPr>
        <w:t xml:space="preserve">(d) </w:t>
      </w:r>
      <w:r>
        <w:rPr>
          <w:noProof/>
          <w:lang w:val="en-IE" w:eastAsia="de-DE"/>
        </w:rPr>
        <w:tab/>
      </w:r>
      <w:r w:rsidRPr="008F72B4">
        <w:rPr>
          <w:noProof/>
          <w:lang w:val="en-IE" w:eastAsia="de-DE"/>
        </w:rPr>
        <w:t>the list of mission profiles set out in point 1.4</w:t>
      </w:r>
      <w:r>
        <w:rPr>
          <w:noProof/>
          <w:lang w:val="en-IE" w:eastAsia="de-DE"/>
        </w:rPr>
        <w:t>;</w:t>
      </w:r>
    </w:p>
    <w:p w:rsidR="008F72B4" w:rsidRPr="00B01002" w:rsidRDefault="008F72B4" w:rsidP="00906D3F">
      <w:pPr>
        <w:pStyle w:val="Text20"/>
        <w:rPr>
          <w:noProof/>
          <w:lang w:val="en-IE" w:eastAsia="de-DE"/>
        </w:rPr>
      </w:pPr>
      <w:r>
        <w:rPr>
          <w:noProof/>
          <w:lang w:val="en-IE" w:eastAsia="de-DE"/>
        </w:rPr>
        <w:t xml:space="preserve">(e) </w:t>
      </w:r>
      <w:r>
        <w:rPr>
          <w:noProof/>
          <w:lang w:val="en-IE" w:eastAsia="de-DE"/>
        </w:rPr>
        <w:tab/>
      </w:r>
      <w:r w:rsidRPr="008F72B4">
        <w:rPr>
          <w:noProof/>
          <w:lang w:val="en-IE" w:eastAsia="de-DE"/>
        </w:rPr>
        <w:t xml:space="preserve">the weight of mission profiles </w:t>
      </w:r>
      <w:r w:rsidRPr="00B01002">
        <w:rPr>
          <w:noProof/>
          <w:lang w:val="en-IE" w:eastAsia="de-DE"/>
        </w:rPr>
        <w:t>set out in point 2.1;</w:t>
      </w:r>
    </w:p>
    <w:p w:rsidR="008F72B4" w:rsidRDefault="008F72B4" w:rsidP="00B01002">
      <w:pPr>
        <w:pStyle w:val="Text20"/>
        <w:ind w:left="2160" w:hanging="743"/>
        <w:rPr>
          <w:noProof/>
          <w:u w:color="000000"/>
          <w:bdr w:val="nil"/>
          <w:lang w:val="en-IE" w:eastAsia="de-DE"/>
        </w:rPr>
      </w:pPr>
      <w:r w:rsidRPr="00B01002">
        <w:rPr>
          <w:noProof/>
          <w:lang w:val="en-IE" w:eastAsia="de-DE"/>
        </w:rPr>
        <w:t xml:space="preserve">(f) </w:t>
      </w:r>
      <w:r w:rsidRPr="00B01002">
        <w:rPr>
          <w:noProof/>
          <w:lang w:val="en-IE" w:eastAsia="de-DE"/>
        </w:rPr>
        <w:tab/>
      </w:r>
      <w:r w:rsidR="00033CC1" w:rsidRPr="00196F4B">
        <w:rPr>
          <w:rFonts w:eastAsia="Times New Roman"/>
          <w:noProof/>
          <w:color w:val="000000"/>
          <w:szCs w:val="24"/>
          <w:u w:color="000000"/>
          <w:bdr w:val="nil"/>
          <w:lang w:val="en-IE" w:eastAsia="de-DE"/>
        </w:rPr>
        <w:t>the payload</w:t>
      </w:r>
      <w:r w:rsidR="00033CC1" w:rsidRPr="00196F4B">
        <w:rPr>
          <w:rFonts w:eastAsia="Times New Roman"/>
          <w:noProof/>
          <w:szCs w:val="24"/>
          <w:lang w:val="en-IE" w:eastAsia="de-DE"/>
        </w:rPr>
        <w:t xml:space="preserve">s, </w:t>
      </w:r>
      <w:r w:rsidR="00033CC1" w:rsidRPr="00196F4B">
        <w:rPr>
          <w:rFonts w:eastAsia="Times New Roman"/>
          <w:noProof/>
          <w:color w:val="000000"/>
          <w:szCs w:val="24"/>
          <w:u w:color="000000"/>
          <w:bdr w:val="nil"/>
          <w:lang w:val="en-IE" w:eastAsia="de-DE"/>
        </w:rPr>
        <w:t>passenger number</w:t>
      </w:r>
      <w:r w:rsidR="00033CC1" w:rsidRPr="00196F4B">
        <w:rPr>
          <w:rFonts w:eastAsia="Times New Roman"/>
          <w:noProof/>
          <w:szCs w:val="24"/>
          <w:lang w:val="en-IE" w:eastAsia="de-DE"/>
        </w:rPr>
        <w:t xml:space="preserve">s, passenger masses, </w:t>
      </w:r>
      <w:r w:rsidR="009D6541" w:rsidRPr="00196F4B">
        <w:rPr>
          <w:noProof/>
          <w:lang w:val="en-IE"/>
        </w:rPr>
        <w:t>t</w:t>
      </w:r>
      <w:r w:rsidR="009D6541" w:rsidRPr="00196F4B">
        <w:rPr>
          <w:noProof/>
        </w:rPr>
        <w:t xml:space="preserve">echnically permissible </w:t>
      </w:r>
      <w:r w:rsidR="00033CC1" w:rsidRPr="00196F4B">
        <w:rPr>
          <w:rFonts w:eastAsia="Times New Roman"/>
          <w:noProof/>
          <w:szCs w:val="24"/>
          <w:lang w:val="en-IE" w:eastAsia="de-DE"/>
        </w:rPr>
        <w:t xml:space="preserve">maximum payloads, </w:t>
      </w:r>
      <w:r w:rsidR="009D6541" w:rsidRPr="00196F4B">
        <w:rPr>
          <w:noProof/>
        </w:rPr>
        <w:t xml:space="preserve">technically permissible </w:t>
      </w:r>
      <w:r w:rsidR="00033CC1" w:rsidRPr="00196F4B">
        <w:rPr>
          <w:rFonts w:eastAsia="Times New Roman"/>
          <w:noProof/>
          <w:szCs w:val="24"/>
          <w:lang w:val="en-IE" w:eastAsia="de-DE"/>
        </w:rPr>
        <w:t>maximum passenger number and cargo volumes of vehicle sub-groups</w:t>
      </w:r>
      <w:r w:rsidR="009D6541" w:rsidRPr="00196F4B">
        <w:rPr>
          <w:rFonts w:eastAsia="Times New Roman"/>
          <w:noProof/>
          <w:szCs w:val="24"/>
          <w:lang w:val="en-IE" w:eastAsia="de-DE"/>
        </w:rPr>
        <w:t xml:space="preserve"> </w:t>
      </w:r>
      <w:r w:rsidR="009D6541" w:rsidRPr="00196F4B">
        <w:rPr>
          <w:rFonts w:eastAsia="Times New Roman"/>
          <w:i/>
          <w:iCs/>
          <w:noProof/>
          <w:szCs w:val="24"/>
          <w:lang w:val="en-IE" w:eastAsia="de-DE"/>
        </w:rPr>
        <w:t>sg</w:t>
      </w:r>
      <w:r w:rsidR="00033CC1" w:rsidRPr="00196F4B">
        <w:rPr>
          <w:rFonts w:eastAsia="Times New Roman"/>
          <w:noProof/>
          <w:color w:val="000000"/>
          <w:szCs w:val="24"/>
          <w:u w:color="000000"/>
          <w:bdr w:val="nil"/>
          <w:lang w:val="en-IE" w:eastAsia="de-DE"/>
        </w:rPr>
        <w:t xml:space="preserve"> </w:t>
      </w:r>
      <w:r w:rsidRPr="00196F4B">
        <w:rPr>
          <w:noProof/>
          <w:u w:color="000000"/>
          <w:bdr w:val="nil"/>
          <w:lang w:val="en-IE" w:eastAsia="de-DE"/>
        </w:rPr>
        <w:t>set out in point 2.5;</w:t>
      </w:r>
    </w:p>
    <w:p w:rsidR="008F72B4" w:rsidRDefault="008F72B4" w:rsidP="00906D3F">
      <w:pPr>
        <w:pStyle w:val="Text20"/>
        <w:rPr>
          <w:noProof/>
          <w:lang w:val="en-IE" w:eastAsia="de-DE"/>
        </w:rPr>
      </w:pPr>
      <w:r>
        <w:rPr>
          <w:noProof/>
          <w:u w:color="000000"/>
          <w:bdr w:val="nil"/>
          <w:lang w:val="en-IE" w:eastAsia="de-DE"/>
        </w:rPr>
        <w:t xml:space="preserve">(g) </w:t>
      </w:r>
      <w:r>
        <w:rPr>
          <w:noProof/>
          <w:u w:color="000000"/>
          <w:bdr w:val="nil"/>
          <w:lang w:val="en-IE" w:eastAsia="de-DE"/>
        </w:rPr>
        <w:tab/>
      </w:r>
      <w:r w:rsidR="00906D3F" w:rsidRPr="008F72B4">
        <w:rPr>
          <w:noProof/>
          <w:u w:color="000000"/>
          <w:bdr w:val="nil"/>
          <w:lang w:val="en-IE" w:eastAsia="de-DE"/>
        </w:rPr>
        <w:t xml:space="preserve">the annual mileage values set out </w:t>
      </w:r>
      <w:r w:rsidR="00906D3F" w:rsidRPr="008F72B4">
        <w:rPr>
          <w:noProof/>
          <w:lang w:val="en-IE" w:eastAsia="de-DE"/>
        </w:rPr>
        <w:t>in point 2.6.</w:t>
      </w:r>
    </w:p>
    <w:p w:rsidR="00906D3F" w:rsidRDefault="00906D3F" w:rsidP="00906D3F">
      <w:pPr>
        <w:pStyle w:val="Text10"/>
        <w:ind w:left="1570" w:hanging="720"/>
        <w:rPr>
          <w:noProof/>
          <w:lang w:val="en-IE" w:eastAsia="de-DE"/>
        </w:rPr>
      </w:pPr>
      <w:r>
        <w:rPr>
          <w:noProof/>
          <w:lang w:val="en-IE" w:eastAsia="de-DE"/>
        </w:rPr>
        <w:t>2.</w:t>
      </w:r>
      <w:r>
        <w:rPr>
          <w:noProof/>
          <w:lang w:val="en-IE" w:eastAsia="de-DE"/>
        </w:rPr>
        <w:tab/>
      </w:r>
      <w:r w:rsidR="00A50BBC">
        <w:rPr>
          <w:noProof/>
          <w:lang w:val="en-IE" w:eastAsia="de-DE"/>
        </w:rPr>
        <w:t>T</w:t>
      </w:r>
      <w:r w:rsidRPr="00CF41E1">
        <w:rPr>
          <w:noProof/>
          <w:lang w:val="en-IE" w:eastAsia="de-DE"/>
        </w:rPr>
        <w:t xml:space="preserve">he Commission is </w:t>
      </w:r>
      <w:r w:rsidRPr="008F72B4">
        <w:rPr>
          <w:noProof/>
          <w:lang w:val="en-IE" w:eastAsia="de-DE"/>
        </w:rPr>
        <w:t>empowered</w:t>
      </w:r>
      <w:r w:rsidRPr="00CF41E1">
        <w:rPr>
          <w:noProof/>
          <w:lang w:val="en-IE" w:eastAsia="de-DE"/>
        </w:rPr>
        <w:t xml:space="preserve"> to adopt delegated acts in accordance with Article 17 with a view to amending</w:t>
      </w:r>
      <w:r>
        <w:rPr>
          <w:noProof/>
          <w:lang w:val="en-IE" w:eastAsia="de-DE"/>
        </w:rPr>
        <w:t xml:space="preserve"> the following element in</w:t>
      </w:r>
      <w:r w:rsidRPr="00CF41E1">
        <w:rPr>
          <w:noProof/>
          <w:lang w:val="en-IE" w:eastAsia="de-DE"/>
        </w:rPr>
        <w:t xml:space="preserve"> </w:t>
      </w:r>
      <w:r>
        <w:rPr>
          <w:noProof/>
          <w:lang w:val="en-IE" w:eastAsia="de-DE"/>
        </w:rPr>
        <w:t>Annex IV:</w:t>
      </w:r>
    </w:p>
    <w:p w:rsidR="00906D3F" w:rsidRDefault="006959CD" w:rsidP="006959CD">
      <w:pPr>
        <w:pStyle w:val="Text20"/>
        <w:ind w:left="2137" w:hanging="720"/>
        <w:rPr>
          <w:noProof/>
        </w:rPr>
      </w:pPr>
      <w:r>
        <w:rPr>
          <w:noProof/>
        </w:rPr>
        <w:t xml:space="preserve">(a) </w:t>
      </w:r>
      <w:r>
        <w:rPr>
          <w:noProof/>
        </w:rPr>
        <w:tab/>
      </w:r>
      <w:r w:rsidR="00906D3F" w:rsidRPr="00906D3F">
        <w:rPr>
          <w:noProof/>
        </w:rPr>
        <w:t xml:space="preserve">the data </w:t>
      </w:r>
      <w:r w:rsidR="00906D3F" w:rsidRPr="006959CD">
        <w:rPr>
          <w:noProof/>
          <w:lang w:val="en-IE" w:eastAsia="de-DE"/>
        </w:rPr>
        <w:t>requirements</w:t>
      </w:r>
      <w:r w:rsidR="00906D3F" w:rsidRPr="00906D3F">
        <w:rPr>
          <w:noProof/>
        </w:rPr>
        <w:t xml:space="preserve"> specified in Part A and Part B</w:t>
      </w:r>
      <w:r w:rsidR="00800FA5">
        <w:rPr>
          <w:noProof/>
        </w:rPr>
        <w:t xml:space="preserve"> to take into account technical progress, necessary adjustments based on the application of this Regulation and amendments of the underlying type-approval legislation, in particular Regulations (EU) 2018/858 and (EU) 595/2009</w:t>
      </w:r>
      <w:r w:rsidR="00906D3F" w:rsidRPr="00906D3F">
        <w:rPr>
          <w:noProof/>
        </w:rPr>
        <w:t>;</w:t>
      </w:r>
    </w:p>
    <w:p w:rsidR="00906D3F" w:rsidRDefault="006959CD" w:rsidP="006959CD">
      <w:pPr>
        <w:pStyle w:val="Text20"/>
        <w:ind w:left="2137" w:hanging="720"/>
        <w:rPr>
          <w:noProof/>
        </w:rPr>
      </w:pPr>
      <w:r>
        <w:rPr>
          <w:noProof/>
        </w:rPr>
        <w:t>(</w:t>
      </w:r>
      <w:r w:rsidR="00A50BBC">
        <w:rPr>
          <w:noProof/>
        </w:rPr>
        <w:t>b</w:t>
      </w:r>
      <w:r>
        <w:rPr>
          <w:noProof/>
        </w:rPr>
        <w:t xml:space="preserve"> ) </w:t>
      </w:r>
      <w:r>
        <w:rPr>
          <w:noProof/>
        </w:rPr>
        <w:tab/>
      </w:r>
      <w:r w:rsidR="00906D3F" w:rsidRPr="00906D3F">
        <w:rPr>
          <w:noProof/>
        </w:rPr>
        <w:t>updating or adjusting the ranges set out in</w:t>
      </w:r>
      <w:r w:rsidR="009A6B67">
        <w:rPr>
          <w:noProof/>
        </w:rPr>
        <w:t xml:space="preserve"> </w:t>
      </w:r>
      <w:r w:rsidR="00906D3F" w:rsidRPr="00906D3F">
        <w:rPr>
          <w:noProof/>
        </w:rPr>
        <w:t>Part C to take into account changes in heavy-duty vehicle design and ensure that the ranges remain relevant for informa</w:t>
      </w:r>
      <w:r>
        <w:rPr>
          <w:noProof/>
        </w:rPr>
        <w:t>tion and comparability purposes;</w:t>
      </w:r>
    </w:p>
    <w:p w:rsidR="006959CD" w:rsidRDefault="006959CD" w:rsidP="006959CD">
      <w:pPr>
        <w:pStyle w:val="Text10"/>
        <w:ind w:left="1570" w:hanging="720"/>
        <w:rPr>
          <w:noProof/>
          <w:lang w:val="en-IE" w:eastAsia="de-DE"/>
        </w:rPr>
      </w:pPr>
      <w:r>
        <w:rPr>
          <w:noProof/>
          <w:lang w:val="en-IE" w:eastAsia="de-DE"/>
        </w:rPr>
        <w:t>3.</w:t>
      </w:r>
      <w:r>
        <w:rPr>
          <w:noProof/>
          <w:lang w:val="en-IE" w:eastAsia="de-DE"/>
        </w:rPr>
        <w:tab/>
      </w:r>
      <w:r w:rsidR="00A50BBC">
        <w:rPr>
          <w:noProof/>
          <w:lang w:val="en-IE" w:eastAsia="de-DE"/>
        </w:rPr>
        <w:t>T</w:t>
      </w:r>
      <w:r w:rsidRPr="00CF41E1">
        <w:rPr>
          <w:noProof/>
          <w:lang w:val="en-IE" w:eastAsia="de-DE"/>
        </w:rPr>
        <w:t xml:space="preserve">he Commission is </w:t>
      </w:r>
      <w:r w:rsidRPr="008F72B4">
        <w:rPr>
          <w:noProof/>
          <w:lang w:val="en-IE" w:eastAsia="de-DE"/>
        </w:rPr>
        <w:t>empowered</w:t>
      </w:r>
      <w:r w:rsidRPr="00CF41E1">
        <w:rPr>
          <w:noProof/>
          <w:lang w:val="en-IE" w:eastAsia="de-DE"/>
        </w:rPr>
        <w:t xml:space="preserve"> to adopt delegated acts in accordance with Article 17 with a view to amending</w:t>
      </w:r>
      <w:r>
        <w:rPr>
          <w:noProof/>
          <w:lang w:val="en-IE" w:eastAsia="de-DE"/>
        </w:rPr>
        <w:t xml:space="preserve"> the following element</w:t>
      </w:r>
      <w:r w:rsidR="00D526AE">
        <w:rPr>
          <w:noProof/>
          <w:lang w:val="en-IE" w:eastAsia="de-DE"/>
        </w:rPr>
        <w:t>s</w:t>
      </w:r>
      <w:r>
        <w:rPr>
          <w:noProof/>
          <w:lang w:val="en-IE" w:eastAsia="de-DE"/>
        </w:rPr>
        <w:t xml:space="preserve"> in</w:t>
      </w:r>
      <w:r w:rsidRPr="00CF41E1">
        <w:rPr>
          <w:noProof/>
          <w:lang w:val="en-IE" w:eastAsia="de-DE"/>
        </w:rPr>
        <w:t xml:space="preserve"> </w:t>
      </w:r>
      <w:r>
        <w:rPr>
          <w:noProof/>
          <w:lang w:val="en-IE" w:eastAsia="de-DE"/>
        </w:rPr>
        <w:t>Annex V:</w:t>
      </w:r>
    </w:p>
    <w:p w:rsidR="00906D3F" w:rsidRDefault="00D526AE" w:rsidP="00D526AE">
      <w:pPr>
        <w:pStyle w:val="Text20"/>
        <w:ind w:left="2137" w:hanging="720"/>
        <w:rPr>
          <w:noProof/>
          <w:lang w:val="en-IE" w:eastAsia="de-DE"/>
        </w:rPr>
      </w:pPr>
      <w:r>
        <w:rPr>
          <w:noProof/>
          <w:lang w:val="en-IE" w:eastAsia="de-DE"/>
        </w:rPr>
        <w:t xml:space="preserve">(a) </w:t>
      </w:r>
      <w:r>
        <w:rPr>
          <w:noProof/>
          <w:lang w:val="en-IE" w:eastAsia="de-DE"/>
        </w:rPr>
        <w:tab/>
      </w:r>
      <w:r w:rsidR="00906D3F" w:rsidRPr="00906D3F">
        <w:rPr>
          <w:noProof/>
          <w:lang w:val="en-IE" w:eastAsia="de-DE"/>
        </w:rPr>
        <w:t>adjusting the monitoring and reporting procedure set out in Annex V in order to take into account the experience gained from the application of this Regulation and in order to adapt it to technical progress</w:t>
      </w:r>
      <w:r w:rsidR="0033356D">
        <w:rPr>
          <w:noProof/>
          <w:lang w:val="en-IE" w:eastAsia="de-DE"/>
        </w:rPr>
        <w:t>;</w:t>
      </w:r>
    </w:p>
    <w:p w:rsidR="00C21654" w:rsidRDefault="00D526AE" w:rsidP="00C21654">
      <w:pPr>
        <w:pStyle w:val="Text2"/>
        <w:rPr>
          <w:noProof/>
          <w:lang w:val="en-IE" w:eastAsia="de-DE"/>
        </w:rPr>
      </w:pPr>
      <w:r>
        <w:rPr>
          <w:noProof/>
          <w:lang w:val="en-IE" w:eastAsia="de-DE"/>
        </w:rPr>
        <w:t xml:space="preserve">(b) </w:t>
      </w:r>
      <w:r>
        <w:rPr>
          <w:noProof/>
          <w:lang w:val="en-IE" w:eastAsia="de-DE"/>
        </w:rPr>
        <w:tab/>
        <w:t>amend</w:t>
      </w:r>
      <w:r w:rsidR="0033356D">
        <w:rPr>
          <w:noProof/>
          <w:lang w:val="en-IE" w:eastAsia="de-DE"/>
        </w:rPr>
        <w:t>ing</w:t>
      </w:r>
      <w:r>
        <w:rPr>
          <w:noProof/>
          <w:lang w:val="en-IE" w:eastAsia="de-DE"/>
        </w:rPr>
        <w:t xml:space="preserve"> point 3.2</w:t>
      </w:r>
      <w:r w:rsidR="0033356D">
        <w:rPr>
          <w:noProof/>
          <w:lang w:val="en-IE" w:eastAsia="de-DE"/>
        </w:rPr>
        <w:t xml:space="preserve"> by adding data entries which have been newly added to the register.</w:t>
      </w:r>
      <w:r w:rsidR="00322AAB">
        <w:rPr>
          <w:noProof/>
          <w:lang w:val="en-IE" w:eastAsia="de-DE"/>
        </w:rPr>
        <w:t>’</w:t>
      </w:r>
    </w:p>
    <w:p w:rsidR="00F541A4" w:rsidRPr="007864B9" w:rsidRDefault="005B4A90" w:rsidP="005B4A90">
      <w:pPr>
        <w:pStyle w:val="Point0"/>
        <w:rPr>
          <w:noProof/>
        </w:rPr>
      </w:pPr>
      <w:r w:rsidRPr="005B4A90">
        <w:t>(18)</w:t>
      </w:r>
      <w:r w:rsidRPr="005B4A90">
        <w:tab/>
      </w:r>
      <w:r w:rsidR="003B424B" w:rsidRPr="00B01002">
        <w:rPr>
          <w:noProof/>
        </w:rPr>
        <w:t>Article 15</w:t>
      </w:r>
      <w:r w:rsidR="00F541A4" w:rsidRPr="00B01002">
        <w:rPr>
          <w:noProof/>
        </w:rPr>
        <w:t xml:space="preserve"> is replaced by the </w:t>
      </w:r>
      <w:r w:rsidR="00F541A4" w:rsidRPr="007864B9">
        <w:rPr>
          <w:noProof/>
        </w:rPr>
        <w:t>following:</w:t>
      </w:r>
    </w:p>
    <w:p w:rsidR="00B01002" w:rsidRPr="00B01002" w:rsidRDefault="00F541A4" w:rsidP="00B01002">
      <w:pPr>
        <w:pStyle w:val="Text10"/>
        <w:jc w:val="center"/>
        <w:rPr>
          <w:noProof/>
          <w:lang w:val="en-IE" w:eastAsia="de-DE"/>
        </w:rPr>
      </w:pPr>
      <w:r w:rsidRPr="007864B9">
        <w:rPr>
          <w:noProof/>
        </w:rPr>
        <w:t>‘</w:t>
      </w:r>
      <w:r w:rsidR="00B01002" w:rsidRPr="007864B9">
        <w:rPr>
          <w:noProof/>
          <w:lang w:val="en-IE" w:eastAsia="de-DE"/>
        </w:rPr>
        <w:t xml:space="preserve">Article 15 </w:t>
      </w:r>
      <w:r w:rsidR="00B01002" w:rsidRPr="007864B9">
        <w:rPr>
          <w:noProof/>
          <w:lang w:val="en-IE" w:eastAsia="de-DE"/>
        </w:rPr>
        <w:br/>
        <w:t>Review</w:t>
      </w:r>
    </w:p>
    <w:p w:rsidR="00F541A4" w:rsidRPr="00B01002" w:rsidRDefault="00F541A4" w:rsidP="00B01002">
      <w:pPr>
        <w:pStyle w:val="Text10"/>
        <w:rPr>
          <w:noProof/>
        </w:rPr>
      </w:pPr>
      <w:r w:rsidRPr="00B01002">
        <w:rPr>
          <w:noProof/>
        </w:rPr>
        <w:t xml:space="preserve">The Commission shall, in </w:t>
      </w:r>
      <w:r w:rsidR="00F576F7" w:rsidRPr="00307E6A">
        <w:rPr>
          <w:noProof/>
        </w:rPr>
        <w:t>20</w:t>
      </w:r>
      <w:r w:rsidR="00C23376">
        <w:rPr>
          <w:noProof/>
        </w:rPr>
        <w:t>28</w:t>
      </w:r>
      <w:r w:rsidR="00392CFD">
        <w:rPr>
          <w:noProof/>
        </w:rPr>
        <w:t>,</w:t>
      </w:r>
      <w:r w:rsidRPr="00B01002">
        <w:rPr>
          <w:noProof/>
        </w:rPr>
        <w:t xml:space="preserve"> review the effectiveness and impact of this Regulation and submit a report to the European Parliament and to the Council with the result of the review.</w:t>
      </w:r>
    </w:p>
    <w:p w:rsidR="00F541A4" w:rsidRPr="00B01002" w:rsidRDefault="00F541A4" w:rsidP="00B01002">
      <w:pPr>
        <w:pStyle w:val="Text10"/>
        <w:rPr>
          <w:noProof/>
        </w:rPr>
      </w:pPr>
      <w:r w:rsidRPr="00B01002">
        <w:rPr>
          <w:noProof/>
        </w:rPr>
        <w:t>The report shall, where appropriate, be accompanied by a proposal for amending this Regulation.’</w:t>
      </w:r>
    </w:p>
    <w:p w:rsidR="003B424B" w:rsidRPr="00416B50" w:rsidRDefault="005B4A90" w:rsidP="005B4A90">
      <w:pPr>
        <w:pStyle w:val="Point0"/>
        <w:rPr>
          <w:noProof/>
        </w:rPr>
      </w:pPr>
      <w:r w:rsidRPr="005B4A90">
        <w:t>(19)</w:t>
      </w:r>
      <w:r w:rsidRPr="005B4A90">
        <w:tab/>
      </w:r>
      <w:r w:rsidR="00635E54" w:rsidRPr="00416B50">
        <w:rPr>
          <w:noProof/>
        </w:rPr>
        <w:t xml:space="preserve">Article 17 is amended as follows: </w:t>
      </w:r>
    </w:p>
    <w:p w:rsidR="00053BB7" w:rsidRDefault="005B4A90" w:rsidP="005B4A90">
      <w:pPr>
        <w:pStyle w:val="Point1"/>
        <w:rPr>
          <w:noProof/>
        </w:rPr>
      </w:pPr>
      <w:r w:rsidRPr="005B4A90">
        <w:t>(a)</w:t>
      </w:r>
      <w:r w:rsidRPr="005B4A90">
        <w:tab/>
      </w:r>
      <w:r w:rsidR="00053BB7">
        <w:rPr>
          <w:noProof/>
        </w:rPr>
        <w:t xml:space="preserve">in paragraph </w:t>
      </w:r>
      <w:r w:rsidR="008B21A2">
        <w:rPr>
          <w:noProof/>
        </w:rPr>
        <w:t>2</w:t>
      </w:r>
      <w:r w:rsidR="00053BB7">
        <w:rPr>
          <w:noProof/>
        </w:rPr>
        <w:t xml:space="preserve">, the first sentence is </w:t>
      </w:r>
      <w:r w:rsidR="008B21A2">
        <w:rPr>
          <w:noProof/>
        </w:rPr>
        <w:t>replaced by the following</w:t>
      </w:r>
      <w:r w:rsidR="00053BB7">
        <w:rPr>
          <w:noProof/>
        </w:rPr>
        <w:t>:</w:t>
      </w:r>
    </w:p>
    <w:p w:rsidR="00053BB7" w:rsidRPr="0027645D" w:rsidRDefault="00053BB7" w:rsidP="00053BB7">
      <w:pPr>
        <w:pStyle w:val="Text20"/>
        <w:rPr>
          <w:noProof/>
        </w:rPr>
      </w:pPr>
      <w:r>
        <w:rPr>
          <w:noProof/>
        </w:rPr>
        <w:t>‘</w:t>
      </w:r>
      <w:r w:rsidRPr="00E03AE6">
        <w:rPr>
          <w:rFonts w:eastAsia="Times New Roman"/>
          <w:noProof/>
          <w:szCs w:val="24"/>
          <w:lang w:val="en-IE" w:eastAsia="de-DE"/>
        </w:rPr>
        <w:t xml:space="preserve">The power to adopt delegated acts referred to in </w:t>
      </w:r>
      <w:r w:rsidR="00E54BBF">
        <w:rPr>
          <w:rFonts w:eastAsia="Times New Roman"/>
          <w:noProof/>
          <w:szCs w:val="24"/>
          <w:lang w:val="en-IE" w:eastAsia="de-DE"/>
        </w:rPr>
        <w:t xml:space="preserve">Article 3b, </w:t>
      </w:r>
      <w:r w:rsidRPr="0027645D">
        <w:rPr>
          <w:rFonts w:eastAsia="Times New Roman"/>
          <w:noProof/>
          <w:szCs w:val="24"/>
          <w:lang w:val="en-IE" w:eastAsia="de-DE"/>
        </w:rPr>
        <w:t xml:space="preserve">Article 11(2), Article 13(4) second subparagraph, </w:t>
      </w:r>
      <w:r w:rsidR="0027645D" w:rsidRPr="0027645D">
        <w:rPr>
          <w:rFonts w:eastAsia="Times New Roman"/>
          <w:noProof/>
          <w:szCs w:val="24"/>
          <w:lang w:val="en-IE" w:eastAsia="de-DE"/>
        </w:rPr>
        <w:t>Article 13c(3), Article 13d</w:t>
      </w:r>
      <w:r w:rsidRPr="0027645D">
        <w:rPr>
          <w:rFonts w:eastAsia="Times New Roman"/>
          <w:noProof/>
          <w:szCs w:val="24"/>
          <w:lang w:val="en-IE" w:eastAsia="de-DE"/>
        </w:rPr>
        <w:t xml:space="preserve">(2), </w:t>
      </w:r>
      <w:r w:rsidR="0027645D" w:rsidRPr="0027645D">
        <w:rPr>
          <w:rFonts w:eastAsia="Times New Roman"/>
          <w:noProof/>
          <w:szCs w:val="24"/>
          <w:lang w:val="en-IE" w:eastAsia="de-DE"/>
        </w:rPr>
        <w:t>Article 13e(4), Article 13f</w:t>
      </w:r>
      <w:r w:rsidRPr="0027645D">
        <w:rPr>
          <w:rFonts w:eastAsia="Times New Roman"/>
          <w:noProof/>
          <w:szCs w:val="24"/>
          <w:lang w:val="en-IE" w:eastAsia="de-DE"/>
        </w:rPr>
        <w:t>(2)</w:t>
      </w:r>
      <w:r w:rsidR="0027645D" w:rsidRPr="0027645D">
        <w:rPr>
          <w:rFonts w:eastAsia="Times New Roman"/>
          <w:noProof/>
          <w:szCs w:val="24"/>
          <w:lang w:val="en-IE" w:eastAsia="de-DE"/>
        </w:rPr>
        <w:t xml:space="preserve"> and</w:t>
      </w:r>
      <w:r w:rsidRPr="0027645D">
        <w:rPr>
          <w:rFonts w:eastAsia="Times New Roman"/>
          <w:noProof/>
          <w:szCs w:val="24"/>
          <w:lang w:val="en-IE" w:eastAsia="de-DE"/>
        </w:rPr>
        <w:t xml:space="preserve"> Article 14(1) shall be conferred on the Commission for a period of five years from [</w:t>
      </w:r>
      <w:r w:rsidR="00322AAB" w:rsidRPr="00322AAB">
        <w:rPr>
          <w:rFonts w:eastAsia="Times New Roman"/>
          <w:i/>
          <w:noProof/>
          <w:szCs w:val="24"/>
          <w:lang w:val="en-IE" w:eastAsia="de-DE"/>
        </w:rPr>
        <w:t xml:space="preserve">OP, please insert the </w:t>
      </w:r>
      <w:r w:rsidRPr="00322AAB">
        <w:rPr>
          <w:rFonts w:eastAsia="Times New Roman"/>
          <w:i/>
          <w:noProof/>
          <w:szCs w:val="24"/>
          <w:lang w:val="en-IE" w:eastAsia="de-DE"/>
        </w:rPr>
        <w:t>date of entry into force of this Regulation</w:t>
      </w:r>
      <w:r w:rsidRPr="0027645D">
        <w:rPr>
          <w:rFonts w:eastAsia="Times New Roman"/>
          <w:noProof/>
          <w:szCs w:val="24"/>
          <w:lang w:val="en-IE" w:eastAsia="de-DE"/>
        </w:rPr>
        <w:t>].</w:t>
      </w:r>
      <w:r w:rsidRPr="0027645D">
        <w:rPr>
          <w:noProof/>
        </w:rPr>
        <w:t>’;</w:t>
      </w:r>
    </w:p>
    <w:p w:rsidR="00053BB7" w:rsidRDefault="005B4A90" w:rsidP="005B4A90">
      <w:pPr>
        <w:pStyle w:val="Point1"/>
        <w:rPr>
          <w:noProof/>
        </w:rPr>
      </w:pPr>
      <w:r w:rsidRPr="005B4A90">
        <w:t>(b)</w:t>
      </w:r>
      <w:r w:rsidRPr="005B4A90">
        <w:tab/>
      </w:r>
      <w:r w:rsidR="00053BB7" w:rsidRPr="0027645D">
        <w:rPr>
          <w:noProof/>
        </w:rPr>
        <w:t>in paragraph</w:t>
      </w:r>
      <w:r w:rsidR="00053BB7">
        <w:rPr>
          <w:noProof/>
        </w:rPr>
        <w:t xml:space="preserve"> 3, the first sentence is </w:t>
      </w:r>
      <w:r w:rsidR="008B21A2">
        <w:rPr>
          <w:noProof/>
        </w:rPr>
        <w:t>replaced by the following</w:t>
      </w:r>
      <w:r w:rsidR="00053BB7">
        <w:rPr>
          <w:noProof/>
        </w:rPr>
        <w:t>:</w:t>
      </w:r>
    </w:p>
    <w:p w:rsidR="00053BB7" w:rsidRDefault="00053BB7" w:rsidP="00053BB7">
      <w:pPr>
        <w:pStyle w:val="Text20"/>
        <w:rPr>
          <w:noProof/>
        </w:rPr>
      </w:pPr>
      <w:r>
        <w:rPr>
          <w:noProof/>
        </w:rPr>
        <w:t>‘</w:t>
      </w:r>
      <w:r w:rsidRPr="00E03AE6">
        <w:rPr>
          <w:rFonts w:eastAsia="Times New Roman"/>
          <w:noProof/>
          <w:szCs w:val="24"/>
          <w:lang w:val="en-IE" w:eastAsia="de-DE"/>
        </w:rPr>
        <w:t xml:space="preserve">The delegation of power referred to in </w:t>
      </w:r>
      <w:r w:rsidR="0027645D" w:rsidRPr="0027645D">
        <w:rPr>
          <w:rFonts w:eastAsia="Times New Roman"/>
          <w:noProof/>
          <w:szCs w:val="24"/>
          <w:lang w:val="en-IE" w:eastAsia="de-DE"/>
        </w:rPr>
        <w:t>Article 11(2), Article 13(4) second subparagraph, Article 13c(3), Article 13d(2), Article 13e(4), Article 13f(2) and Article 14(1)</w:t>
      </w:r>
      <w:r w:rsidR="0027645D">
        <w:rPr>
          <w:rFonts w:eastAsia="Times New Roman"/>
          <w:noProof/>
          <w:szCs w:val="24"/>
          <w:lang w:val="en-IE" w:eastAsia="de-DE"/>
        </w:rPr>
        <w:t xml:space="preserve"> </w:t>
      </w:r>
      <w:r w:rsidRPr="00E03AE6">
        <w:rPr>
          <w:rFonts w:eastAsia="Times New Roman"/>
          <w:noProof/>
          <w:szCs w:val="24"/>
          <w:lang w:val="en-IE" w:eastAsia="de-DE"/>
        </w:rPr>
        <w:t>may be revoked at any time by the European Parliament or by the Council</w:t>
      </w:r>
      <w:r>
        <w:rPr>
          <w:rFonts w:eastAsia="Times New Roman"/>
          <w:noProof/>
          <w:szCs w:val="24"/>
          <w:lang w:val="en-IE" w:eastAsia="de-DE"/>
        </w:rPr>
        <w:t>.</w:t>
      </w:r>
      <w:r>
        <w:rPr>
          <w:noProof/>
        </w:rPr>
        <w:t>’;</w:t>
      </w:r>
    </w:p>
    <w:p w:rsidR="00053BB7" w:rsidRDefault="005B4A90" w:rsidP="005B4A90">
      <w:pPr>
        <w:pStyle w:val="Point1"/>
        <w:rPr>
          <w:noProof/>
        </w:rPr>
      </w:pPr>
      <w:r w:rsidRPr="005B4A90">
        <w:t>(c)</w:t>
      </w:r>
      <w:r w:rsidRPr="005B4A90">
        <w:tab/>
      </w:r>
      <w:r w:rsidR="00053BB7">
        <w:rPr>
          <w:noProof/>
        </w:rPr>
        <w:t xml:space="preserve">in paragraph (6), “Article 11(2), the second subparagraph of Article 13(4) and Article 14(1)” is replaced by </w:t>
      </w:r>
      <w:r w:rsidR="00331B26">
        <w:rPr>
          <w:noProof/>
        </w:rPr>
        <w:t xml:space="preserve">the following: </w:t>
      </w:r>
      <w:r w:rsidR="00053BB7">
        <w:rPr>
          <w:noProof/>
        </w:rPr>
        <w:t>“</w:t>
      </w:r>
      <w:r w:rsidR="0027645D" w:rsidRPr="0027645D">
        <w:rPr>
          <w:rFonts w:eastAsia="Times New Roman"/>
          <w:noProof/>
          <w:szCs w:val="24"/>
          <w:lang w:val="en-IE" w:eastAsia="de-DE"/>
        </w:rPr>
        <w:t>Article 11(2), Article 13(4) second subparagraph, Article 13c(3), Article 13d(2), Article 13f(2) and Article 14(1)</w:t>
      </w:r>
      <w:r w:rsidR="0027645D">
        <w:rPr>
          <w:rFonts w:eastAsia="Times New Roman"/>
          <w:noProof/>
          <w:szCs w:val="24"/>
          <w:lang w:val="en-IE" w:eastAsia="de-DE"/>
        </w:rPr>
        <w:t>”;</w:t>
      </w:r>
    </w:p>
    <w:p w:rsidR="0097314C" w:rsidRDefault="005B4A90" w:rsidP="005B4A90">
      <w:pPr>
        <w:pStyle w:val="Point0"/>
        <w:rPr>
          <w:noProof/>
        </w:rPr>
      </w:pPr>
      <w:r w:rsidRPr="005B4A90">
        <w:t>(20)</w:t>
      </w:r>
      <w:r w:rsidRPr="005B4A90">
        <w:tab/>
      </w:r>
      <w:r w:rsidR="0097314C">
        <w:rPr>
          <w:noProof/>
        </w:rPr>
        <w:t>Annex</w:t>
      </w:r>
      <w:r w:rsidR="00245C7F">
        <w:rPr>
          <w:noProof/>
        </w:rPr>
        <w:t>es</w:t>
      </w:r>
      <w:r w:rsidR="0097314C">
        <w:rPr>
          <w:noProof/>
        </w:rPr>
        <w:t xml:space="preserve"> I</w:t>
      </w:r>
      <w:r w:rsidR="00245C7F">
        <w:rPr>
          <w:noProof/>
        </w:rPr>
        <w:t>, II and III</w:t>
      </w:r>
      <w:r w:rsidR="0097314C">
        <w:rPr>
          <w:noProof/>
        </w:rPr>
        <w:t xml:space="preserve"> </w:t>
      </w:r>
      <w:r w:rsidR="00245C7F">
        <w:rPr>
          <w:noProof/>
        </w:rPr>
        <w:t xml:space="preserve">to Regulation </w:t>
      </w:r>
      <w:bookmarkStart w:id="5" w:name="_Hlk123912230"/>
      <w:r w:rsidR="00245C7F">
        <w:rPr>
          <w:noProof/>
        </w:rPr>
        <w:t xml:space="preserve">(EU) 2019/1242 </w:t>
      </w:r>
      <w:bookmarkEnd w:id="5"/>
      <w:r w:rsidR="00245C7F">
        <w:rPr>
          <w:noProof/>
        </w:rPr>
        <w:t>are</w:t>
      </w:r>
      <w:r w:rsidR="0097314C">
        <w:rPr>
          <w:noProof/>
        </w:rPr>
        <w:t xml:space="preserve"> replaced by the text in Annex I to this Regulation;</w:t>
      </w:r>
    </w:p>
    <w:p w:rsidR="0097314C" w:rsidRDefault="005B4A90" w:rsidP="005B4A90">
      <w:pPr>
        <w:pStyle w:val="Point0"/>
        <w:rPr>
          <w:noProof/>
        </w:rPr>
      </w:pPr>
      <w:r w:rsidRPr="005B4A90">
        <w:t>(21)</w:t>
      </w:r>
      <w:r w:rsidRPr="005B4A90">
        <w:tab/>
      </w:r>
      <w:r w:rsidR="0097314C">
        <w:rPr>
          <w:noProof/>
        </w:rPr>
        <w:t xml:space="preserve">the text in Annex </w:t>
      </w:r>
      <w:r w:rsidR="00245C7F">
        <w:rPr>
          <w:noProof/>
        </w:rPr>
        <w:t xml:space="preserve">II </w:t>
      </w:r>
      <w:r w:rsidR="0097314C">
        <w:rPr>
          <w:noProof/>
        </w:rPr>
        <w:t>to this Regulation is added as Annex</w:t>
      </w:r>
      <w:r w:rsidR="00245C7F">
        <w:rPr>
          <w:noProof/>
        </w:rPr>
        <w:t>es</w:t>
      </w:r>
      <w:r w:rsidR="0097314C">
        <w:rPr>
          <w:noProof/>
        </w:rPr>
        <w:t xml:space="preserve"> IV</w:t>
      </w:r>
      <w:r w:rsidR="00245C7F">
        <w:rPr>
          <w:noProof/>
        </w:rPr>
        <w:t>, V and VI</w:t>
      </w:r>
      <w:r w:rsidR="00C70C0B">
        <w:rPr>
          <w:noProof/>
        </w:rPr>
        <w:t xml:space="preserve"> to Regulation </w:t>
      </w:r>
      <w:r w:rsidR="00C70C0B" w:rsidRPr="00C70C0B">
        <w:rPr>
          <w:noProof/>
        </w:rPr>
        <w:t>(EU) 2019/1242</w:t>
      </w:r>
      <w:r w:rsidR="0097314C">
        <w:rPr>
          <w:noProof/>
        </w:rPr>
        <w:t>;</w:t>
      </w:r>
    </w:p>
    <w:p w:rsidR="00D3141F" w:rsidRPr="00B01002" w:rsidRDefault="00441007" w:rsidP="006537B0">
      <w:pPr>
        <w:pStyle w:val="Titrearticle"/>
        <w:rPr>
          <w:i w:val="0"/>
          <w:noProof/>
        </w:rPr>
      </w:pPr>
      <w:r w:rsidRPr="00B01002">
        <w:rPr>
          <w:noProof/>
        </w:rPr>
        <w:t xml:space="preserve">Article </w:t>
      </w:r>
      <w:r w:rsidR="00925028">
        <w:rPr>
          <w:noProof/>
        </w:rPr>
        <w:t>2</w:t>
      </w:r>
      <w:r w:rsidRPr="00B01002">
        <w:rPr>
          <w:noProof/>
        </w:rPr>
        <w:br/>
      </w:r>
      <w:r w:rsidR="00D3141F" w:rsidRPr="00B01002">
        <w:rPr>
          <w:b/>
          <w:i w:val="0"/>
          <w:noProof/>
        </w:rPr>
        <w:t xml:space="preserve">Repeal </w:t>
      </w:r>
      <w:r w:rsidR="00635E54" w:rsidRPr="00635E54">
        <w:rPr>
          <w:b/>
          <w:i w:val="0"/>
          <w:noProof/>
        </w:rPr>
        <w:t>of Regulation (EU) 2018/956</w:t>
      </w:r>
    </w:p>
    <w:p w:rsidR="00604BE6" w:rsidRDefault="00441007" w:rsidP="00441007">
      <w:pPr>
        <w:rPr>
          <w:noProof/>
        </w:rPr>
      </w:pPr>
      <w:r>
        <w:rPr>
          <w:noProof/>
        </w:rPr>
        <w:t xml:space="preserve">Regulation (EU) </w:t>
      </w:r>
      <w:r w:rsidR="00D3141F" w:rsidRPr="00441007">
        <w:rPr>
          <w:noProof/>
        </w:rPr>
        <w:t xml:space="preserve">2018/956 </w:t>
      </w:r>
      <w:r>
        <w:rPr>
          <w:noProof/>
        </w:rPr>
        <w:t>is</w:t>
      </w:r>
      <w:r w:rsidR="00D3141F" w:rsidRPr="00441007">
        <w:rPr>
          <w:noProof/>
        </w:rPr>
        <w:t xml:space="preserve"> repealed</w:t>
      </w:r>
      <w:r w:rsidR="00FD144E">
        <w:rPr>
          <w:noProof/>
        </w:rPr>
        <w:t xml:space="preserve"> with effect from [</w:t>
      </w:r>
      <w:r w:rsidR="00FD144E" w:rsidRPr="007864B9">
        <w:rPr>
          <w:i/>
          <w:noProof/>
        </w:rPr>
        <w:t>OP, please insert date of application</w:t>
      </w:r>
      <w:r w:rsidR="00FD144E">
        <w:rPr>
          <w:noProof/>
        </w:rPr>
        <w:t>].</w:t>
      </w:r>
    </w:p>
    <w:p w:rsidR="00604BE6" w:rsidRDefault="00604BE6" w:rsidP="00604BE6">
      <w:pPr>
        <w:rPr>
          <w:noProof/>
          <w:szCs w:val="24"/>
          <w:lang w:val="en-IE"/>
        </w:rPr>
      </w:pPr>
      <w:r w:rsidRPr="009D496E">
        <w:rPr>
          <w:noProof/>
          <w:szCs w:val="24"/>
          <w:lang w:val="en-IE"/>
        </w:rPr>
        <w:t>References to Regulation (EU) 2018/956 s</w:t>
      </w:r>
      <w:r>
        <w:rPr>
          <w:noProof/>
          <w:szCs w:val="24"/>
          <w:lang w:val="en-IE"/>
        </w:rPr>
        <w:t>h</w:t>
      </w:r>
      <w:r w:rsidRPr="009D496E">
        <w:rPr>
          <w:noProof/>
          <w:szCs w:val="24"/>
          <w:lang w:val="en-IE"/>
        </w:rPr>
        <w:t>all be construed as references to this Regulation and be read in accordance with the correlation table</w:t>
      </w:r>
      <w:r>
        <w:rPr>
          <w:noProof/>
          <w:szCs w:val="24"/>
          <w:lang w:val="en-IE"/>
        </w:rPr>
        <w:t xml:space="preserve"> </w:t>
      </w:r>
      <w:r w:rsidRPr="009D496E">
        <w:rPr>
          <w:noProof/>
          <w:szCs w:val="24"/>
          <w:lang w:val="en-IE"/>
        </w:rPr>
        <w:t xml:space="preserve">set out in </w:t>
      </w:r>
      <w:r w:rsidRPr="00604BE6">
        <w:rPr>
          <w:noProof/>
          <w:szCs w:val="24"/>
          <w:lang w:val="en-IE"/>
        </w:rPr>
        <w:t>Annex</w:t>
      </w:r>
      <w:r w:rsidRPr="009D496E">
        <w:rPr>
          <w:noProof/>
          <w:szCs w:val="24"/>
          <w:lang w:val="en-IE"/>
        </w:rPr>
        <w:t xml:space="preserve"> </w:t>
      </w:r>
      <w:r w:rsidR="007906BF">
        <w:rPr>
          <w:noProof/>
          <w:szCs w:val="24"/>
          <w:lang w:val="en-IE"/>
        </w:rPr>
        <w:t>VI</w:t>
      </w:r>
      <w:r w:rsidRPr="009D496E">
        <w:rPr>
          <w:noProof/>
          <w:szCs w:val="24"/>
          <w:lang w:val="en-IE"/>
        </w:rPr>
        <w:t xml:space="preserve"> to this Regulation.</w:t>
      </w:r>
    </w:p>
    <w:p w:rsidR="00571BD5" w:rsidRPr="00B01002" w:rsidRDefault="00571BD5" w:rsidP="006537B0">
      <w:pPr>
        <w:pStyle w:val="Titrearticle"/>
        <w:rPr>
          <w:b/>
          <w:i w:val="0"/>
          <w:noProof/>
        </w:rPr>
      </w:pPr>
      <w:r w:rsidRPr="00F96E01">
        <w:rPr>
          <w:noProof/>
        </w:rPr>
        <w:t xml:space="preserve">Article </w:t>
      </w:r>
      <w:r w:rsidR="00925028">
        <w:rPr>
          <w:noProof/>
        </w:rPr>
        <w:t>3</w:t>
      </w:r>
      <w:r w:rsidR="00441007" w:rsidRPr="00C9020F">
        <w:rPr>
          <w:noProof/>
        </w:rPr>
        <w:br/>
        <w:t>Entry into force</w:t>
      </w:r>
    </w:p>
    <w:p w:rsidR="00571BD5" w:rsidRPr="00F96E01" w:rsidRDefault="00571BD5" w:rsidP="006537B0">
      <w:pPr>
        <w:rPr>
          <w:noProof/>
        </w:rPr>
      </w:pPr>
      <w:r w:rsidRPr="00F96E01">
        <w:rPr>
          <w:noProof/>
        </w:rPr>
        <w:t xml:space="preserve">This Regulation shall enter into force on the </w:t>
      </w:r>
      <w:r w:rsidR="005B69A5">
        <w:rPr>
          <w:noProof/>
        </w:rPr>
        <w:t xml:space="preserve">twentieth </w:t>
      </w:r>
      <w:r w:rsidRPr="00F96E01">
        <w:rPr>
          <w:noProof/>
        </w:rPr>
        <w:t xml:space="preserve">day following that of its publication in the </w:t>
      </w:r>
      <w:r w:rsidRPr="00F96E01">
        <w:rPr>
          <w:i/>
          <w:noProof/>
        </w:rPr>
        <w:t>Official Journal of the European Union</w:t>
      </w:r>
      <w:r w:rsidRPr="00F96E01">
        <w:rPr>
          <w:noProof/>
        </w:rPr>
        <w:t>.</w:t>
      </w:r>
    </w:p>
    <w:p w:rsidR="00FB177B" w:rsidRDefault="00FB177B" w:rsidP="007906BF">
      <w:pPr>
        <w:rPr>
          <w:noProof/>
        </w:rPr>
      </w:pPr>
      <w:r>
        <w:rPr>
          <w:noProof/>
        </w:rPr>
        <w:t>It shall apply</w:t>
      </w:r>
      <w:r w:rsidR="001254AE">
        <w:rPr>
          <w:noProof/>
        </w:rPr>
        <w:t xml:space="preserve"> </w:t>
      </w:r>
      <w:r w:rsidR="00E8784E">
        <w:rPr>
          <w:noProof/>
        </w:rPr>
        <w:t>from 1 July [</w:t>
      </w:r>
      <w:bookmarkStart w:id="6" w:name="_Hlk123910255"/>
      <w:r w:rsidR="0007074E" w:rsidRPr="007864B9">
        <w:rPr>
          <w:i/>
          <w:iCs/>
          <w:noProof/>
        </w:rPr>
        <w:t>OP please</w:t>
      </w:r>
      <w:r w:rsidR="0007074E">
        <w:rPr>
          <w:noProof/>
        </w:rPr>
        <w:t xml:space="preserve"> </w:t>
      </w:r>
      <w:r w:rsidR="00E8784E" w:rsidRPr="007864B9">
        <w:rPr>
          <w:i/>
          <w:iCs/>
          <w:noProof/>
        </w:rPr>
        <w:t xml:space="preserve">insert </w:t>
      </w:r>
      <w:r w:rsidR="00E8784E">
        <w:rPr>
          <w:i/>
          <w:iCs/>
          <w:noProof/>
        </w:rPr>
        <w:t xml:space="preserve">the </w:t>
      </w:r>
      <w:r w:rsidR="00E8784E" w:rsidRPr="007864B9">
        <w:rPr>
          <w:i/>
          <w:iCs/>
          <w:noProof/>
        </w:rPr>
        <w:t xml:space="preserve">calendar year </w:t>
      </w:r>
      <w:r w:rsidR="0007074E">
        <w:rPr>
          <w:i/>
          <w:iCs/>
          <w:noProof/>
        </w:rPr>
        <w:t>= year of</w:t>
      </w:r>
      <w:r w:rsidR="00E8784E" w:rsidRPr="007864B9">
        <w:rPr>
          <w:i/>
          <w:iCs/>
          <w:noProof/>
        </w:rPr>
        <w:t xml:space="preserve"> </w:t>
      </w:r>
      <w:r w:rsidR="0007074E">
        <w:rPr>
          <w:i/>
          <w:iCs/>
          <w:noProof/>
        </w:rPr>
        <w:t xml:space="preserve">the </w:t>
      </w:r>
      <w:r w:rsidR="00E8784E" w:rsidRPr="007864B9">
        <w:rPr>
          <w:i/>
          <w:iCs/>
          <w:noProof/>
        </w:rPr>
        <w:t>1</w:t>
      </w:r>
      <w:r w:rsidR="00E8784E" w:rsidRPr="007864B9">
        <w:rPr>
          <w:i/>
          <w:iCs/>
          <w:noProof/>
          <w:vertAlign w:val="superscript"/>
        </w:rPr>
        <w:t>st</w:t>
      </w:r>
      <w:r w:rsidR="00E8784E" w:rsidRPr="007864B9">
        <w:rPr>
          <w:i/>
          <w:iCs/>
          <w:noProof/>
        </w:rPr>
        <w:t xml:space="preserve"> of July following </w:t>
      </w:r>
      <w:r w:rsidR="00E8784E">
        <w:rPr>
          <w:i/>
          <w:iCs/>
          <w:noProof/>
        </w:rPr>
        <w:t>the</w:t>
      </w:r>
      <w:r w:rsidR="00E8784E" w:rsidRPr="007864B9">
        <w:rPr>
          <w:i/>
          <w:iCs/>
          <w:noProof/>
        </w:rPr>
        <w:t xml:space="preserve"> entry into force</w:t>
      </w:r>
      <w:bookmarkEnd w:id="6"/>
      <w:r w:rsidR="00E8784E">
        <w:rPr>
          <w:i/>
          <w:iCs/>
          <w:noProof/>
        </w:rPr>
        <w:t xml:space="preserve"> of this Act</w:t>
      </w:r>
      <w:r w:rsidR="00E8784E">
        <w:rPr>
          <w:noProof/>
        </w:rPr>
        <w:t>]</w:t>
      </w:r>
      <w:r>
        <w:rPr>
          <w:noProof/>
        </w:rPr>
        <w:t>.</w:t>
      </w:r>
    </w:p>
    <w:p w:rsidR="00FB177B" w:rsidRDefault="00FB177B" w:rsidP="007906BF">
      <w:pPr>
        <w:rPr>
          <w:noProof/>
        </w:rPr>
      </w:pPr>
      <w:r>
        <w:rPr>
          <w:noProof/>
        </w:rPr>
        <w:t xml:space="preserve">However, </w:t>
      </w:r>
      <w:r w:rsidR="00663B65">
        <w:rPr>
          <w:noProof/>
        </w:rPr>
        <w:t>in respect of reporting periods prior to [</w:t>
      </w:r>
      <w:r w:rsidR="00245C7F" w:rsidRPr="007864B9">
        <w:rPr>
          <w:i/>
          <w:iCs/>
          <w:noProof/>
        </w:rPr>
        <w:t xml:space="preserve">OP please insert the date = </w:t>
      </w:r>
      <w:r w:rsidR="00663B65" w:rsidRPr="007864B9">
        <w:rPr>
          <w:i/>
          <w:noProof/>
        </w:rPr>
        <w:t>date of application</w:t>
      </w:r>
      <w:r w:rsidR="00663B65">
        <w:rPr>
          <w:noProof/>
        </w:rPr>
        <w:t>],</w:t>
      </w:r>
      <w:r w:rsidR="00006C9D">
        <w:rPr>
          <w:noProof/>
        </w:rPr>
        <w:t xml:space="preserve"> </w:t>
      </w:r>
      <w:r w:rsidR="00006C9D" w:rsidRPr="00E8784E">
        <w:rPr>
          <w:noProof/>
        </w:rPr>
        <w:t xml:space="preserve">Regulation (EU) 2019/1242 </w:t>
      </w:r>
      <w:r w:rsidR="00245C7F" w:rsidRPr="00245C7F">
        <w:rPr>
          <w:noProof/>
        </w:rPr>
        <w:t xml:space="preserve">as applicable on 30 June </w:t>
      </w:r>
      <w:r w:rsidR="00245C7F">
        <w:rPr>
          <w:noProof/>
        </w:rPr>
        <w:t>[</w:t>
      </w:r>
      <w:r w:rsidR="00245C7F" w:rsidRPr="00B27ADE">
        <w:rPr>
          <w:i/>
          <w:iCs/>
          <w:noProof/>
        </w:rPr>
        <w:t>OP please</w:t>
      </w:r>
      <w:r w:rsidR="00245C7F">
        <w:rPr>
          <w:noProof/>
        </w:rPr>
        <w:t xml:space="preserve"> </w:t>
      </w:r>
      <w:r w:rsidR="00245C7F" w:rsidRPr="00B27ADE">
        <w:rPr>
          <w:i/>
          <w:iCs/>
          <w:noProof/>
        </w:rPr>
        <w:t xml:space="preserve">insert </w:t>
      </w:r>
      <w:r w:rsidR="00245C7F">
        <w:rPr>
          <w:i/>
          <w:iCs/>
          <w:noProof/>
        </w:rPr>
        <w:t xml:space="preserve">the </w:t>
      </w:r>
      <w:r w:rsidR="00245C7F" w:rsidRPr="00B27ADE">
        <w:rPr>
          <w:i/>
          <w:iCs/>
          <w:noProof/>
        </w:rPr>
        <w:t xml:space="preserve">calendar year </w:t>
      </w:r>
      <w:r w:rsidR="00245C7F">
        <w:rPr>
          <w:i/>
          <w:iCs/>
          <w:noProof/>
        </w:rPr>
        <w:t xml:space="preserve">= </w:t>
      </w:r>
      <w:r w:rsidR="00245C7F" w:rsidRPr="00B27ADE">
        <w:rPr>
          <w:i/>
          <w:iCs/>
          <w:noProof/>
        </w:rPr>
        <w:t xml:space="preserve">year of </w:t>
      </w:r>
      <w:r w:rsidR="00245C7F">
        <w:rPr>
          <w:i/>
          <w:iCs/>
          <w:noProof/>
        </w:rPr>
        <w:t xml:space="preserve">the </w:t>
      </w:r>
      <w:r w:rsidR="00245C7F" w:rsidRPr="00B27ADE">
        <w:rPr>
          <w:i/>
          <w:iCs/>
          <w:noProof/>
        </w:rPr>
        <w:t xml:space="preserve">1st of July following </w:t>
      </w:r>
      <w:r w:rsidR="00245C7F">
        <w:rPr>
          <w:i/>
          <w:iCs/>
          <w:noProof/>
        </w:rPr>
        <w:t>the</w:t>
      </w:r>
      <w:r w:rsidR="00245C7F" w:rsidRPr="00B27ADE">
        <w:rPr>
          <w:i/>
          <w:iCs/>
          <w:noProof/>
        </w:rPr>
        <w:t xml:space="preserve"> entry into force</w:t>
      </w:r>
      <w:r w:rsidR="00245C7F">
        <w:rPr>
          <w:i/>
          <w:iCs/>
          <w:noProof/>
        </w:rPr>
        <w:t xml:space="preserve"> of this Act</w:t>
      </w:r>
      <w:r w:rsidR="00245C7F">
        <w:rPr>
          <w:noProof/>
        </w:rPr>
        <w:t>]</w:t>
      </w:r>
      <w:r w:rsidR="00245C7F" w:rsidRPr="00E8784E">
        <w:rPr>
          <w:noProof/>
        </w:rPr>
        <w:t xml:space="preserve"> </w:t>
      </w:r>
      <w:r w:rsidR="00006C9D" w:rsidRPr="00E8784E">
        <w:rPr>
          <w:noProof/>
        </w:rPr>
        <w:t>and</w:t>
      </w:r>
      <w:r w:rsidR="00006C9D">
        <w:rPr>
          <w:noProof/>
        </w:rPr>
        <w:t xml:space="preserve"> </w:t>
      </w:r>
      <w:r w:rsidR="00663B65" w:rsidRPr="00E8784E">
        <w:rPr>
          <w:noProof/>
          <w:szCs w:val="24"/>
          <w:lang w:val="en-IE"/>
        </w:rPr>
        <w:t>Regulation (EU) 2018/956</w:t>
      </w:r>
      <w:r>
        <w:rPr>
          <w:noProof/>
        </w:rPr>
        <w:t xml:space="preserve"> </w:t>
      </w:r>
      <w:r w:rsidR="00E8784E">
        <w:rPr>
          <w:noProof/>
        </w:rPr>
        <w:t>as applicable on 30 June [</w:t>
      </w:r>
      <w:r w:rsidR="0070219A" w:rsidRPr="00B27ADE">
        <w:rPr>
          <w:i/>
          <w:iCs/>
          <w:noProof/>
        </w:rPr>
        <w:t>OP please</w:t>
      </w:r>
      <w:r w:rsidR="0070219A">
        <w:rPr>
          <w:noProof/>
        </w:rPr>
        <w:t xml:space="preserve"> </w:t>
      </w:r>
      <w:r w:rsidR="0070219A" w:rsidRPr="00B27ADE">
        <w:rPr>
          <w:i/>
          <w:iCs/>
          <w:noProof/>
        </w:rPr>
        <w:t xml:space="preserve">insert </w:t>
      </w:r>
      <w:r w:rsidR="0070219A">
        <w:rPr>
          <w:i/>
          <w:iCs/>
          <w:noProof/>
        </w:rPr>
        <w:t xml:space="preserve">the </w:t>
      </w:r>
      <w:r w:rsidR="0070219A" w:rsidRPr="00B27ADE">
        <w:rPr>
          <w:i/>
          <w:iCs/>
          <w:noProof/>
        </w:rPr>
        <w:t xml:space="preserve">calendar year </w:t>
      </w:r>
      <w:r w:rsidR="0070219A">
        <w:rPr>
          <w:i/>
          <w:iCs/>
          <w:noProof/>
        </w:rPr>
        <w:t xml:space="preserve">= </w:t>
      </w:r>
      <w:r w:rsidR="00E8784E" w:rsidRPr="007864B9">
        <w:rPr>
          <w:i/>
          <w:iCs/>
          <w:noProof/>
        </w:rPr>
        <w:t xml:space="preserve">year of </w:t>
      </w:r>
      <w:r w:rsidR="0007074E">
        <w:rPr>
          <w:i/>
          <w:iCs/>
          <w:noProof/>
        </w:rPr>
        <w:t xml:space="preserve">the </w:t>
      </w:r>
      <w:r w:rsidR="00E8784E" w:rsidRPr="007864B9">
        <w:rPr>
          <w:i/>
          <w:iCs/>
          <w:noProof/>
        </w:rPr>
        <w:t xml:space="preserve">1st of July following </w:t>
      </w:r>
      <w:r w:rsidR="0070219A">
        <w:rPr>
          <w:i/>
          <w:iCs/>
          <w:noProof/>
        </w:rPr>
        <w:t>the</w:t>
      </w:r>
      <w:r w:rsidR="00E8784E" w:rsidRPr="007864B9">
        <w:rPr>
          <w:i/>
          <w:iCs/>
          <w:noProof/>
        </w:rPr>
        <w:t xml:space="preserve"> entry into force</w:t>
      </w:r>
      <w:r w:rsidR="0070219A">
        <w:rPr>
          <w:i/>
          <w:iCs/>
          <w:noProof/>
        </w:rPr>
        <w:t xml:space="preserve"> of this Act</w:t>
      </w:r>
      <w:r w:rsidR="00E8784E">
        <w:rPr>
          <w:noProof/>
        </w:rPr>
        <w:t>]</w:t>
      </w:r>
      <w:r>
        <w:rPr>
          <w:noProof/>
        </w:rPr>
        <w:t xml:space="preserve"> shall </w:t>
      </w:r>
      <w:r w:rsidR="00663B65">
        <w:rPr>
          <w:noProof/>
        </w:rPr>
        <w:t xml:space="preserve">continue to </w:t>
      </w:r>
      <w:r>
        <w:rPr>
          <w:noProof/>
        </w:rPr>
        <w:t>apply</w:t>
      </w:r>
      <w:r w:rsidR="00663B65">
        <w:rPr>
          <w:noProof/>
        </w:rPr>
        <w:t>.</w:t>
      </w:r>
    </w:p>
    <w:p w:rsidR="00571BD5" w:rsidRPr="00F96E01" w:rsidRDefault="00571BD5" w:rsidP="006537B0">
      <w:pPr>
        <w:pStyle w:val="Applicationdirecte"/>
        <w:rPr>
          <w:noProof/>
        </w:rPr>
      </w:pPr>
      <w:r w:rsidRPr="00F96E01">
        <w:rPr>
          <w:noProof/>
        </w:rPr>
        <w:t>This Regulation shall be binding in its entirety and directly applicable in all Member States.</w:t>
      </w:r>
    </w:p>
    <w:p w:rsidR="00571BD5" w:rsidRDefault="009F7642" w:rsidP="00776316">
      <w:pPr>
        <w:pStyle w:val="Fait"/>
        <w:rPr>
          <w:noProof/>
        </w:rPr>
      </w:pPr>
      <w:r w:rsidRPr="009F7642">
        <w:t>Done at Strasbourg,</w:t>
      </w:r>
    </w:p>
    <w:p w:rsidR="00322AAB" w:rsidRPr="00322AAB" w:rsidRDefault="00322AAB" w:rsidP="00776316">
      <w:pPr>
        <w:pStyle w:val="Institutionquisigne"/>
        <w:rPr>
          <w:noProof/>
        </w:rPr>
      </w:pPr>
      <w:r>
        <w:rPr>
          <w:noProof/>
        </w:rPr>
        <w:t>For the European Parliament</w:t>
      </w:r>
      <w:r>
        <w:rPr>
          <w:noProof/>
        </w:rPr>
        <w:tab/>
        <w:t>For the Council</w:t>
      </w:r>
    </w:p>
    <w:p w:rsidR="00571BD5" w:rsidRPr="00175197" w:rsidRDefault="00571BD5" w:rsidP="00322AAB">
      <w:pPr>
        <w:pStyle w:val="Personnequisigne"/>
        <w:rPr>
          <w:noProof/>
        </w:rPr>
        <w:sectPr w:rsidR="00571BD5" w:rsidRPr="00175197" w:rsidSect="00F221E9">
          <w:footnotePr>
            <w:numRestart w:val="eachSect"/>
          </w:footnotePr>
          <w:pgSz w:w="11907" w:h="16840" w:code="9"/>
          <w:pgMar w:top="1134" w:right="1418" w:bottom="1134" w:left="1418" w:header="709" w:footer="709" w:gutter="0"/>
          <w:cols w:space="708"/>
          <w:docGrid w:linePitch="360"/>
        </w:sectPr>
      </w:pPr>
      <w:r w:rsidRPr="00571BD5">
        <w:rPr>
          <w:noProof/>
        </w:rPr>
        <w:t>The President</w:t>
      </w:r>
      <w:r w:rsidRPr="00571BD5">
        <w:rPr>
          <w:noProof/>
        </w:rPr>
        <w:tab/>
        <w:t>The President</w:t>
      </w:r>
    </w:p>
    <w:p w:rsidR="00571BD5" w:rsidRPr="00183AD0" w:rsidRDefault="00571BD5" w:rsidP="00322AAB">
      <w:pPr>
        <w:pStyle w:val="Fichefinanciretitre"/>
        <w:rPr>
          <w:noProof/>
        </w:rPr>
      </w:pPr>
      <w:r w:rsidRPr="00175197">
        <w:rPr>
          <w:noProof/>
        </w:rPr>
        <w:t>LEGISLATIVE FINANCIAL STATEMENT</w:t>
      </w:r>
    </w:p>
    <w:p w:rsidR="004755EE" w:rsidRDefault="004755EE" w:rsidP="004755EE">
      <w:pPr>
        <w:pStyle w:val="ManualHeading1"/>
        <w:rPr>
          <w:noProof/>
          <w:lang w:eastAsia="en-GB"/>
        </w:rPr>
      </w:pPr>
      <w:bookmarkStart w:id="7" w:name="_Toc514938007"/>
      <w:bookmarkStart w:id="8" w:name="_Toc520485025"/>
      <w:r>
        <w:rPr>
          <w:noProof/>
        </w:rPr>
        <w:t>1.</w:t>
      </w:r>
      <w:r>
        <w:rPr>
          <w:noProof/>
        </w:rPr>
        <w:tab/>
      </w:r>
      <w:r>
        <w:rPr>
          <w:noProof/>
          <w:lang w:eastAsia="en-GB"/>
        </w:rPr>
        <w:t>FRAMEWORK OF THE PROPOSAL/INITIATIVE</w:t>
      </w:r>
      <w:bookmarkEnd w:id="7"/>
      <w:bookmarkEnd w:id="8"/>
      <w:r>
        <w:rPr>
          <w:noProof/>
          <w:lang w:eastAsia="en-GB"/>
        </w:rPr>
        <w:t xml:space="preserve"> </w:t>
      </w:r>
    </w:p>
    <w:p w:rsidR="004755EE" w:rsidRDefault="004755EE" w:rsidP="004755EE">
      <w:pPr>
        <w:pStyle w:val="ManualHeading2"/>
        <w:rPr>
          <w:noProof/>
          <w:lang w:eastAsia="en-GB"/>
        </w:rPr>
      </w:pPr>
      <w:bookmarkStart w:id="9" w:name="_Toc514938008"/>
      <w:bookmarkStart w:id="10" w:name="_Toc520485026"/>
      <w:r>
        <w:rPr>
          <w:noProof/>
        </w:rPr>
        <w:t>1.1.</w:t>
      </w:r>
      <w:r>
        <w:rPr>
          <w:noProof/>
        </w:rPr>
        <w:tab/>
      </w:r>
      <w:r>
        <w:rPr>
          <w:noProof/>
          <w:lang w:eastAsia="en-GB"/>
        </w:rPr>
        <w:t>Title of the proposal/initiative</w:t>
      </w:r>
      <w:bookmarkEnd w:id="9"/>
      <w:bookmarkEnd w:id="10"/>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rPr>
      </w:pPr>
      <w:r>
        <w:rPr>
          <w:rFonts w:eastAsia="Calibri"/>
          <w:noProof/>
        </w:rPr>
        <w:t>Proposal for a Regulation amending Regulation (EU) 2019/1242 as regards strengthening the CO</w:t>
      </w:r>
      <w:r>
        <w:rPr>
          <w:rFonts w:eastAsia="Calibri"/>
          <w:noProof/>
          <w:vertAlign w:val="subscript"/>
        </w:rPr>
        <w:t>2</w:t>
      </w:r>
      <w:r>
        <w:rPr>
          <w:rFonts w:eastAsia="Calibri"/>
          <w:noProof/>
        </w:rPr>
        <w:t xml:space="preserve"> emission performance standards for new heavy-duty vehicles in line with the Union’s increased climate ambition and as regards integrating reporting obligations, and repealing Regulation (EU) 2018/956.</w:t>
      </w:r>
    </w:p>
    <w:p w:rsidR="004755EE" w:rsidRDefault="004755EE" w:rsidP="004755EE">
      <w:pPr>
        <w:pStyle w:val="ManualHeading2"/>
        <w:rPr>
          <w:noProof/>
          <w:lang w:eastAsia="en-GB"/>
        </w:rPr>
      </w:pPr>
      <w:bookmarkStart w:id="11" w:name="_Toc514938011"/>
      <w:bookmarkStart w:id="12" w:name="_Toc520485027"/>
      <w:r>
        <w:rPr>
          <w:noProof/>
        </w:rPr>
        <w:t>1.2.</w:t>
      </w:r>
      <w:r>
        <w:rPr>
          <w:noProof/>
        </w:rPr>
        <w:tab/>
      </w:r>
      <w:r>
        <w:rPr>
          <w:noProof/>
          <w:lang w:eastAsia="en-GB"/>
        </w:rPr>
        <w:t>Policy area(s) concerned</w:t>
      </w:r>
      <w:bookmarkEnd w:id="11"/>
      <w:bookmarkEnd w:id="12"/>
      <w:r>
        <w:rPr>
          <w:noProof/>
          <w:lang w:eastAsia="en-GB"/>
        </w:rPr>
        <w:t xml:space="preserve"> </w:t>
      </w:r>
    </w:p>
    <w:p w:rsidR="004755EE" w:rsidRPr="009D4F4C"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9D4F4C">
        <w:rPr>
          <w:rFonts w:eastAsia="Calibri"/>
          <w:noProof/>
          <w:lang w:eastAsia="en-GB"/>
        </w:rPr>
        <w:t>Heading 3 – Natural resources and Environment</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9D4F4C">
        <w:rPr>
          <w:rFonts w:eastAsia="Calibri"/>
          <w:noProof/>
          <w:lang w:eastAsia="en-GB"/>
        </w:rPr>
        <w:t>Title 9 – Environment and Climate Action</w:t>
      </w:r>
    </w:p>
    <w:p w:rsidR="004755EE" w:rsidRDefault="004755EE" w:rsidP="004755EE">
      <w:pPr>
        <w:pStyle w:val="ManualHeading2"/>
        <w:rPr>
          <w:noProof/>
          <w:szCs w:val="24"/>
          <w:lang w:eastAsia="en-GB"/>
        </w:rPr>
      </w:pPr>
      <w:bookmarkStart w:id="13" w:name="_Toc514938014"/>
      <w:bookmarkStart w:id="14" w:name="_Toc520485028"/>
      <w:r>
        <w:rPr>
          <w:noProof/>
        </w:rPr>
        <w:t>1.3.</w:t>
      </w:r>
      <w:r>
        <w:rPr>
          <w:noProof/>
        </w:rPr>
        <w:tab/>
      </w:r>
      <w:r>
        <w:rPr>
          <w:noProof/>
          <w:lang w:eastAsia="en-GB"/>
        </w:rPr>
        <w:t>The proposal/initiative relates to:</w:t>
      </w:r>
      <w:bookmarkEnd w:id="13"/>
      <w:bookmarkEnd w:id="14"/>
      <w:r>
        <w:rPr>
          <w:noProof/>
          <w:lang w:eastAsia="en-GB"/>
        </w:rPr>
        <w:t xml:space="preserve"> </w:t>
      </w:r>
    </w:p>
    <w:p w:rsidR="004755EE" w:rsidRDefault="004755EE" w:rsidP="004755EE">
      <w:pPr>
        <w:ind w:left="720"/>
        <w:rPr>
          <w:rFonts w:eastAsia="Calibri"/>
          <w:noProof/>
          <w:sz w:val="22"/>
          <w:lang w:eastAsia="en-GB"/>
        </w:rPr>
      </w:pPr>
      <w:r>
        <w:rPr>
          <w:rFonts w:ascii="Wingdings" w:eastAsia="Wingdings" w:hAnsi="Wingdings" w:cs="Wingdings"/>
          <w:noProof/>
          <w:sz w:val="22"/>
          <w:lang w:eastAsia="en-GB"/>
        </w:rPr>
        <w:t></w:t>
      </w:r>
      <w:r>
        <w:rPr>
          <w:rFonts w:eastAsia="Calibri"/>
          <w:i/>
          <w:noProof/>
          <w:sz w:val="22"/>
          <w:lang w:eastAsia="en-GB"/>
        </w:rPr>
        <w:t xml:space="preserve"> </w:t>
      </w:r>
      <w:r>
        <w:rPr>
          <w:rFonts w:eastAsia="Calibri"/>
          <w:noProof/>
          <w:lang w:eastAsia="en-GB"/>
        </w:rPr>
        <w:t>a new action</w:t>
      </w:r>
      <w:r>
        <w:rPr>
          <w:rFonts w:eastAsia="Calibri"/>
          <w:noProof/>
          <w:sz w:val="22"/>
          <w:lang w:eastAsia="en-GB"/>
        </w:rPr>
        <w:t xml:space="preserve"> </w:t>
      </w:r>
    </w:p>
    <w:p w:rsidR="004755EE" w:rsidRDefault="004755EE" w:rsidP="004755EE">
      <w:pPr>
        <w:ind w:left="720"/>
        <w:rPr>
          <w:rFonts w:eastAsia="Calibri"/>
          <w:noProof/>
          <w:sz w:val="22"/>
          <w:lang w:eastAsia="en-GB"/>
        </w:rPr>
      </w:pPr>
      <w:r>
        <w:rPr>
          <w:rFonts w:ascii="Wingdings" w:eastAsia="Wingdings" w:hAnsi="Wingdings" w:cs="Wingdings"/>
          <w:noProof/>
          <w:sz w:val="22"/>
          <w:lang w:eastAsia="en-GB"/>
        </w:rPr>
        <w:t></w:t>
      </w:r>
      <w:r>
        <w:rPr>
          <w:rFonts w:eastAsia="Calibri"/>
          <w:i/>
          <w:noProof/>
          <w:sz w:val="22"/>
          <w:lang w:eastAsia="en-GB"/>
        </w:rPr>
        <w:t xml:space="preserve"> </w:t>
      </w:r>
      <w:r>
        <w:rPr>
          <w:rFonts w:eastAsia="Calibri"/>
          <w:noProof/>
          <w:lang w:eastAsia="en-GB"/>
        </w:rPr>
        <w:t>a new action following a pilot project/preparatory action</w:t>
      </w:r>
      <w:r w:rsidRPr="00C9020F">
        <w:rPr>
          <w:rStyle w:val="FootnoteReference"/>
          <w:noProof/>
        </w:rPr>
        <w:footnoteReference w:id="26"/>
      </w:r>
      <w:r>
        <w:rPr>
          <w:rFonts w:eastAsia="Calibri"/>
          <w:noProof/>
          <w:sz w:val="22"/>
          <w:lang w:eastAsia="en-GB"/>
        </w:rPr>
        <w:t xml:space="preserve"> </w:t>
      </w:r>
    </w:p>
    <w:p w:rsidR="004755EE" w:rsidRDefault="004755EE" w:rsidP="004755EE">
      <w:pPr>
        <w:ind w:left="720"/>
        <w:rPr>
          <w:rFonts w:eastAsia="Calibri"/>
          <w:noProof/>
          <w:sz w:val="22"/>
          <w:lang w:eastAsia="en-GB"/>
        </w:rPr>
      </w:pPr>
      <w:r>
        <w:rPr>
          <w:rFonts w:ascii="Wingdings" w:eastAsia="Wingdings" w:hAnsi="Wingdings" w:cs="Wingdings"/>
          <w:noProof/>
          <w:sz w:val="22"/>
          <w:lang w:eastAsia="en-GB"/>
        </w:rPr>
        <w:t></w:t>
      </w:r>
      <w:r>
        <w:rPr>
          <w:rFonts w:eastAsia="Calibri"/>
          <w:i/>
          <w:noProof/>
          <w:sz w:val="22"/>
          <w:lang w:eastAsia="en-GB"/>
        </w:rPr>
        <w:t xml:space="preserve"> </w:t>
      </w:r>
      <w:r>
        <w:rPr>
          <w:rFonts w:eastAsia="Calibri"/>
          <w:noProof/>
          <w:lang w:eastAsia="en-GB"/>
        </w:rPr>
        <w:t>the extension of an existing action</w:t>
      </w:r>
      <w:r>
        <w:rPr>
          <w:rFonts w:eastAsia="Calibri"/>
          <w:noProof/>
          <w:sz w:val="22"/>
          <w:lang w:eastAsia="en-GB"/>
        </w:rPr>
        <w:t xml:space="preserve"> </w:t>
      </w:r>
    </w:p>
    <w:p w:rsidR="004755EE" w:rsidRDefault="004755EE" w:rsidP="004755EE">
      <w:pPr>
        <w:ind w:left="720"/>
        <w:rPr>
          <w:rFonts w:eastAsia="Calibri"/>
          <w:noProof/>
          <w:lang w:eastAsia="en-GB"/>
        </w:rPr>
      </w:pPr>
      <w:r>
        <w:rPr>
          <w:rFonts w:ascii="Wingdings" w:eastAsia="Wingdings" w:hAnsi="Wingdings" w:cs="Wingdings"/>
          <w:noProof/>
          <w:sz w:val="22"/>
          <w:lang w:eastAsia="en-GB"/>
        </w:rPr>
        <w:t></w:t>
      </w:r>
      <w:r>
        <w:rPr>
          <w:rFonts w:eastAsia="Calibri"/>
          <w:i/>
          <w:noProof/>
          <w:sz w:val="22"/>
          <w:lang w:eastAsia="en-GB"/>
        </w:rPr>
        <w:t xml:space="preserve"> </w:t>
      </w:r>
      <w:r>
        <w:rPr>
          <w:rFonts w:eastAsia="Calibri"/>
          <w:noProof/>
          <w:lang w:eastAsia="en-GB"/>
        </w:rPr>
        <w:t xml:space="preserve">a merger or redirection of one or more actions towards another/a new action </w:t>
      </w:r>
    </w:p>
    <w:p w:rsidR="004755EE" w:rsidRDefault="004755EE" w:rsidP="004755EE">
      <w:pPr>
        <w:pStyle w:val="ManualHeading2"/>
        <w:rPr>
          <w:noProof/>
          <w:szCs w:val="24"/>
          <w:lang w:eastAsia="en-GB"/>
        </w:rPr>
      </w:pPr>
      <w:bookmarkStart w:id="15" w:name="_Toc514938015"/>
      <w:bookmarkStart w:id="16" w:name="_Toc520485029"/>
      <w:r>
        <w:rPr>
          <w:noProof/>
        </w:rPr>
        <w:t>1.4.</w:t>
      </w:r>
      <w:r>
        <w:rPr>
          <w:noProof/>
        </w:rPr>
        <w:tab/>
      </w:r>
      <w:r>
        <w:rPr>
          <w:noProof/>
          <w:lang w:eastAsia="en-GB"/>
        </w:rPr>
        <w:t>Objective(s)</w:t>
      </w:r>
      <w:bookmarkEnd w:id="15"/>
      <w:bookmarkEnd w:id="16"/>
    </w:p>
    <w:p w:rsidR="004755EE" w:rsidRDefault="004755EE" w:rsidP="004755EE">
      <w:pPr>
        <w:pStyle w:val="ManualHeading3"/>
        <w:rPr>
          <w:noProof/>
          <w:lang w:eastAsia="en-GB"/>
        </w:rPr>
      </w:pPr>
      <w:bookmarkStart w:id="17" w:name="_Toc514938016"/>
      <w:bookmarkStart w:id="18" w:name="_Toc520485030"/>
      <w:r>
        <w:rPr>
          <w:noProof/>
        </w:rPr>
        <w:t>1.4.1.</w:t>
      </w:r>
      <w:r>
        <w:rPr>
          <w:noProof/>
        </w:rPr>
        <w:tab/>
      </w:r>
      <w:r>
        <w:rPr>
          <w:noProof/>
          <w:lang w:eastAsia="en-GB"/>
        </w:rPr>
        <w:t>General objective(s)</w:t>
      </w:r>
      <w:bookmarkEnd w:id="17"/>
      <w:bookmarkEnd w:id="18"/>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132F1F">
        <w:rPr>
          <w:rFonts w:eastAsia="Calibri"/>
          <w:noProof/>
          <w:lang w:eastAsia="en-GB"/>
        </w:rPr>
        <w:t xml:space="preserve">The general objective of this </w:t>
      </w:r>
      <w:r>
        <w:rPr>
          <w:rFonts w:eastAsia="Calibri"/>
          <w:noProof/>
          <w:lang w:eastAsia="en-GB"/>
        </w:rPr>
        <w:t>proposal</w:t>
      </w:r>
      <w:r w:rsidRPr="00132F1F">
        <w:rPr>
          <w:rFonts w:eastAsia="Calibri"/>
          <w:noProof/>
          <w:lang w:eastAsia="en-GB"/>
        </w:rPr>
        <w:t xml:space="preserve"> is</w:t>
      </w:r>
      <w:r>
        <w:rPr>
          <w:rFonts w:eastAsia="Calibri"/>
          <w:noProof/>
          <w:lang w:eastAsia="en-GB"/>
        </w:rPr>
        <w:t xml:space="preserve"> </w:t>
      </w:r>
      <w:r w:rsidRPr="00132F1F">
        <w:rPr>
          <w:rFonts w:eastAsia="Calibri"/>
          <w:noProof/>
          <w:lang w:eastAsia="en-GB"/>
        </w:rPr>
        <w:t xml:space="preserve">to provide new emission standards to reduce </w:t>
      </w:r>
      <w:r w:rsidR="00DF379C">
        <w:rPr>
          <w:rFonts w:eastAsia="Calibri"/>
          <w:noProof/>
          <w:lang w:eastAsia="en-GB"/>
        </w:rPr>
        <w:t>CO₂</w:t>
      </w:r>
      <w:r w:rsidRPr="00132F1F">
        <w:rPr>
          <w:rFonts w:eastAsia="Calibri"/>
          <w:noProof/>
          <w:lang w:eastAsia="en-GB"/>
        </w:rPr>
        <w:t xml:space="preserve"> emissions</w:t>
      </w:r>
      <w:r>
        <w:rPr>
          <w:rFonts w:eastAsia="Calibri"/>
          <w:noProof/>
          <w:lang w:eastAsia="en-GB"/>
        </w:rPr>
        <w:t xml:space="preserve"> from new heavy</w:t>
      </w:r>
      <w:r>
        <w:rPr>
          <w:rFonts w:eastAsia="Calibri"/>
          <w:noProof/>
          <w:lang w:val="en-IE" w:eastAsia="en-GB"/>
        </w:rPr>
        <w:t>-</w:t>
      </w:r>
      <w:r>
        <w:rPr>
          <w:rFonts w:eastAsia="Calibri"/>
          <w:noProof/>
          <w:lang w:eastAsia="en-GB"/>
        </w:rPr>
        <w:t>duty vehicles (HDV)</w:t>
      </w:r>
      <w:r w:rsidRPr="00132F1F">
        <w:rPr>
          <w:rFonts w:eastAsia="Calibri"/>
          <w:noProof/>
          <w:lang w:eastAsia="en-GB"/>
        </w:rPr>
        <w:t xml:space="preserve"> and contribute to the shift to zero-emission mobility in the broader context of increased EU climate ambition by 2030 and EU climate neutrality by 2050</w:t>
      </w:r>
      <w:r>
        <w:rPr>
          <w:rFonts w:eastAsia="Calibri"/>
          <w:noProof/>
          <w:lang w:eastAsia="en-GB"/>
        </w:rPr>
        <w:t xml:space="preserve">. </w:t>
      </w:r>
    </w:p>
    <w:p w:rsidR="004755EE" w:rsidRDefault="004755EE" w:rsidP="004755EE">
      <w:pPr>
        <w:pStyle w:val="ManualHeading3"/>
        <w:rPr>
          <w:noProof/>
          <w:lang w:eastAsia="en-GB"/>
        </w:rPr>
      </w:pPr>
      <w:bookmarkStart w:id="19" w:name="_Toc514938018"/>
      <w:bookmarkStart w:id="20" w:name="_Toc520485031"/>
      <w:r>
        <w:rPr>
          <w:noProof/>
        </w:rPr>
        <w:t>1.4.2.</w:t>
      </w:r>
      <w:r>
        <w:rPr>
          <w:noProof/>
        </w:rPr>
        <w:tab/>
      </w:r>
      <w:r>
        <w:rPr>
          <w:noProof/>
          <w:lang w:eastAsia="en-GB"/>
        </w:rPr>
        <w:t>Specific objective(s)</w:t>
      </w:r>
      <w:bookmarkEnd w:id="19"/>
      <w:bookmarkEnd w:id="20"/>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rPr>
      </w:pPr>
      <w:r>
        <w:rPr>
          <w:rFonts w:eastAsia="Calibri"/>
          <w:noProof/>
        </w:rPr>
        <w:t xml:space="preserve">Specific objectives of this proposal are to: </w:t>
      </w:r>
    </w:p>
    <w:p w:rsidR="004755EE" w:rsidRPr="00C9020F" w:rsidRDefault="004755EE" w:rsidP="00C9020F">
      <w:pPr>
        <w:pBdr>
          <w:top w:val="single" w:sz="4" w:space="1" w:color="auto"/>
          <w:left w:val="single" w:sz="4" w:space="4" w:color="auto"/>
          <w:bottom w:val="single" w:sz="4" w:space="1" w:color="auto"/>
          <w:right w:val="single" w:sz="4" w:space="4" w:color="auto"/>
        </w:pBdr>
        <w:rPr>
          <w:rStyle w:val="None"/>
          <w:rFonts w:eastAsia="Calibri"/>
          <w:noProof/>
        </w:rPr>
      </w:pPr>
      <w:r>
        <w:rPr>
          <w:rStyle w:val="None"/>
          <w:noProof/>
        </w:rPr>
        <w:t>R</w:t>
      </w:r>
      <w:r w:rsidRPr="004B1E52">
        <w:rPr>
          <w:rStyle w:val="None"/>
          <w:noProof/>
        </w:rPr>
        <w:t>educe CO</w:t>
      </w:r>
      <w:r w:rsidRPr="00C9020F">
        <w:rPr>
          <w:rStyle w:val="None"/>
          <w:noProof/>
          <w:vertAlign w:val="subscript"/>
        </w:rPr>
        <w:t>2</w:t>
      </w:r>
      <w:r w:rsidRPr="00C9020F">
        <w:rPr>
          <w:rStyle w:val="None"/>
          <w:noProof/>
          <w:szCs w:val="24"/>
        </w:rPr>
        <w:t xml:space="preserve"> emissions</w:t>
      </w:r>
      <w:r w:rsidRPr="00C9020F">
        <w:rPr>
          <w:rStyle w:val="Hyperlink8"/>
          <w:noProof/>
          <w:szCs w:val="24"/>
        </w:rPr>
        <w:t xml:space="preserve"> from </w:t>
      </w:r>
      <w:r w:rsidR="006641A1" w:rsidRPr="00C9020F">
        <w:rPr>
          <w:rStyle w:val="Hyperlink8"/>
          <w:noProof/>
          <w:szCs w:val="24"/>
        </w:rPr>
        <w:t>HDV</w:t>
      </w:r>
      <w:r w:rsidRPr="00C9020F">
        <w:rPr>
          <w:rStyle w:val="Hyperlink8"/>
          <w:noProof/>
          <w:szCs w:val="24"/>
        </w:rPr>
        <w:t>, cost-effectively</w:t>
      </w:r>
      <w:r w:rsidRPr="00C9020F">
        <w:rPr>
          <w:rStyle w:val="None"/>
          <w:noProof/>
          <w:szCs w:val="24"/>
        </w:rPr>
        <w:t>, in line with the EU climate goals</w:t>
      </w:r>
      <w:r w:rsidR="00EA7537" w:rsidRPr="00C9020F">
        <w:rPr>
          <w:rStyle w:val="None"/>
          <w:noProof/>
          <w:szCs w:val="24"/>
        </w:rPr>
        <w:t>,</w:t>
      </w:r>
      <w:r w:rsidRPr="00C9020F">
        <w:rPr>
          <w:rStyle w:val="None"/>
          <w:noProof/>
          <w:szCs w:val="24"/>
        </w:rPr>
        <w:t xml:space="preserve"> while contributing to improve EU energy security. </w:t>
      </w:r>
    </w:p>
    <w:p w:rsidR="004755EE" w:rsidRPr="00C9020F" w:rsidRDefault="004755EE" w:rsidP="00C9020F">
      <w:pPr>
        <w:pBdr>
          <w:top w:val="single" w:sz="4" w:space="1" w:color="auto"/>
          <w:left w:val="single" w:sz="4" w:space="4" w:color="auto"/>
          <w:bottom w:val="single" w:sz="4" w:space="1" w:color="auto"/>
          <w:right w:val="single" w:sz="4" w:space="4" w:color="auto"/>
        </w:pBdr>
        <w:rPr>
          <w:rStyle w:val="Hyperlink8"/>
          <w:rFonts w:eastAsia="Calibri"/>
          <w:noProof/>
        </w:rPr>
      </w:pPr>
      <w:r w:rsidRPr="00C9020F">
        <w:rPr>
          <w:rStyle w:val="Hyperlink8"/>
          <w:noProof/>
          <w:szCs w:val="24"/>
        </w:rPr>
        <w:t xml:space="preserve">Provide benefits for European </w:t>
      </w:r>
      <w:r w:rsidRPr="00C9020F">
        <w:rPr>
          <w:rStyle w:val="None"/>
          <w:noProof/>
          <w:szCs w:val="24"/>
        </w:rPr>
        <w:t xml:space="preserve">transport operators and users, </w:t>
      </w:r>
      <w:r w:rsidRPr="00C9020F">
        <w:rPr>
          <w:rFonts w:eastAsiaTheme="minorEastAsia"/>
          <w:noProof/>
          <w:color w:val="000000" w:themeColor="text1"/>
          <w:lang w:val="en-IE"/>
        </w:rPr>
        <w:t>most of which are SMEs,</w:t>
      </w:r>
      <w:r w:rsidRPr="00C9020F">
        <w:rPr>
          <w:rStyle w:val="Hyperlink8"/>
          <w:noProof/>
          <w:szCs w:val="24"/>
        </w:rPr>
        <w:t xml:space="preserve"> resulting from wider deployment of more energy-efficient vehicles.</w:t>
      </w:r>
    </w:p>
    <w:p w:rsidR="004755EE" w:rsidRPr="00C9020F" w:rsidRDefault="004755EE" w:rsidP="00C9020F">
      <w:pPr>
        <w:pBdr>
          <w:top w:val="single" w:sz="4" w:space="1" w:color="auto"/>
          <w:left w:val="single" w:sz="4" w:space="4" w:color="auto"/>
          <w:bottom w:val="single" w:sz="4" w:space="1" w:color="auto"/>
          <w:right w:val="single" w:sz="4" w:space="4" w:color="auto"/>
        </w:pBdr>
        <w:rPr>
          <w:rFonts w:eastAsia="Calibri"/>
          <w:noProof/>
        </w:rPr>
      </w:pPr>
      <w:r w:rsidRPr="00C9020F">
        <w:rPr>
          <w:rStyle w:val="Hyperlink8"/>
          <w:noProof/>
          <w:szCs w:val="24"/>
        </w:rPr>
        <w:t xml:space="preserve">Strengthen the </w:t>
      </w:r>
      <w:r w:rsidRPr="00C9020F">
        <w:rPr>
          <w:rStyle w:val="None"/>
          <w:noProof/>
          <w:szCs w:val="24"/>
        </w:rPr>
        <w:t>technological and innovation leadership</w:t>
      </w:r>
      <w:r w:rsidRPr="00C9020F">
        <w:rPr>
          <w:rStyle w:val="Hyperlink8"/>
          <w:noProof/>
          <w:szCs w:val="24"/>
        </w:rPr>
        <w:t xml:space="preserve"> industry in the EU by channelling investments into zero-emission technologies. </w:t>
      </w:r>
    </w:p>
    <w:p w:rsidR="004755EE" w:rsidRDefault="004755EE" w:rsidP="004755EE">
      <w:pPr>
        <w:pStyle w:val="ManualHeading3"/>
        <w:rPr>
          <w:noProof/>
          <w:lang w:eastAsia="en-GB"/>
        </w:rPr>
      </w:pPr>
      <w:bookmarkStart w:id="21" w:name="_Toc514938019"/>
      <w:bookmarkStart w:id="22" w:name="_Toc520485032"/>
      <w:r>
        <w:rPr>
          <w:noProof/>
        </w:rPr>
        <w:t>1.4.3.</w:t>
      </w:r>
      <w:r>
        <w:rPr>
          <w:noProof/>
        </w:rPr>
        <w:tab/>
      </w:r>
      <w:r>
        <w:rPr>
          <w:noProof/>
          <w:lang w:eastAsia="en-GB"/>
        </w:rPr>
        <w:t>Expected result(s) and impact</w:t>
      </w:r>
      <w:bookmarkEnd w:id="21"/>
      <w:bookmarkEnd w:id="22"/>
    </w:p>
    <w:p w:rsidR="004755EE" w:rsidRDefault="004755EE" w:rsidP="004755EE">
      <w:pPr>
        <w:ind w:left="360"/>
        <w:rPr>
          <w:rFonts w:eastAsia="Calibri"/>
          <w:i/>
          <w:noProof/>
          <w:sz w:val="20"/>
          <w:lang w:eastAsia="en-GB"/>
        </w:rPr>
      </w:pPr>
      <w:r>
        <w:rPr>
          <w:rFonts w:eastAsia="Calibri"/>
          <w:i/>
          <w:noProof/>
          <w:sz w:val="20"/>
          <w:lang w:eastAsia="en-GB"/>
        </w:rPr>
        <w:t>Specify the effects which the proposal/initiative should have on the beneficiaries/groups targeted.</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The proposal will ensure that CO</w:t>
      </w:r>
      <w:r>
        <w:rPr>
          <w:rFonts w:eastAsia="Calibri"/>
          <w:noProof/>
          <w:vertAlign w:val="subscript"/>
          <w:lang w:eastAsia="en-GB"/>
        </w:rPr>
        <w:t>2</w:t>
      </w:r>
      <w:r>
        <w:rPr>
          <w:rFonts w:eastAsia="Calibri"/>
          <w:noProof/>
          <w:lang w:eastAsia="en-GB"/>
        </w:rPr>
        <w:t xml:space="preserve"> emissions from he</w:t>
      </w:r>
      <w:r w:rsidR="00EA7537">
        <w:rPr>
          <w:rFonts w:eastAsia="Calibri"/>
          <w:noProof/>
          <w:lang w:eastAsia="en-GB"/>
        </w:rPr>
        <w:t>a</w:t>
      </w:r>
      <w:r>
        <w:rPr>
          <w:rFonts w:eastAsia="Calibri"/>
          <w:noProof/>
          <w:lang w:eastAsia="en-GB"/>
        </w:rPr>
        <w:t>vy-duty vehicles are reduced, will provide benefits for transport operators and users in term</w:t>
      </w:r>
      <w:r w:rsidR="00EA7537">
        <w:rPr>
          <w:rFonts w:eastAsia="Calibri"/>
          <w:noProof/>
          <w:lang w:eastAsia="en-GB"/>
        </w:rPr>
        <w:t>s</w:t>
      </w:r>
      <w:r>
        <w:rPr>
          <w:rFonts w:eastAsia="Calibri"/>
          <w:noProof/>
          <w:lang w:eastAsia="en-GB"/>
        </w:rPr>
        <w:t xml:space="preserve"> of air quality and reduction of energy consumption, and </w:t>
      </w:r>
      <w:r w:rsidR="00EA7537">
        <w:rPr>
          <w:rFonts w:eastAsia="Calibri"/>
          <w:noProof/>
          <w:lang w:eastAsia="en-GB"/>
        </w:rPr>
        <w:t xml:space="preserve">will </w:t>
      </w:r>
      <w:r>
        <w:rPr>
          <w:rFonts w:eastAsia="Calibri"/>
          <w:noProof/>
          <w:lang w:eastAsia="en-GB"/>
        </w:rPr>
        <w:t xml:space="preserve">strengthen the technological and innovation leadership </w:t>
      </w:r>
      <w:r w:rsidR="009E1854">
        <w:rPr>
          <w:rFonts w:eastAsia="Calibri"/>
          <w:noProof/>
          <w:lang w:eastAsia="en-GB"/>
        </w:rPr>
        <w:t>of the automotive value chain</w:t>
      </w:r>
      <w:r>
        <w:rPr>
          <w:rFonts w:eastAsia="Calibri"/>
          <w:noProof/>
          <w:lang w:eastAsia="en-GB"/>
        </w:rPr>
        <w:t xml:space="preserve">. Additional co-benefits are expected to be increased energy efficiency and improved energy security. </w:t>
      </w:r>
    </w:p>
    <w:p w:rsidR="004755EE" w:rsidRDefault="004755EE" w:rsidP="004755EE">
      <w:pPr>
        <w:pStyle w:val="ManualHeading3"/>
        <w:rPr>
          <w:noProof/>
          <w:szCs w:val="24"/>
          <w:lang w:eastAsia="en-GB"/>
        </w:rPr>
      </w:pPr>
      <w:bookmarkStart w:id="23" w:name="_Toc514938023"/>
      <w:bookmarkStart w:id="24" w:name="_Toc520485033"/>
      <w:r>
        <w:rPr>
          <w:noProof/>
        </w:rPr>
        <w:t>1.4.4.</w:t>
      </w:r>
      <w:r>
        <w:rPr>
          <w:noProof/>
        </w:rPr>
        <w:tab/>
      </w:r>
      <w:r>
        <w:rPr>
          <w:noProof/>
          <w:lang w:eastAsia="en-GB"/>
        </w:rPr>
        <w:t>Indicators of performance</w:t>
      </w:r>
      <w:bookmarkEnd w:id="23"/>
      <w:bookmarkEnd w:id="24"/>
    </w:p>
    <w:p w:rsidR="004755EE" w:rsidRDefault="004755EE" w:rsidP="004755EE">
      <w:pPr>
        <w:ind w:left="360"/>
        <w:rPr>
          <w:rFonts w:eastAsia="Calibri"/>
          <w:i/>
          <w:noProof/>
          <w:sz w:val="20"/>
          <w:lang w:eastAsia="en-GB"/>
        </w:rPr>
      </w:pPr>
      <w:r>
        <w:rPr>
          <w:rFonts w:eastAsia="Calibri"/>
          <w:i/>
          <w:noProof/>
          <w:sz w:val="20"/>
          <w:lang w:eastAsia="en-GB"/>
        </w:rPr>
        <w:t>Specify the indicators for monitoring progress and achievements.</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The following indicators have been identified:</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Theme="minorEastAsia"/>
          <w:noProof/>
          <w:color w:val="000000" w:themeColor="text1"/>
        </w:rPr>
      </w:pPr>
      <w:r>
        <w:rPr>
          <w:rFonts w:eastAsia="Calibri"/>
          <w:noProof/>
          <w:lang w:eastAsia="en-GB"/>
        </w:rPr>
        <w:t>1. The EU wide-fleet average CO</w:t>
      </w:r>
      <w:r>
        <w:rPr>
          <w:rFonts w:eastAsia="Calibri"/>
          <w:noProof/>
          <w:vertAlign w:val="subscript"/>
          <w:lang w:eastAsia="en-GB"/>
        </w:rPr>
        <w:t>2</w:t>
      </w:r>
      <w:r>
        <w:rPr>
          <w:rFonts w:eastAsia="Calibri"/>
          <w:noProof/>
          <w:lang w:eastAsia="en-GB"/>
        </w:rPr>
        <w:t xml:space="preserve"> emissions of new </w:t>
      </w:r>
      <w:r w:rsidR="006641A1">
        <w:rPr>
          <w:rFonts w:eastAsia="Calibri"/>
          <w:noProof/>
          <w:lang w:eastAsia="en-GB"/>
        </w:rPr>
        <w:t>HDV</w:t>
      </w:r>
      <w:r>
        <w:rPr>
          <w:rFonts w:eastAsia="Calibri"/>
          <w:noProof/>
          <w:lang w:eastAsia="en-GB"/>
        </w:rPr>
        <w:t xml:space="preserve"> measured at type approval will be monitored annually</w:t>
      </w:r>
      <w:r w:rsidRPr="341C8395">
        <w:rPr>
          <w:rFonts w:eastAsiaTheme="minorEastAsia"/>
          <w:noProof/>
          <w:color w:val="000000" w:themeColor="text1"/>
        </w:rPr>
        <w:t>;</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 xml:space="preserve">2. The total GHG emissions of </w:t>
      </w:r>
      <w:r w:rsidR="006641A1">
        <w:rPr>
          <w:rFonts w:eastAsia="Calibri"/>
          <w:noProof/>
          <w:lang w:eastAsia="en-GB"/>
        </w:rPr>
        <w:t>HDV</w:t>
      </w:r>
      <w:r>
        <w:rPr>
          <w:rFonts w:eastAsia="Calibri"/>
          <w:noProof/>
          <w:lang w:eastAsia="en-GB"/>
        </w:rPr>
        <w:t xml:space="preserve"> will be monitored through Member States' annual GHG emissions inventories;</w:t>
      </w:r>
    </w:p>
    <w:p w:rsidR="004755EE" w:rsidRPr="000A2292" w:rsidRDefault="006641A1"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3</w:t>
      </w:r>
      <w:r w:rsidR="004755EE">
        <w:rPr>
          <w:rFonts w:eastAsia="Calibri"/>
          <w:noProof/>
          <w:lang w:eastAsia="en-GB"/>
        </w:rPr>
        <w:t xml:space="preserve">. The number and share of newly registered zero- and low-emission vehicles will be monitored through the annual </w:t>
      </w:r>
      <w:r w:rsidR="004755EE" w:rsidRPr="000A2292">
        <w:rPr>
          <w:rFonts w:eastAsia="Calibri"/>
          <w:noProof/>
          <w:lang w:eastAsia="en-GB"/>
        </w:rPr>
        <w:t>monitoring data submitted by Member States;</w:t>
      </w:r>
    </w:p>
    <w:p w:rsidR="004755EE" w:rsidRDefault="006641A1"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4</w:t>
      </w:r>
      <w:r w:rsidR="004755EE">
        <w:rPr>
          <w:rFonts w:eastAsia="Calibri"/>
          <w:noProof/>
          <w:lang w:eastAsia="en-GB"/>
        </w:rPr>
        <w:t>.</w:t>
      </w:r>
      <w:r w:rsidR="00EA7537">
        <w:rPr>
          <w:rFonts w:eastAsia="Calibri"/>
          <w:noProof/>
          <w:lang w:eastAsia="en-GB"/>
        </w:rPr>
        <w:t xml:space="preserve"> </w:t>
      </w:r>
      <w:r w:rsidR="004755EE">
        <w:rPr>
          <w:rFonts w:eastAsia="Calibri"/>
          <w:noProof/>
          <w:lang w:eastAsia="en-GB"/>
        </w:rPr>
        <w:t>The level of innovation will be measured in terms of new patents by European automotive manufacturers related to zero-emission technologies through publicly available patents databases;</w:t>
      </w:r>
    </w:p>
    <w:p w:rsidR="004755EE" w:rsidRDefault="006641A1" w:rsidP="004755EE">
      <w:pPr>
        <w:pBdr>
          <w:top w:val="single" w:sz="4" w:space="1" w:color="auto"/>
          <w:left w:val="single" w:sz="4" w:space="4" w:color="auto"/>
          <w:bottom w:val="single" w:sz="4" w:space="1" w:color="auto"/>
          <w:right w:val="single" w:sz="4" w:space="4" w:color="auto"/>
        </w:pBdr>
        <w:ind w:left="360"/>
        <w:rPr>
          <w:rFonts w:eastAsia="Calibri"/>
          <w:noProof/>
          <w:color w:val="0000FF"/>
          <w:lang w:eastAsia="en-GB"/>
        </w:rPr>
      </w:pPr>
      <w:r>
        <w:rPr>
          <w:rFonts w:eastAsia="Calibri"/>
          <w:noProof/>
          <w:lang w:eastAsia="en-GB"/>
        </w:rPr>
        <w:t>5</w:t>
      </w:r>
      <w:r w:rsidR="004755EE">
        <w:rPr>
          <w:rFonts w:eastAsia="Calibri"/>
          <w:noProof/>
          <w:lang w:eastAsia="en-GB"/>
        </w:rPr>
        <w:t>.</w:t>
      </w:r>
      <w:r w:rsidR="00EA7537">
        <w:rPr>
          <w:rFonts w:eastAsia="Calibri"/>
          <w:noProof/>
          <w:lang w:eastAsia="en-GB"/>
        </w:rPr>
        <w:t xml:space="preserve"> </w:t>
      </w:r>
      <w:r w:rsidR="004755EE">
        <w:rPr>
          <w:rFonts w:eastAsia="Calibri"/>
          <w:noProof/>
          <w:lang w:eastAsia="en-GB"/>
        </w:rPr>
        <w:t xml:space="preserve">The level of employment will be monitored on the basis of publicly available Eurostat statistics on sectoral employment data for the EU. </w:t>
      </w:r>
    </w:p>
    <w:p w:rsidR="004755EE" w:rsidRDefault="004755EE" w:rsidP="004755EE">
      <w:pPr>
        <w:pStyle w:val="ManualHeading2"/>
        <w:rPr>
          <w:noProof/>
          <w:szCs w:val="24"/>
          <w:lang w:eastAsia="en-GB"/>
        </w:rPr>
      </w:pPr>
      <w:bookmarkStart w:id="25" w:name="_Toc514938025"/>
      <w:bookmarkStart w:id="26" w:name="_Toc520485034"/>
      <w:r>
        <w:rPr>
          <w:noProof/>
        </w:rPr>
        <w:t>1.5.</w:t>
      </w:r>
      <w:r>
        <w:rPr>
          <w:noProof/>
        </w:rPr>
        <w:tab/>
      </w:r>
      <w:r>
        <w:rPr>
          <w:noProof/>
          <w:lang w:eastAsia="en-GB"/>
        </w:rPr>
        <w:t>Grounds for the proposal/initiative</w:t>
      </w:r>
      <w:bookmarkEnd w:id="25"/>
      <w:bookmarkEnd w:id="26"/>
      <w:r>
        <w:rPr>
          <w:noProof/>
          <w:lang w:eastAsia="en-GB"/>
        </w:rPr>
        <w:t xml:space="preserve"> </w:t>
      </w:r>
    </w:p>
    <w:p w:rsidR="004755EE" w:rsidRDefault="004755EE" w:rsidP="004755EE">
      <w:pPr>
        <w:pStyle w:val="ManualHeading3"/>
        <w:rPr>
          <w:noProof/>
          <w:lang w:eastAsia="en-GB"/>
        </w:rPr>
      </w:pPr>
      <w:bookmarkStart w:id="27" w:name="_Toc514938026"/>
      <w:bookmarkStart w:id="28" w:name="_Toc520485035"/>
      <w:r>
        <w:rPr>
          <w:noProof/>
        </w:rPr>
        <w:t>1.5.1.</w:t>
      </w:r>
      <w:r>
        <w:rPr>
          <w:noProof/>
        </w:rPr>
        <w:tab/>
      </w:r>
      <w:r>
        <w:rPr>
          <w:rStyle w:val="Heading3Char"/>
          <w:noProof/>
          <w:lang w:eastAsia="en-GB"/>
        </w:rPr>
        <w:t>Requirement(s) to be met in the short or</w:t>
      </w:r>
      <w:r>
        <w:rPr>
          <w:noProof/>
          <w:lang w:eastAsia="en-GB"/>
        </w:rPr>
        <w:t xml:space="preserve"> long term including a detailed timeline for roll-out of the implementation of the initiative</w:t>
      </w:r>
      <w:bookmarkEnd w:id="27"/>
      <w:bookmarkEnd w:id="28"/>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 xml:space="preserve">Manufacturers of </w:t>
      </w:r>
      <w:r w:rsidR="006641A1">
        <w:rPr>
          <w:rFonts w:eastAsia="Calibri"/>
          <w:noProof/>
          <w:lang w:eastAsia="en-GB"/>
        </w:rPr>
        <w:t>HDV</w:t>
      </w:r>
      <w:r>
        <w:rPr>
          <w:rFonts w:eastAsia="Calibri"/>
          <w:noProof/>
          <w:lang w:eastAsia="en-GB"/>
        </w:rPr>
        <w:t xml:space="preserve"> newly registered in the Union will have to</w:t>
      </w:r>
      <w:r w:rsidR="00EA7537">
        <w:rPr>
          <w:rFonts w:eastAsia="Calibri"/>
          <w:noProof/>
          <w:lang w:eastAsia="en-GB"/>
        </w:rPr>
        <w:t xml:space="preserve"> </w:t>
      </w:r>
      <w:r w:rsidR="006641A1">
        <w:rPr>
          <w:rFonts w:eastAsia="Calibri"/>
          <w:noProof/>
          <w:lang w:eastAsia="en-GB"/>
        </w:rPr>
        <w:t xml:space="preserve">monitor and report emissions and </w:t>
      </w:r>
      <w:r>
        <w:rPr>
          <w:rFonts w:eastAsia="Calibri"/>
          <w:noProof/>
          <w:lang w:eastAsia="en-GB"/>
        </w:rPr>
        <w:t xml:space="preserve">comply with the revised </w:t>
      </w:r>
      <w:r w:rsidRPr="00D07C5F">
        <w:rPr>
          <w:rFonts w:eastAsia="Calibri"/>
          <w:noProof/>
          <w:lang w:eastAsia="en-GB"/>
        </w:rPr>
        <w:t xml:space="preserve">specific </w:t>
      </w:r>
      <w:r>
        <w:rPr>
          <w:rFonts w:eastAsia="Calibri"/>
          <w:noProof/>
          <w:lang w:eastAsia="en-GB"/>
        </w:rPr>
        <w:t>CO</w:t>
      </w:r>
      <w:r>
        <w:rPr>
          <w:rFonts w:eastAsia="Calibri"/>
          <w:noProof/>
          <w:vertAlign w:val="subscript"/>
          <w:lang w:eastAsia="en-GB"/>
        </w:rPr>
        <w:t>2</w:t>
      </w:r>
      <w:r>
        <w:rPr>
          <w:rFonts w:eastAsia="Calibri"/>
          <w:noProof/>
          <w:lang w:eastAsia="en-GB"/>
        </w:rPr>
        <w:t xml:space="preserve"> emission targets</w:t>
      </w:r>
      <w:r w:rsidR="006641A1">
        <w:rPr>
          <w:rFonts w:eastAsia="Calibri"/>
          <w:noProof/>
          <w:lang w:eastAsia="en-GB"/>
        </w:rPr>
        <w:t xml:space="preserve"> </w:t>
      </w:r>
    </w:p>
    <w:p w:rsidR="004755EE" w:rsidRPr="00627A02"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 xml:space="preserve">Member States will have to report annually to the Commission and the European Environment Agency </w:t>
      </w:r>
      <w:r>
        <w:rPr>
          <w:noProof/>
        </w:rPr>
        <w:t xml:space="preserve">(EEA) </w:t>
      </w:r>
      <w:r w:rsidR="00CE291B">
        <w:rPr>
          <w:noProof/>
        </w:rPr>
        <w:t xml:space="preserve">technical data on newly registered </w:t>
      </w:r>
      <w:r w:rsidR="006641A1">
        <w:rPr>
          <w:noProof/>
        </w:rPr>
        <w:t>HDV</w:t>
      </w:r>
      <w:r>
        <w:rPr>
          <w:noProof/>
        </w:rPr>
        <w:t>.</w:t>
      </w:r>
    </w:p>
    <w:p w:rsidR="004755EE" w:rsidRDefault="004755EE" w:rsidP="004755EE">
      <w:pPr>
        <w:pStyle w:val="ManualHeading3"/>
        <w:rPr>
          <w:noProof/>
          <w:lang w:eastAsia="en-GB"/>
        </w:rPr>
      </w:pPr>
      <w:bookmarkStart w:id="29" w:name="_Toc514938029"/>
      <w:bookmarkStart w:id="30" w:name="_Toc520485036"/>
      <w:r>
        <w:rPr>
          <w:noProof/>
        </w:rPr>
        <w:t>1.5.2.</w:t>
      </w:r>
      <w:r>
        <w:rPr>
          <w:noProof/>
        </w:rPr>
        <w:tab/>
      </w:r>
      <w:r>
        <w:rPr>
          <w:noProof/>
          <w:lang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9"/>
      <w:bookmarkEnd w:id="30"/>
    </w:p>
    <w:p w:rsidR="00CE291B" w:rsidRPr="00133DBD" w:rsidRDefault="00CE291B" w:rsidP="009A72F9">
      <w:pPr>
        <w:pBdr>
          <w:top w:val="single" w:sz="4" w:space="1" w:color="auto"/>
          <w:left w:val="single" w:sz="4" w:space="0" w:color="auto"/>
          <w:bottom w:val="single" w:sz="4" w:space="1" w:color="auto"/>
          <w:right w:val="single" w:sz="4" w:space="4" w:color="auto"/>
        </w:pBdr>
        <w:rPr>
          <w:rFonts w:eastAsia="Calibri"/>
          <w:noProof/>
          <w:lang w:eastAsia="en-GB"/>
        </w:rPr>
      </w:pPr>
      <w:r w:rsidRPr="00133DBD">
        <w:rPr>
          <w:rFonts w:eastAsia="Calibri"/>
          <w:noProof/>
          <w:lang w:eastAsia="en-GB"/>
        </w:rPr>
        <w:t xml:space="preserve">Climate change is a transboundary problem which cannot be solved by national or local action alone. Coordination of climate action must be taken at </w:t>
      </w:r>
      <w:r w:rsidR="005F4382">
        <w:rPr>
          <w:rFonts w:eastAsia="Calibri"/>
          <w:noProof/>
          <w:lang w:eastAsia="en-GB"/>
        </w:rPr>
        <w:t xml:space="preserve">the </w:t>
      </w:r>
      <w:r w:rsidRPr="00133DBD">
        <w:rPr>
          <w:rFonts w:eastAsia="Calibri"/>
          <w:noProof/>
          <w:lang w:eastAsia="en-GB"/>
        </w:rPr>
        <w:t>European level</w:t>
      </w:r>
      <w:r w:rsidR="005F4382">
        <w:rPr>
          <w:rFonts w:eastAsia="Calibri"/>
          <w:noProof/>
          <w:lang w:eastAsia="en-GB"/>
        </w:rPr>
        <w:t>,</w:t>
      </w:r>
      <w:r w:rsidRPr="00133DBD">
        <w:rPr>
          <w:rFonts w:eastAsia="Calibri"/>
          <w:noProof/>
          <w:lang w:eastAsia="en-GB"/>
        </w:rPr>
        <w:t xml:space="preserve"> and EU action is justified on </w:t>
      </w:r>
      <w:r w:rsidR="005F4382">
        <w:rPr>
          <w:rFonts w:eastAsia="Calibri"/>
          <w:noProof/>
          <w:lang w:eastAsia="en-GB"/>
        </w:rPr>
        <w:t xml:space="preserve">the </w:t>
      </w:r>
      <w:r w:rsidRPr="00133DBD">
        <w:rPr>
          <w:rFonts w:eastAsia="Calibri"/>
          <w:noProof/>
          <w:lang w:eastAsia="en-GB"/>
        </w:rPr>
        <w:t>grounds of subsidiarity.</w:t>
      </w:r>
    </w:p>
    <w:p w:rsidR="00CE291B" w:rsidRDefault="00CE291B" w:rsidP="009A72F9">
      <w:pPr>
        <w:pBdr>
          <w:top w:val="single" w:sz="4" w:space="1" w:color="auto"/>
          <w:left w:val="single" w:sz="4" w:space="0" w:color="auto"/>
          <w:bottom w:val="single" w:sz="4" w:space="1" w:color="auto"/>
          <w:right w:val="single" w:sz="4" w:space="4" w:color="auto"/>
        </w:pBdr>
        <w:rPr>
          <w:rFonts w:eastAsia="Calibri"/>
          <w:noProof/>
          <w:lang w:eastAsia="en-GB"/>
        </w:rPr>
      </w:pPr>
      <w:r>
        <w:rPr>
          <w:rFonts w:eastAsia="Calibri"/>
          <w:noProof/>
          <w:lang w:eastAsia="en-GB"/>
        </w:rPr>
        <w:t>I</w:t>
      </w:r>
      <w:r w:rsidRPr="00133DBD">
        <w:rPr>
          <w:rFonts w:eastAsia="Calibri"/>
          <w:noProof/>
          <w:lang w:eastAsia="en-GB"/>
        </w:rPr>
        <w:t>nitiatives at the national and local level</w:t>
      </w:r>
      <w:r w:rsidR="005F4382">
        <w:rPr>
          <w:rFonts w:eastAsia="Calibri"/>
          <w:noProof/>
          <w:lang w:eastAsia="en-GB"/>
        </w:rPr>
        <w:t>s</w:t>
      </w:r>
      <w:r w:rsidRPr="00133DBD">
        <w:rPr>
          <w:rFonts w:eastAsia="Calibri"/>
          <w:noProof/>
          <w:lang w:eastAsia="en-GB"/>
        </w:rPr>
        <w:t xml:space="preserve"> will not be sufficient. </w:t>
      </w:r>
      <w:r w:rsidR="005F4382">
        <w:rPr>
          <w:rFonts w:eastAsia="Calibri"/>
          <w:noProof/>
          <w:lang w:eastAsia="en-GB"/>
        </w:rPr>
        <w:t>A l</w:t>
      </w:r>
      <w:r w:rsidRPr="00133DBD">
        <w:rPr>
          <w:rFonts w:eastAsia="Calibri"/>
          <w:noProof/>
          <w:lang w:eastAsia="en-GB"/>
        </w:rPr>
        <w:t>ack of coordinated EU action would translate into a risk of market fragmentation. On their own, individual Member States would also represent too small a market to drive industry</w:t>
      </w:r>
      <w:r w:rsidR="005F4382">
        <w:rPr>
          <w:rFonts w:eastAsia="Calibri"/>
          <w:noProof/>
          <w:lang w:eastAsia="en-GB"/>
        </w:rPr>
        <w:t>-</w:t>
      </w:r>
      <w:r w:rsidRPr="00133DBD">
        <w:rPr>
          <w:rFonts w:eastAsia="Calibri"/>
          <w:noProof/>
          <w:lang w:eastAsia="en-GB"/>
        </w:rPr>
        <w:t>level changes and create economies of scale.</w:t>
      </w:r>
    </w:p>
    <w:p w:rsidR="004755EE" w:rsidRDefault="004755EE" w:rsidP="004755EE">
      <w:pPr>
        <w:pStyle w:val="ManualHeading3"/>
        <w:rPr>
          <w:noProof/>
          <w:lang w:eastAsia="en-GB"/>
        </w:rPr>
      </w:pPr>
      <w:bookmarkStart w:id="31" w:name="_Toc514938030"/>
      <w:bookmarkStart w:id="32" w:name="_Toc520485037"/>
      <w:r>
        <w:rPr>
          <w:noProof/>
        </w:rPr>
        <w:t>1.5.3.</w:t>
      </w:r>
      <w:r>
        <w:rPr>
          <w:noProof/>
        </w:rPr>
        <w:tab/>
      </w:r>
      <w:r>
        <w:rPr>
          <w:noProof/>
          <w:lang w:eastAsia="en-GB"/>
        </w:rPr>
        <w:t>Lessons learned from similar experiences in the past</w:t>
      </w:r>
      <w:bookmarkEnd w:id="31"/>
      <w:bookmarkEnd w:id="32"/>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The proposal builds on existing legislation for both monitoring and reporting obligations and CO</w:t>
      </w:r>
      <w:r w:rsidRPr="0091029E">
        <w:rPr>
          <w:rFonts w:eastAsia="Calibri"/>
          <w:noProof/>
          <w:vertAlign w:val="subscript"/>
          <w:lang w:eastAsia="en-GB"/>
        </w:rPr>
        <w:t>2</w:t>
      </w:r>
      <w:r>
        <w:rPr>
          <w:rFonts w:eastAsia="Calibri"/>
          <w:noProof/>
          <w:lang w:eastAsia="en-GB"/>
        </w:rPr>
        <w:t xml:space="preserve"> emissions standards.</w:t>
      </w:r>
    </w:p>
    <w:p w:rsidR="004755EE" w:rsidRDefault="004755EE" w:rsidP="004755EE">
      <w:pPr>
        <w:pStyle w:val="ManualHeading3"/>
        <w:rPr>
          <w:noProof/>
          <w:lang w:eastAsia="en-GB"/>
        </w:rPr>
      </w:pPr>
      <w:bookmarkStart w:id="33" w:name="_Toc514938033"/>
      <w:bookmarkStart w:id="34" w:name="_Toc520485038"/>
      <w:r>
        <w:rPr>
          <w:noProof/>
        </w:rPr>
        <w:t>1.5.4.</w:t>
      </w:r>
      <w:r>
        <w:rPr>
          <w:noProof/>
        </w:rPr>
        <w:tab/>
      </w:r>
      <w:r>
        <w:rPr>
          <w:noProof/>
          <w:lang w:eastAsia="en-GB"/>
        </w:rPr>
        <w:t>Compatibility with the Multiannual Financial Framework and possible synergies with other appropriate instruments</w:t>
      </w:r>
      <w:bookmarkEnd w:id="33"/>
      <w:bookmarkEnd w:id="34"/>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This proposal is compatible with the objectives of the Next Generation EU and the Multiannual Financial Framework for 2021-2027</w:t>
      </w:r>
      <w:r w:rsidRPr="00C9020F">
        <w:rPr>
          <w:rStyle w:val="FootnoteReference"/>
          <w:noProof/>
        </w:rPr>
        <w:footnoteReference w:id="27"/>
      </w:r>
      <w:r w:rsidR="005F4382">
        <w:rPr>
          <w:rFonts w:eastAsia="Calibri"/>
          <w:noProof/>
          <w:lang w:eastAsia="en-GB"/>
        </w:rPr>
        <w:t>,</w:t>
      </w:r>
      <w:r>
        <w:rPr>
          <w:rFonts w:eastAsia="Calibri"/>
          <w:noProof/>
          <w:lang w:eastAsia="en-GB"/>
        </w:rPr>
        <w:t xml:space="preserve"> which will help achiev</w:t>
      </w:r>
      <w:r w:rsidR="005F4382">
        <w:rPr>
          <w:rFonts w:eastAsia="Calibri"/>
          <w:noProof/>
          <w:lang w:eastAsia="en-GB"/>
        </w:rPr>
        <w:t>e</w:t>
      </w:r>
      <w:r>
        <w:rPr>
          <w:rFonts w:eastAsia="Calibri"/>
          <w:noProof/>
          <w:lang w:eastAsia="en-GB"/>
        </w:rPr>
        <w:t xml:space="preserve"> the twin green and digital transitions that Europe is aiming for. </w:t>
      </w:r>
    </w:p>
    <w:p w:rsidR="004755EE" w:rsidRDefault="004755EE" w:rsidP="004755EE">
      <w:pPr>
        <w:pBdr>
          <w:top w:val="single" w:sz="4" w:space="1" w:color="auto"/>
          <w:left w:val="single" w:sz="4" w:space="4" w:color="auto"/>
          <w:bottom w:val="single" w:sz="4" w:space="1" w:color="auto"/>
          <w:right w:val="single" w:sz="4" w:space="4" w:color="auto"/>
        </w:pBdr>
        <w:ind w:left="360"/>
        <w:rPr>
          <w:noProof/>
          <w:lang w:val="en-IE"/>
        </w:rPr>
      </w:pPr>
      <w:r>
        <w:rPr>
          <w:rFonts w:eastAsia="Calibri"/>
          <w:noProof/>
          <w:lang w:eastAsia="en-GB"/>
        </w:rPr>
        <w:t>This legislative proposal is complementary and maintains consistency with the relevant proposals in the ‘fit for 55’ package</w:t>
      </w:r>
      <w:r w:rsidR="00CE291B">
        <w:rPr>
          <w:rFonts w:eastAsia="Calibri"/>
          <w:noProof/>
          <w:lang w:eastAsia="en-GB"/>
        </w:rPr>
        <w:t>.</w:t>
      </w:r>
      <w:r w:rsidR="009A0BBE">
        <w:rPr>
          <w:rFonts w:eastAsia="Calibri"/>
          <w:noProof/>
          <w:lang w:eastAsia="en-GB"/>
        </w:rPr>
        <w:t xml:space="preserve"> , as well as with the Euro 7 proposal </w:t>
      </w:r>
    </w:p>
    <w:p w:rsidR="004755EE" w:rsidRPr="009D46E0" w:rsidRDefault="004755EE" w:rsidP="004755EE">
      <w:pPr>
        <w:pStyle w:val="ManualHeading3"/>
        <w:rPr>
          <w:noProof/>
          <w:lang w:eastAsia="en-GB"/>
        </w:rPr>
      </w:pPr>
      <w:bookmarkStart w:id="35" w:name="_Toc514938036"/>
      <w:bookmarkStart w:id="36" w:name="_Toc520485039"/>
      <w:r w:rsidRPr="009D46E0">
        <w:rPr>
          <w:noProof/>
        </w:rPr>
        <w:t>1.5.5.</w:t>
      </w:r>
      <w:r w:rsidRPr="009D46E0">
        <w:rPr>
          <w:noProof/>
        </w:rPr>
        <w:tab/>
      </w:r>
      <w:r w:rsidRPr="009D46E0">
        <w:rPr>
          <w:noProof/>
          <w:lang w:eastAsia="en-GB"/>
        </w:rPr>
        <w:t>Assessment of the different available financing options, including scope for redeployment</w:t>
      </w:r>
      <w:bookmarkEnd w:id="35"/>
      <w:bookmarkEnd w:id="36"/>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9D46E0">
        <w:rPr>
          <w:rFonts w:eastAsia="Calibri"/>
          <w:noProof/>
          <w:lang w:eastAsia="en-GB"/>
        </w:rPr>
        <w:t>N/A</w:t>
      </w:r>
    </w:p>
    <w:p w:rsidR="004755EE" w:rsidRDefault="004755EE" w:rsidP="004755EE">
      <w:pPr>
        <w:pStyle w:val="ManualHeading2"/>
        <w:ind w:left="0" w:firstLine="0"/>
        <w:rPr>
          <w:noProof/>
          <w:szCs w:val="24"/>
          <w:lang w:eastAsia="en-GB"/>
        </w:rPr>
      </w:pPr>
      <w:r>
        <w:rPr>
          <w:noProof/>
          <w:lang w:eastAsia="en-GB"/>
        </w:rPr>
        <w:br w:type="page"/>
      </w:r>
      <w:bookmarkStart w:id="37" w:name="_Toc514938039"/>
      <w:bookmarkStart w:id="38" w:name="_Toc520485040"/>
      <w:r>
        <w:rPr>
          <w:noProof/>
        </w:rPr>
        <w:t>1.6.</w:t>
      </w:r>
      <w:r>
        <w:rPr>
          <w:noProof/>
        </w:rPr>
        <w:tab/>
      </w:r>
      <w:r>
        <w:rPr>
          <w:noProof/>
          <w:lang w:eastAsia="en-GB"/>
        </w:rPr>
        <w:t>Duration and financial impact of the proposal/initiative</w:t>
      </w:r>
      <w:bookmarkEnd w:id="37"/>
      <w:bookmarkEnd w:id="38"/>
    </w:p>
    <w:p w:rsidR="004755EE" w:rsidRDefault="004755EE" w:rsidP="004755EE">
      <w:pPr>
        <w:ind w:left="360"/>
        <w:rPr>
          <w:rFonts w:eastAsia="Calibri"/>
          <w:noProof/>
          <w:lang w:eastAsia="en-GB"/>
        </w:rPr>
      </w:pPr>
      <w:r>
        <w:rPr>
          <w:rFonts w:ascii="Wingdings" w:eastAsia="Wingdings" w:hAnsi="Wingdings" w:cs="Wingdings"/>
          <w:noProof/>
          <w:lang w:eastAsia="en-GB"/>
        </w:rPr>
        <w:t></w:t>
      </w:r>
      <w:r>
        <w:rPr>
          <w:rFonts w:eastAsia="Calibri"/>
          <w:b/>
          <w:i/>
          <w:noProof/>
          <w:lang w:eastAsia="en-GB"/>
        </w:rPr>
        <w:t xml:space="preserve"> </w:t>
      </w:r>
      <w:r>
        <w:rPr>
          <w:rFonts w:eastAsia="Calibri"/>
          <w:b/>
          <w:noProof/>
          <w:lang w:eastAsia="en-GB"/>
        </w:rPr>
        <w:t xml:space="preserve">limited duration </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ab/>
        <w:t xml:space="preserve">in effect from [DD/MM]YYYY to [DD/MM]YYYY </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ab/>
        <w:t xml:space="preserve">Financial impact from YYYY to YYYY for commitment appropriations and from YYYY to YYYY for payment appropriations. </w:t>
      </w:r>
    </w:p>
    <w:p w:rsidR="004755EE" w:rsidRDefault="004755EE" w:rsidP="004755EE">
      <w:pPr>
        <w:ind w:left="360"/>
        <w:rPr>
          <w:rFonts w:eastAsia="Calibri"/>
          <w:noProof/>
          <w:lang w:eastAsia="en-GB"/>
        </w:rPr>
      </w:pPr>
      <w:r>
        <w:rPr>
          <w:rFonts w:ascii="Wingdings" w:eastAsia="Wingdings" w:hAnsi="Wingdings" w:cs="Wingdings"/>
          <w:noProof/>
          <w:lang w:eastAsia="en-GB"/>
        </w:rPr>
        <w:t></w:t>
      </w:r>
      <w:r>
        <w:rPr>
          <w:rFonts w:eastAsia="Calibri"/>
          <w:b/>
          <w:i/>
          <w:noProof/>
          <w:lang w:eastAsia="en-GB"/>
        </w:rPr>
        <w:t xml:space="preserve"> </w:t>
      </w:r>
      <w:r>
        <w:rPr>
          <w:rFonts w:eastAsia="Calibri"/>
          <w:b/>
          <w:noProof/>
          <w:lang w:eastAsia="en-GB"/>
        </w:rPr>
        <w:t>unlimited duration</w:t>
      </w:r>
    </w:p>
    <w:p w:rsidR="004755EE" w:rsidRPr="00A8486F" w:rsidRDefault="004755EE" w:rsidP="004755EE">
      <w:pPr>
        <w:ind w:left="720"/>
        <w:rPr>
          <w:rFonts w:eastAsia="Calibri"/>
          <w:noProof/>
          <w:lang w:eastAsia="en-GB"/>
        </w:rPr>
      </w:pPr>
      <w:r>
        <w:rPr>
          <w:rFonts w:eastAsia="Calibri"/>
          <w:noProof/>
          <w:lang w:eastAsia="en-GB"/>
        </w:rPr>
        <w:t xml:space="preserve">- </w:t>
      </w:r>
      <w:r w:rsidRPr="00A8486F">
        <w:rPr>
          <w:rFonts w:eastAsia="Calibri"/>
          <w:noProof/>
          <w:lang w:eastAsia="en-GB"/>
        </w:rPr>
        <w:t xml:space="preserve">Implementation with a start-up period </w:t>
      </w:r>
      <w:r w:rsidRPr="00016B4A">
        <w:rPr>
          <w:rFonts w:eastAsia="Calibri"/>
          <w:noProof/>
          <w:lang w:eastAsia="en-GB"/>
        </w:rPr>
        <w:t>from 2024 to 2025.</w:t>
      </w:r>
    </w:p>
    <w:p w:rsidR="004755EE" w:rsidRDefault="004755EE" w:rsidP="004755EE">
      <w:pPr>
        <w:ind w:left="720"/>
        <w:rPr>
          <w:rFonts w:eastAsia="Calibri"/>
          <w:noProof/>
          <w:lang w:eastAsia="en-GB"/>
        </w:rPr>
      </w:pPr>
      <w:r>
        <w:rPr>
          <w:rFonts w:eastAsia="Calibri"/>
          <w:noProof/>
          <w:lang w:eastAsia="en-GB"/>
        </w:rPr>
        <w:t>- followed by full-scale operation.</w:t>
      </w:r>
    </w:p>
    <w:p w:rsidR="004755EE" w:rsidRDefault="004755EE" w:rsidP="004755EE">
      <w:pPr>
        <w:pStyle w:val="ManualHeading2"/>
        <w:rPr>
          <w:noProof/>
          <w:szCs w:val="24"/>
          <w:lang w:eastAsia="en-GB"/>
        </w:rPr>
      </w:pPr>
      <w:bookmarkStart w:id="39" w:name="_Toc514938040"/>
      <w:bookmarkStart w:id="40" w:name="_Toc520485041"/>
      <w:r>
        <w:rPr>
          <w:noProof/>
        </w:rPr>
        <w:t>1.7.</w:t>
      </w:r>
      <w:r>
        <w:rPr>
          <w:noProof/>
        </w:rPr>
        <w:tab/>
      </w:r>
      <w:r>
        <w:rPr>
          <w:noProof/>
          <w:lang w:eastAsia="en-GB"/>
        </w:rPr>
        <w:t>Management mode(s) planned</w:t>
      </w:r>
      <w:r w:rsidRPr="00C9020F">
        <w:rPr>
          <w:rStyle w:val="FootnoteReference"/>
          <w:noProof/>
        </w:rPr>
        <w:footnoteReference w:id="28"/>
      </w:r>
      <w:bookmarkEnd w:id="39"/>
      <w:bookmarkEnd w:id="40"/>
      <w:r>
        <w:rPr>
          <w:noProof/>
          <w:vertAlign w:val="superscript"/>
          <w:lang w:eastAsia="en-GB"/>
        </w:rPr>
        <w:t xml:space="preserve"> </w:t>
      </w:r>
    </w:p>
    <w:p w:rsidR="004755EE" w:rsidRDefault="004755EE" w:rsidP="004755EE">
      <w:pPr>
        <w:ind w:left="360"/>
        <w:rPr>
          <w:rFonts w:eastAsia="Calibri"/>
          <w:noProof/>
          <w:lang w:eastAsia="en-GB"/>
        </w:rPr>
      </w:pPr>
      <w:r>
        <w:rPr>
          <w:rFonts w:ascii="Wingdings" w:eastAsia="Wingdings" w:hAnsi="Wingdings" w:cs="Wingdings"/>
          <w:noProof/>
          <w:lang w:eastAsia="en-GB"/>
        </w:rPr>
        <w:t></w:t>
      </w:r>
      <w:r>
        <w:rPr>
          <w:rFonts w:eastAsia="Calibri"/>
          <w:i/>
          <w:noProof/>
          <w:lang w:eastAsia="en-GB"/>
        </w:rPr>
        <w:t xml:space="preserve"> </w:t>
      </w:r>
      <w:r>
        <w:rPr>
          <w:rFonts w:eastAsia="Calibri"/>
          <w:b/>
          <w:noProof/>
          <w:lang w:eastAsia="en-GB"/>
        </w:rPr>
        <w:t>Direct management</w:t>
      </w:r>
      <w:r>
        <w:rPr>
          <w:rFonts w:eastAsia="Calibri"/>
          <w:noProof/>
          <w:lang w:eastAsia="en-GB"/>
        </w:rPr>
        <w:t xml:space="preserve"> by the Commission</w:t>
      </w:r>
    </w:p>
    <w:p w:rsidR="004755EE" w:rsidRDefault="004755EE" w:rsidP="004755EE">
      <w:pPr>
        <w:ind w:left="720"/>
        <w:rPr>
          <w:rFonts w:eastAsia="Calibri" w:cs="EUAlbertina"/>
          <w:noProof/>
          <w:lang w:eastAsia="en-GB"/>
        </w:rPr>
      </w:pPr>
      <w:r>
        <w:rPr>
          <w:rFonts w:ascii="Wingdings" w:eastAsia="Wingdings" w:hAnsi="Wingdings" w:cs="Wingdings"/>
          <w:noProof/>
          <w:lang w:eastAsia="en-GB"/>
        </w:rPr>
        <w:t></w:t>
      </w:r>
      <w:r>
        <w:rPr>
          <w:rFonts w:eastAsia="Calibri"/>
          <w:noProof/>
          <w:lang w:eastAsia="en-GB"/>
        </w:rPr>
        <w:tab/>
        <w:t xml:space="preserve">by its departments, including by its staff in the Union delegations; </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ab/>
        <w:t>by the executive agencies</w:t>
      </w:r>
    </w:p>
    <w:p w:rsidR="004755EE" w:rsidRDefault="004755EE" w:rsidP="004755EE">
      <w:pPr>
        <w:ind w:left="360"/>
        <w:rPr>
          <w:rFonts w:eastAsia="Calibri"/>
          <w:noProof/>
          <w:lang w:eastAsia="en-GB"/>
        </w:rPr>
      </w:pPr>
      <w:r>
        <w:rPr>
          <w:rFonts w:ascii="Wingdings" w:eastAsia="Wingdings" w:hAnsi="Wingdings" w:cs="Wingdings"/>
          <w:noProof/>
          <w:lang w:eastAsia="en-GB"/>
        </w:rPr>
        <w:t></w:t>
      </w:r>
      <w:r>
        <w:rPr>
          <w:rFonts w:eastAsia="Calibri"/>
          <w:b/>
          <w:i/>
          <w:noProof/>
          <w:lang w:eastAsia="en-GB"/>
        </w:rPr>
        <w:t xml:space="preserve"> </w:t>
      </w:r>
      <w:r>
        <w:rPr>
          <w:rFonts w:eastAsia="Calibri"/>
          <w:b/>
          <w:noProof/>
          <w:lang w:eastAsia="en-GB"/>
        </w:rPr>
        <w:t>Shared management</w:t>
      </w:r>
      <w:r>
        <w:rPr>
          <w:rFonts w:eastAsia="Calibri"/>
          <w:noProof/>
          <w:lang w:eastAsia="en-GB"/>
        </w:rPr>
        <w:t xml:space="preserve"> with the Member States </w:t>
      </w:r>
    </w:p>
    <w:p w:rsidR="004755EE" w:rsidRDefault="004755EE" w:rsidP="004755EE">
      <w:pPr>
        <w:ind w:left="360"/>
        <w:rPr>
          <w:rFonts w:eastAsia="Calibri"/>
          <w:noProof/>
          <w:lang w:eastAsia="en-GB"/>
        </w:rPr>
      </w:pPr>
      <w:r>
        <w:rPr>
          <w:rFonts w:ascii="Wingdings" w:eastAsia="Wingdings" w:hAnsi="Wingdings" w:cs="Wingdings"/>
          <w:noProof/>
          <w:lang w:eastAsia="en-GB"/>
        </w:rPr>
        <w:t></w:t>
      </w:r>
      <w:r>
        <w:rPr>
          <w:rFonts w:eastAsia="Calibri"/>
          <w:i/>
          <w:noProof/>
          <w:lang w:eastAsia="en-GB"/>
        </w:rPr>
        <w:t xml:space="preserve"> </w:t>
      </w:r>
      <w:r>
        <w:rPr>
          <w:rFonts w:eastAsia="Calibri"/>
          <w:b/>
          <w:noProof/>
          <w:lang w:eastAsia="en-GB"/>
        </w:rPr>
        <w:t>Indirect management</w:t>
      </w:r>
      <w:r>
        <w:rPr>
          <w:rFonts w:eastAsia="Calibri"/>
          <w:noProof/>
          <w:lang w:eastAsia="en-GB"/>
        </w:rPr>
        <w:t xml:space="preserve"> by entrusting budget implementation tasks to:</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third countries or the bodies they have designated;</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international organisations and their agencies (to be specified);</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the EIB and the European Investment Fund;</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bodies referred to in Articles 70 and 71 of the Financial Regulation;</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public law bodies;</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bodies governed by private law with a public service mission to the extent that they provide adequate financial guarantees;</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bodies governed by the private law of a Member State that are entrusted with the implementation of a public-private partnership and that provide adequate financial guarantees;</w:t>
      </w:r>
    </w:p>
    <w:p w:rsidR="004755EE" w:rsidRDefault="004755EE" w:rsidP="004755EE">
      <w:pPr>
        <w:ind w:left="720"/>
        <w:rPr>
          <w:rFonts w:eastAsia="Calibri"/>
          <w:noProof/>
          <w:lang w:eastAsia="en-GB"/>
        </w:rPr>
      </w:pPr>
      <w:r>
        <w:rPr>
          <w:rFonts w:ascii="Wingdings" w:eastAsia="Wingdings" w:hAnsi="Wingdings" w:cs="Wingdings"/>
          <w:noProof/>
          <w:lang w:eastAsia="en-GB"/>
        </w:rPr>
        <w:t></w:t>
      </w:r>
      <w:r>
        <w:rPr>
          <w:rFonts w:eastAsia="Calibri"/>
          <w:noProof/>
          <w:lang w:eastAsia="en-GB"/>
        </w:rPr>
        <w:t xml:space="preserve"> persons entrusted with the implementation of specific actions in the CFSP pursuant to Title V of the TEU, and identified in the relevant basic act.</w:t>
      </w:r>
    </w:p>
    <w:p w:rsidR="004755EE" w:rsidRDefault="004755EE" w:rsidP="004755EE">
      <w:pPr>
        <w:ind w:left="720"/>
        <w:rPr>
          <w:rFonts w:eastAsia="Calibri"/>
          <w:noProof/>
          <w:u w:val="single"/>
          <w:lang w:eastAsia="en-GB"/>
        </w:rPr>
      </w:pPr>
      <w:r>
        <w:rPr>
          <w:rFonts w:eastAsia="Calibri"/>
          <w:noProof/>
          <w:lang w:eastAsia="en-GB"/>
        </w:rPr>
        <w:t>If more than one management mode is indicated, please provide details in the ‘Comments’ section.</w:t>
      </w:r>
    </w:p>
    <w:p w:rsidR="00322AAB" w:rsidRDefault="0031003A" w:rsidP="00322AAB">
      <w:pPr>
        <w:ind w:left="720"/>
        <w:rPr>
          <w:rFonts w:eastAsia="Calibri"/>
          <w:noProof/>
          <w:lang w:eastAsia="en-GB"/>
        </w:rPr>
      </w:pPr>
      <w:r w:rsidRPr="00322AAB">
        <w:rPr>
          <w:rFonts w:eastAsia="Calibri"/>
          <w:noProof/>
          <w:lang w:eastAsia="en-GB"/>
        </w:rPr>
        <w:t>Comments</w:t>
      </w:r>
      <w:r>
        <w:rPr>
          <w:rFonts w:eastAsia="Calibri"/>
          <w:noProof/>
          <w:lang w:eastAsia="en-GB"/>
        </w:rPr>
        <w:t xml:space="preserve">: </w:t>
      </w:r>
    </w:p>
    <w:p w:rsidR="003D754B" w:rsidRPr="003D754B" w:rsidRDefault="0031003A" w:rsidP="003D754B">
      <w:pPr>
        <w:ind w:left="720"/>
        <w:rPr>
          <w:rFonts w:eastAsia="Calibri"/>
          <w:noProof/>
          <w:lang w:eastAsia="en-GB"/>
        </w:rPr>
        <w:sectPr w:rsidR="003D754B" w:rsidRPr="003D754B" w:rsidSect="00F221E9">
          <w:pgSz w:w="11907" w:h="16840" w:code="9"/>
          <w:pgMar w:top="1134" w:right="1418" w:bottom="1134" w:left="1418" w:header="709" w:footer="709" w:gutter="0"/>
          <w:cols w:space="708"/>
          <w:docGrid w:linePitch="360"/>
        </w:sectPr>
      </w:pPr>
      <w:r>
        <w:rPr>
          <w:rFonts w:eastAsia="Calibri"/>
          <w:noProof/>
          <w:lang w:eastAsia="en-GB"/>
        </w:rPr>
        <w:t>N/A</w:t>
      </w:r>
      <w:bookmarkStart w:id="41" w:name="_Toc514938041"/>
      <w:bookmarkStart w:id="42" w:name="_Toc520485042"/>
      <w:bookmarkStart w:id="43" w:name="_Toc514938050"/>
      <w:bookmarkStart w:id="44" w:name="_Toc520485049"/>
      <w:r w:rsidR="00322AAB">
        <w:rPr>
          <w:rFonts w:eastAsia="Calibri"/>
          <w:b/>
          <w:i/>
          <w:smallCaps/>
          <w:noProof/>
          <w:lang w:eastAsia="en-GB"/>
        </w:rPr>
        <w:br w:type="page"/>
      </w:r>
    </w:p>
    <w:p w:rsidR="004755EE" w:rsidRPr="00322AAB" w:rsidRDefault="004755EE" w:rsidP="00322AAB">
      <w:pPr>
        <w:pStyle w:val="ManualHeading1"/>
        <w:ind w:left="0" w:firstLine="0"/>
        <w:rPr>
          <w:noProof/>
          <w:vanish/>
          <w:szCs w:val="24"/>
          <w:lang w:eastAsia="en-GB"/>
          <w:specVanish/>
        </w:rPr>
      </w:pPr>
      <w:r>
        <w:rPr>
          <w:noProof/>
        </w:rPr>
        <w:t>2.</w:t>
      </w:r>
      <w:r>
        <w:rPr>
          <w:noProof/>
        </w:rPr>
        <w:tab/>
      </w:r>
      <w:r>
        <w:rPr>
          <w:noProof/>
          <w:lang w:eastAsia="en-GB"/>
        </w:rPr>
        <w:t>MANAGEMENT MEASURES</w:t>
      </w:r>
      <w:bookmarkEnd w:id="41"/>
      <w:bookmarkEnd w:id="42"/>
      <w:r>
        <w:rPr>
          <w:noProof/>
          <w:lang w:eastAsia="en-GB"/>
        </w:rPr>
        <w:t xml:space="preserve"> </w:t>
      </w:r>
    </w:p>
    <w:p w:rsidR="003D754B" w:rsidRDefault="00322AAB" w:rsidP="004755EE">
      <w:pPr>
        <w:pStyle w:val="ManualHeading2"/>
        <w:rPr>
          <w:noProof/>
        </w:rPr>
      </w:pPr>
      <w:bookmarkStart w:id="45" w:name="_Toc514938042"/>
      <w:bookmarkStart w:id="46" w:name="_Toc520485043"/>
      <w:r>
        <w:rPr>
          <w:noProof/>
        </w:rPr>
        <w:t xml:space="preserve"> </w:t>
      </w:r>
    </w:p>
    <w:p w:rsidR="004755EE" w:rsidRDefault="004755EE" w:rsidP="004755EE">
      <w:pPr>
        <w:pStyle w:val="ManualHeading2"/>
        <w:rPr>
          <w:noProof/>
          <w:lang w:eastAsia="en-GB"/>
        </w:rPr>
      </w:pPr>
      <w:r>
        <w:rPr>
          <w:noProof/>
        </w:rPr>
        <w:t>2.1.</w:t>
      </w:r>
      <w:r>
        <w:rPr>
          <w:noProof/>
        </w:rPr>
        <w:tab/>
      </w:r>
      <w:r>
        <w:rPr>
          <w:noProof/>
          <w:lang w:eastAsia="en-GB"/>
        </w:rPr>
        <w:t>Monitoring and reporting rules</w:t>
      </w:r>
      <w:bookmarkEnd w:id="45"/>
      <w:bookmarkEnd w:id="46"/>
      <w:r>
        <w:rPr>
          <w:noProof/>
          <w:lang w:eastAsia="en-GB"/>
        </w:rPr>
        <w:t xml:space="preserve"> </w:t>
      </w:r>
    </w:p>
    <w:p w:rsidR="004755EE" w:rsidRDefault="004755EE" w:rsidP="004755EE">
      <w:pPr>
        <w:ind w:left="360"/>
        <w:rPr>
          <w:rFonts w:eastAsia="Calibri"/>
          <w:i/>
          <w:noProof/>
          <w:sz w:val="20"/>
          <w:lang w:eastAsia="en-GB"/>
        </w:rPr>
      </w:pPr>
      <w:r>
        <w:rPr>
          <w:rFonts w:eastAsia="Calibri"/>
          <w:i/>
          <w:noProof/>
          <w:sz w:val="20"/>
          <w:lang w:eastAsia="en-GB"/>
        </w:rPr>
        <w:t>Specify frequency and conditions.</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80605A">
        <w:rPr>
          <w:rFonts w:eastAsia="Calibri"/>
          <w:noProof/>
          <w:lang w:eastAsia="en-GB"/>
        </w:rPr>
        <w:t>The initiative involve</w:t>
      </w:r>
      <w:r>
        <w:rPr>
          <w:rFonts w:eastAsia="Calibri"/>
          <w:noProof/>
          <w:lang w:eastAsia="en-GB"/>
        </w:rPr>
        <w:t>s an appropriation of existing DG CLIMA</w:t>
      </w:r>
      <w:r w:rsidRPr="0080605A">
        <w:rPr>
          <w:rFonts w:eastAsia="Calibri"/>
          <w:noProof/>
          <w:lang w:eastAsia="en-GB"/>
        </w:rPr>
        <w:t xml:space="preserve"> administrative arrangement</w:t>
      </w:r>
      <w:r w:rsidR="005F4382">
        <w:rPr>
          <w:rFonts w:eastAsia="Calibri"/>
          <w:noProof/>
          <w:lang w:eastAsia="en-GB"/>
        </w:rPr>
        <w:t>s</w:t>
      </w:r>
      <w:r w:rsidRPr="0080605A">
        <w:rPr>
          <w:rFonts w:eastAsia="Calibri"/>
          <w:noProof/>
          <w:lang w:eastAsia="en-GB"/>
        </w:rPr>
        <w:t xml:space="preserve"> with the JRC</w:t>
      </w:r>
      <w:r>
        <w:rPr>
          <w:rFonts w:eastAsia="Calibri"/>
          <w:noProof/>
          <w:lang w:eastAsia="en-GB"/>
        </w:rPr>
        <w:t xml:space="preserve"> and an </w:t>
      </w:r>
      <w:r w:rsidRPr="0080605A">
        <w:rPr>
          <w:rFonts w:eastAsia="Calibri"/>
          <w:noProof/>
          <w:lang w:eastAsia="en-GB"/>
        </w:rPr>
        <w:t xml:space="preserve">increase </w:t>
      </w:r>
      <w:r w:rsidR="005F4382">
        <w:rPr>
          <w:rFonts w:eastAsia="Calibri"/>
          <w:noProof/>
          <w:lang w:eastAsia="en-GB"/>
        </w:rPr>
        <w:t>in</w:t>
      </w:r>
      <w:r w:rsidR="005F4382" w:rsidRPr="0080605A">
        <w:rPr>
          <w:rFonts w:eastAsia="Calibri"/>
          <w:noProof/>
          <w:lang w:eastAsia="en-GB"/>
        </w:rPr>
        <w:t xml:space="preserve"> </w:t>
      </w:r>
      <w:r w:rsidRPr="0080605A">
        <w:rPr>
          <w:rFonts w:eastAsia="Calibri"/>
          <w:noProof/>
          <w:lang w:eastAsia="en-GB"/>
        </w:rPr>
        <w:t xml:space="preserve">the contribution </w:t>
      </w:r>
      <w:r w:rsidR="007665B7">
        <w:rPr>
          <w:rFonts w:eastAsia="Calibri"/>
          <w:noProof/>
          <w:lang w:eastAsia="en-GB"/>
        </w:rPr>
        <w:t>to</w:t>
      </w:r>
      <w:r w:rsidR="007665B7" w:rsidRPr="0080605A">
        <w:rPr>
          <w:rFonts w:eastAsia="Calibri"/>
          <w:noProof/>
          <w:lang w:eastAsia="en-GB"/>
        </w:rPr>
        <w:t xml:space="preserve"> </w:t>
      </w:r>
      <w:r w:rsidRPr="0080605A">
        <w:rPr>
          <w:rFonts w:eastAsia="Calibri"/>
          <w:noProof/>
          <w:lang w:eastAsia="en-GB"/>
        </w:rPr>
        <w:t>the EEA</w:t>
      </w:r>
      <w:r>
        <w:rPr>
          <w:rFonts w:eastAsia="Calibri"/>
          <w:noProof/>
          <w:lang w:eastAsia="en-GB"/>
        </w:rPr>
        <w:t>.</w:t>
      </w:r>
    </w:p>
    <w:p w:rsidR="0031003A" w:rsidRDefault="007665B7" w:rsidP="0031003A">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D</w:t>
      </w:r>
      <w:r w:rsidR="00CE291B" w:rsidRPr="00133DBD">
        <w:rPr>
          <w:rFonts w:eastAsia="Calibri"/>
          <w:noProof/>
          <w:lang w:eastAsia="en-GB"/>
        </w:rPr>
        <w:t>ata collection is required from different sources, including from Member States, automotive manufacturers and national type approval authorities</w:t>
      </w:r>
      <w:r w:rsidR="00CE291B">
        <w:rPr>
          <w:rFonts w:eastAsia="Calibri"/>
          <w:noProof/>
          <w:lang w:eastAsia="en-GB"/>
        </w:rPr>
        <w:t xml:space="preserve">. </w:t>
      </w:r>
      <w:r w:rsidR="004755EE">
        <w:rPr>
          <w:rFonts w:eastAsia="Calibri"/>
          <w:noProof/>
          <w:lang w:eastAsia="en-GB"/>
        </w:rPr>
        <w:t>T</w:t>
      </w:r>
      <w:r w:rsidR="004755EE" w:rsidRPr="00EA1577">
        <w:rPr>
          <w:rFonts w:eastAsia="Calibri"/>
          <w:noProof/>
          <w:lang w:eastAsia="en-GB"/>
        </w:rPr>
        <w:t>he coordination of the data collection activities</w:t>
      </w:r>
      <w:r w:rsidR="00826AA5">
        <w:rPr>
          <w:rFonts w:eastAsia="Calibri"/>
          <w:noProof/>
          <w:lang w:eastAsia="en-GB"/>
        </w:rPr>
        <w:t xml:space="preserve"> </w:t>
      </w:r>
      <w:r w:rsidR="004755EE" w:rsidRPr="00EA1577">
        <w:rPr>
          <w:rFonts w:eastAsia="Calibri"/>
          <w:noProof/>
          <w:lang w:eastAsia="en-GB"/>
        </w:rPr>
        <w:t xml:space="preserve">is </w:t>
      </w:r>
      <w:r w:rsidR="00CE291B">
        <w:rPr>
          <w:rFonts w:eastAsia="Calibri"/>
          <w:noProof/>
          <w:lang w:eastAsia="en-GB"/>
        </w:rPr>
        <w:t>performed by</w:t>
      </w:r>
      <w:r w:rsidR="004755EE" w:rsidRPr="00EA1577">
        <w:rPr>
          <w:rFonts w:eastAsia="Calibri"/>
          <w:noProof/>
          <w:lang w:eastAsia="en-GB"/>
        </w:rPr>
        <w:t xml:space="preserve"> the </w:t>
      </w:r>
      <w:r w:rsidR="004755EE">
        <w:rPr>
          <w:rFonts w:eastAsia="Calibri"/>
          <w:noProof/>
          <w:lang w:eastAsia="en-GB"/>
        </w:rPr>
        <w:t>EEA</w:t>
      </w:r>
      <w:r w:rsidR="004755EE" w:rsidRPr="00EA1577">
        <w:rPr>
          <w:rFonts w:eastAsia="Calibri"/>
          <w:noProof/>
          <w:lang w:eastAsia="en-GB"/>
        </w:rPr>
        <w:t xml:space="preserve"> and DG CLIMA</w:t>
      </w:r>
      <w:r w:rsidR="00CE291B">
        <w:rPr>
          <w:rFonts w:eastAsia="Calibri"/>
          <w:noProof/>
          <w:lang w:eastAsia="en-GB"/>
        </w:rPr>
        <w:t>, also</w:t>
      </w:r>
      <w:r w:rsidR="00826AA5">
        <w:rPr>
          <w:rFonts w:eastAsia="Calibri"/>
          <w:noProof/>
          <w:lang w:eastAsia="en-GB"/>
        </w:rPr>
        <w:t xml:space="preserve"> </w:t>
      </w:r>
      <w:r w:rsidR="004755EE" w:rsidRPr="00EA1577">
        <w:rPr>
          <w:rFonts w:eastAsia="Calibri"/>
          <w:noProof/>
          <w:lang w:eastAsia="en-GB"/>
        </w:rPr>
        <w:t xml:space="preserve">assisted by the JRC. </w:t>
      </w:r>
    </w:p>
    <w:p w:rsidR="0031003A" w:rsidRDefault="004755EE" w:rsidP="0031003A">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31003A">
        <w:rPr>
          <w:rFonts w:eastAsia="Calibri"/>
          <w:noProof/>
          <w:lang w:eastAsia="en-GB"/>
        </w:rPr>
        <w:t xml:space="preserve">Member States and manufacturers </w:t>
      </w:r>
      <w:r w:rsidR="005F4382">
        <w:rPr>
          <w:rFonts w:eastAsia="Calibri"/>
          <w:noProof/>
          <w:lang w:eastAsia="en-GB"/>
        </w:rPr>
        <w:t xml:space="preserve">annually </w:t>
      </w:r>
      <w:r w:rsidRPr="0031003A">
        <w:rPr>
          <w:rFonts w:eastAsia="Calibri"/>
          <w:noProof/>
          <w:lang w:eastAsia="en-GB"/>
        </w:rPr>
        <w:t>report data on new vehicle registrations. These datasets form the basis for determining manufacturers’</w:t>
      </w:r>
      <w:r w:rsidR="00826AA5">
        <w:rPr>
          <w:rFonts w:eastAsia="Calibri"/>
          <w:noProof/>
          <w:lang w:eastAsia="en-GB"/>
        </w:rPr>
        <w:t xml:space="preserve"> c</w:t>
      </w:r>
      <w:r w:rsidRPr="0031003A">
        <w:rPr>
          <w:rFonts w:eastAsia="Calibri"/>
          <w:noProof/>
          <w:lang w:eastAsia="en-GB"/>
        </w:rPr>
        <w:t xml:space="preserve">ompliance with the standards and the imposition of any potential fines. The data is then confirmed by a Commission decision. </w:t>
      </w:r>
    </w:p>
    <w:p w:rsidR="0031003A" w:rsidRDefault="004755EE" w:rsidP="0031003A">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31003A">
        <w:rPr>
          <w:rFonts w:eastAsia="Calibri"/>
          <w:noProof/>
          <w:lang w:eastAsia="en-GB"/>
        </w:rPr>
        <w:t>The proposal require</w:t>
      </w:r>
      <w:r w:rsidR="00CE291B" w:rsidRPr="0031003A">
        <w:rPr>
          <w:rFonts w:eastAsia="Calibri"/>
          <w:noProof/>
          <w:lang w:eastAsia="en-GB"/>
        </w:rPr>
        <w:t>s</w:t>
      </w:r>
      <w:r w:rsidRPr="0031003A">
        <w:rPr>
          <w:rFonts w:eastAsia="Calibri"/>
          <w:noProof/>
          <w:lang w:eastAsia="en-GB"/>
        </w:rPr>
        <w:t xml:space="preserve"> </w:t>
      </w:r>
      <w:r w:rsidR="007665B7">
        <w:rPr>
          <w:rFonts w:eastAsia="Calibri"/>
          <w:noProof/>
          <w:lang w:eastAsia="en-GB"/>
        </w:rPr>
        <w:t xml:space="preserve">additional </w:t>
      </w:r>
      <w:r w:rsidRPr="0031003A">
        <w:rPr>
          <w:rFonts w:eastAsia="Calibri"/>
          <w:noProof/>
          <w:lang w:eastAsia="en-GB"/>
        </w:rPr>
        <w:t>data assessment</w:t>
      </w:r>
      <w:r w:rsidR="0040299D" w:rsidRPr="0031003A">
        <w:rPr>
          <w:rFonts w:eastAsia="Calibri"/>
          <w:noProof/>
          <w:lang w:eastAsia="en-GB"/>
        </w:rPr>
        <w:t xml:space="preserve"> by the Commission and EEA due to </w:t>
      </w:r>
      <w:r w:rsidR="00E87632" w:rsidRPr="0031003A">
        <w:rPr>
          <w:rFonts w:eastAsia="Calibri"/>
          <w:noProof/>
          <w:lang w:eastAsia="en-GB"/>
        </w:rPr>
        <w:t xml:space="preserve">the </w:t>
      </w:r>
      <w:r w:rsidR="00CE291B" w:rsidRPr="0031003A">
        <w:rPr>
          <w:rFonts w:eastAsia="Calibri"/>
          <w:noProof/>
          <w:lang w:eastAsia="en-GB"/>
        </w:rPr>
        <w:t xml:space="preserve">newly covered </w:t>
      </w:r>
      <w:r w:rsidRPr="0031003A">
        <w:rPr>
          <w:rFonts w:eastAsia="Calibri"/>
          <w:noProof/>
          <w:lang w:eastAsia="en-GB"/>
        </w:rPr>
        <w:t>vehicle groups</w:t>
      </w:r>
      <w:r w:rsidR="00E87632" w:rsidRPr="0031003A">
        <w:rPr>
          <w:rFonts w:eastAsia="Calibri"/>
          <w:noProof/>
          <w:lang w:eastAsia="en-GB"/>
        </w:rPr>
        <w:t>, the provisions on small volume manufacturers exemptions</w:t>
      </w:r>
      <w:r w:rsidR="00826AA5">
        <w:rPr>
          <w:rFonts w:eastAsia="Calibri"/>
          <w:noProof/>
          <w:lang w:eastAsia="en-GB"/>
        </w:rPr>
        <w:t xml:space="preserve"> and</w:t>
      </w:r>
      <w:r w:rsidR="00E87632" w:rsidRPr="0031003A">
        <w:rPr>
          <w:rFonts w:eastAsia="Calibri"/>
          <w:noProof/>
          <w:lang w:eastAsia="en-GB"/>
        </w:rPr>
        <w:t xml:space="preserve"> the transfer of vehicles. </w:t>
      </w:r>
    </w:p>
    <w:p w:rsidR="004755EE" w:rsidRPr="0094656B"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31003A">
        <w:rPr>
          <w:rFonts w:eastAsia="Calibri"/>
          <w:noProof/>
          <w:lang w:eastAsia="en-GB"/>
        </w:rPr>
        <w:t xml:space="preserve">Data on real-world fuel and/or electric energy consumption as recorded on-board vehicles </w:t>
      </w:r>
      <w:r w:rsidR="00E87632" w:rsidRPr="0031003A">
        <w:rPr>
          <w:rFonts w:eastAsia="Calibri"/>
          <w:noProof/>
          <w:lang w:eastAsia="en-GB"/>
        </w:rPr>
        <w:t>and data on in-Serv</w:t>
      </w:r>
      <w:r w:rsidR="0040299D" w:rsidRPr="0031003A">
        <w:rPr>
          <w:rFonts w:eastAsia="Calibri"/>
          <w:noProof/>
          <w:lang w:eastAsia="en-GB"/>
        </w:rPr>
        <w:t>i</w:t>
      </w:r>
      <w:r w:rsidR="00E87632" w:rsidRPr="0031003A">
        <w:rPr>
          <w:rFonts w:eastAsia="Calibri"/>
          <w:noProof/>
          <w:lang w:eastAsia="en-GB"/>
        </w:rPr>
        <w:t xml:space="preserve">ce performance </w:t>
      </w:r>
      <w:r w:rsidRPr="0031003A">
        <w:rPr>
          <w:rFonts w:eastAsia="Calibri"/>
          <w:noProof/>
          <w:lang w:eastAsia="en-GB"/>
        </w:rPr>
        <w:t>will be reported annually</w:t>
      </w:r>
      <w:r w:rsidR="00E87632" w:rsidRPr="0031003A">
        <w:rPr>
          <w:rFonts w:eastAsia="Calibri"/>
          <w:noProof/>
          <w:lang w:eastAsia="en-GB"/>
        </w:rPr>
        <w:t>, including for the vehicles added to the scope</w:t>
      </w:r>
      <w:r w:rsidRPr="0031003A">
        <w:rPr>
          <w:rFonts w:eastAsia="Calibri"/>
          <w:noProof/>
          <w:lang w:eastAsia="en-GB"/>
        </w:rPr>
        <w:t xml:space="preserve">. </w:t>
      </w:r>
      <w:r w:rsidR="007665B7">
        <w:rPr>
          <w:rFonts w:eastAsia="Calibri"/>
          <w:noProof/>
          <w:lang w:eastAsia="en-GB"/>
        </w:rPr>
        <w:t>T</w:t>
      </w:r>
      <w:r w:rsidRPr="009D19C2">
        <w:rPr>
          <w:rFonts w:eastAsia="Calibri"/>
          <w:noProof/>
          <w:lang w:eastAsia="en-GB"/>
        </w:rPr>
        <w:t xml:space="preserve">he </w:t>
      </w:r>
      <w:r w:rsidR="007665B7">
        <w:rPr>
          <w:rFonts w:eastAsia="Calibri"/>
          <w:noProof/>
          <w:lang w:eastAsia="en-GB"/>
        </w:rPr>
        <w:t xml:space="preserve">existing </w:t>
      </w:r>
      <w:r w:rsidR="00E87632">
        <w:rPr>
          <w:rFonts w:eastAsia="Calibri"/>
          <w:noProof/>
          <w:lang w:eastAsia="en-GB"/>
        </w:rPr>
        <w:t>real-world and in</w:t>
      </w:r>
      <w:r w:rsidR="005E2E23">
        <w:rPr>
          <w:rFonts w:eastAsia="Calibri"/>
          <w:noProof/>
          <w:lang w:eastAsia="en-GB"/>
        </w:rPr>
        <w:t>-</w:t>
      </w:r>
      <w:r w:rsidR="00826AA5">
        <w:rPr>
          <w:rFonts w:eastAsia="Calibri"/>
          <w:noProof/>
          <w:lang w:eastAsia="en-GB"/>
        </w:rPr>
        <w:t>s</w:t>
      </w:r>
      <w:r w:rsidR="00E87632">
        <w:rPr>
          <w:rFonts w:eastAsia="Calibri"/>
          <w:noProof/>
          <w:lang w:eastAsia="en-GB"/>
        </w:rPr>
        <w:t xml:space="preserve">ervice </w:t>
      </w:r>
      <w:r w:rsidR="005E2E23">
        <w:rPr>
          <w:rFonts w:eastAsia="Calibri"/>
          <w:noProof/>
          <w:lang w:eastAsia="en-GB"/>
        </w:rPr>
        <w:t>legal provisions were streng</w:t>
      </w:r>
      <w:r w:rsidR="005F4382">
        <w:rPr>
          <w:rFonts w:eastAsia="Calibri"/>
          <w:noProof/>
          <w:lang w:eastAsia="en-GB"/>
        </w:rPr>
        <w:t>h</w:t>
      </w:r>
      <w:r w:rsidR="005E2E23">
        <w:rPr>
          <w:rFonts w:eastAsia="Calibri"/>
          <w:noProof/>
          <w:lang w:eastAsia="en-GB"/>
        </w:rPr>
        <w:t xml:space="preserve">tened </w:t>
      </w:r>
      <w:r w:rsidRPr="009D19C2">
        <w:rPr>
          <w:rFonts w:eastAsia="Calibri"/>
          <w:noProof/>
          <w:lang w:eastAsia="en-GB"/>
        </w:rPr>
        <w:t>by the co-legislator</w:t>
      </w:r>
      <w:r w:rsidR="00826AA5">
        <w:rPr>
          <w:rFonts w:eastAsia="Calibri"/>
          <w:noProof/>
          <w:lang w:eastAsia="en-GB"/>
        </w:rPr>
        <w:t xml:space="preserve">, </w:t>
      </w:r>
      <w:r w:rsidR="005E2E23">
        <w:rPr>
          <w:rFonts w:eastAsia="Calibri"/>
          <w:noProof/>
          <w:lang w:eastAsia="en-GB"/>
        </w:rPr>
        <w:t>as compared to the Commission proposal.</w:t>
      </w:r>
    </w:p>
    <w:p w:rsidR="004755EE" w:rsidRDefault="004755EE" w:rsidP="004755EE">
      <w:pPr>
        <w:pStyle w:val="ManualHeading2"/>
        <w:rPr>
          <w:noProof/>
          <w:szCs w:val="24"/>
          <w:lang w:eastAsia="en-GB"/>
        </w:rPr>
      </w:pPr>
      <w:bookmarkStart w:id="47" w:name="_Toc514938045"/>
      <w:bookmarkStart w:id="48" w:name="_Toc520485044"/>
      <w:r>
        <w:rPr>
          <w:noProof/>
        </w:rPr>
        <w:t>2.2.</w:t>
      </w:r>
      <w:r>
        <w:rPr>
          <w:noProof/>
        </w:rPr>
        <w:tab/>
      </w:r>
      <w:r>
        <w:rPr>
          <w:noProof/>
          <w:lang w:eastAsia="en-GB"/>
        </w:rPr>
        <w:t>Management and control system(s)</w:t>
      </w:r>
      <w:bookmarkEnd w:id="47"/>
      <w:bookmarkEnd w:id="48"/>
      <w:r>
        <w:rPr>
          <w:noProof/>
          <w:lang w:eastAsia="en-GB"/>
        </w:rPr>
        <w:t xml:space="preserve"> </w:t>
      </w:r>
    </w:p>
    <w:p w:rsidR="004755EE" w:rsidRDefault="004755EE" w:rsidP="004755EE">
      <w:pPr>
        <w:pStyle w:val="ManualHeading3"/>
        <w:rPr>
          <w:noProof/>
          <w:lang w:eastAsia="en-GB"/>
        </w:rPr>
      </w:pPr>
      <w:bookmarkStart w:id="49" w:name="_Toc514938046"/>
      <w:bookmarkStart w:id="50" w:name="_Toc520485045"/>
      <w:r>
        <w:rPr>
          <w:noProof/>
        </w:rPr>
        <w:t>2.2.1.</w:t>
      </w:r>
      <w:r>
        <w:rPr>
          <w:noProof/>
        </w:rPr>
        <w:tab/>
      </w:r>
      <w:r>
        <w:rPr>
          <w:noProof/>
          <w:lang w:eastAsia="en-GB"/>
        </w:rPr>
        <w:t>Justification of the management mode(s), the funding implementation mechanism(s), the payment modalities and the control strategy proposed</w:t>
      </w:r>
      <w:bookmarkEnd w:id="49"/>
      <w:bookmarkEnd w:id="50"/>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val="en-US" w:eastAsia="en-GB"/>
        </w:rPr>
        <w:t>The proposal is not implementing a financial programme but designing a long-term policy. Management mode, funding implementation mechanisms, payment modalities and control strategy in relation to error rates are not applicable</w:t>
      </w:r>
    </w:p>
    <w:p w:rsidR="004755EE" w:rsidRDefault="004755EE" w:rsidP="004755EE">
      <w:pPr>
        <w:pStyle w:val="ManualHeading3"/>
        <w:rPr>
          <w:noProof/>
          <w:szCs w:val="24"/>
          <w:lang w:eastAsia="en-GB"/>
        </w:rPr>
      </w:pPr>
      <w:bookmarkStart w:id="51" w:name="_Toc514938047"/>
      <w:bookmarkStart w:id="52" w:name="_Toc520485046"/>
      <w:r>
        <w:rPr>
          <w:noProof/>
        </w:rPr>
        <w:t>2.2.2.</w:t>
      </w:r>
      <w:r>
        <w:rPr>
          <w:noProof/>
        </w:rPr>
        <w:tab/>
      </w:r>
      <w:r>
        <w:rPr>
          <w:noProof/>
          <w:lang w:eastAsia="en-GB"/>
        </w:rPr>
        <w:t>Information concerning the risks identified and the internal control system(s) set up to mitigate them</w:t>
      </w:r>
      <w:bookmarkEnd w:id="51"/>
      <w:bookmarkEnd w:id="52"/>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sidRPr="000E6B7D">
        <w:rPr>
          <w:rFonts w:eastAsia="Calibri"/>
          <w:noProof/>
          <w:lang w:eastAsia="en-GB"/>
        </w:rPr>
        <w:t>The control methods envisaged are laid down in the Financial Regulation and Rules of Application.</w:t>
      </w:r>
      <w:r>
        <w:rPr>
          <w:rFonts w:eastAsia="Calibri"/>
          <w:noProof/>
          <w:lang w:eastAsia="en-GB"/>
        </w:rPr>
        <w:t xml:space="preserve"> This proposal does not concern a spending programme.</w:t>
      </w:r>
    </w:p>
    <w:p w:rsidR="004755EE" w:rsidRPr="00885597" w:rsidRDefault="004755EE" w:rsidP="00885597">
      <w:pPr>
        <w:pBdr>
          <w:top w:val="single" w:sz="4" w:space="1" w:color="auto"/>
          <w:left w:val="single" w:sz="4" w:space="4" w:color="auto"/>
          <w:bottom w:val="single" w:sz="4" w:space="1" w:color="auto"/>
          <w:right w:val="single" w:sz="4" w:space="4" w:color="auto"/>
        </w:pBdr>
        <w:ind w:left="360"/>
        <w:rPr>
          <w:rFonts w:eastAsia="Calibri"/>
          <w:noProof/>
          <w:lang w:val="en-IE" w:eastAsia="en-GB"/>
        </w:rPr>
      </w:pPr>
      <w:r>
        <w:rPr>
          <w:rFonts w:eastAsia="Calibri"/>
          <w:noProof/>
          <w:lang w:eastAsia="en-GB"/>
        </w:rPr>
        <w:t xml:space="preserve">Efficient </w:t>
      </w:r>
      <w:r w:rsidR="007665B7">
        <w:rPr>
          <w:rFonts w:eastAsia="Calibri"/>
          <w:noProof/>
          <w:lang w:eastAsia="en-GB"/>
        </w:rPr>
        <w:t xml:space="preserve">and correct </w:t>
      </w:r>
      <w:r>
        <w:rPr>
          <w:rFonts w:eastAsia="Calibri"/>
          <w:noProof/>
          <w:lang w:eastAsia="en-GB"/>
        </w:rPr>
        <w:t xml:space="preserve">monitoring of vehicle registration data is essential for ensuring legal certainty in enforcing the legislation and for ensuring </w:t>
      </w:r>
      <w:r w:rsidR="005F4382">
        <w:rPr>
          <w:rFonts w:eastAsia="Calibri"/>
          <w:noProof/>
          <w:lang w:eastAsia="en-GB"/>
        </w:rPr>
        <w:t xml:space="preserve">a </w:t>
      </w:r>
      <w:r>
        <w:rPr>
          <w:rFonts w:eastAsia="Calibri"/>
          <w:noProof/>
          <w:lang w:eastAsia="en-GB"/>
        </w:rPr>
        <w:t xml:space="preserve">level playing field between different </w:t>
      </w:r>
      <w:r w:rsidR="00885597" w:rsidRPr="00885597">
        <w:rPr>
          <w:rFonts w:eastAsia="Calibri"/>
          <w:noProof/>
          <w:lang w:eastAsia="en-GB"/>
        </w:rPr>
        <w:t xml:space="preserve">manufacturers within the EU single market. </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 xml:space="preserve">The </w:t>
      </w:r>
      <w:r w:rsidRPr="00CF1577">
        <w:rPr>
          <w:rFonts w:eastAsia="Calibri"/>
          <w:noProof/>
          <w:lang w:eastAsia="en-GB"/>
        </w:rPr>
        <w:t>real-world data collection</w:t>
      </w:r>
      <w:r>
        <w:rPr>
          <w:rFonts w:eastAsia="Calibri"/>
          <w:noProof/>
          <w:lang w:eastAsia="en-GB"/>
        </w:rPr>
        <w:t xml:space="preserve"> and the in-service verification procedure will ensure that irregularities in the vehicle registration data can be detected and effective remedial measures </w:t>
      </w:r>
      <w:r w:rsidR="005F4382">
        <w:rPr>
          <w:rFonts w:eastAsia="Calibri"/>
          <w:noProof/>
          <w:lang w:eastAsia="en-GB"/>
        </w:rPr>
        <w:t xml:space="preserve">are </w:t>
      </w:r>
      <w:r>
        <w:rPr>
          <w:rFonts w:eastAsia="Calibri"/>
          <w:noProof/>
          <w:lang w:eastAsia="en-GB"/>
        </w:rPr>
        <w:t>taken in a timely manner and will also serve to ensure that the long-term effectiveness of the EU CO</w:t>
      </w:r>
      <w:r>
        <w:rPr>
          <w:rFonts w:eastAsia="Calibri"/>
          <w:noProof/>
          <w:vertAlign w:val="subscript"/>
          <w:lang w:eastAsia="en-GB"/>
        </w:rPr>
        <w:t>2</w:t>
      </w:r>
      <w:r>
        <w:rPr>
          <w:rFonts w:eastAsia="Calibri"/>
          <w:noProof/>
          <w:lang w:eastAsia="en-GB"/>
        </w:rPr>
        <w:t xml:space="preserve"> emission targets </w:t>
      </w:r>
      <w:r w:rsidR="005F4382">
        <w:rPr>
          <w:rFonts w:eastAsia="Calibri"/>
          <w:noProof/>
          <w:lang w:eastAsia="en-GB"/>
        </w:rPr>
        <w:t xml:space="preserve">is </w:t>
      </w:r>
      <w:r>
        <w:rPr>
          <w:rFonts w:eastAsia="Calibri"/>
          <w:noProof/>
          <w:lang w:eastAsia="en-GB"/>
        </w:rPr>
        <w:t>not undermined.</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The main internal control systems include the verification of the reported registration and technical data</w:t>
      </w:r>
      <w:r w:rsidR="00B33803">
        <w:rPr>
          <w:rFonts w:eastAsia="Calibri"/>
          <w:noProof/>
          <w:lang w:eastAsia="en-GB"/>
        </w:rPr>
        <w:t>.</w:t>
      </w:r>
    </w:p>
    <w:p w:rsidR="004755EE" w:rsidRDefault="004755EE" w:rsidP="004755EE">
      <w:pPr>
        <w:pStyle w:val="ManualHeading3"/>
        <w:rPr>
          <w:noProof/>
          <w:lang w:eastAsia="en-GB"/>
        </w:rPr>
      </w:pPr>
      <w:bookmarkStart w:id="53" w:name="_Toc514938048"/>
      <w:bookmarkStart w:id="54" w:name="_Toc520485047"/>
      <w:r>
        <w:rPr>
          <w:noProof/>
        </w:rPr>
        <w:t>2.2.3.</w:t>
      </w:r>
      <w:r>
        <w:rPr>
          <w:noProof/>
        </w:rPr>
        <w:tab/>
      </w:r>
      <w:r>
        <w:rPr>
          <w:noProof/>
          <w:lang w:eastAsia="en-GB"/>
        </w:rPr>
        <w:t>Estimation and justification of the cost-effectiveness of the controls (ratio of "control costs ÷ value of the related funds managed"), and assessment of the expected levels of risk of error (at payment &amp; at closure)</w:t>
      </w:r>
      <w:bookmarkEnd w:id="53"/>
      <w:bookmarkEnd w:id="54"/>
      <w:r>
        <w:rPr>
          <w:noProof/>
          <w:lang w:eastAsia="en-GB"/>
        </w:rPr>
        <w:t xml:space="preserve"> </w:t>
      </w:r>
    </w:p>
    <w:p w:rsidR="004755EE" w:rsidRPr="00E05BE1"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This initiative does not bring about new significant controls/risks that would not be covered b</w:t>
      </w:r>
      <w:r w:rsidR="005F4382">
        <w:rPr>
          <w:rFonts w:eastAsia="Calibri"/>
          <w:noProof/>
          <w:lang w:eastAsia="en-GB"/>
        </w:rPr>
        <w:t>y</w:t>
      </w:r>
      <w:r>
        <w:rPr>
          <w:rFonts w:eastAsia="Calibri"/>
          <w:noProof/>
          <w:lang w:eastAsia="en-GB"/>
        </w:rPr>
        <w:t xml:space="preserve"> an existing internal control framework. No specific measures beyond the application of the Financial Regulation have been envisaged.</w:t>
      </w:r>
    </w:p>
    <w:p w:rsidR="004755EE" w:rsidRPr="00E05BE1" w:rsidRDefault="004755EE" w:rsidP="004755EE">
      <w:pPr>
        <w:pStyle w:val="ManualHeading2"/>
        <w:rPr>
          <w:noProof/>
          <w:szCs w:val="24"/>
          <w:lang w:eastAsia="en-GB"/>
        </w:rPr>
      </w:pPr>
      <w:bookmarkStart w:id="55" w:name="_Toc514938049"/>
      <w:bookmarkStart w:id="56" w:name="_Toc520485048"/>
      <w:r w:rsidRPr="00E05BE1">
        <w:rPr>
          <w:noProof/>
        </w:rPr>
        <w:t>2.3.</w:t>
      </w:r>
      <w:r w:rsidRPr="00E05BE1">
        <w:rPr>
          <w:noProof/>
        </w:rPr>
        <w:tab/>
      </w:r>
      <w:r w:rsidRPr="00E05BE1">
        <w:rPr>
          <w:noProof/>
          <w:lang w:eastAsia="en-GB"/>
        </w:rPr>
        <w:t>Measures to prevent fraud and irregularities</w:t>
      </w:r>
      <w:bookmarkEnd w:id="55"/>
      <w:bookmarkEnd w:id="56"/>
      <w:r w:rsidRPr="00E05BE1">
        <w:rPr>
          <w:noProof/>
          <w:lang w:eastAsia="en-GB"/>
        </w:rPr>
        <w:t xml:space="preserve"> </w:t>
      </w:r>
    </w:p>
    <w:p w:rsidR="004755EE" w:rsidRDefault="004755EE" w:rsidP="004755EE">
      <w:pPr>
        <w:ind w:left="360"/>
        <w:rPr>
          <w:rFonts w:eastAsia="Calibri"/>
          <w:i/>
          <w:noProof/>
          <w:sz w:val="20"/>
          <w:lang w:eastAsia="en-GB"/>
        </w:rPr>
      </w:pPr>
      <w:r>
        <w:rPr>
          <w:rFonts w:eastAsia="Calibri"/>
          <w:i/>
          <w:noProof/>
          <w:sz w:val="20"/>
          <w:lang w:eastAsia="en-GB"/>
        </w:rPr>
        <w:t>Specify existing or envisaged prevention and protection measures, e.g. from the Anti-Fraud Strategy.</w:t>
      </w:r>
    </w:p>
    <w:p w:rsidR="004755EE" w:rsidRDefault="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In addition to the application of the Financial Regulation to prevent fraud and irregularities, the strengthened CO</w:t>
      </w:r>
      <w:r>
        <w:rPr>
          <w:rFonts w:eastAsia="Calibri"/>
          <w:noProof/>
          <w:vertAlign w:val="subscript"/>
          <w:lang w:eastAsia="en-GB"/>
        </w:rPr>
        <w:t>2</w:t>
      </w:r>
      <w:r>
        <w:rPr>
          <w:rFonts w:eastAsia="Calibri"/>
          <w:noProof/>
          <w:lang w:eastAsia="en-GB"/>
        </w:rPr>
        <w:t xml:space="preserve"> reduction requirements and scope extension provided for in this proposal will be accompanied by enhanced monitoring and reporting of in-service verification and real-world emission datasets</w:t>
      </w:r>
      <w:r w:rsidR="00B33803">
        <w:rPr>
          <w:rFonts w:eastAsia="Calibri"/>
          <w:noProof/>
          <w:lang w:eastAsia="en-GB"/>
        </w:rPr>
        <w:t>.</w:t>
      </w:r>
    </w:p>
    <w:p w:rsidR="004755EE" w:rsidRDefault="004755EE" w:rsidP="004755EE">
      <w:pPr>
        <w:rPr>
          <w:rFonts w:eastAsia="Calibri"/>
          <w:noProof/>
          <w:lang w:eastAsia="en-GB"/>
        </w:rPr>
        <w:sectPr w:rsidR="004755EE" w:rsidSect="00F221E9">
          <w:pgSz w:w="11907" w:h="16840" w:code="9"/>
          <w:pgMar w:top="1134" w:right="1418" w:bottom="1134" w:left="1418" w:header="709" w:footer="709" w:gutter="0"/>
          <w:cols w:space="708"/>
          <w:docGrid w:linePitch="360"/>
        </w:sectPr>
      </w:pPr>
    </w:p>
    <w:bookmarkEnd w:id="43"/>
    <w:bookmarkEnd w:id="44"/>
    <w:p w:rsidR="004755EE" w:rsidRDefault="004755EE" w:rsidP="004755EE">
      <w:pPr>
        <w:pStyle w:val="ManualHeading1"/>
        <w:rPr>
          <w:noProof/>
          <w:szCs w:val="24"/>
          <w:lang w:eastAsia="en-GB"/>
        </w:rPr>
      </w:pPr>
      <w:r>
        <w:rPr>
          <w:noProof/>
        </w:rPr>
        <w:t>3.</w:t>
      </w:r>
      <w:r>
        <w:rPr>
          <w:noProof/>
        </w:rPr>
        <w:tab/>
      </w:r>
      <w:r>
        <w:rPr>
          <w:noProof/>
          <w:lang w:eastAsia="en-GB"/>
        </w:rPr>
        <w:t xml:space="preserve">ESTIMATED FINANCIAL IMPACT OF THE PROPOSAL/INITIATIVE </w:t>
      </w:r>
    </w:p>
    <w:p w:rsidR="004755EE" w:rsidRDefault="004755EE" w:rsidP="004755EE">
      <w:pPr>
        <w:pStyle w:val="ManualHeading2"/>
        <w:rPr>
          <w:noProof/>
          <w:lang w:eastAsia="en-GB"/>
        </w:rPr>
      </w:pPr>
      <w:bookmarkStart w:id="57" w:name="_Toc514938051"/>
      <w:bookmarkStart w:id="58" w:name="_Toc520485050"/>
      <w:r>
        <w:rPr>
          <w:noProof/>
        </w:rPr>
        <w:t>3.1.</w:t>
      </w:r>
      <w:r>
        <w:rPr>
          <w:noProof/>
        </w:rPr>
        <w:tab/>
      </w:r>
      <w:r>
        <w:rPr>
          <w:noProof/>
          <w:lang w:eastAsia="en-GB"/>
        </w:rPr>
        <w:t>Heading(s) of the multiannual financial framework and expenditure budget line(s) affected</w:t>
      </w:r>
      <w:bookmarkEnd w:id="57"/>
      <w:bookmarkEnd w:id="58"/>
      <w:r>
        <w:rPr>
          <w:noProof/>
          <w:lang w:eastAsia="en-GB"/>
        </w:rPr>
        <w:t xml:space="preserve"> </w:t>
      </w:r>
    </w:p>
    <w:p w:rsidR="004755EE" w:rsidRDefault="004755EE" w:rsidP="004755EE">
      <w:pPr>
        <w:pStyle w:val="Bullet1"/>
        <w:rPr>
          <w:noProof/>
          <w:lang w:eastAsia="en-GB"/>
        </w:rPr>
      </w:pPr>
      <w:r>
        <w:rPr>
          <w:noProof/>
          <w:lang w:eastAsia="en-GB"/>
        </w:rPr>
        <w:t xml:space="preserve">Existing budget lines </w:t>
      </w:r>
    </w:p>
    <w:p w:rsidR="004755EE" w:rsidRDefault="004755EE" w:rsidP="004755EE">
      <w:pPr>
        <w:ind w:left="360" w:firstLine="360"/>
        <w:rPr>
          <w:rFonts w:eastAsia="Calibri"/>
          <w:i/>
          <w:noProof/>
          <w:lang w:eastAsia="en-GB"/>
        </w:rPr>
      </w:pPr>
      <w:r>
        <w:rPr>
          <w:rFonts w:eastAsia="Calibri"/>
          <w:i/>
          <w:noProof/>
          <w:u w:val="single"/>
          <w:lang w:eastAsia="en-GB"/>
        </w:rPr>
        <w:t>In order</w:t>
      </w:r>
      <w:r>
        <w:rPr>
          <w:rFonts w:eastAsia="Calibri"/>
          <w:i/>
          <w:noProof/>
          <w:lang w:eastAsia="en-GB"/>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755EE" w:rsidTr="00E863E4">
        <w:tc>
          <w:tcPr>
            <w:tcW w:w="1080" w:type="dxa"/>
            <w:vMerge w:val="restart"/>
            <w:vAlign w:val="center"/>
          </w:tcPr>
          <w:p w:rsidR="004755EE" w:rsidRDefault="004755EE" w:rsidP="00E863E4">
            <w:pPr>
              <w:spacing w:before="60" w:after="60"/>
              <w:jc w:val="center"/>
              <w:rPr>
                <w:rFonts w:eastAsia="Calibri"/>
                <w:noProof/>
                <w:lang w:eastAsia="en-GB"/>
              </w:rPr>
            </w:pPr>
            <w:r>
              <w:rPr>
                <w:rFonts w:eastAsia="Calibri"/>
                <w:noProof/>
                <w:sz w:val="18"/>
                <w:lang w:eastAsia="en-GB"/>
              </w:rPr>
              <w:t>Heading of multiannual financial framework</w:t>
            </w:r>
          </w:p>
        </w:tc>
        <w:tc>
          <w:tcPr>
            <w:tcW w:w="3960" w:type="dxa"/>
            <w:vAlign w:val="center"/>
          </w:tcPr>
          <w:p w:rsidR="004755EE" w:rsidRDefault="004755EE" w:rsidP="00E863E4">
            <w:pPr>
              <w:spacing w:before="60" w:after="60"/>
              <w:jc w:val="center"/>
              <w:rPr>
                <w:rFonts w:eastAsia="Calibri"/>
                <w:noProof/>
                <w:lang w:eastAsia="en-GB"/>
              </w:rPr>
            </w:pPr>
            <w:r>
              <w:rPr>
                <w:rFonts w:eastAsia="Calibri"/>
                <w:noProof/>
                <w:sz w:val="20"/>
                <w:lang w:eastAsia="en-GB"/>
              </w:rPr>
              <w:t>Budget line</w:t>
            </w:r>
          </w:p>
        </w:tc>
        <w:tc>
          <w:tcPr>
            <w:tcW w:w="1080" w:type="dxa"/>
            <w:vAlign w:val="center"/>
          </w:tcPr>
          <w:p w:rsidR="004755EE" w:rsidRDefault="004755EE" w:rsidP="00E863E4">
            <w:pPr>
              <w:spacing w:before="60" w:after="60"/>
              <w:jc w:val="center"/>
              <w:rPr>
                <w:rFonts w:eastAsia="Calibri"/>
                <w:noProof/>
                <w:lang w:eastAsia="en-GB"/>
              </w:rPr>
            </w:pPr>
            <w:r>
              <w:rPr>
                <w:rFonts w:eastAsia="Calibri"/>
                <w:noProof/>
                <w:sz w:val="18"/>
                <w:lang w:eastAsia="en-GB"/>
              </w:rPr>
              <w:t xml:space="preserve">Type of </w:t>
            </w:r>
            <w:r>
              <w:rPr>
                <w:rFonts w:eastAsia="Calibri"/>
                <w:noProof/>
                <w:sz w:val="22"/>
                <w:lang w:eastAsia="en-GB"/>
              </w:rPr>
              <w:br/>
            </w:r>
            <w:r>
              <w:rPr>
                <w:rFonts w:eastAsia="Calibri"/>
                <w:noProof/>
                <w:sz w:val="18"/>
                <w:lang w:eastAsia="en-GB"/>
              </w:rPr>
              <w:t>expenditure</w:t>
            </w:r>
          </w:p>
        </w:tc>
        <w:tc>
          <w:tcPr>
            <w:tcW w:w="4440" w:type="dxa"/>
            <w:gridSpan w:val="4"/>
            <w:vAlign w:val="center"/>
          </w:tcPr>
          <w:p w:rsidR="004755EE" w:rsidRDefault="004755EE" w:rsidP="00E863E4">
            <w:pPr>
              <w:spacing w:before="60" w:after="60"/>
              <w:jc w:val="center"/>
              <w:rPr>
                <w:rFonts w:eastAsia="Calibri"/>
                <w:noProof/>
                <w:lang w:eastAsia="en-GB"/>
              </w:rPr>
            </w:pPr>
            <w:r>
              <w:rPr>
                <w:rFonts w:eastAsia="Calibri"/>
                <w:noProof/>
                <w:sz w:val="20"/>
                <w:lang w:eastAsia="en-GB"/>
              </w:rPr>
              <w:t xml:space="preserve">Contribution </w:t>
            </w:r>
          </w:p>
        </w:tc>
      </w:tr>
      <w:tr w:rsidR="004755EE" w:rsidTr="00E863E4">
        <w:tc>
          <w:tcPr>
            <w:tcW w:w="1080" w:type="dxa"/>
            <w:vMerge/>
            <w:vAlign w:val="center"/>
          </w:tcPr>
          <w:p w:rsidR="004755EE" w:rsidRDefault="004755EE" w:rsidP="00E863E4">
            <w:pPr>
              <w:jc w:val="center"/>
              <w:rPr>
                <w:rFonts w:eastAsia="Calibri"/>
                <w:noProof/>
                <w:lang w:eastAsia="en-GB"/>
              </w:rPr>
            </w:pPr>
          </w:p>
        </w:tc>
        <w:tc>
          <w:tcPr>
            <w:tcW w:w="3960" w:type="dxa"/>
            <w:vAlign w:val="center"/>
          </w:tcPr>
          <w:p w:rsidR="004755EE" w:rsidRDefault="004755EE" w:rsidP="00E863E4">
            <w:pPr>
              <w:rPr>
                <w:rFonts w:eastAsia="Calibri"/>
                <w:noProof/>
                <w:lang w:eastAsia="en-GB"/>
              </w:rPr>
            </w:pPr>
            <w:r>
              <w:rPr>
                <w:rFonts w:eastAsia="Calibri"/>
                <w:noProof/>
                <w:sz w:val="20"/>
                <w:lang w:eastAsia="en-GB"/>
              </w:rPr>
              <w:t xml:space="preserve">Number </w:t>
            </w:r>
            <w:r>
              <w:rPr>
                <w:rFonts w:eastAsia="Calibri"/>
                <w:noProof/>
                <w:sz w:val="22"/>
                <w:lang w:eastAsia="en-GB"/>
              </w:rPr>
              <w:br/>
            </w:r>
          </w:p>
        </w:tc>
        <w:tc>
          <w:tcPr>
            <w:tcW w:w="1080" w:type="dxa"/>
            <w:vAlign w:val="center"/>
          </w:tcPr>
          <w:p w:rsidR="004755EE" w:rsidRDefault="004755EE" w:rsidP="00E863E4">
            <w:pPr>
              <w:jc w:val="center"/>
              <w:rPr>
                <w:rFonts w:eastAsia="Calibri"/>
                <w:noProof/>
                <w:lang w:eastAsia="en-GB"/>
              </w:rPr>
            </w:pPr>
            <w:r>
              <w:rPr>
                <w:rFonts w:eastAsia="Calibri"/>
                <w:noProof/>
                <w:sz w:val="18"/>
                <w:lang w:eastAsia="en-GB"/>
              </w:rPr>
              <w:t>Diff./Non-diff.</w:t>
            </w:r>
            <w:r w:rsidRPr="00C9020F">
              <w:rPr>
                <w:rStyle w:val="FootnoteReference"/>
                <w:noProof/>
              </w:rPr>
              <w:footnoteReference w:id="29"/>
            </w:r>
          </w:p>
        </w:tc>
        <w:tc>
          <w:tcPr>
            <w:tcW w:w="956" w:type="dxa"/>
            <w:vAlign w:val="center"/>
          </w:tcPr>
          <w:p w:rsidR="004755EE" w:rsidRDefault="004755EE" w:rsidP="00E863E4">
            <w:pPr>
              <w:jc w:val="center"/>
              <w:rPr>
                <w:rFonts w:eastAsia="Calibri"/>
                <w:noProof/>
                <w:lang w:eastAsia="en-GB"/>
              </w:rPr>
            </w:pPr>
            <w:r>
              <w:rPr>
                <w:rFonts w:eastAsia="Calibri"/>
                <w:noProof/>
                <w:sz w:val="18"/>
                <w:lang w:eastAsia="en-GB"/>
              </w:rPr>
              <w:t>from EFTA countries</w:t>
            </w:r>
            <w:r w:rsidRPr="00C9020F">
              <w:rPr>
                <w:rStyle w:val="FootnoteReference"/>
                <w:noProof/>
              </w:rPr>
              <w:footnoteReference w:id="30"/>
            </w:r>
          </w:p>
          <w:p w:rsidR="004755EE" w:rsidRDefault="004755EE" w:rsidP="00E863E4">
            <w:pPr>
              <w:spacing w:before="0" w:after="0"/>
              <w:jc w:val="center"/>
              <w:rPr>
                <w:rFonts w:eastAsia="Calibri"/>
                <w:b/>
                <w:noProof/>
                <w:sz w:val="18"/>
                <w:lang w:eastAsia="en-GB"/>
              </w:rPr>
            </w:pPr>
          </w:p>
        </w:tc>
        <w:tc>
          <w:tcPr>
            <w:tcW w:w="1080" w:type="dxa"/>
            <w:vAlign w:val="center"/>
          </w:tcPr>
          <w:p w:rsidR="004755EE" w:rsidRDefault="004755EE" w:rsidP="00E863E4">
            <w:pPr>
              <w:jc w:val="center"/>
              <w:rPr>
                <w:rFonts w:eastAsia="Calibri"/>
                <w:noProof/>
                <w:lang w:eastAsia="en-GB"/>
              </w:rPr>
            </w:pPr>
            <w:r>
              <w:rPr>
                <w:rFonts w:eastAsia="Calibri"/>
                <w:noProof/>
                <w:sz w:val="18"/>
                <w:lang w:eastAsia="en-GB"/>
              </w:rPr>
              <w:t>from candidate countries</w:t>
            </w:r>
            <w:r w:rsidRPr="00C9020F">
              <w:rPr>
                <w:rStyle w:val="FootnoteReference"/>
                <w:noProof/>
              </w:rPr>
              <w:footnoteReference w:id="31"/>
            </w:r>
          </w:p>
          <w:p w:rsidR="004755EE" w:rsidRDefault="004755EE" w:rsidP="00E863E4">
            <w:pPr>
              <w:spacing w:before="0" w:after="0"/>
              <w:jc w:val="center"/>
              <w:rPr>
                <w:rFonts w:eastAsia="Calibri"/>
                <w:noProof/>
                <w:sz w:val="18"/>
                <w:lang w:eastAsia="en-GB"/>
              </w:rPr>
            </w:pPr>
          </w:p>
        </w:tc>
        <w:tc>
          <w:tcPr>
            <w:tcW w:w="956" w:type="dxa"/>
            <w:vAlign w:val="center"/>
          </w:tcPr>
          <w:p w:rsidR="004755EE" w:rsidRDefault="004755EE" w:rsidP="00E863E4">
            <w:pPr>
              <w:jc w:val="center"/>
              <w:rPr>
                <w:rFonts w:eastAsia="Calibri"/>
                <w:noProof/>
                <w:sz w:val="18"/>
                <w:lang w:eastAsia="en-GB"/>
              </w:rPr>
            </w:pPr>
            <w:r>
              <w:rPr>
                <w:rFonts w:eastAsia="Calibri"/>
                <w:noProof/>
                <w:sz w:val="18"/>
                <w:lang w:eastAsia="en-GB"/>
              </w:rPr>
              <w:t>from third countries</w:t>
            </w:r>
          </w:p>
        </w:tc>
        <w:tc>
          <w:tcPr>
            <w:tcW w:w="1448" w:type="dxa"/>
            <w:vAlign w:val="center"/>
          </w:tcPr>
          <w:p w:rsidR="004755EE" w:rsidRDefault="004755EE" w:rsidP="00E863E4">
            <w:pPr>
              <w:jc w:val="center"/>
              <w:rPr>
                <w:rFonts w:eastAsia="Calibri"/>
                <w:noProof/>
                <w:lang w:eastAsia="en-GB"/>
              </w:rPr>
            </w:pPr>
            <w:r>
              <w:rPr>
                <w:rFonts w:eastAsia="Calibri"/>
                <w:noProof/>
                <w:sz w:val="16"/>
                <w:lang w:eastAsia="en-GB"/>
              </w:rPr>
              <w:t xml:space="preserve">within the meaning of Article 21(2)(b) of the Financial Regulation </w:t>
            </w:r>
          </w:p>
        </w:tc>
      </w:tr>
      <w:tr w:rsidR="004755EE" w:rsidTr="00E863E4">
        <w:tc>
          <w:tcPr>
            <w:tcW w:w="1080" w:type="dxa"/>
            <w:vAlign w:val="center"/>
          </w:tcPr>
          <w:p w:rsidR="004755EE" w:rsidRPr="005A3E50" w:rsidRDefault="004755EE" w:rsidP="00E863E4">
            <w:pPr>
              <w:jc w:val="center"/>
              <w:rPr>
                <w:rFonts w:eastAsia="Calibri"/>
                <w:noProof/>
                <w:lang w:eastAsia="en-GB"/>
              </w:rPr>
            </w:pPr>
            <w:r w:rsidRPr="005A3E50">
              <w:rPr>
                <w:rFonts w:eastAsia="Calibri"/>
                <w:noProof/>
                <w:lang w:eastAsia="en-GB"/>
              </w:rPr>
              <w:t>3</w:t>
            </w:r>
          </w:p>
        </w:tc>
        <w:tc>
          <w:tcPr>
            <w:tcW w:w="3960" w:type="dxa"/>
            <w:vAlign w:val="center"/>
          </w:tcPr>
          <w:p w:rsidR="004755EE" w:rsidRPr="005A3E50" w:rsidRDefault="004755EE" w:rsidP="00E863E4">
            <w:pPr>
              <w:spacing w:after="60"/>
              <w:rPr>
                <w:rFonts w:eastAsia="Calibri"/>
                <w:noProof/>
                <w:szCs w:val="24"/>
                <w:lang w:eastAsia="en-GB"/>
              </w:rPr>
            </w:pPr>
            <w:r w:rsidRPr="005A3E50">
              <w:rPr>
                <w:rFonts w:eastAsia="Calibri"/>
                <w:noProof/>
                <w:szCs w:val="24"/>
                <w:lang w:eastAsia="en-GB"/>
              </w:rPr>
              <w:t xml:space="preserve">09 02 03 </w:t>
            </w:r>
            <w:r w:rsidRPr="005A3E50">
              <w:rPr>
                <w:noProof/>
              </w:rPr>
              <w:t xml:space="preserve">Climate change mitigation and adaptation </w:t>
            </w:r>
          </w:p>
        </w:tc>
        <w:tc>
          <w:tcPr>
            <w:tcW w:w="1080" w:type="dxa"/>
            <w:vAlign w:val="center"/>
          </w:tcPr>
          <w:p w:rsidR="004755EE" w:rsidRDefault="004755EE" w:rsidP="00E863E4">
            <w:pPr>
              <w:jc w:val="center"/>
              <w:rPr>
                <w:rFonts w:eastAsia="Calibri"/>
                <w:noProof/>
                <w:szCs w:val="24"/>
                <w:lang w:eastAsia="en-GB"/>
              </w:rPr>
            </w:pPr>
            <w:r w:rsidRPr="0072016B">
              <w:rPr>
                <w:rFonts w:eastAsia="Calibri"/>
                <w:noProof/>
                <w:color w:val="000000"/>
              </w:rPr>
              <w:t>Diff.</w:t>
            </w:r>
          </w:p>
        </w:tc>
        <w:tc>
          <w:tcPr>
            <w:tcW w:w="956" w:type="dxa"/>
            <w:vAlign w:val="center"/>
          </w:tcPr>
          <w:p w:rsidR="004755EE" w:rsidRDefault="006C78F9" w:rsidP="00E863E4">
            <w:pPr>
              <w:jc w:val="center"/>
              <w:rPr>
                <w:rFonts w:eastAsia="Calibri"/>
                <w:noProof/>
                <w:szCs w:val="24"/>
                <w:lang w:eastAsia="en-GB"/>
              </w:rPr>
            </w:pPr>
            <w:r w:rsidRPr="005A3E50">
              <w:rPr>
                <w:rFonts w:eastAsia="Calibri"/>
                <w:noProof/>
                <w:szCs w:val="24"/>
                <w:lang w:eastAsia="en-GB"/>
              </w:rPr>
              <w:t>YES</w:t>
            </w:r>
          </w:p>
        </w:tc>
        <w:tc>
          <w:tcPr>
            <w:tcW w:w="1080" w:type="dxa"/>
            <w:vAlign w:val="center"/>
          </w:tcPr>
          <w:p w:rsidR="004755EE" w:rsidRDefault="004755EE" w:rsidP="00E863E4">
            <w:pPr>
              <w:jc w:val="center"/>
              <w:rPr>
                <w:rFonts w:eastAsia="Calibri"/>
                <w:noProof/>
                <w:szCs w:val="24"/>
                <w:lang w:eastAsia="en-GB"/>
              </w:rPr>
            </w:pPr>
            <w:r>
              <w:rPr>
                <w:rFonts w:eastAsia="Calibri"/>
                <w:noProof/>
                <w:szCs w:val="24"/>
                <w:lang w:eastAsia="en-GB"/>
              </w:rPr>
              <w:t>NO</w:t>
            </w:r>
          </w:p>
        </w:tc>
        <w:tc>
          <w:tcPr>
            <w:tcW w:w="956" w:type="dxa"/>
            <w:vAlign w:val="center"/>
          </w:tcPr>
          <w:p w:rsidR="004755EE" w:rsidRDefault="004755EE" w:rsidP="00E863E4">
            <w:pPr>
              <w:jc w:val="center"/>
              <w:rPr>
                <w:rFonts w:eastAsia="Calibri"/>
                <w:noProof/>
                <w:szCs w:val="24"/>
                <w:lang w:eastAsia="en-GB"/>
              </w:rPr>
            </w:pPr>
            <w:r>
              <w:rPr>
                <w:rFonts w:eastAsia="Calibri"/>
                <w:noProof/>
                <w:szCs w:val="24"/>
                <w:lang w:eastAsia="en-GB"/>
              </w:rPr>
              <w:t>NO</w:t>
            </w:r>
          </w:p>
        </w:tc>
        <w:tc>
          <w:tcPr>
            <w:tcW w:w="1448" w:type="dxa"/>
            <w:vAlign w:val="center"/>
          </w:tcPr>
          <w:p w:rsidR="004755EE" w:rsidRDefault="004755EE" w:rsidP="00E863E4">
            <w:pPr>
              <w:jc w:val="center"/>
              <w:rPr>
                <w:rFonts w:eastAsia="Calibri"/>
                <w:noProof/>
                <w:szCs w:val="24"/>
                <w:lang w:eastAsia="en-GB"/>
              </w:rPr>
            </w:pPr>
            <w:r>
              <w:rPr>
                <w:rFonts w:eastAsia="Calibri"/>
                <w:noProof/>
                <w:szCs w:val="24"/>
                <w:lang w:eastAsia="en-GB"/>
              </w:rPr>
              <w:t>NO</w:t>
            </w:r>
          </w:p>
        </w:tc>
      </w:tr>
      <w:tr w:rsidR="004755EE" w:rsidTr="00E863E4">
        <w:tc>
          <w:tcPr>
            <w:tcW w:w="1080" w:type="dxa"/>
            <w:vAlign w:val="center"/>
          </w:tcPr>
          <w:p w:rsidR="004755EE" w:rsidRPr="005A3E50" w:rsidRDefault="004755EE" w:rsidP="00E863E4">
            <w:pPr>
              <w:jc w:val="center"/>
              <w:rPr>
                <w:rFonts w:eastAsia="Calibri"/>
                <w:noProof/>
                <w:lang w:eastAsia="en-GB"/>
              </w:rPr>
            </w:pPr>
            <w:r>
              <w:rPr>
                <w:rFonts w:eastAsia="Calibri"/>
                <w:noProof/>
                <w:lang w:eastAsia="en-GB"/>
              </w:rPr>
              <w:t>3</w:t>
            </w:r>
          </w:p>
        </w:tc>
        <w:tc>
          <w:tcPr>
            <w:tcW w:w="3960" w:type="dxa"/>
            <w:vAlign w:val="center"/>
          </w:tcPr>
          <w:p w:rsidR="004755EE" w:rsidRPr="005A3E50" w:rsidRDefault="004755EE" w:rsidP="00E863E4">
            <w:pPr>
              <w:spacing w:after="60"/>
              <w:rPr>
                <w:rFonts w:eastAsia="Calibri"/>
                <w:noProof/>
                <w:szCs w:val="24"/>
                <w:lang w:eastAsia="en-GB"/>
              </w:rPr>
            </w:pPr>
            <w:r w:rsidRPr="005A3E50">
              <w:rPr>
                <w:rFonts w:eastAsia="Calibri"/>
                <w:noProof/>
                <w:lang w:eastAsia="en-GB"/>
              </w:rPr>
              <w:t xml:space="preserve">09 10 02 </w:t>
            </w:r>
            <w:r w:rsidRPr="005A3E50">
              <w:rPr>
                <w:rFonts w:eastAsia="Calibri"/>
                <w:noProof/>
                <w:szCs w:val="24"/>
                <w:lang w:eastAsia="en-GB"/>
              </w:rPr>
              <w:t>European Envir</w:t>
            </w:r>
            <w:r>
              <w:rPr>
                <w:rFonts w:eastAsia="Calibri"/>
                <w:noProof/>
                <w:szCs w:val="24"/>
                <w:lang w:eastAsia="en-GB"/>
              </w:rPr>
              <w:t>o</w:t>
            </w:r>
            <w:r w:rsidRPr="005A3E50">
              <w:rPr>
                <w:rFonts w:eastAsia="Calibri"/>
                <w:noProof/>
                <w:szCs w:val="24"/>
                <w:lang w:eastAsia="en-GB"/>
              </w:rPr>
              <w:t>nment Agency</w:t>
            </w:r>
          </w:p>
        </w:tc>
        <w:tc>
          <w:tcPr>
            <w:tcW w:w="1080" w:type="dxa"/>
            <w:vAlign w:val="center"/>
          </w:tcPr>
          <w:p w:rsidR="004755EE" w:rsidRPr="005A3E50" w:rsidRDefault="004755EE" w:rsidP="00E863E4">
            <w:pPr>
              <w:jc w:val="center"/>
              <w:rPr>
                <w:rFonts w:eastAsia="Calibri"/>
                <w:noProof/>
                <w:color w:val="000000"/>
              </w:rPr>
            </w:pPr>
            <w:r w:rsidRPr="005A3E50">
              <w:rPr>
                <w:rFonts w:eastAsia="Calibri"/>
                <w:noProof/>
                <w:color w:val="000000"/>
              </w:rPr>
              <w:t>Diff</w:t>
            </w:r>
          </w:p>
        </w:tc>
        <w:tc>
          <w:tcPr>
            <w:tcW w:w="956" w:type="dxa"/>
            <w:vAlign w:val="center"/>
          </w:tcPr>
          <w:p w:rsidR="004755EE" w:rsidRPr="005A3E50" w:rsidRDefault="004755EE" w:rsidP="00E863E4">
            <w:pPr>
              <w:jc w:val="center"/>
              <w:rPr>
                <w:rFonts w:eastAsia="Calibri"/>
                <w:noProof/>
                <w:szCs w:val="24"/>
                <w:lang w:eastAsia="en-GB"/>
              </w:rPr>
            </w:pPr>
            <w:r w:rsidRPr="005A3E50">
              <w:rPr>
                <w:rFonts w:eastAsia="Calibri"/>
                <w:noProof/>
                <w:szCs w:val="24"/>
                <w:lang w:eastAsia="en-GB"/>
              </w:rPr>
              <w:t>YES</w:t>
            </w:r>
          </w:p>
        </w:tc>
        <w:tc>
          <w:tcPr>
            <w:tcW w:w="1080" w:type="dxa"/>
            <w:vAlign w:val="center"/>
          </w:tcPr>
          <w:p w:rsidR="004755EE" w:rsidRPr="005A3E50" w:rsidRDefault="004755EE" w:rsidP="00E863E4">
            <w:pPr>
              <w:jc w:val="center"/>
              <w:rPr>
                <w:rFonts w:eastAsia="Calibri"/>
                <w:noProof/>
                <w:szCs w:val="24"/>
                <w:lang w:eastAsia="en-GB"/>
              </w:rPr>
            </w:pPr>
            <w:r w:rsidRPr="005A3E50">
              <w:rPr>
                <w:rFonts w:eastAsia="Calibri"/>
                <w:noProof/>
                <w:szCs w:val="24"/>
                <w:lang w:eastAsia="en-GB"/>
              </w:rPr>
              <w:t>YES</w:t>
            </w:r>
          </w:p>
        </w:tc>
        <w:tc>
          <w:tcPr>
            <w:tcW w:w="956" w:type="dxa"/>
            <w:vAlign w:val="center"/>
          </w:tcPr>
          <w:p w:rsidR="004755EE" w:rsidRPr="005A3E50" w:rsidRDefault="006C78F9" w:rsidP="00E863E4">
            <w:pPr>
              <w:jc w:val="center"/>
              <w:rPr>
                <w:rFonts w:eastAsia="Calibri"/>
                <w:noProof/>
                <w:szCs w:val="24"/>
                <w:lang w:eastAsia="en-GB"/>
              </w:rPr>
            </w:pPr>
            <w:r w:rsidRPr="005A3E50">
              <w:rPr>
                <w:rFonts w:eastAsia="Calibri"/>
                <w:noProof/>
                <w:szCs w:val="24"/>
                <w:lang w:eastAsia="en-GB"/>
              </w:rPr>
              <w:t>NO</w:t>
            </w:r>
          </w:p>
        </w:tc>
        <w:tc>
          <w:tcPr>
            <w:tcW w:w="1448" w:type="dxa"/>
            <w:vAlign w:val="center"/>
          </w:tcPr>
          <w:p w:rsidR="004755EE" w:rsidRPr="005A3E50" w:rsidRDefault="004755EE" w:rsidP="00E863E4">
            <w:pPr>
              <w:jc w:val="center"/>
              <w:rPr>
                <w:rFonts w:eastAsia="Calibri"/>
                <w:noProof/>
                <w:szCs w:val="24"/>
                <w:lang w:eastAsia="en-GB"/>
              </w:rPr>
            </w:pPr>
            <w:r w:rsidRPr="005A3E50">
              <w:rPr>
                <w:rFonts w:eastAsia="Calibri"/>
                <w:noProof/>
                <w:szCs w:val="24"/>
                <w:lang w:eastAsia="en-GB"/>
              </w:rPr>
              <w:t>NO</w:t>
            </w:r>
          </w:p>
        </w:tc>
      </w:tr>
      <w:tr w:rsidR="004755EE" w:rsidTr="00E863E4">
        <w:tc>
          <w:tcPr>
            <w:tcW w:w="1080" w:type="dxa"/>
            <w:vAlign w:val="center"/>
          </w:tcPr>
          <w:p w:rsidR="004755EE" w:rsidRPr="005A3E50" w:rsidRDefault="004755EE" w:rsidP="00E863E4">
            <w:pPr>
              <w:jc w:val="center"/>
              <w:rPr>
                <w:rFonts w:eastAsia="Calibri"/>
                <w:noProof/>
                <w:lang w:eastAsia="en-GB"/>
              </w:rPr>
            </w:pPr>
            <w:r w:rsidRPr="005A3E50">
              <w:rPr>
                <w:rFonts w:eastAsia="Calibri"/>
                <w:noProof/>
                <w:lang w:eastAsia="en-GB"/>
              </w:rPr>
              <w:t>7</w:t>
            </w:r>
          </w:p>
        </w:tc>
        <w:tc>
          <w:tcPr>
            <w:tcW w:w="3960" w:type="dxa"/>
            <w:vAlign w:val="center"/>
          </w:tcPr>
          <w:p w:rsidR="004755EE" w:rsidRPr="005A3E50" w:rsidRDefault="004755EE" w:rsidP="00E863E4">
            <w:pPr>
              <w:spacing w:after="60"/>
              <w:rPr>
                <w:rFonts w:eastAsia="Calibri"/>
                <w:noProof/>
                <w:lang w:eastAsia="en-GB"/>
              </w:rPr>
            </w:pPr>
            <w:r w:rsidRPr="005A3E50">
              <w:rPr>
                <w:rFonts w:eastAsia="Calibri"/>
                <w:noProof/>
                <w:szCs w:val="24"/>
                <w:lang w:eastAsia="en-GB"/>
              </w:rPr>
              <w:t xml:space="preserve">20 </w:t>
            </w:r>
            <w:r w:rsidRPr="00F76852">
              <w:rPr>
                <w:rFonts w:eastAsia="Calibri"/>
                <w:noProof/>
                <w:szCs w:val="24"/>
                <w:lang w:eastAsia="en-GB"/>
              </w:rPr>
              <w:t xml:space="preserve">02 </w:t>
            </w:r>
            <w:r w:rsidR="00014D96" w:rsidRPr="00F76852">
              <w:rPr>
                <w:rFonts w:eastAsia="Calibri"/>
                <w:noProof/>
                <w:szCs w:val="24"/>
                <w:lang w:eastAsia="en-GB"/>
              </w:rPr>
              <w:t xml:space="preserve"> </w:t>
            </w:r>
            <w:r w:rsidR="00014D96" w:rsidRPr="00086281">
              <w:rPr>
                <w:rFonts w:eastAsia="Calibri"/>
                <w:noProof/>
                <w:szCs w:val="24"/>
                <w:lang w:eastAsia="en-GB"/>
              </w:rPr>
              <w:t>01</w:t>
            </w:r>
            <w:r w:rsidR="00014D96" w:rsidRPr="00F76852">
              <w:rPr>
                <w:rFonts w:eastAsia="Calibri"/>
                <w:noProof/>
                <w:szCs w:val="24"/>
                <w:lang w:eastAsia="en-GB"/>
              </w:rPr>
              <w:t xml:space="preserve"> </w:t>
            </w:r>
            <w:r w:rsidRPr="00086281">
              <w:rPr>
                <w:rFonts w:eastAsia="Calibri"/>
                <w:noProof/>
                <w:szCs w:val="24"/>
                <w:lang w:eastAsia="en-GB"/>
              </w:rPr>
              <w:t xml:space="preserve"> 01</w:t>
            </w:r>
            <w:r w:rsidRPr="005A3E50">
              <w:rPr>
                <w:rFonts w:eastAsia="Calibri"/>
                <w:noProof/>
                <w:szCs w:val="24"/>
                <w:lang w:eastAsia="en-GB"/>
              </w:rPr>
              <w:t xml:space="preserve"> Contract Staff</w:t>
            </w:r>
          </w:p>
        </w:tc>
        <w:tc>
          <w:tcPr>
            <w:tcW w:w="1080" w:type="dxa"/>
            <w:vAlign w:val="center"/>
          </w:tcPr>
          <w:p w:rsidR="004755EE" w:rsidRPr="005A3E50" w:rsidRDefault="004755EE" w:rsidP="00E863E4">
            <w:pPr>
              <w:jc w:val="center"/>
              <w:rPr>
                <w:rFonts w:eastAsia="Calibri"/>
                <w:noProof/>
                <w:color w:val="000000"/>
              </w:rPr>
            </w:pPr>
            <w:r w:rsidRPr="005A3E50">
              <w:rPr>
                <w:rFonts w:eastAsia="Calibri"/>
                <w:noProof/>
                <w:color w:val="000000"/>
              </w:rPr>
              <w:t>Non-diff.</w:t>
            </w:r>
          </w:p>
        </w:tc>
        <w:tc>
          <w:tcPr>
            <w:tcW w:w="956" w:type="dxa"/>
            <w:vAlign w:val="center"/>
          </w:tcPr>
          <w:p w:rsidR="004755EE" w:rsidRPr="005A3E50" w:rsidRDefault="004755EE" w:rsidP="00E863E4">
            <w:pPr>
              <w:jc w:val="center"/>
              <w:rPr>
                <w:rFonts w:eastAsia="Calibri"/>
                <w:noProof/>
                <w:szCs w:val="24"/>
                <w:lang w:eastAsia="en-GB"/>
              </w:rPr>
            </w:pPr>
            <w:r w:rsidRPr="005A3E50">
              <w:rPr>
                <w:rFonts w:eastAsia="Calibri"/>
                <w:noProof/>
                <w:szCs w:val="24"/>
                <w:lang w:eastAsia="en-GB"/>
              </w:rPr>
              <w:t>NO</w:t>
            </w:r>
          </w:p>
        </w:tc>
        <w:tc>
          <w:tcPr>
            <w:tcW w:w="1080" w:type="dxa"/>
            <w:vAlign w:val="center"/>
          </w:tcPr>
          <w:p w:rsidR="004755EE" w:rsidRPr="005A3E50" w:rsidRDefault="004755EE" w:rsidP="00E863E4">
            <w:pPr>
              <w:jc w:val="center"/>
              <w:rPr>
                <w:rFonts w:eastAsia="Calibri"/>
                <w:noProof/>
                <w:szCs w:val="24"/>
                <w:lang w:eastAsia="en-GB"/>
              </w:rPr>
            </w:pPr>
            <w:r w:rsidRPr="005A3E50">
              <w:rPr>
                <w:rFonts w:eastAsia="Calibri"/>
                <w:noProof/>
                <w:szCs w:val="24"/>
                <w:lang w:eastAsia="en-GB"/>
              </w:rPr>
              <w:t>NO</w:t>
            </w:r>
          </w:p>
        </w:tc>
        <w:tc>
          <w:tcPr>
            <w:tcW w:w="956" w:type="dxa"/>
            <w:vAlign w:val="center"/>
          </w:tcPr>
          <w:p w:rsidR="004755EE" w:rsidRPr="005A3E50" w:rsidRDefault="004755EE" w:rsidP="00E863E4">
            <w:pPr>
              <w:jc w:val="center"/>
              <w:rPr>
                <w:rFonts w:eastAsia="Calibri"/>
                <w:noProof/>
                <w:color w:val="000000"/>
                <w:sz w:val="20"/>
                <w:szCs w:val="20"/>
              </w:rPr>
            </w:pPr>
            <w:r w:rsidRPr="005A3E50">
              <w:rPr>
                <w:rFonts w:eastAsia="Calibri"/>
                <w:noProof/>
                <w:szCs w:val="24"/>
                <w:lang w:eastAsia="en-GB"/>
              </w:rPr>
              <w:t>NO</w:t>
            </w:r>
          </w:p>
        </w:tc>
        <w:tc>
          <w:tcPr>
            <w:tcW w:w="1448" w:type="dxa"/>
            <w:vAlign w:val="center"/>
          </w:tcPr>
          <w:p w:rsidR="004755EE" w:rsidRPr="005A3E50" w:rsidRDefault="004755EE" w:rsidP="00E863E4">
            <w:pPr>
              <w:jc w:val="center"/>
              <w:rPr>
                <w:rFonts w:eastAsia="Calibri"/>
                <w:noProof/>
                <w:szCs w:val="24"/>
                <w:lang w:eastAsia="en-GB"/>
              </w:rPr>
            </w:pPr>
            <w:r w:rsidRPr="005A3E50">
              <w:rPr>
                <w:rFonts w:eastAsia="Calibri"/>
                <w:noProof/>
                <w:szCs w:val="24"/>
                <w:lang w:eastAsia="en-GB"/>
              </w:rPr>
              <w:t>NO</w:t>
            </w:r>
          </w:p>
        </w:tc>
      </w:tr>
    </w:tbl>
    <w:p w:rsidR="004755EE" w:rsidRDefault="004755EE" w:rsidP="004755EE">
      <w:pPr>
        <w:tabs>
          <w:tab w:val="num" w:pos="1417"/>
        </w:tabs>
        <w:ind w:left="1417" w:hanging="567"/>
        <w:rPr>
          <w:rFonts w:eastAsia="Calibri"/>
          <w:noProof/>
          <w:lang w:eastAsia="en-GB"/>
        </w:rPr>
      </w:pPr>
      <w:r>
        <w:rPr>
          <w:rFonts w:eastAsia="Calibri"/>
          <w:noProof/>
          <w:lang w:eastAsia="en-GB"/>
        </w:rPr>
        <w:t>New budget lines requested: N/A</w:t>
      </w:r>
    </w:p>
    <w:p w:rsidR="004755EE" w:rsidRDefault="004755EE" w:rsidP="004755EE">
      <w:pPr>
        <w:rPr>
          <w:noProof/>
        </w:rPr>
      </w:pPr>
    </w:p>
    <w:p w:rsidR="004755EE" w:rsidRDefault="004755EE" w:rsidP="004755EE">
      <w:pPr>
        <w:rPr>
          <w:rFonts w:eastAsia="Calibri"/>
          <w:noProof/>
        </w:rPr>
        <w:sectPr w:rsidR="004755EE" w:rsidSect="00F221E9">
          <w:headerReference w:type="default" r:id="rId23"/>
          <w:footerReference w:type="default" r:id="rId24"/>
          <w:headerReference w:type="first" r:id="rId25"/>
          <w:footerReference w:type="first" r:id="rId26"/>
          <w:pgSz w:w="16839" w:h="11907" w:orient="landscape"/>
          <w:pgMar w:top="1417" w:right="1134" w:bottom="1417" w:left="1134" w:header="709" w:footer="709" w:gutter="0"/>
          <w:cols w:space="708"/>
          <w:docGrid w:linePitch="360"/>
        </w:sectPr>
      </w:pPr>
    </w:p>
    <w:p w:rsidR="004755EE" w:rsidRDefault="004755EE" w:rsidP="004755EE">
      <w:pPr>
        <w:pStyle w:val="ManualHeading2"/>
        <w:rPr>
          <w:noProof/>
          <w:szCs w:val="24"/>
          <w:lang w:eastAsia="en-GB"/>
        </w:rPr>
      </w:pPr>
      <w:bookmarkStart w:id="59" w:name="_Toc514938052"/>
      <w:bookmarkStart w:id="60" w:name="_Toc520485051"/>
      <w:r>
        <w:rPr>
          <w:noProof/>
        </w:rPr>
        <w:t>3.2.</w:t>
      </w:r>
      <w:r>
        <w:rPr>
          <w:noProof/>
        </w:rPr>
        <w:tab/>
      </w:r>
      <w:r>
        <w:rPr>
          <w:noProof/>
          <w:lang w:eastAsia="en-GB"/>
        </w:rPr>
        <w:t>Estimated financial impact of the proposal on appropriations</w:t>
      </w:r>
      <w:bookmarkEnd w:id="59"/>
      <w:bookmarkEnd w:id="60"/>
      <w:r>
        <w:rPr>
          <w:noProof/>
          <w:lang w:eastAsia="en-GB"/>
        </w:rPr>
        <w:t xml:space="preserve"> </w:t>
      </w:r>
    </w:p>
    <w:p w:rsidR="004755EE" w:rsidRDefault="004755EE" w:rsidP="004755EE">
      <w:pPr>
        <w:pStyle w:val="ManualHeading3"/>
        <w:rPr>
          <w:noProof/>
          <w:lang w:eastAsia="en-GB"/>
        </w:rPr>
      </w:pPr>
      <w:bookmarkStart w:id="61" w:name="_Toc514938053"/>
      <w:bookmarkStart w:id="62" w:name="_Toc520485052"/>
      <w:r>
        <w:rPr>
          <w:noProof/>
        </w:rPr>
        <w:t>3.2.1.</w:t>
      </w:r>
      <w:r>
        <w:rPr>
          <w:noProof/>
        </w:rPr>
        <w:tab/>
      </w:r>
      <w:r>
        <w:rPr>
          <w:noProof/>
          <w:lang w:eastAsia="en-GB"/>
        </w:rPr>
        <w:t>Summary of estimated impact on operational appropriations</w:t>
      </w:r>
      <w:bookmarkEnd w:id="61"/>
      <w:bookmarkEnd w:id="62"/>
      <w:r>
        <w:rPr>
          <w:noProof/>
          <w:lang w:eastAsia="en-GB"/>
        </w:rPr>
        <w:t xml:space="preserve"> </w:t>
      </w:r>
    </w:p>
    <w:p w:rsidR="004755EE" w:rsidRPr="00745935" w:rsidRDefault="004755EE" w:rsidP="004755EE">
      <w:pPr>
        <w:tabs>
          <w:tab w:val="num" w:pos="1134"/>
        </w:tabs>
        <w:ind w:left="1134" w:hanging="283"/>
        <w:rPr>
          <w:rFonts w:eastAsia="Calibri"/>
          <w:noProof/>
          <w:lang w:eastAsia="en-GB"/>
        </w:rPr>
      </w:pPr>
      <w:r w:rsidRPr="00745935">
        <w:rPr>
          <w:rFonts w:ascii="Wingdings" w:eastAsia="Wingdings" w:hAnsi="Wingdings" w:cs="Wingdings"/>
          <w:noProof/>
          <w:lang w:eastAsia="en-GB"/>
        </w:rPr>
        <w:t></w:t>
      </w:r>
      <w:r w:rsidRPr="00745935">
        <w:rPr>
          <w:rFonts w:eastAsia="Calibri"/>
          <w:noProof/>
          <w:lang w:eastAsia="en-GB"/>
        </w:rPr>
        <w:tab/>
        <w:t xml:space="preserve">The proposal/initiative does not require the use of operational appropriations </w:t>
      </w:r>
    </w:p>
    <w:p w:rsidR="004755EE" w:rsidRDefault="004755EE" w:rsidP="004755EE">
      <w:pPr>
        <w:tabs>
          <w:tab w:val="num" w:pos="1134"/>
        </w:tabs>
        <w:ind w:left="1134" w:hanging="283"/>
        <w:rPr>
          <w:rFonts w:eastAsia="Calibri"/>
          <w:noProof/>
          <w:lang w:eastAsia="en-GB"/>
        </w:rPr>
      </w:pPr>
      <w:r w:rsidRPr="00745935">
        <w:rPr>
          <w:rFonts w:ascii="Wingdings" w:eastAsia="Wingdings" w:hAnsi="Wingdings" w:cs="Wingdings"/>
          <w:noProof/>
          <w:lang w:eastAsia="en-GB"/>
        </w:rPr>
        <w:t></w:t>
      </w:r>
      <w:r w:rsidRPr="00745935">
        <w:rPr>
          <w:rFonts w:eastAsia="Calibri"/>
          <w:noProof/>
          <w:lang w:eastAsia="en-GB"/>
        </w:rPr>
        <w:tab/>
        <w:t>The proposal/initiative requires the use of operational appropriations, as explained below:</w:t>
      </w:r>
    </w:p>
    <w:p w:rsidR="004755EE" w:rsidRDefault="004755EE" w:rsidP="004755EE">
      <w:pPr>
        <w:jc w:val="right"/>
        <w:rPr>
          <w:rFonts w:eastAsia="Calibri"/>
          <w:noProof/>
          <w:sz w:val="18"/>
          <w:szCs w:val="18"/>
        </w:rPr>
      </w:pPr>
      <w:r>
        <w:rPr>
          <w:rFonts w:eastAsia="Calibri"/>
          <w:noProof/>
          <w:sz w:val="18"/>
          <w:szCs w:val="18"/>
        </w:rPr>
        <w:t>EUR million (to three decimal places)</w:t>
      </w:r>
    </w:p>
    <w:tbl>
      <w:tblPr>
        <w:tblW w:w="12676" w:type="dxa"/>
        <w:tblInd w:w="108" w:type="dxa"/>
        <w:tblLook w:val="04A0" w:firstRow="1" w:lastRow="0" w:firstColumn="1" w:lastColumn="0" w:noHBand="0" w:noVBand="1"/>
      </w:tblPr>
      <w:tblGrid>
        <w:gridCol w:w="5169"/>
        <w:gridCol w:w="1635"/>
        <w:gridCol w:w="681"/>
        <w:gridCol w:w="810"/>
        <w:gridCol w:w="8"/>
        <w:gridCol w:w="858"/>
        <w:gridCol w:w="8"/>
        <w:gridCol w:w="858"/>
        <w:gridCol w:w="866"/>
        <w:gridCol w:w="866"/>
        <w:gridCol w:w="917"/>
      </w:tblGrid>
      <w:tr w:rsidR="004755EE" w:rsidTr="00E863E4">
        <w:trPr>
          <w:trHeight w:val="397"/>
        </w:trPr>
        <w:tc>
          <w:tcPr>
            <w:tcW w:w="8303" w:type="dxa"/>
            <w:gridSpan w:val="5"/>
            <w:tcBorders>
              <w:top w:val="single" w:sz="4" w:space="0" w:color="auto"/>
              <w:left w:val="single" w:sz="4" w:space="0" w:color="auto"/>
              <w:bottom w:val="single" w:sz="4" w:space="0" w:color="auto"/>
              <w:right w:val="single" w:sz="4" w:space="0" w:color="auto"/>
            </w:tcBorders>
            <w:shd w:val="thinDiagStripe" w:color="C0C0C0" w:fill="F1F1F1"/>
            <w:vAlign w:val="center"/>
            <w:hideMark/>
          </w:tcPr>
          <w:p w:rsidR="004755EE" w:rsidRDefault="004755EE" w:rsidP="00E863E4">
            <w:pPr>
              <w:spacing w:before="0" w:after="0"/>
              <w:jc w:val="left"/>
              <w:rPr>
                <w:rFonts w:eastAsia="Times New Roman"/>
                <w:b/>
                <w:bCs/>
                <w:noProof/>
                <w:color w:val="000000"/>
                <w:sz w:val="22"/>
              </w:rPr>
            </w:pPr>
            <w:r>
              <w:rPr>
                <w:rFonts w:eastAsia="Times New Roman"/>
                <w:b/>
                <w:bCs/>
                <w:noProof/>
                <w:color w:val="000000"/>
                <w:sz w:val="22"/>
              </w:rPr>
              <w:t xml:space="preserve">Heading of multiannual financial framework </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rsidR="004755EE" w:rsidRPr="00745935" w:rsidRDefault="004755EE" w:rsidP="00E863E4">
            <w:pPr>
              <w:spacing w:before="0" w:after="0"/>
              <w:jc w:val="center"/>
              <w:rPr>
                <w:rFonts w:eastAsia="Times New Roman"/>
                <w:noProof/>
                <w:color w:val="000000"/>
                <w:sz w:val="22"/>
              </w:rPr>
            </w:pPr>
            <w:r w:rsidRPr="00745935">
              <w:rPr>
                <w:rFonts w:eastAsia="Times New Roman"/>
                <w:noProof/>
                <w:color w:val="000000"/>
                <w:sz w:val="22"/>
              </w:rPr>
              <w:t>3</w:t>
            </w:r>
          </w:p>
        </w:tc>
        <w:tc>
          <w:tcPr>
            <w:tcW w:w="3507" w:type="dxa"/>
            <w:gridSpan w:val="4"/>
            <w:tcBorders>
              <w:top w:val="single" w:sz="4" w:space="0" w:color="auto"/>
              <w:left w:val="nil"/>
              <w:bottom w:val="single" w:sz="4" w:space="0" w:color="auto"/>
              <w:right w:val="single" w:sz="4" w:space="0" w:color="auto"/>
            </w:tcBorders>
            <w:shd w:val="clear" w:color="auto" w:fill="auto"/>
            <w:vAlign w:val="center"/>
            <w:hideMark/>
          </w:tcPr>
          <w:p w:rsidR="004755EE" w:rsidRPr="00745935" w:rsidRDefault="004755EE" w:rsidP="00E863E4">
            <w:pPr>
              <w:spacing w:before="0" w:after="0"/>
              <w:jc w:val="center"/>
              <w:rPr>
                <w:rFonts w:eastAsia="Times New Roman"/>
                <w:noProof/>
                <w:color w:val="000000"/>
                <w:szCs w:val="24"/>
              </w:rPr>
            </w:pPr>
            <w:r w:rsidRPr="008B4D76">
              <w:rPr>
                <w:rFonts w:eastAsia="Times New Roman"/>
                <w:noProof/>
                <w:color w:val="000000"/>
                <w:sz w:val="22"/>
              </w:rPr>
              <w:t>'</w:t>
            </w:r>
            <w:r>
              <w:rPr>
                <w:rFonts w:eastAsia="Times New Roman"/>
                <w:noProof/>
                <w:color w:val="000000"/>
                <w:sz w:val="22"/>
              </w:rPr>
              <w:t>N</w:t>
            </w:r>
            <w:r w:rsidRPr="008B4D76">
              <w:rPr>
                <w:rFonts w:eastAsia="Times New Roman"/>
                <w:noProof/>
                <w:color w:val="000000"/>
                <w:sz w:val="22"/>
              </w:rPr>
              <w:t>atural resources and environment'</w:t>
            </w:r>
          </w:p>
        </w:tc>
      </w:tr>
      <w:tr w:rsidR="004755EE" w:rsidTr="00E863E4">
        <w:trPr>
          <w:trHeight w:val="222"/>
        </w:trPr>
        <w:tc>
          <w:tcPr>
            <w:tcW w:w="5169" w:type="dxa"/>
            <w:tcBorders>
              <w:top w:val="nil"/>
              <w:left w:val="nil"/>
              <w:bottom w:val="nil"/>
              <w:right w:val="nil"/>
            </w:tcBorders>
            <w:shd w:val="clear" w:color="auto" w:fill="auto"/>
            <w:noWrap/>
            <w:vAlign w:val="bottom"/>
            <w:hideMark/>
          </w:tcPr>
          <w:p w:rsidR="004755EE" w:rsidRDefault="004755EE" w:rsidP="00E863E4">
            <w:pPr>
              <w:spacing w:before="0" w:after="0"/>
              <w:jc w:val="center"/>
              <w:rPr>
                <w:rFonts w:eastAsia="Times New Roman"/>
                <w:noProof/>
                <w:color w:val="000000"/>
                <w:szCs w:val="24"/>
              </w:rPr>
            </w:pPr>
          </w:p>
        </w:tc>
        <w:tc>
          <w:tcPr>
            <w:tcW w:w="1635"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681"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10"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66" w:type="dxa"/>
            <w:gridSpan w:val="2"/>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66" w:type="dxa"/>
            <w:gridSpan w:val="2"/>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66"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66"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917"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r>
      <w:tr w:rsidR="004755EE" w:rsidTr="00E863E4">
        <w:trPr>
          <w:trHeight w:val="397"/>
        </w:trPr>
        <w:tc>
          <w:tcPr>
            <w:tcW w:w="51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5EE" w:rsidRPr="008D2645" w:rsidRDefault="004755EE" w:rsidP="00E863E4">
            <w:pPr>
              <w:spacing w:before="0" w:after="0"/>
              <w:jc w:val="center"/>
              <w:rPr>
                <w:rFonts w:eastAsia="Times New Roman"/>
                <w:b/>
                <w:bCs/>
                <w:noProof/>
                <w:color w:val="000000"/>
                <w:sz w:val="22"/>
              </w:rPr>
            </w:pPr>
            <w:r w:rsidRPr="008D2645">
              <w:rPr>
                <w:b/>
                <w:bCs/>
                <w:noProof/>
                <w:sz w:val="22"/>
              </w:rPr>
              <w:t>DG: CLIMA</w:t>
            </w:r>
          </w:p>
        </w:tc>
        <w:tc>
          <w:tcPr>
            <w:tcW w:w="2316" w:type="dxa"/>
            <w:gridSpan w:val="2"/>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rPr>
                <w:rFonts w:eastAsia="Times New Roman"/>
                <w:noProof/>
                <w:color w:val="000000"/>
                <w:sz w:val="20"/>
                <w:szCs w:val="20"/>
              </w:rPr>
            </w:pPr>
            <w:r>
              <w:rPr>
                <w:rFonts w:eastAsia="Times New Roman"/>
                <w:noProof/>
                <w:color w:val="000000"/>
                <w:sz w:val="20"/>
                <w:szCs w:val="20"/>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2023</w:t>
            </w:r>
            <w:r>
              <w:rPr>
                <w:rFonts w:eastAsia="Times New Roman"/>
                <w:noProof/>
                <w:color w:val="000000"/>
                <w:sz w:val="16"/>
                <w:szCs w:val="16"/>
              </w:rPr>
              <w:t> </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2024</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2026</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2027</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TOTAL</w:t>
            </w:r>
          </w:p>
        </w:tc>
      </w:tr>
      <w:tr w:rsidR="004755EE" w:rsidTr="00E863E4">
        <w:trPr>
          <w:trHeight w:val="397"/>
        </w:trPr>
        <w:tc>
          <w:tcPr>
            <w:tcW w:w="1267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left"/>
              <w:rPr>
                <w:rFonts w:eastAsia="Times New Roman"/>
                <w:noProof/>
                <w:color w:val="000000"/>
                <w:sz w:val="21"/>
                <w:szCs w:val="21"/>
              </w:rPr>
            </w:pPr>
            <w:r>
              <w:rPr>
                <w:rFonts w:eastAsia="Times New Roman"/>
                <w:noProof/>
                <w:color w:val="000000"/>
                <w:sz w:val="21"/>
                <w:szCs w:val="21"/>
              </w:rPr>
              <w:t>Operational appropriations</w:t>
            </w:r>
          </w:p>
        </w:tc>
      </w:tr>
      <w:tr w:rsidR="004755EE" w:rsidTr="00E863E4">
        <w:trPr>
          <w:trHeight w:val="397"/>
        </w:trPr>
        <w:tc>
          <w:tcPr>
            <w:tcW w:w="5169" w:type="dxa"/>
            <w:vMerge w:val="restart"/>
            <w:tcBorders>
              <w:top w:val="nil"/>
              <w:left w:val="single" w:sz="4" w:space="0" w:color="auto"/>
              <w:bottom w:val="single" w:sz="4" w:space="0" w:color="auto"/>
              <w:right w:val="single" w:sz="4" w:space="0" w:color="auto"/>
            </w:tcBorders>
            <w:shd w:val="clear" w:color="auto" w:fill="auto"/>
            <w:vAlign w:val="center"/>
            <w:hideMark/>
          </w:tcPr>
          <w:p w:rsidR="004755EE" w:rsidRPr="0048388E" w:rsidRDefault="004755EE" w:rsidP="00E863E4">
            <w:pPr>
              <w:spacing w:before="0" w:after="0"/>
              <w:jc w:val="left"/>
              <w:rPr>
                <w:rFonts w:eastAsia="Times New Roman"/>
                <w:noProof/>
                <w:color w:val="000000"/>
                <w:sz w:val="21"/>
                <w:szCs w:val="21"/>
              </w:rPr>
            </w:pPr>
            <w:r w:rsidRPr="0048388E">
              <w:rPr>
                <w:rFonts w:eastAsia="Times New Roman"/>
                <w:noProof/>
                <w:color w:val="000000"/>
                <w:sz w:val="21"/>
                <w:szCs w:val="21"/>
              </w:rPr>
              <w:t xml:space="preserve"> </w:t>
            </w:r>
            <w:r w:rsidRPr="008D2645">
              <w:rPr>
                <w:noProof/>
                <w:sz w:val="21"/>
                <w:szCs w:val="21"/>
              </w:rPr>
              <w:t>09 02 03 Climate change mitigation and adaptation</w:t>
            </w:r>
          </w:p>
        </w:tc>
        <w:tc>
          <w:tcPr>
            <w:tcW w:w="1635"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Commitments </w:t>
            </w:r>
          </w:p>
        </w:tc>
        <w:tc>
          <w:tcPr>
            <w:tcW w:w="681"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(1) </w:t>
            </w:r>
          </w:p>
        </w:tc>
        <w:tc>
          <w:tcPr>
            <w:tcW w:w="810"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866" w:type="dxa"/>
            <w:gridSpan w:val="2"/>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gridSpan w:val="2"/>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917" w:type="dxa"/>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w:t>
            </w:r>
            <w:r w:rsidRPr="008D2645">
              <w:rPr>
                <w:rFonts w:eastAsia="Times New Roman"/>
                <w:b/>
                <w:bCs/>
                <w:noProof/>
                <w:color w:val="000000"/>
                <w:sz w:val="20"/>
                <w:szCs w:val="20"/>
              </w:rPr>
              <w:t>4</w:t>
            </w:r>
            <w:r>
              <w:rPr>
                <w:rFonts w:eastAsia="Times New Roman"/>
                <w:b/>
                <w:bCs/>
                <w:noProof/>
                <w:color w:val="000000"/>
                <w:sz w:val="20"/>
                <w:szCs w:val="20"/>
              </w:rPr>
              <w:t>00</w:t>
            </w:r>
          </w:p>
        </w:tc>
      </w:tr>
      <w:tr w:rsidR="004755EE" w:rsidTr="00E863E4">
        <w:trPr>
          <w:trHeight w:val="397"/>
        </w:trPr>
        <w:tc>
          <w:tcPr>
            <w:tcW w:w="5169" w:type="dxa"/>
            <w:vMerge/>
            <w:tcBorders>
              <w:top w:val="nil"/>
              <w:left w:val="single" w:sz="4" w:space="0" w:color="auto"/>
              <w:bottom w:val="single" w:sz="4" w:space="0" w:color="auto"/>
              <w:right w:val="single" w:sz="4" w:space="0" w:color="auto"/>
            </w:tcBorders>
            <w:vAlign w:val="center"/>
            <w:hideMark/>
          </w:tcPr>
          <w:p w:rsidR="004755EE" w:rsidRDefault="004755EE" w:rsidP="00E863E4">
            <w:pPr>
              <w:spacing w:before="0" w:after="0"/>
              <w:jc w:val="left"/>
              <w:rPr>
                <w:rFonts w:eastAsia="Times New Roman"/>
                <w:noProof/>
                <w:color w:val="000000"/>
                <w:sz w:val="22"/>
              </w:rPr>
            </w:pPr>
          </w:p>
        </w:tc>
        <w:tc>
          <w:tcPr>
            <w:tcW w:w="1635"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Payments </w:t>
            </w:r>
          </w:p>
        </w:tc>
        <w:tc>
          <w:tcPr>
            <w:tcW w:w="681"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(2) </w:t>
            </w:r>
          </w:p>
        </w:tc>
        <w:tc>
          <w:tcPr>
            <w:tcW w:w="810"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866" w:type="dxa"/>
            <w:gridSpan w:val="2"/>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gridSpan w:val="2"/>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917" w:type="dxa"/>
            <w:tcBorders>
              <w:top w:val="nil"/>
              <w:left w:val="nil"/>
              <w:bottom w:val="single" w:sz="4" w:space="0" w:color="auto"/>
              <w:right w:val="single" w:sz="4" w:space="0" w:color="auto"/>
            </w:tcBorders>
            <w:shd w:val="clear" w:color="auto" w:fill="auto"/>
            <w:vAlign w:val="center"/>
          </w:tcPr>
          <w:p w:rsidR="004755EE" w:rsidRPr="008D2645"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w:t>
            </w:r>
            <w:r w:rsidRPr="008D2645">
              <w:rPr>
                <w:rFonts w:eastAsia="Times New Roman"/>
                <w:b/>
                <w:bCs/>
                <w:noProof/>
                <w:color w:val="000000"/>
                <w:sz w:val="20"/>
                <w:szCs w:val="20"/>
              </w:rPr>
              <w:t>4</w:t>
            </w:r>
            <w:r>
              <w:rPr>
                <w:rFonts w:eastAsia="Times New Roman"/>
                <w:b/>
                <w:bCs/>
                <w:noProof/>
                <w:color w:val="000000"/>
                <w:sz w:val="20"/>
                <w:szCs w:val="20"/>
              </w:rPr>
              <w:t>00</w:t>
            </w:r>
          </w:p>
        </w:tc>
      </w:tr>
      <w:tr w:rsidR="004755EE" w:rsidTr="00E863E4">
        <w:trPr>
          <w:trHeight w:val="397"/>
        </w:trPr>
        <w:tc>
          <w:tcPr>
            <w:tcW w:w="1267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left"/>
              <w:rPr>
                <w:rFonts w:eastAsia="Times New Roman"/>
                <w:noProof/>
                <w:color w:val="000000"/>
                <w:sz w:val="21"/>
                <w:szCs w:val="21"/>
              </w:rPr>
            </w:pPr>
            <w:r>
              <w:rPr>
                <w:rFonts w:eastAsia="Times New Roman"/>
                <w:noProof/>
                <w:color w:val="000000"/>
                <w:sz w:val="21"/>
                <w:szCs w:val="21"/>
              </w:rPr>
              <w:t>Appropriations of an administrative nature financed from the envelope of specific programmes</w:t>
            </w:r>
          </w:p>
        </w:tc>
      </w:tr>
      <w:tr w:rsidR="004755EE" w:rsidTr="00E863E4">
        <w:trPr>
          <w:trHeight w:val="397"/>
        </w:trPr>
        <w:tc>
          <w:tcPr>
            <w:tcW w:w="5169" w:type="dxa"/>
            <w:tcBorders>
              <w:top w:val="nil"/>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left"/>
              <w:rPr>
                <w:rFonts w:eastAsia="Times New Roman"/>
                <w:noProof/>
                <w:color w:val="000000"/>
                <w:sz w:val="22"/>
              </w:rPr>
            </w:pPr>
            <w:r>
              <w:rPr>
                <w:rFonts w:eastAsia="Times New Roman"/>
                <w:noProof/>
                <w:color w:val="000000"/>
                <w:sz w:val="22"/>
              </w:rPr>
              <w:t xml:space="preserve"> </w:t>
            </w:r>
          </w:p>
        </w:tc>
        <w:tc>
          <w:tcPr>
            <w:tcW w:w="1635"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noProof/>
                <w:color w:val="000000"/>
                <w:sz w:val="22"/>
              </w:rPr>
            </w:pPr>
            <w:r>
              <w:rPr>
                <w:rFonts w:eastAsia="Times New Roman"/>
                <w:noProof/>
                <w:color w:val="000000"/>
                <w:sz w:val="22"/>
              </w:rPr>
              <w:t> </w:t>
            </w:r>
          </w:p>
        </w:tc>
        <w:tc>
          <w:tcPr>
            <w:tcW w:w="681"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(3) </w:t>
            </w:r>
          </w:p>
        </w:tc>
        <w:tc>
          <w:tcPr>
            <w:tcW w:w="810"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866" w:type="dxa"/>
            <w:gridSpan w:val="2"/>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866" w:type="dxa"/>
            <w:gridSpan w:val="2"/>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917"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p>
        </w:tc>
      </w:tr>
      <w:tr w:rsidR="004755EE" w:rsidTr="00E863E4">
        <w:trPr>
          <w:trHeight w:val="397"/>
        </w:trPr>
        <w:tc>
          <w:tcPr>
            <w:tcW w:w="5169" w:type="dxa"/>
            <w:vMerge w:val="restart"/>
            <w:tcBorders>
              <w:top w:val="nil"/>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left"/>
              <w:rPr>
                <w:rFonts w:eastAsia="Times New Roman"/>
                <w:b/>
                <w:bCs/>
                <w:noProof/>
                <w:color w:val="000000"/>
                <w:sz w:val="22"/>
              </w:rPr>
            </w:pPr>
            <w:r>
              <w:rPr>
                <w:rFonts w:eastAsia="Times New Roman"/>
                <w:b/>
                <w:bCs/>
                <w:noProof/>
                <w:color w:val="000000"/>
                <w:sz w:val="22"/>
              </w:rPr>
              <w:t xml:space="preserve"> TOTAL appropriations for DG CLIMA </w:t>
            </w:r>
          </w:p>
        </w:tc>
        <w:tc>
          <w:tcPr>
            <w:tcW w:w="1635"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Commitments </w:t>
            </w:r>
          </w:p>
        </w:tc>
        <w:tc>
          <w:tcPr>
            <w:tcW w:w="681"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 1 + 3 </w:t>
            </w:r>
          </w:p>
        </w:tc>
        <w:tc>
          <w:tcPr>
            <w:tcW w:w="810"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866" w:type="dxa"/>
            <w:gridSpan w:val="2"/>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gridSpan w:val="2"/>
            <w:tcBorders>
              <w:top w:val="nil"/>
              <w:left w:val="nil"/>
              <w:bottom w:val="single" w:sz="4" w:space="0" w:color="auto"/>
              <w:right w:val="single" w:sz="4" w:space="0" w:color="auto"/>
            </w:tcBorders>
            <w:shd w:val="clear" w:color="auto" w:fill="auto"/>
            <w:vAlign w:val="center"/>
          </w:tcPr>
          <w:p w:rsidR="004755EE" w:rsidRPr="00A90773" w:rsidRDefault="004755EE" w:rsidP="00E863E4">
            <w:pPr>
              <w:spacing w:before="0" w:after="0"/>
              <w:jc w:val="right"/>
              <w:rPr>
                <w:rFonts w:eastAsia="Times New Roman"/>
                <w:noProof/>
                <w:color w:val="000000"/>
                <w:sz w:val="20"/>
                <w:szCs w:val="20"/>
                <w:highlight w:val="yellow"/>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917"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w:t>
            </w:r>
            <w:r w:rsidRPr="008D2645">
              <w:rPr>
                <w:rFonts w:eastAsia="Times New Roman"/>
                <w:b/>
                <w:bCs/>
                <w:noProof/>
                <w:color w:val="000000"/>
                <w:sz w:val="20"/>
                <w:szCs w:val="20"/>
              </w:rPr>
              <w:t>4</w:t>
            </w:r>
            <w:r>
              <w:rPr>
                <w:rFonts w:eastAsia="Times New Roman"/>
                <w:b/>
                <w:bCs/>
                <w:noProof/>
                <w:color w:val="000000"/>
                <w:sz w:val="20"/>
                <w:szCs w:val="20"/>
              </w:rPr>
              <w:t>00</w:t>
            </w:r>
          </w:p>
        </w:tc>
      </w:tr>
      <w:tr w:rsidR="004755EE" w:rsidTr="00E863E4">
        <w:trPr>
          <w:trHeight w:val="397"/>
        </w:trPr>
        <w:tc>
          <w:tcPr>
            <w:tcW w:w="5169" w:type="dxa"/>
            <w:vMerge/>
            <w:tcBorders>
              <w:top w:val="nil"/>
              <w:left w:val="single" w:sz="4" w:space="0" w:color="auto"/>
              <w:bottom w:val="single" w:sz="4" w:space="0" w:color="auto"/>
              <w:right w:val="single" w:sz="4" w:space="0" w:color="auto"/>
            </w:tcBorders>
            <w:vAlign w:val="center"/>
            <w:hideMark/>
          </w:tcPr>
          <w:p w:rsidR="004755EE" w:rsidRDefault="004755EE" w:rsidP="00E863E4">
            <w:pPr>
              <w:spacing w:before="0" w:after="0"/>
              <w:jc w:val="left"/>
              <w:rPr>
                <w:rFonts w:eastAsia="Times New Roman"/>
                <w:b/>
                <w:bCs/>
                <w:noProof/>
                <w:color w:val="000000"/>
                <w:sz w:val="22"/>
              </w:rPr>
            </w:pPr>
          </w:p>
        </w:tc>
        <w:tc>
          <w:tcPr>
            <w:tcW w:w="1635"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Payments </w:t>
            </w:r>
          </w:p>
        </w:tc>
        <w:tc>
          <w:tcPr>
            <w:tcW w:w="681"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 2 + 3 </w:t>
            </w:r>
          </w:p>
        </w:tc>
        <w:tc>
          <w:tcPr>
            <w:tcW w:w="810"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866" w:type="dxa"/>
            <w:gridSpan w:val="2"/>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gridSpan w:val="2"/>
            <w:tcBorders>
              <w:top w:val="nil"/>
              <w:left w:val="nil"/>
              <w:bottom w:val="single" w:sz="4" w:space="0" w:color="auto"/>
              <w:right w:val="single" w:sz="4" w:space="0" w:color="auto"/>
            </w:tcBorders>
            <w:shd w:val="clear" w:color="auto" w:fill="auto"/>
            <w:vAlign w:val="center"/>
          </w:tcPr>
          <w:p w:rsidR="004755EE" w:rsidRPr="00A90773" w:rsidRDefault="004755EE" w:rsidP="00E863E4">
            <w:pPr>
              <w:spacing w:before="0" w:after="0"/>
              <w:jc w:val="right"/>
              <w:rPr>
                <w:rFonts w:eastAsia="Times New Roman"/>
                <w:noProof/>
                <w:color w:val="000000"/>
                <w:sz w:val="20"/>
                <w:szCs w:val="20"/>
                <w:highlight w:val="yellow"/>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8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0,100</w:t>
            </w:r>
          </w:p>
        </w:tc>
        <w:tc>
          <w:tcPr>
            <w:tcW w:w="917"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w:t>
            </w:r>
            <w:r w:rsidRPr="008D2645">
              <w:rPr>
                <w:rFonts w:eastAsia="Times New Roman"/>
                <w:b/>
                <w:bCs/>
                <w:noProof/>
                <w:color w:val="000000"/>
                <w:sz w:val="20"/>
                <w:szCs w:val="20"/>
              </w:rPr>
              <w:t>4</w:t>
            </w:r>
            <w:r>
              <w:rPr>
                <w:rFonts w:eastAsia="Times New Roman"/>
                <w:b/>
                <w:bCs/>
                <w:noProof/>
                <w:color w:val="000000"/>
                <w:sz w:val="20"/>
                <w:szCs w:val="20"/>
              </w:rPr>
              <w:t>00</w:t>
            </w:r>
          </w:p>
        </w:tc>
      </w:tr>
      <w:tr w:rsidR="004755EE" w:rsidTr="00E863E4">
        <w:trPr>
          <w:trHeight w:val="150"/>
        </w:trPr>
        <w:tc>
          <w:tcPr>
            <w:tcW w:w="5169" w:type="dxa"/>
            <w:tcBorders>
              <w:top w:val="nil"/>
              <w:left w:val="nil"/>
              <w:bottom w:val="nil"/>
              <w:right w:val="nil"/>
            </w:tcBorders>
            <w:shd w:val="clear" w:color="auto" w:fill="auto"/>
            <w:noWrap/>
            <w:vAlign w:val="bottom"/>
            <w:hideMark/>
          </w:tcPr>
          <w:p w:rsidR="004755EE" w:rsidRDefault="004755EE" w:rsidP="00E863E4">
            <w:pPr>
              <w:spacing w:before="0" w:after="0"/>
              <w:jc w:val="right"/>
              <w:rPr>
                <w:rFonts w:eastAsia="Times New Roman"/>
                <w:b/>
                <w:bCs/>
                <w:noProof/>
                <w:color w:val="000000"/>
                <w:sz w:val="20"/>
                <w:szCs w:val="20"/>
              </w:rPr>
            </w:pPr>
          </w:p>
        </w:tc>
        <w:tc>
          <w:tcPr>
            <w:tcW w:w="1635"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681"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10"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66" w:type="dxa"/>
            <w:gridSpan w:val="2"/>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66" w:type="dxa"/>
            <w:gridSpan w:val="2"/>
            <w:tcBorders>
              <w:top w:val="nil"/>
              <w:left w:val="nil"/>
              <w:bottom w:val="nil"/>
              <w:right w:val="nil"/>
            </w:tcBorders>
            <w:shd w:val="clear" w:color="auto" w:fill="auto"/>
            <w:noWrap/>
            <w:vAlign w:val="bottom"/>
            <w:hideMark/>
          </w:tcPr>
          <w:p w:rsidR="004755EE" w:rsidRPr="00A90773" w:rsidRDefault="004755EE" w:rsidP="00E863E4">
            <w:pPr>
              <w:spacing w:before="0" w:after="0"/>
              <w:jc w:val="left"/>
              <w:rPr>
                <w:rFonts w:eastAsia="Times New Roman"/>
                <w:noProof/>
                <w:sz w:val="20"/>
                <w:szCs w:val="20"/>
                <w:highlight w:val="yellow"/>
              </w:rPr>
            </w:pPr>
          </w:p>
        </w:tc>
        <w:tc>
          <w:tcPr>
            <w:tcW w:w="866"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866"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c>
          <w:tcPr>
            <w:tcW w:w="917" w:type="dxa"/>
            <w:tcBorders>
              <w:top w:val="nil"/>
              <w:left w:val="nil"/>
              <w:bottom w:val="nil"/>
              <w:right w:val="nil"/>
            </w:tcBorders>
            <w:shd w:val="clear" w:color="auto" w:fill="auto"/>
            <w:noWrap/>
            <w:vAlign w:val="bottom"/>
            <w:hideMark/>
          </w:tcPr>
          <w:p w:rsidR="004755EE" w:rsidRDefault="004755EE" w:rsidP="00E863E4">
            <w:pPr>
              <w:spacing w:before="0" w:after="0"/>
              <w:jc w:val="left"/>
              <w:rPr>
                <w:rFonts w:eastAsia="Times New Roman"/>
                <w:noProof/>
                <w:sz w:val="20"/>
                <w:szCs w:val="20"/>
              </w:rPr>
            </w:pPr>
          </w:p>
        </w:tc>
      </w:tr>
    </w:tbl>
    <w:p w:rsidR="004755EE" w:rsidRDefault="004755EE" w:rsidP="0049466A">
      <w:pPr>
        <w:pStyle w:val="Bullet0"/>
        <w:numPr>
          <w:ilvl w:val="0"/>
          <w:numId w:val="19"/>
        </w:numPr>
        <w:rPr>
          <w:noProof/>
        </w:rPr>
      </w:pPr>
      <w:r w:rsidRPr="004F6891">
        <w:rPr>
          <w:noProof/>
        </w:rPr>
        <w:t>JRC will play a key role in supporting the Commission with some of the technical work required. The</w:t>
      </w:r>
      <w:r>
        <w:rPr>
          <w:noProof/>
        </w:rPr>
        <w:t>re is an</w:t>
      </w:r>
      <w:r w:rsidRPr="004F6891">
        <w:rPr>
          <w:noProof/>
        </w:rPr>
        <w:t xml:space="preserve"> Administrative Arrangement i</w:t>
      </w:r>
      <w:r>
        <w:rPr>
          <w:noProof/>
        </w:rPr>
        <w:t>n place between DG CLIMA and JRC.</w:t>
      </w:r>
    </w:p>
    <w:tbl>
      <w:tblPr>
        <w:tblW w:w="12578" w:type="dxa"/>
        <w:tblInd w:w="108" w:type="dxa"/>
        <w:tblLook w:val="04A0" w:firstRow="1" w:lastRow="0" w:firstColumn="1" w:lastColumn="0" w:noHBand="0" w:noVBand="1"/>
      </w:tblPr>
      <w:tblGrid>
        <w:gridCol w:w="3713"/>
        <w:gridCol w:w="1564"/>
        <w:gridCol w:w="655"/>
        <w:gridCol w:w="747"/>
        <w:gridCol w:w="1103"/>
        <w:gridCol w:w="966"/>
        <w:gridCol w:w="866"/>
        <w:gridCol w:w="1482"/>
        <w:gridCol w:w="1482"/>
      </w:tblGrid>
      <w:tr w:rsidR="004755EE" w:rsidTr="00014D96">
        <w:trPr>
          <w:trHeight w:val="397"/>
        </w:trPr>
        <w:tc>
          <w:tcPr>
            <w:tcW w:w="3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noProof/>
                <w:color w:val="000000"/>
                <w:sz w:val="22"/>
              </w:rPr>
            </w:pPr>
            <w:r w:rsidRPr="00453290">
              <w:rPr>
                <w:b/>
                <w:bCs/>
                <w:noProof/>
                <w:sz w:val="22"/>
              </w:rPr>
              <w:t>Agency: EEA – European Environment Agency</w:t>
            </w:r>
          </w:p>
        </w:tc>
        <w:tc>
          <w:tcPr>
            <w:tcW w:w="2219" w:type="dxa"/>
            <w:gridSpan w:val="2"/>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rPr>
                <w:rFonts w:eastAsia="Times New Roman"/>
                <w:noProof/>
                <w:color w:val="000000"/>
                <w:sz w:val="20"/>
                <w:szCs w:val="20"/>
              </w:rPr>
            </w:pPr>
            <w:r>
              <w:rPr>
                <w:rFonts w:eastAsia="Times New Roman"/>
                <w:noProof/>
                <w:color w:val="000000"/>
                <w:sz w:val="20"/>
                <w:szCs w:val="20"/>
              </w:rPr>
              <w:t>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2023</w:t>
            </w:r>
            <w:r>
              <w:rPr>
                <w:rFonts w:eastAsia="Times New Roman"/>
                <w:noProof/>
                <w:color w:val="000000"/>
                <w:sz w:val="16"/>
                <w:szCs w:val="16"/>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2024</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2025</w:t>
            </w:r>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2026</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2027</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b/>
                <w:bCs/>
                <w:noProof/>
                <w:color w:val="000000"/>
                <w:sz w:val="20"/>
                <w:szCs w:val="20"/>
              </w:rPr>
            </w:pPr>
            <w:r>
              <w:rPr>
                <w:rFonts w:eastAsia="Times New Roman"/>
                <w:b/>
                <w:bCs/>
                <w:noProof/>
                <w:color w:val="000000"/>
                <w:sz w:val="20"/>
                <w:szCs w:val="20"/>
              </w:rPr>
              <w:t>TOTAL</w:t>
            </w:r>
          </w:p>
        </w:tc>
      </w:tr>
      <w:tr w:rsidR="004755EE" w:rsidTr="00E863E4">
        <w:trPr>
          <w:trHeight w:val="397"/>
        </w:trPr>
        <w:tc>
          <w:tcPr>
            <w:tcW w:w="125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left"/>
              <w:rPr>
                <w:rFonts w:eastAsia="Times New Roman"/>
                <w:noProof/>
                <w:color w:val="000000"/>
                <w:sz w:val="21"/>
                <w:szCs w:val="21"/>
              </w:rPr>
            </w:pPr>
            <w:r>
              <w:rPr>
                <w:rFonts w:eastAsia="Times New Roman"/>
                <w:noProof/>
                <w:color w:val="000000"/>
                <w:sz w:val="21"/>
                <w:szCs w:val="21"/>
              </w:rPr>
              <w:t>Operational appropriations</w:t>
            </w:r>
          </w:p>
        </w:tc>
      </w:tr>
      <w:tr w:rsidR="00014D96" w:rsidRPr="004233A1" w:rsidTr="00014D96">
        <w:trPr>
          <w:trHeight w:val="397"/>
        </w:trPr>
        <w:tc>
          <w:tcPr>
            <w:tcW w:w="3713" w:type="dxa"/>
            <w:vMerge w:val="restart"/>
            <w:tcBorders>
              <w:top w:val="nil"/>
              <w:left w:val="single" w:sz="4" w:space="0" w:color="auto"/>
              <w:bottom w:val="single" w:sz="4" w:space="0" w:color="auto"/>
              <w:right w:val="single" w:sz="4" w:space="0" w:color="auto"/>
            </w:tcBorders>
            <w:shd w:val="clear" w:color="auto" w:fill="auto"/>
            <w:vAlign w:val="center"/>
            <w:hideMark/>
          </w:tcPr>
          <w:p w:rsidR="00014D96" w:rsidRPr="0048388E" w:rsidRDefault="00014D96" w:rsidP="00014D96">
            <w:pPr>
              <w:spacing w:before="0" w:after="0"/>
              <w:jc w:val="left"/>
              <w:rPr>
                <w:rFonts w:eastAsia="Times New Roman"/>
                <w:noProof/>
                <w:color w:val="000000"/>
                <w:sz w:val="21"/>
                <w:szCs w:val="21"/>
              </w:rPr>
            </w:pPr>
            <w:r w:rsidRPr="0048388E">
              <w:rPr>
                <w:rFonts w:eastAsia="Times New Roman"/>
                <w:noProof/>
                <w:color w:val="000000"/>
                <w:sz w:val="21"/>
                <w:szCs w:val="21"/>
              </w:rPr>
              <w:t xml:space="preserve"> </w:t>
            </w:r>
            <w:r w:rsidRPr="00B83CAF">
              <w:rPr>
                <w:noProof/>
                <w:sz w:val="20"/>
              </w:rPr>
              <w:t>Title 1: Staff expenditure</w:t>
            </w:r>
          </w:p>
        </w:tc>
        <w:tc>
          <w:tcPr>
            <w:tcW w:w="1564"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rPr>
                <w:rFonts w:eastAsia="Times New Roman"/>
                <w:noProof/>
                <w:color w:val="000000"/>
                <w:sz w:val="22"/>
              </w:rPr>
            </w:pPr>
            <w:r>
              <w:rPr>
                <w:rFonts w:eastAsia="Times New Roman"/>
                <w:noProof/>
                <w:color w:val="000000"/>
                <w:sz w:val="22"/>
              </w:rPr>
              <w:t xml:space="preserve"> Commitments </w:t>
            </w:r>
          </w:p>
        </w:tc>
        <w:tc>
          <w:tcPr>
            <w:tcW w:w="655"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jc w:val="center"/>
              <w:rPr>
                <w:rFonts w:eastAsia="Times New Roman"/>
                <w:noProof/>
                <w:color w:val="000000"/>
                <w:sz w:val="14"/>
                <w:szCs w:val="14"/>
              </w:rPr>
            </w:pPr>
            <w:r>
              <w:rPr>
                <w:rFonts w:eastAsia="Times New Roman"/>
                <w:noProof/>
                <w:color w:val="000000"/>
                <w:sz w:val="14"/>
                <w:szCs w:val="14"/>
              </w:rPr>
              <w:t xml:space="preserve"> (1a) </w:t>
            </w:r>
          </w:p>
        </w:tc>
        <w:tc>
          <w:tcPr>
            <w:tcW w:w="747" w:type="dxa"/>
            <w:tcBorders>
              <w:top w:val="nil"/>
              <w:left w:val="nil"/>
              <w:bottom w:val="single" w:sz="4" w:space="0" w:color="auto"/>
              <w:right w:val="single" w:sz="4" w:space="0" w:color="auto"/>
            </w:tcBorders>
            <w:shd w:val="clear" w:color="auto" w:fill="auto"/>
            <w:vAlign w:val="center"/>
          </w:tcPr>
          <w:p w:rsidR="00014D96" w:rsidRDefault="00014D96" w:rsidP="00014D96">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vAlign w:val="center"/>
          </w:tcPr>
          <w:p w:rsidR="00014D96" w:rsidRPr="00780C4D" w:rsidRDefault="00014D96" w:rsidP="00014D96">
            <w:pPr>
              <w:spacing w:before="0" w:after="0"/>
              <w:jc w:val="right"/>
              <w:rPr>
                <w:noProof/>
                <w:sz w:val="20"/>
                <w:szCs w:val="20"/>
              </w:rPr>
            </w:pPr>
            <w:r>
              <w:rPr>
                <w:noProof/>
                <w:sz w:val="20"/>
                <w:szCs w:val="20"/>
              </w:rPr>
              <w:t>0,299</w:t>
            </w:r>
          </w:p>
        </w:tc>
        <w:tc>
          <w:tcPr>
            <w:tcW w:w="966" w:type="dxa"/>
            <w:tcBorders>
              <w:top w:val="nil"/>
              <w:left w:val="nil"/>
              <w:bottom w:val="single" w:sz="4" w:space="0" w:color="auto"/>
              <w:right w:val="single" w:sz="4" w:space="0" w:color="auto"/>
            </w:tcBorders>
            <w:vAlign w:val="center"/>
          </w:tcPr>
          <w:p w:rsidR="00014D96" w:rsidRPr="00780C4D" w:rsidRDefault="00014D96" w:rsidP="00014D96">
            <w:pPr>
              <w:spacing w:before="0" w:after="0"/>
              <w:jc w:val="right"/>
              <w:rPr>
                <w:noProof/>
                <w:sz w:val="20"/>
                <w:szCs w:val="20"/>
              </w:rPr>
            </w:pPr>
            <w:r>
              <w:rPr>
                <w:noProof/>
                <w:sz w:val="20"/>
                <w:szCs w:val="20"/>
              </w:rPr>
              <w:t>0,735</w:t>
            </w:r>
          </w:p>
        </w:tc>
        <w:tc>
          <w:tcPr>
            <w:tcW w:w="866" w:type="dxa"/>
            <w:tcBorders>
              <w:top w:val="nil"/>
              <w:left w:val="nil"/>
              <w:bottom w:val="single" w:sz="4" w:space="0" w:color="auto"/>
              <w:right w:val="single" w:sz="4" w:space="0" w:color="auto"/>
            </w:tcBorders>
            <w:vAlign w:val="center"/>
          </w:tcPr>
          <w:p w:rsidR="00014D96" w:rsidRPr="00780C4D" w:rsidRDefault="00014D96" w:rsidP="00014D96">
            <w:pPr>
              <w:spacing w:before="0" w:after="0"/>
              <w:jc w:val="right"/>
              <w:rPr>
                <w:noProof/>
                <w:sz w:val="20"/>
                <w:szCs w:val="20"/>
              </w:rPr>
            </w:pPr>
            <w:r>
              <w:rPr>
                <w:noProof/>
                <w:sz w:val="20"/>
                <w:szCs w:val="20"/>
              </w:rPr>
              <w:t>0,750</w:t>
            </w:r>
          </w:p>
        </w:tc>
        <w:tc>
          <w:tcPr>
            <w:tcW w:w="1482" w:type="dxa"/>
            <w:tcBorders>
              <w:top w:val="nil"/>
              <w:left w:val="nil"/>
              <w:bottom w:val="single" w:sz="4" w:space="0" w:color="auto"/>
              <w:right w:val="single" w:sz="4" w:space="0" w:color="auto"/>
            </w:tcBorders>
            <w:vAlign w:val="center"/>
          </w:tcPr>
          <w:p w:rsidR="00014D96" w:rsidRPr="00780C4D" w:rsidRDefault="00014D96" w:rsidP="00014D96">
            <w:pPr>
              <w:spacing w:before="0" w:after="0"/>
              <w:jc w:val="right"/>
              <w:rPr>
                <w:noProof/>
                <w:sz w:val="20"/>
                <w:szCs w:val="20"/>
              </w:rPr>
            </w:pPr>
            <w:r>
              <w:rPr>
                <w:noProof/>
                <w:sz w:val="20"/>
                <w:szCs w:val="20"/>
              </w:rPr>
              <w:t>0,765</w:t>
            </w:r>
          </w:p>
        </w:tc>
        <w:tc>
          <w:tcPr>
            <w:tcW w:w="1482" w:type="dxa"/>
            <w:tcBorders>
              <w:top w:val="nil"/>
              <w:left w:val="nil"/>
              <w:bottom w:val="single" w:sz="4" w:space="0" w:color="auto"/>
              <w:right w:val="single" w:sz="4" w:space="0" w:color="auto"/>
            </w:tcBorders>
            <w:vAlign w:val="center"/>
          </w:tcPr>
          <w:p w:rsidR="00014D96" w:rsidRPr="00780C4D" w:rsidRDefault="00014D96" w:rsidP="00014D96">
            <w:pPr>
              <w:spacing w:before="0" w:after="0"/>
              <w:jc w:val="right"/>
              <w:rPr>
                <w:noProof/>
                <w:sz w:val="20"/>
                <w:szCs w:val="20"/>
              </w:rPr>
            </w:pPr>
            <w:r>
              <w:rPr>
                <w:noProof/>
                <w:sz w:val="20"/>
                <w:szCs w:val="20"/>
              </w:rPr>
              <w:t>2,549</w:t>
            </w:r>
          </w:p>
        </w:tc>
      </w:tr>
      <w:tr w:rsidR="00014D96" w:rsidRPr="004233A1" w:rsidTr="00014D96">
        <w:trPr>
          <w:trHeight w:val="397"/>
        </w:trPr>
        <w:tc>
          <w:tcPr>
            <w:tcW w:w="3713" w:type="dxa"/>
            <w:vMerge/>
            <w:tcBorders>
              <w:top w:val="nil"/>
              <w:left w:val="single" w:sz="4" w:space="0" w:color="auto"/>
              <w:bottom w:val="single" w:sz="4" w:space="0" w:color="auto"/>
              <w:right w:val="single" w:sz="4" w:space="0" w:color="auto"/>
            </w:tcBorders>
            <w:vAlign w:val="center"/>
            <w:hideMark/>
          </w:tcPr>
          <w:p w:rsidR="00014D96" w:rsidRDefault="00014D96" w:rsidP="00014D96">
            <w:pPr>
              <w:spacing w:before="0" w:after="0"/>
              <w:jc w:val="left"/>
              <w:rPr>
                <w:rFonts w:eastAsia="Times New Roman"/>
                <w:noProof/>
                <w:color w:val="000000"/>
                <w:sz w:val="22"/>
              </w:rPr>
            </w:pPr>
          </w:p>
        </w:tc>
        <w:tc>
          <w:tcPr>
            <w:tcW w:w="1564"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rPr>
                <w:rFonts w:eastAsia="Times New Roman"/>
                <w:noProof/>
                <w:color w:val="000000"/>
                <w:sz w:val="22"/>
              </w:rPr>
            </w:pPr>
            <w:r>
              <w:rPr>
                <w:rFonts w:eastAsia="Times New Roman"/>
                <w:noProof/>
                <w:color w:val="000000"/>
                <w:sz w:val="22"/>
              </w:rPr>
              <w:t xml:space="preserve"> Payments </w:t>
            </w:r>
          </w:p>
        </w:tc>
        <w:tc>
          <w:tcPr>
            <w:tcW w:w="655"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jc w:val="center"/>
              <w:rPr>
                <w:rFonts w:eastAsia="Times New Roman"/>
                <w:noProof/>
                <w:color w:val="000000"/>
                <w:sz w:val="14"/>
                <w:szCs w:val="14"/>
              </w:rPr>
            </w:pPr>
            <w:r>
              <w:rPr>
                <w:rFonts w:eastAsia="Times New Roman"/>
                <w:noProof/>
                <w:color w:val="000000"/>
                <w:sz w:val="14"/>
                <w:szCs w:val="14"/>
              </w:rPr>
              <w:t xml:space="preserve"> (2a) </w:t>
            </w:r>
          </w:p>
        </w:tc>
        <w:tc>
          <w:tcPr>
            <w:tcW w:w="747" w:type="dxa"/>
            <w:tcBorders>
              <w:top w:val="nil"/>
              <w:left w:val="nil"/>
              <w:bottom w:val="single" w:sz="4" w:space="0" w:color="auto"/>
              <w:right w:val="single" w:sz="4" w:space="0" w:color="auto"/>
            </w:tcBorders>
            <w:shd w:val="clear" w:color="auto" w:fill="auto"/>
            <w:vAlign w:val="center"/>
          </w:tcPr>
          <w:p w:rsidR="00014D96" w:rsidRDefault="00014D96" w:rsidP="00014D96">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vAlign w:val="center"/>
          </w:tcPr>
          <w:p w:rsidR="00014D96" w:rsidRPr="00ED6C3E" w:rsidRDefault="00014D96" w:rsidP="00014D96">
            <w:pPr>
              <w:spacing w:before="0" w:after="0"/>
              <w:jc w:val="right"/>
              <w:rPr>
                <w:rFonts w:eastAsia="Times New Roman"/>
                <w:noProof/>
                <w:color w:val="000000"/>
                <w:sz w:val="20"/>
                <w:szCs w:val="20"/>
              </w:rPr>
            </w:pPr>
            <w:r>
              <w:rPr>
                <w:noProof/>
                <w:sz w:val="20"/>
                <w:szCs w:val="20"/>
              </w:rPr>
              <w:t>0,299</w:t>
            </w:r>
          </w:p>
        </w:tc>
        <w:tc>
          <w:tcPr>
            <w:tcW w:w="966" w:type="dxa"/>
            <w:tcBorders>
              <w:top w:val="nil"/>
              <w:left w:val="nil"/>
              <w:bottom w:val="single" w:sz="4" w:space="0" w:color="auto"/>
              <w:right w:val="single" w:sz="4" w:space="0" w:color="auto"/>
            </w:tcBorders>
            <w:vAlign w:val="center"/>
          </w:tcPr>
          <w:p w:rsidR="00014D96" w:rsidRPr="00ED6C3E" w:rsidRDefault="00014D96" w:rsidP="00014D96">
            <w:pPr>
              <w:spacing w:before="0" w:after="0"/>
              <w:jc w:val="right"/>
              <w:rPr>
                <w:rFonts w:eastAsia="Times New Roman"/>
                <w:noProof/>
                <w:color w:val="000000"/>
                <w:sz w:val="20"/>
                <w:szCs w:val="20"/>
                <w:highlight w:val="yellow"/>
              </w:rPr>
            </w:pPr>
            <w:r>
              <w:rPr>
                <w:noProof/>
                <w:sz w:val="20"/>
                <w:szCs w:val="20"/>
              </w:rPr>
              <w:t>0,735</w:t>
            </w:r>
          </w:p>
        </w:tc>
        <w:tc>
          <w:tcPr>
            <w:tcW w:w="866" w:type="dxa"/>
            <w:tcBorders>
              <w:top w:val="nil"/>
              <w:left w:val="nil"/>
              <w:bottom w:val="single" w:sz="4" w:space="0" w:color="auto"/>
              <w:right w:val="single" w:sz="4" w:space="0" w:color="auto"/>
            </w:tcBorders>
            <w:vAlign w:val="center"/>
          </w:tcPr>
          <w:p w:rsidR="00014D96" w:rsidRPr="00ED6C3E" w:rsidRDefault="00014D96" w:rsidP="00014D96">
            <w:pPr>
              <w:spacing w:before="0" w:after="0"/>
              <w:jc w:val="right"/>
              <w:rPr>
                <w:rFonts w:eastAsia="Times New Roman"/>
                <w:noProof/>
                <w:color w:val="000000"/>
                <w:sz w:val="20"/>
                <w:szCs w:val="20"/>
              </w:rPr>
            </w:pPr>
            <w:r>
              <w:rPr>
                <w:noProof/>
                <w:sz w:val="20"/>
                <w:szCs w:val="20"/>
              </w:rPr>
              <w:t>0,750</w:t>
            </w:r>
          </w:p>
        </w:tc>
        <w:tc>
          <w:tcPr>
            <w:tcW w:w="1482" w:type="dxa"/>
            <w:tcBorders>
              <w:top w:val="nil"/>
              <w:left w:val="nil"/>
              <w:bottom w:val="single" w:sz="4" w:space="0" w:color="auto"/>
              <w:right w:val="single" w:sz="4" w:space="0" w:color="auto"/>
            </w:tcBorders>
            <w:vAlign w:val="center"/>
          </w:tcPr>
          <w:p w:rsidR="00014D96" w:rsidRPr="00ED6C3E" w:rsidRDefault="00014D96" w:rsidP="00014D96">
            <w:pPr>
              <w:spacing w:before="0" w:after="0"/>
              <w:jc w:val="right"/>
              <w:rPr>
                <w:rFonts w:eastAsia="Times New Roman"/>
                <w:noProof/>
                <w:color w:val="000000"/>
                <w:sz w:val="20"/>
                <w:szCs w:val="20"/>
              </w:rPr>
            </w:pPr>
            <w:r>
              <w:rPr>
                <w:noProof/>
                <w:sz w:val="20"/>
                <w:szCs w:val="20"/>
              </w:rPr>
              <w:t>0,765</w:t>
            </w:r>
          </w:p>
        </w:tc>
        <w:tc>
          <w:tcPr>
            <w:tcW w:w="1482" w:type="dxa"/>
            <w:tcBorders>
              <w:top w:val="nil"/>
              <w:left w:val="nil"/>
              <w:bottom w:val="single" w:sz="4" w:space="0" w:color="auto"/>
              <w:right w:val="single" w:sz="4" w:space="0" w:color="auto"/>
            </w:tcBorders>
            <w:vAlign w:val="center"/>
          </w:tcPr>
          <w:p w:rsidR="00014D96" w:rsidRPr="00ED6C3E" w:rsidRDefault="00014D96" w:rsidP="00014D96">
            <w:pPr>
              <w:spacing w:before="0" w:after="0"/>
              <w:jc w:val="right"/>
              <w:rPr>
                <w:rFonts w:eastAsia="Times New Roman"/>
                <w:b/>
                <w:bCs/>
                <w:noProof/>
                <w:color w:val="000000"/>
                <w:sz w:val="20"/>
                <w:szCs w:val="20"/>
                <w:highlight w:val="yellow"/>
              </w:rPr>
            </w:pPr>
            <w:r>
              <w:rPr>
                <w:noProof/>
                <w:sz w:val="20"/>
                <w:szCs w:val="20"/>
              </w:rPr>
              <w:t>2,549</w:t>
            </w:r>
          </w:p>
        </w:tc>
      </w:tr>
      <w:tr w:rsidR="004755EE" w:rsidRPr="004233A1" w:rsidTr="00014D96">
        <w:trPr>
          <w:trHeight w:val="397"/>
        </w:trPr>
        <w:tc>
          <w:tcPr>
            <w:tcW w:w="3713" w:type="dxa"/>
            <w:vMerge w:val="restart"/>
            <w:tcBorders>
              <w:top w:val="nil"/>
              <w:left w:val="single" w:sz="4" w:space="0" w:color="auto"/>
              <w:right w:val="single" w:sz="4" w:space="0" w:color="auto"/>
            </w:tcBorders>
            <w:vAlign w:val="center"/>
          </w:tcPr>
          <w:p w:rsidR="004755EE" w:rsidRDefault="004755EE" w:rsidP="00E863E4">
            <w:pPr>
              <w:spacing w:before="0" w:after="0"/>
              <w:jc w:val="left"/>
              <w:rPr>
                <w:rFonts w:eastAsia="Times New Roman"/>
                <w:noProof/>
                <w:color w:val="000000"/>
                <w:sz w:val="22"/>
              </w:rPr>
            </w:pPr>
            <w:r w:rsidRPr="00B83CAF">
              <w:rPr>
                <w:noProof/>
                <w:sz w:val="20"/>
              </w:rPr>
              <w:t>Title 2: Infrastructure</w:t>
            </w:r>
          </w:p>
        </w:tc>
        <w:tc>
          <w:tcPr>
            <w:tcW w:w="1564"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Commitments </w:t>
            </w:r>
          </w:p>
        </w:tc>
        <w:tc>
          <w:tcPr>
            <w:tcW w:w="655"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(1b) </w:t>
            </w:r>
          </w:p>
        </w:tc>
        <w:tc>
          <w:tcPr>
            <w:tcW w:w="747"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0,080</w:t>
            </w:r>
          </w:p>
        </w:tc>
        <w:tc>
          <w:tcPr>
            <w:tcW w:w="966"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0,080</w:t>
            </w:r>
          </w:p>
        </w:tc>
        <w:tc>
          <w:tcPr>
            <w:tcW w:w="866"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p>
        </w:tc>
        <w:tc>
          <w:tcPr>
            <w:tcW w:w="1482"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p>
        </w:tc>
        <w:tc>
          <w:tcPr>
            <w:tcW w:w="1482"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0,160</w:t>
            </w:r>
          </w:p>
        </w:tc>
      </w:tr>
      <w:tr w:rsidR="004755EE" w:rsidRPr="004233A1" w:rsidTr="00014D96">
        <w:trPr>
          <w:trHeight w:val="397"/>
        </w:trPr>
        <w:tc>
          <w:tcPr>
            <w:tcW w:w="3713" w:type="dxa"/>
            <w:vMerge/>
            <w:tcBorders>
              <w:left w:val="single" w:sz="4" w:space="0" w:color="auto"/>
              <w:bottom w:val="single" w:sz="4" w:space="0" w:color="auto"/>
              <w:right w:val="single" w:sz="4" w:space="0" w:color="auto"/>
            </w:tcBorders>
            <w:vAlign w:val="center"/>
          </w:tcPr>
          <w:p w:rsidR="004755EE" w:rsidRDefault="004755EE" w:rsidP="00E863E4">
            <w:pPr>
              <w:spacing w:before="0" w:after="0"/>
              <w:jc w:val="left"/>
              <w:rPr>
                <w:rFonts w:eastAsia="Times New Roman"/>
                <w:noProof/>
                <w:color w:val="000000"/>
                <w:sz w:val="22"/>
              </w:rPr>
            </w:pPr>
          </w:p>
        </w:tc>
        <w:tc>
          <w:tcPr>
            <w:tcW w:w="1564"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Payments </w:t>
            </w:r>
          </w:p>
        </w:tc>
        <w:tc>
          <w:tcPr>
            <w:tcW w:w="655"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(2b) </w:t>
            </w:r>
          </w:p>
        </w:tc>
        <w:tc>
          <w:tcPr>
            <w:tcW w:w="747"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0,080</w:t>
            </w:r>
          </w:p>
        </w:tc>
        <w:tc>
          <w:tcPr>
            <w:tcW w:w="966"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0,080</w:t>
            </w:r>
          </w:p>
        </w:tc>
        <w:tc>
          <w:tcPr>
            <w:tcW w:w="866"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p>
        </w:tc>
        <w:tc>
          <w:tcPr>
            <w:tcW w:w="1482"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noProof/>
                <w:color w:val="000000"/>
                <w:sz w:val="20"/>
                <w:szCs w:val="20"/>
              </w:rPr>
            </w:pPr>
          </w:p>
        </w:tc>
        <w:tc>
          <w:tcPr>
            <w:tcW w:w="1482" w:type="dxa"/>
            <w:tcBorders>
              <w:top w:val="nil"/>
              <w:left w:val="nil"/>
              <w:bottom w:val="single" w:sz="4" w:space="0" w:color="auto"/>
              <w:right w:val="single" w:sz="4" w:space="0" w:color="auto"/>
            </w:tcBorders>
            <w:shd w:val="clear" w:color="auto" w:fill="auto"/>
            <w:vAlign w:val="center"/>
          </w:tcPr>
          <w:p w:rsidR="004755EE" w:rsidRPr="006756E8"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0,160</w:t>
            </w:r>
          </w:p>
        </w:tc>
      </w:tr>
      <w:tr w:rsidR="004755EE" w:rsidRPr="004233A1" w:rsidTr="00014D96">
        <w:trPr>
          <w:trHeight w:val="397"/>
        </w:trPr>
        <w:tc>
          <w:tcPr>
            <w:tcW w:w="3713" w:type="dxa"/>
            <w:vMerge w:val="restart"/>
            <w:tcBorders>
              <w:left w:val="single" w:sz="4" w:space="0" w:color="auto"/>
              <w:right w:val="single" w:sz="4" w:space="0" w:color="auto"/>
            </w:tcBorders>
            <w:vAlign w:val="center"/>
          </w:tcPr>
          <w:p w:rsidR="004755EE" w:rsidRDefault="004755EE" w:rsidP="00E863E4">
            <w:pPr>
              <w:spacing w:before="0" w:after="0"/>
              <w:jc w:val="left"/>
              <w:rPr>
                <w:rFonts w:eastAsia="Times New Roman"/>
                <w:noProof/>
                <w:color w:val="000000"/>
                <w:sz w:val="22"/>
              </w:rPr>
            </w:pPr>
            <w:r w:rsidRPr="00B83CAF">
              <w:rPr>
                <w:noProof/>
                <w:sz w:val="20"/>
              </w:rPr>
              <w:t>Title 3: Operational expenditure</w:t>
            </w:r>
          </w:p>
        </w:tc>
        <w:tc>
          <w:tcPr>
            <w:tcW w:w="1564"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Commitments </w:t>
            </w:r>
          </w:p>
        </w:tc>
        <w:tc>
          <w:tcPr>
            <w:tcW w:w="655"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(1c) </w:t>
            </w:r>
          </w:p>
        </w:tc>
        <w:tc>
          <w:tcPr>
            <w:tcW w:w="747"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9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0,02</w:t>
            </w:r>
            <w:r w:rsidRPr="006756E8">
              <w:rPr>
                <w:rFonts w:eastAsia="Times New Roman"/>
                <w:noProof/>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0,04</w:t>
            </w:r>
            <w:r w:rsidRPr="006756E8">
              <w:rPr>
                <w:rFonts w:eastAsia="Times New Roman"/>
                <w:noProof/>
                <w:color w:val="000000"/>
                <w:sz w:val="20"/>
                <w:szCs w:val="20"/>
              </w:rPr>
              <w:t>0</w:t>
            </w:r>
          </w:p>
        </w:tc>
        <w:tc>
          <w:tcPr>
            <w:tcW w:w="1482"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0,04</w:t>
            </w:r>
            <w:r w:rsidRPr="006756E8">
              <w:rPr>
                <w:rFonts w:eastAsia="Times New Roman"/>
                <w:noProof/>
                <w:color w:val="000000"/>
                <w:sz w:val="20"/>
                <w:szCs w:val="20"/>
              </w:rPr>
              <w:t>0</w:t>
            </w:r>
          </w:p>
        </w:tc>
        <w:tc>
          <w:tcPr>
            <w:tcW w:w="1482"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0,10</w:t>
            </w:r>
            <w:r w:rsidRPr="006756E8">
              <w:rPr>
                <w:rFonts w:eastAsia="Times New Roman"/>
                <w:b/>
                <w:bCs/>
                <w:noProof/>
                <w:color w:val="000000"/>
                <w:sz w:val="20"/>
                <w:szCs w:val="20"/>
              </w:rPr>
              <w:t>0</w:t>
            </w:r>
          </w:p>
        </w:tc>
      </w:tr>
      <w:tr w:rsidR="004755EE" w:rsidRPr="004233A1" w:rsidTr="00014D96">
        <w:trPr>
          <w:trHeight w:val="397"/>
        </w:trPr>
        <w:tc>
          <w:tcPr>
            <w:tcW w:w="3713" w:type="dxa"/>
            <w:vMerge/>
            <w:tcBorders>
              <w:left w:val="single" w:sz="4" w:space="0" w:color="auto"/>
              <w:bottom w:val="single" w:sz="4" w:space="0" w:color="auto"/>
              <w:right w:val="single" w:sz="4" w:space="0" w:color="auto"/>
            </w:tcBorders>
            <w:vAlign w:val="center"/>
          </w:tcPr>
          <w:p w:rsidR="004755EE" w:rsidRDefault="004755EE" w:rsidP="00E863E4">
            <w:pPr>
              <w:spacing w:before="0" w:after="0"/>
              <w:jc w:val="left"/>
              <w:rPr>
                <w:rFonts w:eastAsia="Times New Roman"/>
                <w:noProof/>
                <w:color w:val="000000"/>
                <w:sz w:val="22"/>
              </w:rPr>
            </w:pPr>
          </w:p>
        </w:tc>
        <w:tc>
          <w:tcPr>
            <w:tcW w:w="1564"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rPr>
                <w:rFonts w:eastAsia="Times New Roman"/>
                <w:noProof/>
                <w:color w:val="000000"/>
                <w:sz w:val="22"/>
              </w:rPr>
            </w:pPr>
            <w:r>
              <w:rPr>
                <w:rFonts w:eastAsia="Times New Roman"/>
                <w:noProof/>
                <w:color w:val="000000"/>
                <w:sz w:val="22"/>
              </w:rPr>
              <w:t xml:space="preserve"> Payments </w:t>
            </w:r>
          </w:p>
        </w:tc>
        <w:tc>
          <w:tcPr>
            <w:tcW w:w="655"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(2c) </w:t>
            </w:r>
          </w:p>
        </w:tc>
        <w:tc>
          <w:tcPr>
            <w:tcW w:w="747"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p>
        </w:tc>
        <w:tc>
          <w:tcPr>
            <w:tcW w:w="9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0,02</w:t>
            </w:r>
            <w:r w:rsidRPr="006756E8">
              <w:rPr>
                <w:rFonts w:eastAsia="Times New Roman"/>
                <w:noProof/>
                <w:color w:val="000000"/>
                <w:sz w:val="20"/>
                <w:szCs w:val="20"/>
              </w:rPr>
              <w:t>0</w:t>
            </w:r>
          </w:p>
        </w:tc>
        <w:tc>
          <w:tcPr>
            <w:tcW w:w="866"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0,04</w:t>
            </w:r>
            <w:r w:rsidRPr="006756E8">
              <w:rPr>
                <w:rFonts w:eastAsia="Times New Roman"/>
                <w:noProof/>
                <w:color w:val="000000"/>
                <w:sz w:val="20"/>
                <w:szCs w:val="20"/>
              </w:rPr>
              <w:t>0</w:t>
            </w:r>
          </w:p>
        </w:tc>
        <w:tc>
          <w:tcPr>
            <w:tcW w:w="1482"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noProof/>
                <w:color w:val="000000"/>
                <w:sz w:val="20"/>
                <w:szCs w:val="20"/>
              </w:rPr>
            </w:pPr>
            <w:r>
              <w:rPr>
                <w:rFonts w:eastAsia="Times New Roman"/>
                <w:noProof/>
                <w:color w:val="000000"/>
                <w:sz w:val="20"/>
                <w:szCs w:val="20"/>
              </w:rPr>
              <w:t>0,04</w:t>
            </w:r>
            <w:r w:rsidRPr="006756E8">
              <w:rPr>
                <w:rFonts w:eastAsia="Times New Roman"/>
                <w:noProof/>
                <w:color w:val="000000"/>
                <w:sz w:val="20"/>
                <w:szCs w:val="20"/>
              </w:rPr>
              <w:t>0</w:t>
            </w:r>
          </w:p>
        </w:tc>
        <w:tc>
          <w:tcPr>
            <w:tcW w:w="1482" w:type="dxa"/>
            <w:tcBorders>
              <w:top w:val="nil"/>
              <w:left w:val="nil"/>
              <w:bottom w:val="single" w:sz="4" w:space="0" w:color="auto"/>
              <w:right w:val="single" w:sz="4" w:space="0" w:color="auto"/>
            </w:tcBorders>
            <w:shd w:val="clear" w:color="auto" w:fill="auto"/>
            <w:vAlign w:val="center"/>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0,10</w:t>
            </w:r>
            <w:r w:rsidRPr="006756E8">
              <w:rPr>
                <w:rFonts w:eastAsia="Times New Roman"/>
                <w:b/>
                <w:bCs/>
                <w:noProof/>
                <w:color w:val="000000"/>
                <w:sz w:val="20"/>
                <w:szCs w:val="20"/>
              </w:rPr>
              <w:t>0</w:t>
            </w:r>
          </w:p>
        </w:tc>
      </w:tr>
      <w:tr w:rsidR="004755EE" w:rsidTr="00E863E4">
        <w:trPr>
          <w:trHeight w:val="397"/>
        </w:trPr>
        <w:tc>
          <w:tcPr>
            <w:tcW w:w="125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left"/>
              <w:rPr>
                <w:rFonts w:eastAsia="Times New Roman"/>
                <w:noProof/>
                <w:color w:val="000000"/>
                <w:sz w:val="21"/>
                <w:szCs w:val="21"/>
              </w:rPr>
            </w:pPr>
            <w:r>
              <w:rPr>
                <w:rFonts w:eastAsia="Times New Roman"/>
                <w:noProof/>
                <w:color w:val="000000"/>
                <w:sz w:val="21"/>
                <w:szCs w:val="21"/>
              </w:rPr>
              <w:t>Appropriations of an administrative nature financed from the envelope of specific programmes</w:t>
            </w:r>
          </w:p>
        </w:tc>
      </w:tr>
      <w:tr w:rsidR="004755EE" w:rsidTr="00014D96">
        <w:trPr>
          <w:trHeight w:val="397"/>
        </w:trPr>
        <w:tc>
          <w:tcPr>
            <w:tcW w:w="3713" w:type="dxa"/>
            <w:tcBorders>
              <w:top w:val="nil"/>
              <w:left w:val="single" w:sz="4" w:space="0" w:color="auto"/>
              <w:bottom w:val="single" w:sz="4" w:space="0" w:color="auto"/>
              <w:right w:val="single" w:sz="4" w:space="0" w:color="auto"/>
            </w:tcBorders>
            <w:shd w:val="clear" w:color="auto" w:fill="auto"/>
            <w:vAlign w:val="center"/>
            <w:hideMark/>
          </w:tcPr>
          <w:p w:rsidR="004755EE" w:rsidRDefault="004755EE" w:rsidP="00E863E4">
            <w:pPr>
              <w:spacing w:before="0" w:after="0"/>
              <w:jc w:val="left"/>
              <w:rPr>
                <w:rFonts w:eastAsia="Times New Roman"/>
                <w:noProof/>
                <w:color w:val="000000"/>
                <w:sz w:val="22"/>
              </w:rPr>
            </w:pPr>
            <w:r>
              <w:rPr>
                <w:rFonts w:eastAsia="Times New Roman"/>
                <w:noProof/>
                <w:color w:val="000000"/>
                <w:sz w:val="22"/>
              </w:rPr>
              <w:t xml:space="preserve"> </w:t>
            </w:r>
          </w:p>
        </w:tc>
        <w:tc>
          <w:tcPr>
            <w:tcW w:w="1564"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noProof/>
                <w:color w:val="000000"/>
                <w:sz w:val="22"/>
              </w:rPr>
            </w:pPr>
            <w:r>
              <w:rPr>
                <w:rFonts w:eastAsia="Times New Roman"/>
                <w:noProof/>
                <w:color w:val="000000"/>
                <w:sz w:val="22"/>
              </w:rPr>
              <w:t> </w:t>
            </w:r>
          </w:p>
        </w:tc>
        <w:tc>
          <w:tcPr>
            <w:tcW w:w="655"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center"/>
              <w:rPr>
                <w:rFonts w:eastAsia="Times New Roman"/>
                <w:noProof/>
                <w:color w:val="000000"/>
                <w:sz w:val="14"/>
                <w:szCs w:val="14"/>
              </w:rPr>
            </w:pPr>
            <w:r>
              <w:rPr>
                <w:rFonts w:eastAsia="Times New Roman"/>
                <w:noProof/>
                <w:color w:val="000000"/>
                <w:sz w:val="14"/>
                <w:szCs w:val="14"/>
              </w:rPr>
              <w:t xml:space="preserve"> (3) </w:t>
            </w:r>
          </w:p>
        </w:tc>
        <w:tc>
          <w:tcPr>
            <w:tcW w:w="747"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966"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866"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r>
              <w:rPr>
                <w:rFonts w:eastAsia="Times New Roman"/>
                <w:b/>
                <w:bCs/>
                <w:noProof/>
                <w:color w:val="000000"/>
                <w:sz w:val="20"/>
                <w:szCs w:val="20"/>
              </w:rPr>
              <w:t> </w:t>
            </w:r>
          </w:p>
        </w:tc>
        <w:tc>
          <w:tcPr>
            <w:tcW w:w="1482" w:type="dxa"/>
            <w:tcBorders>
              <w:top w:val="nil"/>
              <w:left w:val="nil"/>
              <w:bottom w:val="single" w:sz="4" w:space="0" w:color="auto"/>
              <w:right w:val="single" w:sz="4" w:space="0" w:color="auto"/>
            </w:tcBorders>
            <w:shd w:val="clear" w:color="auto" w:fill="auto"/>
            <w:vAlign w:val="center"/>
            <w:hideMark/>
          </w:tcPr>
          <w:p w:rsidR="004755EE" w:rsidRDefault="004755EE" w:rsidP="00E863E4">
            <w:pPr>
              <w:spacing w:before="0" w:after="0"/>
              <w:jc w:val="right"/>
              <w:rPr>
                <w:rFonts w:eastAsia="Times New Roman"/>
                <w:b/>
                <w:bCs/>
                <w:noProof/>
                <w:color w:val="000000"/>
                <w:sz w:val="20"/>
                <w:szCs w:val="20"/>
              </w:rPr>
            </w:pPr>
          </w:p>
        </w:tc>
      </w:tr>
      <w:tr w:rsidR="00014D96" w:rsidTr="00014D96">
        <w:trPr>
          <w:trHeight w:val="397"/>
        </w:trPr>
        <w:tc>
          <w:tcPr>
            <w:tcW w:w="3713" w:type="dxa"/>
            <w:vMerge w:val="restart"/>
            <w:tcBorders>
              <w:top w:val="nil"/>
              <w:left w:val="single" w:sz="4" w:space="0" w:color="auto"/>
              <w:bottom w:val="single" w:sz="4" w:space="0" w:color="auto"/>
              <w:right w:val="single" w:sz="4" w:space="0" w:color="auto"/>
            </w:tcBorders>
            <w:shd w:val="clear" w:color="auto" w:fill="auto"/>
            <w:vAlign w:val="center"/>
            <w:hideMark/>
          </w:tcPr>
          <w:p w:rsidR="00014D96" w:rsidRDefault="00014D96" w:rsidP="00014D96">
            <w:pPr>
              <w:spacing w:before="0" w:after="0"/>
              <w:jc w:val="center"/>
              <w:rPr>
                <w:rFonts w:eastAsia="Times New Roman"/>
                <w:b/>
                <w:bCs/>
                <w:noProof/>
                <w:color w:val="000000"/>
                <w:sz w:val="22"/>
              </w:rPr>
            </w:pPr>
            <w:r w:rsidRPr="00B83CAF">
              <w:rPr>
                <w:b/>
                <w:noProof/>
                <w:sz w:val="22"/>
              </w:rPr>
              <w:t>TOTAL appropriations</w:t>
            </w:r>
            <w:r w:rsidRPr="00B83CAF">
              <w:rPr>
                <w:noProof/>
                <w:sz w:val="22"/>
              </w:rPr>
              <w:br/>
            </w:r>
            <w:r w:rsidRPr="00B83CAF">
              <w:rPr>
                <w:b/>
                <w:noProof/>
                <w:sz w:val="22"/>
              </w:rPr>
              <w:t>for agency EEA</w:t>
            </w:r>
            <w:r w:rsidR="00885597">
              <w:rPr>
                <w:b/>
                <w:noProof/>
                <w:sz w:val="22"/>
              </w:rPr>
              <w:t xml:space="preserve"> </w:t>
            </w:r>
            <w:r w:rsidR="00885597" w:rsidRPr="00885597">
              <w:rPr>
                <w:b/>
                <w:noProof/>
                <w:sz w:val="22"/>
              </w:rPr>
              <w:t>*</w:t>
            </w:r>
          </w:p>
        </w:tc>
        <w:tc>
          <w:tcPr>
            <w:tcW w:w="1564"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rPr>
                <w:rFonts w:eastAsia="Times New Roman"/>
                <w:noProof/>
                <w:color w:val="000000"/>
                <w:sz w:val="22"/>
              </w:rPr>
            </w:pPr>
            <w:r>
              <w:rPr>
                <w:rFonts w:eastAsia="Times New Roman"/>
                <w:noProof/>
                <w:color w:val="000000"/>
                <w:sz w:val="22"/>
              </w:rPr>
              <w:t xml:space="preserve"> Commitments </w:t>
            </w:r>
          </w:p>
        </w:tc>
        <w:tc>
          <w:tcPr>
            <w:tcW w:w="655"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jc w:val="center"/>
              <w:rPr>
                <w:rFonts w:eastAsia="Times New Roman"/>
                <w:noProof/>
                <w:color w:val="000000"/>
                <w:sz w:val="14"/>
                <w:szCs w:val="14"/>
              </w:rPr>
            </w:pPr>
            <w:r>
              <w:rPr>
                <w:noProof/>
                <w:sz w:val="14"/>
              </w:rPr>
              <w:t>=1a+1b +1c</w:t>
            </w:r>
          </w:p>
        </w:tc>
        <w:tc>
          <w:tcPr>
            <w:tcW w:w="747" w:type="dxa"/>
            <w:tcBorders>
              <w:top w:val="nil"/>
              <w:left w:val="nil"/>
              <w:bottom w:val="single" w:sz="4" w:space="0" w:color="auto"/>
              <w:right w:val="single" w:sz="4" w:space="0" w:color="auto"/>
            </w:tcBorders>
            <w:shd w:val="clear" w:color="auto" w:fill="auto"/>
            <w:vAlign w:val="center"/>
          </w:tcPr>
          <w:p w:rsidR="00014D96" w:rsidRDefault="00014D96" w:rsidP="00014D96">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vAlign w:val="center"/>
          </w:tcPr>
          <w:p w:rsidR="00014D96"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0,379</w:t>
            </w:r>
          </w:p>
        </w:tc>
        <w:tc>
          <w:tcPr>
            <w:tcW w:w="966" w:type="dxa"/>
            <w:tcBorders>
              <w:top w:val="nil"/>
              <w:left w:val="nil"/>
              <w:bottom w:val="single" w:sz="4" w:space="0" w:color="auto"/>
              <w:right w:val="single" w:sz="4" w:space="0" w:color="auto"/>
            </w:tcBorders>
            <w:vAlign w:val="center"/>
          </w:tcPr>
          <w:p w:rsidR="00014D96" w:rsidRPr="00B30DF9"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0,835</w:t>
            </w:r>
          </w:p>
        </w:tc>
        <w:tc>
          <w:tcPr>
            <w:tcW w:w="866" w:type="dxa"/>
            <w:tcBorders>
              <w:top w:val="nil"/>
              <w:left w:val="nil"/>
              <w:bottom w:val="single" w:sz="4" w:space="0" w:color="auto"/>
              <w:right w:val="single" w:sz="4" w:space="0" w:color="auto"/>
            </w:tcBorders>
            <w:vAlign w:val="center"/>
          </w:tcPr>
          <w:p w:rsidR="00014D96" w:rsidRPr="00B30DF9"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0,790</w:t>
            </w:r>
          </w:p>
        </w:tc>
        <w:tc>
          <w:tcPr>
            <w:tcW w:w="1482" w:type="dxa"/>
            <w:tcBorders>
              <w:top w:val="nil"/>
              <w:left w:val="nil"/>
              <w:bottom w:val="single" w:sz="4" w:space="0" w:color="auto"/>
              <w:right w:val="single" w:sz="4" w:space="0" w:color="auto"/>
            </w:tcBorders>
            <w:vAlign w:val="center"/>
          </w:tcPr>
          <w:p w:rsidR="00014D96"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0,805</w:t>
            </w:r>
          </w:p>
        </w:tc>
        <w:tc>
          <w:tcPr>
            <w:tcW w:w="1482" w:type="dxa"/>
            <w:tcBorders>
              <w:top w:val="nil"/>
              <w:left w:val="nil"/>
              <w:bottom w:val="single" w:sz="4" w:space="0" w:color="auto"/>
              <w:right w:val="single" w:sz="4" w:space="0" w:color="auto"/>
            </w:tcBorders>
            <w:vAlign w:val="center"/>
          </w:tcPr>
          <w:p w:rsidR="00014D96" w:rsidRDefault="00014D96" w:rsidP="00014D96">
            <w:pPr>
              <w:spacing w:before="0" w:after="0"/>
              <w:jc w:val="right"/>
              <w:rPr>
                <w:rFonts w:eastAsia="Times New Roman"/>
                <w:b/>
                <w:bCs/>
                <w:noProof/>
                <w:color w:val="000000"/>
                <w:sz w:val="20"/>
                <w:szCs w:val="20"/>
              </w:rPr>
            </w:pPr>
            <w:r>
              <w:rPr>
                <w:rFonts w:eastAsia="Times New Roman"/>
                <w:b/>
                <w:bCs/>
                <w:noProof/>
                <w:color w:val="000000"/>
                <w:sz w:val="20"/>
                <w:szCs w:val="20"/>
              </w:rPr>
              <w:t>2,809</w:t>
            </w:r>
          </w:p>
        </w:tc>
      </w:tr>
      <w:tr w:rsidR="00014D96" w:rsidTr="00014D96">
        <w:trPr>
          <w:trHeight w:val="397"/>
        </w:trPr>
        <w:tc>
          <w:tcPr>
            <w:tcW w:w="3713" w:type="dxa"/>
            <w:vMerge/>
            <w:tcBorders>
              <w:top w:val="nil"/>
              <w:left w:val="single" w:sz="4" w:space="0" w:color="auto"/>
              <w:bottom w:val="single" w:sz="4" w:space="0" w:color="auto"/>
              <w:right w:val="single" w:sz="4" w:space="0" w:color="auto"/>
            </w:tcBorders>
            <w:vAlign w:val="center"/>
            <w:hideMark/>
          </w:tcPr>
          <w:p w:rsidR="00014D96" w:rsidRDefault="00014D96" w:rsidP="00014D96">
            <w:pPr>
              <w:spacing w:before="0" w:after="0"/>
              <w:jc w:val="left"/>
              <w:rPr>
                <w:rFonts w:eastAsia="Times New Roman"/>
                <w:b/>
                <w:bCs/>
                <w:noProof/>
                <w:color w:val="000000"/>
                <w:sz w:val="22"/>
              </w:rPr>
            </w:pPr>
          </w:p>
        </w:tc>
        <w:tc>
          <w:tcPr>
            <w:tcW w:w="1564"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rPr>
                <w:rFonts w:eastAsia="Times New Roman"/>
                <w:noProof/>
                <w:color w:val="000000"/>
                <w:sz w:val="22"/>
              </w:rPr>
            </w:pPr>
            <w:r>
              <w:rPr>
                <w:rFonts w:eastAsia="Times New Roman"/>
                <w:noProof/>
                <w:color w:val="000000"/>
                <w:sz w:val="22"/>
              </w:rPr>
              <w:t xml:space="preserve"> Payments </w:t>
            </w:r>
          </w:p>
        </w:tc>
        <w:tc>
          <w:tcPr>
            <w:tcW w:w="655" w:type="dxa"/>
            <w:tcBorders>
              <w:top w:val="nil"/>
              <w:left w:val="nil"/>
              <w:bottom w:val="single" w:sz="4" w:space="0" w:color="auto"/>
              <w:right w:val="single" w:sz="4" w:space="0" w:color="auto"/>
            </w:tcBorders>
            <w:shd w:val="clear" w:color="auto" w:fill="auto"/>
            <w:vAlign w:val="center"/>
            <w:hideMark/>
          </w:tcPr>
          <w:p w:rsidR="00014D96" w:rsidRDefault="00014D96" w:rsidP="00014D96">
            <w:pPr>
              <w:spacing w:before="0" w:after="0"/>
              <w:jc w:val="center"/>
              <w:rPr>
                <w:rFonts w:eastAsia="Times New Roman"/>
                <w:noProof/>
                <w:color w:val="000000"/>
                <w:sz w:val="14"/>
                <w:szCs w:val="14"/>
              </w:rPr>
            </w:pPr>
            <w:r>
              <w:rPr>
                <w:rFonts w:eastAsia="Times New Roman"/>
                <w:noProof/>
                <w:color w:val="000000"/>
                <w:sz w:val="14"/>
                <w:szCs w:val="14"/>
              </w:rPr>
              <w:t xml:space="preserve"> </w:t>
            </w:r>
            <w:r w:rsidRPr="00B83CAF">
              <w:rPr>
                <w:noProof/>
                <w:sz w:val="14"/>
              </w:rPr>
              <w:t>=2a+2b</w:t>
            </w:r>
            <w:r>
              <w:rPr>
                <w:noProof/>
                <w:sz w:val="14"/>
              </w:rPr>
              <w:t xml:space="preserve"> +2c</w:t>
            </w:r>
          </w:p>
        </w:tc>
        <w:tc>
          <w:tcPr>
            <w:tcW w:w="747" w:type="dxa"/>
            <w:tcBorders>
              <w:top w:val="nil"/>
              <w:left w:val="nil"/>
              <w:bottom w:val="single" w:sz="4" w:space="0" w:color="auto"/>
              <w:right w:val="single" w:sz="4" w:space="0" w:color="auto"/>
            </w:tcBorders>
            <w:shd w:val="clear" w:color="auto" w:fill="auto"/>
            <w:vAlign w:val="center"/>
          </w:tcPr>
          <w:p w:rsidR="00014D96" w:rsidRDefault="00014D96" w:rsidP="00014D96">
            <w:pPr>
              <w:spacing w:before="0" w:after="0"/>
              <w:jc w:val="right"/>
              <w:rPr>
                <w:rFonts w:eastAsia="Times New Roman"/>
                <w:noProof/>
                <w:color w:val="000000"/>
                <w:sz w:val="20"/>
                <w:szCs w:val="20"/>
              </w:rPr>
            </w:pPr>
          </w:p>
        </w:tc>
        <w:tc>
          <w:tcPr>
            <w:tcW w:w="1103" w:type="dxa"/>
            <w:tcBorders>
              <w:top w:val="nil"/>
              <w:left w:val="nil"/>
              <w:bottom w:val="single" w:sz="4" w:space="0" w:color="auto"/>
              <w:right w:val="single" w:sz="4" w:space="0" w:color="auto"/>
            </w:tcBorders>
            <w:vAlign w:val="center"/>
          </w:tcPr>
          <w:p w:rsidR="00014D96"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0,379</w:t>
            </w:r>
          </w:p>
        </w:tc>
        <w:tc>
          <w:tcPr>
            <w:tcW w:w="966" w:type="dxa"/>
            <w:tcBorders>
              <w:top w:val="nil"/>
              <w:left w:val="nil"/>
              <w:bottom w:val="single" w:sz="4" w:space="0" w:color="auto"/>
              <w:right w:val="single" w:sz="4" w:space="0" w:color="auto"/>
            </w:tcBorders>
            <w:vAlign w:val="center"/>
          </w:tcPr>
          <w:p w:rsidR="00014D96" w:rsidRPr="00B30DF9"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0,835</w:t>
            </w:r>
          </w:p>
        </w:tc>
        <w:tc>
          <w:tcPr>
            <w:tcW w:w="866" w:type="dxa"/>
            <w:tcBorders>
              <w:top w:val="nil"/>
              <w:left w:val="nil"/>
              <w:bottom w:val="single" w:sz="4" w:space="0" w:color="auto"/>
              <w:right w:val="single" w:sz="4" w:space="0" w:color="auto"/>
            </w:tcBorders>
            <w:vAlign w:val="center"/>
          </w:tcPr>
          <w:p w:rsidR="00014D96" w:rsidRPr="00B30DF9"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0,790</w:t>
            </w:r>
          </w:p>
        </w:tc>
        <w:tc>
          <w:tcPr>
            <w:tcW w:w="1482" w:type="dxa"/>
            <w:tcBorders>
              <w:top w:val="nil"/>
              <w:left w:val="nil"/>
              <w:bottom w:val="single" w:sz="4" w:space="0" w:color="auto"/>
              <w:right w:val="single" w:sz="4" w:space="0" w:color="auto"/>
            </w:tcBorders>
            <w:vAlign w:val="center"/>
          </w:tcPr>
          <w:p w:rsidR="00014D96" w:rsidRDefault="00014D96" w:rsidP="00014D96">
            <w:pPr>
              <w:spacing w:before="0" w:after="0"/>
              <w:jc w:val="right"/>
              <w:rPr>
                <w:rFonts w:eastAsia="Times New Roman"/>
                <w:noProof/>
                <w:color w:val="000000"/>
                <w:sz w:val="20"/>
                <w:szCs w:val="20"/>
              </w:rPr>
            </w:pPr>
            <w:r>
              <w:rPr>
                <w:rFonts w:eastAsia="Times New Roman"/>
                <w:noProof/>
                <w:color w:val="000000"/>
                <w:sz w:val="20"/>
                <w:szCs w:val="20"/>
              </w:rPr>
              <w:t>0,805</w:t>
            </w:r>
          </w:p>
        </w:tc>
        <w:tc>
          <w:tcPr>
            <w:tcW w:w="1482" w:type="dxa"/>
            <w:tcBorders>
              <w:top w:val="nil"/>
              <w:left w:val="nil"/>
              <w:bottom w:val="single" w:sz="4" w:space="0" w:color="auto"/>
              <w:right w:val="single" w:sz="4" w:space="0" w:color="auto"/>
            </w:tcBorders>
            <w:vAlign w:val="center"/>
          </w:tcPr>
          <w:p w:rsidR="00014D96" w:rsidRDefault="00014D96" w:rsidP="00014D96">
            <w:pPr>
              <w:spacing w:before="0" w:after="0"/>
              <w:jc w:val="right"/>
              <w:rPr>
                <w:rFonts w:eastAsia="Times New Roman"/>
                <w:b/>
                <w:bCs/>
                <w:noProof/>
                <w:color w:val="000000"/>
                <w:sz w:val="20"/>
                <w:szCs w:val="20"/>
              </w:rPr>
            </w:pPr>
            <w:r>
              <w:rPr>
                <w:rFonts w:eastAsia="Times New Roman"/>
                <w:b/>
                <w:bCs/>
                <w:noProof/>
                <w:color w:val="000000"/>
                <w:sz w:val="20"/>
                <w:szCs w:val="20"/>
              </w:rPr>
              <w:t>2.809</w:t>
            </w:r>
          </w:p>
        </w:tc>
      </w:tr>
    </w:tbl>
    <w:p w:rsidR="00014D96" w:rsidRPr="00014D96" w:rsidRDefault="00014D96" w:rsidP="00014D96">
      <w:pPr>
        <w:tabs>
          <w:tab w:val="left" w:pos="720"/>
          <w:tab w:val="num" w:pos="850"/>
        </w:tabs>
        <w:ind w:left="850"/>
        <w:rPr>
          <w:rFonts w:eastAsia="Calibri"/>
          <w:noProof/>
        </w:rPr>
      </w:pPr>
      <w:r w:rsidRPr="00014D96">
        <w:rPr>
          <w:rFonts w:eastAsia="Calibri"/>
          <w:noProof/>
        </w:rPr>
        <w:t>*The budgetary impact of the additional financial resources for the European Environment Agency will be offset through a compensatory reduction from the LIFE budget, more specificly from DG CLIMA Climate change mitigation and adaptation budget line 09 02 03.</w:t>
      </w:r>
    </w:p>
    <w:p w:rsidR="004755EE" w:rsidRDefault="002F431B" w:rsidP="0049466A">
      <w:pPr>
        <w:pStyle w:val="Bullet0"/>
        <w:numPr>
          <w:ilvl w:val="0"/>
          <w:numId w:val="20"/>
        </w:numPr>
        <w:rPr>
          <w:noProof/>
        </w:rPr>
      </w:pPr>
      <w:r w:rsidRPr="00C54695">
        <w:rPr>
          <w:noProof/>
          <w:u w:val="single"/>
        </w:rPr>
        <w:t>Staff expenditure:</w:t>
      </w:r>
      <w:r w:rsidRPr="003D754B">
        <w:rPr>
          <w:noProof/>
        </w:rPr>
        <w:t xml:space="preserve"> A</w:t>
      </w:r>
      <w:r w:rsidR="004755EE" w:rsidRPr="003D754B">
        <w:rPr>
          <w:noProof/>
        </w:rPr>
        <w:t xml:space="preserve"> additional </w:t>
      </w:r>
      <w:r w:rsidRPr="003D754B">
        <w:rPr>
          <w:noProof/>
        </w:rPr>
        <w:t xml:space="preserve">Temporary Agent (AD) and one additional </w:t>
      </w:r>
      <w:r w:rsidR="004755EE" w:rsidRPr="003D754B">
        <w:rPr>
          <w:noProof/>
        </w:rPr>
        <w:t>Contract Agent (CA) will be required to support</w:t>
      </w:r>
      <w:r w:rsidRPr="003D754B">
        <w:rPr>
          <w:noProof/>
        </w:rPr>
        <w:t>: (i)</w:t>
      </w:r>
      <w:r w:rsidR="004755EE" w:rsidRPr="003D754B">
        <w:rPr>
          <w:noProof/>
        </w:rPr>
        <w:t xml:space="preserve"> </w:t>
      </w:r>
      <w:r w:rsidRPr="003D754B">
        <w:rPr>
          <w:noProof/>
        </w:rPr>
        <w:t xml:space="preserve">ensure the coordination, preparation and follow-up of the additional data collection, analysis and processing necessary to manage the increase in absolute number of vehicles’ emissions to be monitored and reported, (ii) </w:t>
      </w:r>
      <w:r w:rsidR="004755EE" w:rsidRPr="003D754B">
        <w:rPr>
          <w:noProof/>
        </w:rPr>
        <w:t xml:space="preserve">the implementation and use of the reporting system, quality assurance and data quality control systems for </w:t>
      </w:r>
      <w:r w:rsidRPr="003D754B">
        <w:rPr>
          <w:noProof/>
        </w:rPr>
        <w:t xml:space="preserve">such </w:t>
      </w:r>
      <w:r w:rsidR="004755EE" w:rsidRPr="003D754B">
        <w:rPr>
          <w:noProof/>
        </w:rPr>
        <w:t>newly added vehicles under extended scope, as well as data management and technical helpdesk for the additional manufacturers.</w:t>
      </w:r>
    </w:p>
    <w:p w:rsidR="00C54695" w:rsidRPr="00C54695" w:rsidRDefault="00C54695" w:rsidP="00C54695">
      <w:pPr>
        <w:pStyle w:val="Text1"/>
        <w:rPr>
          <w:noProof/>
        </w:rPr>
      </w:pPr>
      <w:r w:rsidRPr="00C54695">
        <w:rPr>
          <w:noProof/>
        </w:rPr>
        <w:t>Three additional contract agents (start with two in 2024) are required for the following tasks:</w:t>
      </w:r>
    </w:p>
    <w:p w:rsidR="00C54695" w:rsidRPr="00FC0B86" w:rsidRDefault="00C54695" w:rsidP="00C54695">
      <w:pPr>
        <w:pStyle w:val="Text1"/>
        <w:rPr>
          <w:noProof/>
        </w:rPr>
      </w:pPr>
      <w:r w:rsidRPr="00FC0B86">
        <w:rPr>
          <w:noProof/>
        </w:rPr>
        <w:t xml:space="preserve">Support to prepare and develop a number of detailed certification methodologies </w:t>
      </w:r>
      <w:r>
        <w:rPr>
          <w:noProof/>
        </w:rPr>
        <w:t xml:space="preserve">(for example: </w:t>
      </w:r>
      <w:r w:rsidRPr="00FC0B86">
        <w:rPr>
          <w:noProof/>
        </w:rPr>
        <w:t xml:space="preserve">for demonstrating compliance with EU quality criteria for carbon removals, as set out in article 8 of the proposed </w:t>
      </w:r>
      <w:r>
        <w:rPr>
          <w:noProof/>
        </w:rPr>
        <w:t xml:space="preserve">appropriate </w:t>
      </w:r>
      <w:r w:rsidRPr="00FC0B86">
        <w:rPr>
          <w:noProof/>
        </w:rPr>
        <w:t>Regulation</w:t>
      </w:r>
      <w:r>
        <w:rPr>
          <w:noProof/>
        </w:rPr>
        <w:t>)</w:t>
      </w:r>
      <w:r w:rsidRPr="00FC0B86">
        <w:rPr>
          <w:noProof/>
        </w:rPr>
        <w:t>;</w:t>
      </w:r>
    </w:p>
    <w:p w:rsidR="00C54695" w:rsidRPr="00FC0B86" w:rsidRDefault="00C54695" w:rsidP="00C54695">
      <w:pPr>
        <w:pStyle w:val="Text1"/>
        <w:rPr>
          <w:noProof/>
        </w:rPr>
      </w:pPr>
      <w:r w:rsidRPr="00FC0B86">
        <w:rPr>
          <w:noProof/>
        </w:rPr>
        <w:t xml:space="preserve">Data gathering on monitoring, reporting and verification </w:t>
      </w:r>
      <w:r>
        <w:rPr>
          <w:noProof/>
        </w:rPr>
        <w:t xml:space="preserve">for example </w:t>
      </w:r>
      <w:r w:rsidRPr="00FC0B86">
        <w:rPr>
          <w:noProof/>
        </w:rPr>
        <w:t>for a number of carbon farming activities, related to wetland rewetting, crop management and afforestation/reforestation initiatives;</w:t>
      </w:r>
    </w:p>
    <w:p w:rsidR="00C54695" w:rsidRPr="000A3D24" w:rsidRDefault="00C54695" w:rsidP="00C54695">
      <w:pPr>
        <w:pStyle w:val="Text1"/>
        <w:rPr>
          <w:noProof/>
        </w:rPr>
      </w:pPr>
      <w:r w:rsidRPr="00FC0B86">
        <w:rPr>
          <w:noProof/>
        </w:rPr>
        <w:t>Support to ensure the linkages between registries</w:t>
      </w:r>
      <w:r>
        <w:rPr>
          <w:noProof/>
        </w:rPr>
        <w:t xml:space="preserve"> (for example:</w:t>
      </w:r>
      <w:r w:rsidRPr="00FC0B86">
        <w:rPr>
          <w:noProof/>
        </w:rPr>
        <w:t xml:space="preserve"> of the certification schemes and the national GHG inventories</w:t>
      </w:r>
      <w:r>
        <w:rPr>
          <w:noProof/>
        </w:rPr>
        <w:t>)</w:t>
      </w:r>
      <w:r w:rsidRPr="00FC0B86">
        <w:rPr>
          <w:noProof/>
        </w:rPr>
        <w:t>.</w:t>
      </w:r>
    </w:p>
    <w:p w:rsidR="00C54695" w:rsidRPr="000A3D24" w:rsidRDefault="00C54695" w:rsidP="004755EE">
      <w:pPr>
        <w:rPr>
          <w:noProof/>
        </w:rPr>
      </w:pPr>
    </w:p>
    <w:p w:rsidR="004755EE" w:rsidRPr="006C78F9" w:rsidRDefault="004755EE" w:rsidP="00C9020F">
      <w:pPr>
        <w:pStyle w:val="Bullet0"/>
        <w:rPr>
          <w:noProof/>
        </w:rPr>
      </w:pPr>
      <w:r w:rsidRPr="00D93DCC">
        <w:rPr>
          <w:noProof/>
          <w:u w:val="single"/>
        </w:rPr>
        <w:t>Infrastructure</w:t>
      </w:r>
      <w:r w:rsidR="00F5152C">
        <w:rPr>
          <w:noProof/>
          <w:u w:val="single"/>
        </w:rPr>
        <w:t xml:space="preserve"> and operational expenditure</w:t>
      </w:r>
      <w:r w:rsidRPr="00D93DCC">
        <w:rPr>
          <w:noProof/>
          <w:u w:val="single"/>
        </w:rPr>
        <w:t xml:space="preserve"> costs:</w:t>
      </w:r>
      <w:r>
        <w:rPr>
          <w:noProof/>
        </w:rPr>
        <w:t xml:space="preserve"> </w:t>
      </w:r>
      <w:r w:rsidRPr="00895231">
        <w:rPr>
          <w:noProof/>
        </w:rPr>
        <w:t>EEA will need initial IT investments during the first two years</w:t>
      </w:r>
      <w:r>
        <w:rPr>
          <w:noProof/>
        </w:rPr>
        <w:t xml:space="preserve"> (totalling € </w:t>
      </w:r>
      <w:r w:rsidR="00F61FFF">
        <w:rPr>
          <w:noProof/>
        </w:rPr>
        <w:t xml:space="preserve">160 </w:t>
      </w:r>
      <w:r>
        <w:rPr>
          <w:noProof/>
        </w:rPr>
        <w:t>000)</w:t>
      </w:r>
      <w:r w:rsidRPr="00895231">
        <w:rPr>
          <w:noProof/>
        </w:rPr>
        <w:t xml:space="preserve"> </w:t>
      </w:r>
      <w:r w:rsidR="002F431B">
        <w:rPr>
          <w:noProof/>
        </w:rPr>
        <w:t>for</w:t>
      </w:r>
      <w:r>
        <w:rPr>
          <w:noProof/>
        </w:rPr>
        <w:t xml:space="preserve"> data</w:t>
      </w:r>
      <w:r w:rsidRPr="00895231">
        <w:rPr>
          <w:noProof/>
        </w:rPr>
        <w:t xml:space="preserve"> </w:t>
      </w:r>
      <w:r w:rsidR="00B33803">
        <w:rPr>
          <w:noProof/>
        </w:rPr>
        <w:t>processing</w:t>
      </w:r>
      <w:r w:rsidR="002F431B">
        <w:rPr>
          <w:noProof/>
        </w:rPr>
        <w:t>, to check the compliance with the standards also for an increased number of vehicles and manufacturers</w:t>
      </w:r>
      <w:r w:rsidRPr="00895231">
        <w:rPr>
          <w:noProof/>
        </w:rPr>
        <w:t>.</w:t>
      </w:r>
      <w:r>
        <w:rPr>
          <w:noProof/>
        </w:rPr>
        <w:t xml:space="preserve"> </w:t>
      </w:r>
      <w:r w:rsidRPr="00895231">
        <w:rPr>
          <w:noProof/>
        </w:rPr>
        <w:t xml:space="preserve">Recurrent annual IT expenditure will be needed </w:t>
      </w:r>
      <w:r>
        <w:rPr>
          <w:noProof/>
        </w:rPr>
        <w:t xml:space="preserve">as well </w:t>
      </w:r>
      <w:r w:rsidRPr="00895231">
        <w:rPr>
          <w:noProof/>
        </w:rPr>
        <w:t>for maintaining and regular updates to the reporting workflows, MSSQL databases and other IT process tools.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1440"/>
        <w:gridCol w:w="654"/>
        <w:gridCol w:w="827"/>
        <w:gridCol w:w="850"/>
        <w:gridCol w:w="992"/>
        <w:gridCol w:w="709"/>
        <w:gridCol w:w="993"/>
        <w:gridCol w:w="3680"/>
      </w:tblGrid>
      <w:tr w:rsidR="004755EE" w:rsidRPr="00814871" w:rsidTr="00E863E4">
        <w:trPr>
          <w:trHeight w:val="277"/>
        </w:trPr>
        <w:tc>
          <w:tcPr>
            <w:tcW w:w="3965" w:type="dxa"/>
            <w:vMerge w:val="restart"/>
            <w:vAlign w:val="center"/>
          </w:tcPr>
          <w:p w:rsidR="004755EE" w:rsidRPr="00814871" w:rsidRDefault="004755EE" w:rsidP="00E863E4">
            <w:pPr>
              <w:spacing w:before="20" w:after="20"/>
              <w:rPr>
                <w:noProof/>
                <w:lang w:val="en-IE"/>
              </w:rPr>
            </w:pPr>
            <w:r w:rsidRPr="00814871">
              <w:rPr>
                <w:noProof/>
                <w:sz w:val="22"/>
                <w:lang w:val="en-IE"/>
              </w:rPr>
              <w:br w:type="page"/>
            </w:r>
            <w:r w:rsidRPr="00814871">
              <w:rPr>
                <w:rFonts w:ascii="Wingdings" w:eastAsia="Wingdings" w:hAnsi="Wingdings" w:cs="Wingdings"/>
                <w:noProof/>
                <w:sz w:val="21"/>
                <w:lang w:val="en-IE"/>
              </w:rPr>
              <w:t>□</w:t>
            </w:r>
            <w:r w:rsidRPr="00814871">
              <w:rPr>
                <w:noProof/>
                <w:sz w:val="21"/>
                <w:lang w:val="en-IE"/>
              </w:rPr>
              <w:t xml:space="preserve"> TOTAL operational appropriations </w:t>
            </w:r>
          </w:p>
        </w:tc>
        <w:tc>
          <w:tcPr>
            <w:tcW w:w="1440" w:type="dxa"/>
            <w:vAlign w:val="center"/>
          </w:tcPr>
          <w:p w:rsidR="004755EE" w:rsidRPr="00814871" w:rsidRDefault="004755EE" w:rsidP="00E863E4">
            <w:pPr>
              <w:spacing w:beforeLines="20" w:before="48" w:afterLines="20" w:after="48"/>
              <w:rPr>
                <w:noProof/>
                <w:sz w:val="18"/>
                <w:lang w:val="en-IE"/>
              </w:rPr>
            </w:pPr>
          </w:p>
        </w:tc>
        <w:tc>
          <w:tcPr>
            <w:tcW w:w="654" w:type="dxa"/>
            <w:vAlign w:val="center"/>
          </w:tcPr>
          <w:p w:rsidR="004755EE" w:rsidRPr="00814871" w:rsidRDefault="004755EE" w:rsidP="00E863E4">
            <w:pPr>
              <w:spacing w:beforeLines="20" w:before="48" w:afterLines="20" w:after="48"/>
              <w:jc w:val="center"/>
              <w:rPr>
                <w:noProof/>
                <w:sz w:val="14"/>
                <w:lang w:val="en-IE"/>
              </w:rPr>
            </w:pPr>
          </w:p>
        </w:tc>
        <w:tc>
          <w:tcPr>
            <w:tcW w:w="827" w:type="dxa"/>
            <w:vAlign w:val="center"/>
          </w:tcPr>
          <w:p w:rsidR="004755EE" w:rsidRPr="005F0DFB" w:rsidRDefault="004755EE" w:rsidP="00E863E4">
            <w:pPr>
              <w:spacing w:before="20" w:after="20"/>
              <w:jc w:val="right"/>
              <w:rPr>
                <w:b/>
                <w:noProof/>
                <w:sz w:val="20"/>
                <w:lang w:val="en-IE"/>
              </w:rPr>
            </w:pPr>
            <w:r w:rsidRPr="005F0DFB">
              <w:rPr>
                <w:b/>
                <w:noProof/>
                <w:sz w:val="20"/>
                <w:lang w:val="en-IE"/>
              </w:rPr>
              <w:t>2023</w:t>
            </w:r>
          </w:p>
        </w:tc>
        <w:tc>
          <w:tcPr>
            <w:tcW w:w="850" w:type="dxa"/>
            <w:vAlign w:val="center"/>
          </w:tcPr>
          <w:p w:rsidR="004755EE" w:rsidRPr="005F0DFB" w:rsidRDefault="004755EE" w:rsidP="00E863E4">
            <w:pPr>
              <w:spacing w:before="20" w:after="20"/>
              <w:jc w:val="right"/>
              <w:rPr>
                <w:b/>
                <w:noProof/>
                <w:sz w:val="20"/>
                <w:lang w:val="en-IE"/>
              </w:rPr>
            </w:pPr>
            <w:r w:rsidRPr="005F0DFB">
              <w:rPr>
                <w:b/>
                <w:noProof/>
                <w:sz w:val="20"/>
                <w:lang w:val="en-IE"/>
              </w:rPr>
              <w:t>2024</w:t>
            </w:r>
          </w:p>
        </w:tc>
        <w:tc>
          <w:tcPr>
            <w:tcW w:w="992" w:type="dxa"/>
            <w:vAlign w:val="center"/>
          </w:tcPr>
          <w:p w:rsidR="004755EE" w:rsidRPr="00814871" w:rsidRDefault="004755EE" w:rsidP="00E863E4">
            <w:pPr>
              <w:spacing w:before="20" w:after="20"/>
              <w:jc w:val="right"/>
              <w:rPr>
                <w:noProof/>
                <w:sz w:val="20"/>
                <w:lang w:val="en-IE"/>
              </w:rPr>
            </w:pPr>
            <w:r w:rsidRPr="00B83CAF">
              <w:rPr>
                <w:b/>
                <w:noProof/>
                <w:sz w:val="20"/>
                <w:lang w:val="en-IE"/>
              </w:rPr>
              <w:t>2025</w:t>
            </w:r>
          </w:p>
        </w:tc>
        <w:tc>
          <w:tcPr>
            <w:tcW w:w="709" w:type="dxa"/>
            <w:vAlign w:val="center"/>
          </w:tcPr>
          <w:p w:rsidR="004755EE" w:rsidRPr="00814871" w:rsidRDefault="004755EE" w:rsidP="00E863E4">
            <w:pPr>
              <w:spacing w:before="20" w:after="20"/>
              <w:jc w:val="right"/>
              <w:rPr>
                <w:noProof/>
                <w:sz w:val="20"/>
                <w:lang w:val="en-IE"/>
              </w:rPr>
            </w:pPr>
            <w:r w:rsidRPr="00B83CAF">
              <w:rPr>
                <w:b/>
                <w:noProof/>
                <w:sz w:val="20"/>
                <w:lang w:val="en-IE"/>
              </w:rPr>
              <w:t>2026</w:t>
            </w:r>
          </w:p>
        </w:tc>
        <w:tc>
          <w:tcPr>
            <w:tcW w:w="993" w:type="dxa"/>
            <w:vAlign w:val="center"/>
          </w:tcPr>
          <w:p w:rsidR="004755EE" w:rsidRPr="00814871" w:rsidRDefault="004755EE" w:rsidP="00E863E4">
            <w:pPr>
              <w:spacing w:before="20" w:after="20"/>
              <w:jc w:val="right"/>
              <w:rPr>
                <w:noProof/>
                <w:sz w:val="20"/>
                <w:lang w:val="en-IE"/>
              </w:rPr>
            </w:pPr>
            <w:r w:rsidRPr="00B83CAF">
              <w:rPr>
                <w:b/>
                <w:noProof/>
                <w:sz w:val="20"/>
                <w:lang w:val="en-IE"/>
              </w:rPr>
              <w:t>2027</w:t>
            </w:r>
          </w:p>
        </w:tc>
        <w:tc>
          <w:tcPr>
            <w:tcW w:w="3680" w:type="dxa"/>
            <w:vAlign w:val="center"/>
          </w:tcPr>
          <w:p w:rsidR="004755EE" w:rsidRPr="00814871" w:rsidRDefault="004755EE" w:rsidP="00E863E4">
            <w:pPr>
              <w:spacing w:before="20" w:after="20"/>
              <w:jc w:val="right"/>
              <w:rPr>
                <w:b/>
                <w:noProof/>
                <w:sz w:val="20"/>
                <w:lang w:val="en-IE"/>
              </w:rPr>
            </w:pPr>
            <w:r w:rsidRPr="00B83CAF">
              <w:rPr>
                <w:b/>
                <w:noProof/>
                <w:sz w:val="20"/>
                <w:lang w:val="en-IE"/>
              </w:rPr>
              <w:t>TOTAL</w:t>
            </w:r>
          </w:p>
        </w:tc>
      </w:tr>
      <w:tr w:rsidR="00680441" w:rsidRPr="00EC6244" w:rsidTr="00B318DC">
        <w:trPr>
          <w:trHeight w:val="277"/>
        </w:trPr>
        <w:tc>
          <w:tcPr>
            <w:tcW w:w="3965" w:type="dxa"/>
            <w:vMerge/>
            <w:vAlign w:val="center"/>
          </w:tcPr>
          <w:p w:rsidR="00680441" w:rsidRPr="00814871" w:rsidRDefault="00680441" w:rsidP="00680441">
            <w:pPr>
              <w:spacing w:before="20" w:after="20"/>
              <w:rPr>
                <w:noProof/>
                <w:sz w:val="22"/>
                <w:lang w:val="en-IE"/>
              </w:rPr>
            </w:pPr>
          </w:p>
        </w:tc>
        <w:tc>
          <w:tcPr>
            <w:tcW w:w="1440" w:type="dxa"/>
            <w:vAlign w:val="center"/>
          </w:tcPr>
          <w:p w:rsidR="00680441" w:rsidRPr="00814871" w:rsidRDefault="00680441" w:rsidP="00680441">
            <w:pPr>
              <w:spacing w:beforeLines="20" w:before="48" w:afterLines="20" w:after="48"/>
              <w:rPr>
                <w:noProof/>
                <w:sz w:val="18"/>
                <w:lang w:val="en-IE"/>
              </w:rPr>
            </w:pPr>
            <w:r w:rsidRPr="00814871">
              <w:rPr>
                <w:noProof/>
                <w:sz w:val="18"/>
                <w:lang w:val="en-IE"/>
              </w:rPr>
              <w:t>Commitments</w:t>
            </w:r>
          </w:p>
        </w:tc>
        <w:tc>
          <w:tcPr>
            <w:tcW w:w="654" w:type="dxa"/>
            <w:vAlign w:val="center"/>
          </w:tcPr>
          <w:p w:rsidR="00680441" w:rsidRPr="00814871" w:rsidRDefault="00680441" w:rsidP="00680441">
            <w:pPr>
              <w:spacing w:beforeLines="20" w:before="48" w:afterLines="20" w:after="48"/>
              <w:jc w:val="center"/>
              <w:rPr>
                <w:noProof/>
                <w:sz w:val="14"/>
                <w:lang w:val="en-IE"/>
              </w:rPr>
            </w:pPr>
            <w:r w:rsidRPr="00814871">
              <w:rPr>
                <w:noProof/>
                <w:sz w:val="14"/>
                <w:lang w:val="en-IE"/>
              </w:rPr>
              <w:t>(4)</w:t>
            </w:r>
          </w:p>
        </w:tc>
        <w:tc>
          <w:tcPr>
            <w:tcW w:w="827" w:type="dxa"/>
            <w:vAlign w:val="center"/>
          </w:tcPr>
          <w:p w:rsidR="00680441" w:rsidRPr="00EC6244" w:rsidRDefault="00680441" w:rsidP="00680441">
            <w:pPr>
              <w:spacing w:before="20" w:after="20"/>
              <w:jc w:val="right"/>
              <w:rPr>
                <w:noProof/>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0441" w:rsidRPr="00EC6244" w:rsidRDefault="00680441" w:rsidP="00680441">
            <w:pPr>
              <w:spacing w:before="20" w:after="20"/>
              <w:jc w:val="right"/>
              <w:rPr>
                <w:noProof/>
                <w:sz w:val="20"/>
              </w:rPr>
            </w:pPr>
            <w:r>
              <w:rPr>
                <w:rFonts w:eastAsia="Times New Roman"/>
                <w:noProof/>
                <w:color w:val="000000"/>
                <w:sz w:val="20"/>
                <w:szCs w:val="20"/>
              </w:rPr>
              <w:t>0,479</w:t>
            </w:r>
          </w:p>
        </w:tc>
        <w:tc>
          <w:tcPr>
            <w:tcW w:w="992" w:type="dxa"/>
            <w:tcBorders>
              <w:top w:val="single" w:sz="4" w:space="0" w:color="auto"/>
              <w:left w:val="single" w:sz="4" w:space="0" w:color="auto"/>
              <w:bottom w:val="single" w:sz="4" w:space="0" w:color="auto"/>
              <w:right w:val="single" w:sz="4" w:space="0" w:color="auto"/>
            </w:tcBorders>
            <w:vAlign w:val="center"/>
          </w:tcPr>
          <w:p w:rsidR="00680441" w:rsidRPr="00EC6244" w:rsidRDefault="00680441" w:rsidP="00680441">
            <w:pPr>
              <w:spacing w:before="20" w:after="20"/>
              <w:jc w:val="right"/>
              <w:rPr>
                <w:noProof/>
                <w:sz w:val="20"/>
              </w:rPr>
            </w:pPr>
            <w:r>
              <w:rPr>
                <w:rFonts w:eastAsia="Times New Roman"/>
                <w:noProof/>
                <w:color w:val="000000"/>
                <w:sz w:val="20"/>
                <w:szCs w:val="20"/>
              </w:rPr>
              <w:t>0,935</w:t>
            </w:r>
          </w:p>
        </w:tc>
        <w:tc>
          <w:tcPr>
            <w:tcW w:w="709" w:type="dxa"/>
            <w:tcBorders>
              <w:top w:val="single" w:sz="4" w:space="0" w:color="auto"/>
              <w:left w:val="single" w:sz="4" w:space="0" w:color="auto"/>
              <w:bottom w:val="single" w:sz="4" w:space="0" w:color="auto"/>
              <w:right w:val="single" w:sz="4" w:space="0" w:color="auto"/>
            </w:tcBorders>
            <w:vAlign w:val="center"/>
          </w:tcPr>
          <w:p w:rsidR="00680441" w:rsidRPr="00EC6244" w:rsidRDefault="00680441" w:rsidP="00680441">
            <w:pPr>
              <w:spacing w:before="20" w:after="20"/>
              <w:jc w:val="right"/>
              <w:rPr>
                <w:noProof/>
                <w:sz w:val="20"/>
              </w:rPr>
            </w:pPr>
            <w:r>
              <w:rPr>
                <w:rFonts w:eastAsia="Times New Roman"/>
                <w:noProof/>
                <w:color w:val="000000"/>
                <w:sz w:val="20"/>
                <w:szCs w:val="20"/>
              </w:rPr>
              <w:t>0,890</w:t>
            </w:r>
          </w:p>
        </w:tc>
        <w:tc>
          <w:tcPr>
            <w:tcW w:w="993" w:type="dxa"/>
            <w:tcBorders>
              <w:top w:val="single" w:sz="4" w:space="0" w:color="auto"/>
              <w:left w:val="single" w:sz="4" w:space="0" w:color="auto"/>
              <w:bottom w:val="single" w:sz="4" w:space="0" w:color="auto"/>
              <w:right w:val="single" w:sz="4" w:space="0" w:color="auto"/>
            </w:tcBorders>
            <w:vAlign w:val="center"/>
          </w:tcPr>
          <w:p w:rsidR="00680441" w:rsidRPr="00EC6244" w:rsidRDefault="00680441" w:rsidP="00680441">
            <w:pPr>
              <w:spacing w:before="20" w:after="20"/>
              <w:jc w:val="right"/>
              <w:rPr>
                <w:noProof/>
                <w:sz w:val="20"/>
              </w:rPr>
            </w:pPr>
            <w:r>
              <w:rPr>
                <w:rFonts w:eastAsia="Times New Roman"/>
                <w:noProof/>
                <w:color w:val="000000"/>
                <w:sz w:val="20"/>
                <w:szCs w:val="20"/>
              </w:rPr>
              <w:t>0,905</w:t>
            </w:r>
          </w:p>
        </w:tc>
        <w:tc>
          <w:tcPr>
            <w:tcW w:w="3680" w:type="dxa"/>
            <w:tcBorders>
              <w:top w:val="single" w:sz="4" w:space="0" w:color="auto"/>
              <w:left w:val="single" w:sz="4" w:space="0" w:color="auto"/>
              <w:bottom w:val="single" w:sz="4" w:space="0" w:color="auto"/>
              <w:right w:val="single" w:sz="4" w:space="0" w:color="auto"/>
            </w:tcBorders>
            <w:vAlign w:val="center"/>
          </w:tcPr>
          <w:p w:rsidR="00680441" w:rsidRPr="00EC6244" w:rsidRDefault="00680441" w:rsidP="00680441">
            <w:pPr>
              <w:spacing w:before="20" w:after="20"/>
              <w:jc w:val="right"/>
              <w:rPr>
                <w:b/>
                <w:noProof/>
                <w:sz w:val="20"/>
              </w:rPr>
            </w:pPr>
            <w:r>
              <w:rPr>
                <w:rFonts w:eastAsia="Times New Roman"/>
                <w:b/>
                <w:bCs/>
                <w:noProof/>
                <w:color w:val="000000"/>
                <w:sz w:val="20"/>
                <w:szCs w:val="20"/>
              </w:rPr>
              <w:t>3,209</w:t>
            </w:r>
          </w:p>
        </w:tc>
      </w:tr>
      <w:tr w:rsidR="00680441" w:rsidRPr="00814871" w:rsidTr="00B318DC">
        <w:tc>
          <w:tcPr>
            <w:tcW w:w="3965" w:type="dxa"/>
          </w:tcPr>
          <w:p w:rsidR="00680441" w:rsidRPr="00814871" w:rsidRDefault="00680441" w:rsidP="00680441">
            <w:pPr>
              <w:jc w:val="center"/>
              <w:rPr>
                <w:noProof/>
                <w:sz w:val="20"/>
                <w:lang w:val="en-IE"/>
              </w:rPr>
            </w:pPr>
          </w:p>
        </w:tc>
        <w:tc>
          <w:tcPr>
            <w:tcW w:w="1440" w:type="dxa"/>
            <w:vAlign w:val="center"/>
          </w:tcPr>
          <w:p w:rsidR="00680441" w:rsidRPr="00814871" w:rsidRDefault="00680441" w:rsidP="00680441">
            <w:pPr>
              <w:spacing w:beforeLines="20" w:before="48" w:afterLines="20" w:after="48"/>
              <w:rPr>
                <w:noProof/>
                <w:sz w:val="18"/>
                <w:lang w:val="en-IE"/>
              </w:rPr>
            </w:pPr>
            <w:r w:rsidRPr="00814871">
              <w:rPr>
                <w:noProof/>
                <w:sz w:val="18"/>
                <w:lang w:val="en-IE"/>
              </w:rPr>
              <w:t>Payments</w:t>
            </w:r>
          </w:p>
        </w:tc>
        <w:tc>
          <w:tcPr>
            <w:tcW w:w="654" w:type="dxa"/>
            <w:vAlign w:val="center"/>
          </w:tcPr>
          <w:p w:rsidR="00680441" w:rsidRPr="00814871" w:rsidRDefault="00680441" w:rsidP="00680441">
            <w:pPr>
              <w:spacing w:beforeLines="20" w:before="48" w:afterLines="20" w:after="48"/>
              <w:jc w:val="center"/>
              <w:rPr>
                <w:noProof/>
                <w:sz w:val="14"/>
                <w:lang w:val="en-IE"/>
              </w:rPr>
            </w:pPr>
            <w:r w:rsidRPr="00814871">
              <w:rPr>
                <w:noProof/>
                <w:sz w:val="14"/>
                <w:lang w:val="en-IE"/>
              </w:rPr>
              <w:t>(5)</w:t>
            </w:r>
          </w:p>
        </w:tc>
        <w:tc>
          <w:tcPr>
            <w:tcW w:w="827" w:type="dxa"/>
            <w:vAlign w:val="bottom"/>
          </w:tcPr>
          <w:p w:rsidR="00680441" w:rsidRPr="00814871" w:rsidRDefault="00680441" w:rsidP="00680441">
            <w:pPr>
              <w:spacing w:before="20" w:after="20"/>
              <w:jc w:val="right"/>
              <w:rPr>
                <w:noProof/>
                <w:sz w:val="20"/>
                <w:lang w:val="en-IE"/>
              </w:rPr>
            </w:pPr>
          </w:p>
        </w:tc>
        <w:tc>
          <w:tcPr>
            <w:tcW w:w="850" w:type="dxa"/>
            <w:tcBorders>
              <w:top w:val="single" w:sz="4" w:space="0" w:color="auto"/>
              <w:left w:val="single" w:sz="4" w:space="0" w:color="auto"/>
              <w:bottom w:val="single" w:sz="4" w:space="0" w:color="auto"/>
              <w:right w:val="single" w:sz="4" w:space="0" w:color="auto"/>
            </w:tcBorders>
            <w:vAlign w:val="center"/>
          </w:tcPr>
          <w:p w:rsidR="00680441" w:rsidRPr="00814871" w:rsidRDefault="00680441" w:rsidP="00680441">
            <w:pPr>
              <w:spacing w:before="20" w:after="20"/>
              <w:jc w:val="right"/>
              <w:rPr>
                <w:noProof/>
                <w:sz w:val="20"/>
                <w:lang w:val="en-IE"/>
              </w:rPr>
            </w:pPr>
            <w:r>
              <w:rPr>
                <w:rFonts w:eastAsia="Times New Roman"/>
                <w:noProof/>
                <w:color w:val="000000"/>
                <w:sz w:val="20"/>
                <w:szCs w:val="20"/>
              </w:rPr>
              <w:t>0,479</w:t>
            </w:r>
          </w:p>
        </w:tc>
        <w:tc>
          <w:tcPr>
            <w:tcW w:w="992" w:type="dxa"/>
            <w:tcBorders>
              <w:top w:val="single" w:sz="4" w:space="0" w:color="auto"/>
              <w:left w:val="single" w:sz="4" w:space="0" w:color="auto"/>
              <w:bottom w:val="single" w:sz="4" w:space="0" w:color="auto"/>
              <w:right w:val="single" w:sz="4" w:space="0" w:color="auto"/>
            </w:tcBorders>
            <w:vAlign w:val="center"/>
          </w:tcPr>
          <w:p w:rsidR="00680441" w:rsidRPr="00814871" w:rsidRDefault="00680441" w:rsidP="00680441">
            <w:pPr>
              <w:spacing w:before="20" w:after="20"/>
              <w:jc w:val="right"/>
              <w:rPr>
                <w:noProof/>
                <w:sz w:val="20"/>
                <w:lang w:val="en-IE"/>
              </w:rPr>
            </w:pPr>
            <w:r>
              <w:rPr>
                <w:rFonts w:eastAsia="Times New Roman"/>
                <w:noProof/>
                <w:color w:val="000000"/>
                <w:sz w:val="20"/>
                <w:szCs w:val="20"/>
              </w:rPr>
              <w:t>0,935</w:t>
            </w:r>
          </w:p>
        </w:tc>
        <w:tc>
          <w:tcPr>
            <w:tcW w:w="709" w:type="dxa"/>
            <w:tcBorders>
              <w:top w:val="single" w:sz="4" w:space="0" w:color="auto"/>
              <w:left w:val="single" w:sz="4" w:space="0" w:color="auto"/>
              <w:bottom w:val="single" w:sz="4" w:space="0" w:color="auto"/>
              <w:right w:val="single" w:sz="4" w:space="0" w:color="auto"/>
            </w:tcBorders>
            <w:vAlign w:val="center"/>
          </w:tcPr>
          <w:p w:rsidR="00680441" w:rsidRPr="00814871" w:rsidRDefault="00680441" w:rsidP="00680441">
            <w:pPr>
              <w:spacing w:before="20" w:after="20"/>
              <w:jc w:val="right"/>
              <w:rPr>
                <w:noProof/>
                <w:sz w:val="20"/>
                <w:lang w:val="en-IE"/>
              </w:rPr>
            </w:pPr>
            <w:r>
              <w:rPr>
                <w:rFonts w:eastAsia="Times New Roman"/>
                <w:noProof/>
                <w:color w:val="000000"/>
                <w:sz w:val="20"/>
                <w:szCs w:val="20"/>
              </w:rPr>
              <w:t>0,890</w:t>
            </w:r>
          </w:p>
        </w:tc>
        <w:tc>
          <w:tcPr>
            <w:tcW w:w="993" w:type="dxa"/>
            <w:tcBorders>
              <w:top w:val="single" w:sz="4" w:space="0" w:color="auto"/>
              <w:left w:val="single" w:sz="4" w:space="0" w:color="auto"/>
              <w:bottom w:val="single" w:sz="4" w:space="0" w:color="auto"/>
              <w:right w:val="single" w:sz="4" w:space="0" w:color="auto"/>
            </w:tcBorders>
            <w:vAlign w:val="center"/>
          </w:tcPr>
          <w:p w:rsidR="00680441" w:rsidRPr="00814871" w:rsidRDefault="00680441" w:rsidP="00680441">
            <w:pPr>
              <w:spacing w:before="20" w:after="20"/>
              <w:jc w:val="right"/>
              <w:rPr>
                <w:noProof/>
                <w:sz w:val="20"/>
                <w:lang w:val="en-IE"/>
              </w:rPr>
            </w:pPr>
            <w:r>
              <w:rPr>
                <w:rFonts w:eastAsia="Times New Roman"/>
                <w:noProof/>
                <w:color w:val="000000"/>
                <w:sz w:val="20"/>
                <w:szCs w:val="20"/>
              </w:rPr>
              <w:t>0,905</w:t>
            </w:r>
          </w:p>
        </w:tc>
        <w:tc>
          <w:tcPr>
            <w:tcW w:w="3680" w:type="dxa"/>
            <w:tcBorders>
              <w:top w:val="single" w:sz="4" w:space="0" w:color="auto"/>
              <w:left w:val="single" w:sz="4" w:space="0" w:color="auto"/>
              <w:bottom w:val="single" w:sz="4" w:space="0" w:color="auto"/>
              <w:right w:val="single" w:sz="4" w:space="0" w:color="auto"/>
            </w:tcBorders>
            <w:vAlign w:val="center"/>
          </w:tcPr>
          <w:p w:rsidR="00680441" w:rsidRPr="00814871" w:rsidRDefault="00680441" w:rsidP="00680441">
            <w:pPr>
              <w:spacing w:before="20" w:after="20"/>
              <w:jc w:val="right"/>
              <w:rPr>
                <w:b/>
                <w:noProof/>
                <w:sz w:val="20"/>
                <w:lang w:val="en-IE"/>
              </w:rPr>
            </w:pPr>
            <w:r>
              <w:rPr>
                <w:rFonts w:eastAsia="Times New Roman"/>
                <w:b/>
                <w:bCs/>
                <w:noProof/>
                <w:color w:val="000000"/>
                <w:sz w:val="20"/>
                <w:szCs w:val="20"/>
              </w:rPr>
              <w:t>3,209</w:t>
            </w:r>
          </w:p>
        </w:tc>
      </w:tr>
      <w:tr w:rsidR="00680441" w:rsidRPr="00814871" w:rsidTr="00B318DC">
        <w:trPr>
          <w:trHeight w:val="442"/>
        </w:trPr>
        <w:tc>
          <w:tcPr>
            <w:tcW w:w="3965" w:type="dxa"/>
            <w:shd w:val="thinDiagStripe" w:color="C0C0C0" w:fill="auto"/>
            <w:vAlign w:val="center"/>
          </w:tcPr>
          <w:p w:rsidR="00680441" w:rsidRPr="00814871" w:rsidRDefault="00680441" w:rsidP="00680441">
            <w:pPr>
              <w:jc w:val="center"/>
              <w:rPr>
                <w:b/>
                <w:noProof/>
                <w:lang w:val="en-IE"/>
              </w:rPr>
            </w:pPr>
            <w:r w:rsidRPr="00814871">
              <w:rPr>
                <w:b/>
                <w:noProof/>
                <w:sz w:val="22"/>
                <w:lang w:val="en-IE"/>
              </w:rPr>
              <w:t xml:space="preserve">TOTAL appropriations </w:t>
            </w:r>
            <w:r w:rsidRPr="00814871">
              <w:rPr>
                <w:noProof/>
                <w:sz w:val="22"/>
                <w:lang w:val="en-IE"/>
              </w:rPr>
              <w:br/>
            </w:r>
            <w:r w:rsidRPr="00814871">
              <w:rPr>
                <w:b/>
                <w:noProof/>
                <w:sz w:val="22"/>
                <w:lang w:val="en-IE"/>
              </w:rPr>
              <w:t xml:space="preserve">under HEADING </w:t>
            </w:r>
            <w:r>
              <w:rPr>
                <w:b/>
                <w:noProof/>
                <w:sz w:val="22"/>
                <w:lang w:val="en-IE"/>
              </w:rPr>
              <w:t>3</w:t>
            </w:r>
            <w:r w:rsidRPr="00814871">
              <w:rPr>
                <w:noProof/>
                <w:sz w:val="22"/>
                <w:lang w:val="en-IE"/>
              </w:rPr>
              <w:br/>
              <w:t>of the multiannual financial framework</w:t>
            </w:r>
          </w:p>
        </w:tc>
        <w:tc>
          <w:tcPr>
            <w:tcW w:w="1440" w:type="dxa"/>
            <w:vAlign w:val="center"/>
          </w:tcPr>
          <w:p w:rsidR="00680441" w:rsidRPr="00814871" w:rsidRDefault="00680441" w:rsidP="00680441">
            <w:pPr>
              <w:rPr>
                <w:noProof/>
                <w:sz w:val="18"/>
                <w:lang w:val="en-IE"/>
              </w:rPr>
            </w:pPr>
            <w:r w:rsidRPr="00814871">
              <w:rPr>
                <w:noProof/>
                <w:sz w:val="18"/>
                <w:lang w:val="en-IE"/>
              </w:rPr>
              <w:t>Commitments</w:t>
            </w:r>
          </w:p>
        </w:tc>
        <w:tc>
          <w:tcPr>
            <w:tcW w:w="654" w:type="dxa"/>
            <w:vAlign w:val="center"/>
          </w:tcPr>
          <w:p w:rsidR="00680441" w:rsidRPr="00814871" w:rsidRDefault="00680441" w:rsidP="00680441">
            <w:pPr>
              <w:jc w:val="center"/>
              <w:rPr>
                <w:noProof/>
                <w:sz w:val="14"/>
                <w:lang w:val="en-IE"/>
              </w:rPr>
            </w:pPr>
            <w:r>
              <w:rPr>
                <w:noProof/>
                <w:sz w:val="14"/>
                <w:lang w:val="en-IE"/>
              </w:rPr>
              <w:t>=4</w:t>
            </w:r>
          </w:p>
        </w:tc>
        <w:tc>
          <w:tcPr>
            <w:tcW w:w="827" w:type="dxa"/>
            <w:vAlign w:val="center"/>
          </w:tcPr>
          <w:p w:rsidR="00680441" w:rsidRPr="005F0DFB" w:rsidRDefault="00680441" w:rsidP="00680441">
            <w:pPr>
              <w:spacing w:after="0"/>
              <w:jc w:val="right"/>
              <w:rPr>
                <w:noProof/>
                <w:lang w:val="en-IE"/>
              </w:rPr>
            </w:pPr>
          </w:p>
        </w:tc>
        <w:tc>
          <w:tcPr>
            <w:tcW w:w="850"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0,479</w:t>
            </w:r>
          </w:p>
        </w:tc>
        <w:tc>
          <w:tcPr>
            <w:tcW w:w="992"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0,935</w:t>
            </w:r>
          </w:p>
        </w:tc>
        <w:tc>
          <w:tcPr>
            <w:tcW w:w="709"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0,890</w:t>
            </w:r>
          </w:p>
        </w:tc>
        <w:tc>
          <w:tcPr>
            <w:tcW w:w="993"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0,905</w:t>
            </w:r>
          </w:p>
        </w:tc>
        <w:tc>
          <w:tcPr>
            <w:tcW w:w="3680"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b/>
                <w:noProof/>
                <w:lang w:val="en-IE"/>
              </w:rPr>
            </w:pPr>
            <w:r>
              <w:rPr>
                <w:rFonts w:eastAsia="Times New Roman"/>
                <w:b/>
                <w:bCs/>
                <w:noProof/>
                <w:color w:val="000000"/>
                <w:sz w:val="20"/>
                <w:szCs w:val="20"/>
              </w:rPr>
              <w:t>3,209</w:t>
            </w:r>
          </w:p>
        </w:tc>
      </w:tr>
      <w:tr w:rsidR="00680441" w:rsidRPr="00814871" w:rsidTr="00B318DC">
        <w:tc>
          <w:tcPr>
            <w:tcW w:w="3965" w:type="dxa"/>
            <w:shd w:val="thinDiagStripe" w:color="C0C0C0" w:fill="auto"/>
          </w:tcPr>
          <w:p w:rsidR="00680441" w:rsidRPr="00814871" w:rsidRDefault="00680441" w:rsidP="00680441">
            <w:pPr>
              <w:rPr>
                <w:noProof/>
                <w:sz w:val="20"/>
                <w:lang w:val="en-IE"/>
              </w:rPr>
            </w:pPr>
          </w:p>
        </w:tc>
        <w:tc>
          <w:tcPr>
            <w:tcW w:w="1440" w:type="dxa"/>
            <w:vAlign w:val="center"/>
          </w:tcPr>
          <w:p w:rsidR="00680441" w:rsidRPr="00814871" w:rsidRDefault="00680441" w:rsidP="00680441">
            <w:pPr>
              <w:rPr>
                <w:noProof/>
                <w:sz w:val="18"/>
                <w:lang w:val="en-IE"/>
              </w:rPr>
            </w:pPr>
            <w:r w:rsidRPr="00814871">
              <w:rPr>
                <w:noProof/>
                <w:sz w:val="18"/>
                <w:lang w:val="en-IE"/>
              </w:rPr>
              <w:t>Payments</w:t>
            </w:r>
          </w:p>
        </w:tc>
        <w:tc>
          <w:tcPr>
            <w:tcW w:w="654" w:type="dxa"/>
            <w:vAlign w:val="center"/>
          </w:tcPr>
          <w:p w:rsidR="00680441" w:rsidRPr="00814871" w:rsidRDefault="00680441" w:rsidP="00680441">
            <w:pPr>
              <w:jc w:val="center"/>
              <w:rPr>
                <w:noProof/>
                <w:sz w:val="14"/>
                <w:lang w:val="en-IE"/>
              </w:rPr>
            </w:pPr>
            <w:r>
              <w:rPr>
                <w:noProof/>
                <w:sz w:val="14"/>
                <w:lang w:val="en-IE"/>
              </w:rPr>
              <w:t>=5</w:t>
            </w:r>
          </w:p>
        </w:tc>
        <w:tc>
          <w:tcPr>
            <w:tcW w:w="827" w:type="dxa"/>
            <w:vAlign w:val="bottom"/>
          </w:tcPr>
          <w:p w:rsidR="00680441" w:rsidRPr="005F0DFB" w:rsidRDefault="00680441" w:rsidP="00680441">
            <w:pPr>
              <w:spacing w:after="0"/>
              <w:jc w:val="right"/>
              <w:rPr>
                <w:noProof/>
                <w:lang w:val="en-IE"/>
              </w:rPr>
            </w:pPr>
          </w:p>
        </w:tc>
        <w:tc>
          <w:tcPr>
            <w:tcW w:w="850"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0,479</w:t>
            </w:r>
          </w:p>
        </w:tc>
        <w:tc>
          <w:tcPr>
            <w:tcW w:w="992"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0,935</w:t>
            </w:r>
          </w:p>
        </w:tc>
        <w:tc>
          <w:tcPr>
            <w:tcW w:w="709"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0,890</w:t>
            </w:r>
          </w:p>
        </w:tc>
        <w:tc>
          <w:tcPr>
            <w:tcW w:w="993"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noProof/>
                <w:lang w:val="en-IE"/>
              </w:rPr>
            </w:pPr>
            <w:r>
              <w:rPr>
                <w:rFonts w:eastAsia="Times New Roman"/>
                <w:noProof/>
                <w:color w:val="000000"/>
                <w:sz w:val="20"/>
                <w:szCs w:val="20"/>
              </w:rPr>
              <w:t>0,905</w:t>
            </w:r>
          </w:p>
        </w:tc>
        <w:tc>
          <w:tcPr>
            <w:tcW w:w="3680" w:type="dxa"/>
            <w:tcBorders>
              <w:top w:val="single" w:sz="4" w:space="0" w:color="auto"/>
              <w:left w:val="single" w:sz="4" w:space="0" w:color="auto"/>
              <w:bottom w:val="single" w:sz="4" w:space="0" w:color="auto"/>
              <w:right w:val="single" w:sz="4" w:space="0" w:color="auto"/>
            </w:tcBorders>
            <w:vAlign w:val="center"/>
          </w:tcPr>
          <w:p w:rsidR="00680441" w:rsidRPr="005F0DFB" w:rsidRDefault="00680441" w:rsidP="00680441">
            <w:pPr>
              <w:spacing w:after="0"/>
              <w:jc w:val="right"/>
              <w:rPr>
                <w:b/>
                <w:noProof/>
                <w:lang w:val="en-IE"/>
              </w:rPr>
            </w:pPr>
            <w:r>
              <w:rPr>
                <w:rFonts w:eastAsia="Times New Roman"/>
                <w:b/>
                <w:bCs/>
                <w:noProof/>
                <w:color w:val="000000"/>
                <w:sz w:val="20"/>
                <w:szCs w:val="20"/>
              </w:rPr>
              <w:t>3,209</w:t>
            </w:r>
          </w:p>
        </w:tc>
      </w:tr>
    </w:tbl>
    <w:p w:rsidR="004755EE" w:rsidRDefault="004755EE" w:rsidP="004755EE">
      <w:pPr>
        <w:jc w:val="right"/>
        <w:rPr>
          <w:rFonts w:eastAsia="Calibri"/>
          <w:noProof/>
          <w:lang w:eastAsia="en-GB"/>
        </w:rPr>
      </w:pPr>
    </w:p>
    <w:p w:rsidR="004755EE" w:rsidRDefault="004755EE" w:rsidP="004755EE">
      <w:pPr>
        <w:jc w:val="right"/>
        <w:rPr>
          <w:rFonts w:eastAsia="Calibri"/>
          <w:noProof/>
          <w:sz w:val="20"/>
          <w:lang w:eastAsia="en-GB"/>
        </w:rPr>
      </w:pPr>
      <w:r>
        <w:rPr>
          <w:rFonts w:eastAsia="Calibri"/>
          <w:noProof/>
          <w:sz w:val="20"/>
          <w:lang w:eastAsia="en-GB"/>
        </w:rPr>
        <w:t>EUR million (to three decimal places)</w:t>
      </w:r>
    </w:p>
    <w:tbl>
      <w:tblPr>
        <w:tblW w:w="13892" w:type="dxa"/>
        <w:tblInd w:w="-176" w:type="dxa"/>
        <w:tblLook w:val="04A0" w:firstRow="1" w:lastRow="0" w:firstColumn="1" w:lastColumn="0" w:noHBand="0" w:noVBand="1"/>
      </w:tblPr>
      <w:tblGrid>
        <w:gridCol w:w="9498"/>
        <w:gridCol w:w="851"/>
        <w:gridCol w:w="3543"/>
      </w:tblGrid>
      <w:tr w:rsidR="004755EE" w:rsidRPr="00745935" w:rsidTr="00E863E4">
        <w:trPr>
          <w:trHeight w:val="397"/>
        </w:trPr>
        <w:tc>
          <w:tcPr>
            <w:tcW w:w="9498" w:type="dxa"/>
            <w:tcBorders>
              <w:top w:val="single" w:sz="4" w:space="0" w:color="auto"/>
              <w:left w:val="single" w:sz="4" w:space="0" w:color="auto"/>
              <w:bottom w:val="single" w:sz="4" w:space="0" w:color="auto"/>
              <w:right w:val="single" w:sz="4" w:space="0" w:color="auto"/>
            </w:tcBorders>
            <w:shd w:val="thinDiagStripe" w:color="C0C0C0" w:fill="F1F1F1"/>
            <w:vAlign w:val="center"/>
            <w:hideMark/>
          </w:tcPr>
          <w:p w:rsidR="004755EE" w:rsidRDefault="004755EE" w:rsidP="00E863E4">
            <w:pPr>
              <w:spacing w:before="0" w:after="0"/>
              <w:jc w:val="left"/>
              <w:rPr>
                <w:rFonts w:eastAsia="Times New Roman"/>
                <w:b/>
                <w:bCs/>
                <w:noProof/>
                <w:color w:val="000000"/>
                <w:sz w:val="22"/>
              </w:rPr>
            </w:pPr>
            <w:r>
              <w:rPr>
                <w:rFonts w:eastAsia="Times New Roman"/>
                <w:b/>
                <w:bCs/>
                <w:noProof/>
                <w:color w:val="000000"/>
                <w:sz w:val="22"/>
              </w:rPr>
              <w:t xml:space="preserve">Heading of multiannual financial framework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55EE" w:rsidRPr="00745935" w:rsidRDefault="004755EE" w:rsidP="00E863E4">
            <w:pPr>
              <w:spacing w:before="0" w:after="0"/>
              <w:jc w:val="center"/>
              <w:rPr>
                <w:rFonts w:eastAsia="Times New Roman"/>
                <w:noProof/>
                <w:color w:val="000000"/>
                <w:sz w:val="22"/>
              </w:rPr>
            </w:pPr>
            <w:r>
              <w:rPr>
                <w:rFonts w:eastAsia="Times New Roman"/>
                <w:noProof/>
                <w:color w:val="000000"/>
                <w:sz w:val="22"/>
              </w:rPr>
              <w:t>7</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4755EE" w:rsidRPr="00745935" w:rsidRDefault="004755EE" w:rsidP="00E863E4">
            <w:pPr>
              <w:spacing w:before="0" w:after="0"/>
              <w:jc w:val="center"/>
              <w:rPr>
                <w:rFonts w:eastAsia="Times New Roman"/>
                <w:noProof/>
                <w:color w:val="000000"/>
                <w:szCs w:val="24"/>
              </w:rPr>
            </w:pPr>
            <w:r w:rsidRPr="008B4D76">
              <w:rPr>
                <w:rFonts w:eastAsia="Times New Roman"/>
                <w:noProof/>
                <w:color w:val="000000"/>
                <w:sz w:val="22"/>
              </w:rPr>
              <w:t>'</w:t>
            </w:r>
            <w:r>
              <w:rPr>
                <w:rFonts w:eastAsia="Times New Roman"/>
                <w:noProof/>
                <w:color w:val="000000"/>
                <w:sz w:val="22"/>
              </w:rPr>
              <w:t>Administrative expenditure</w:t>
            </w:r>
            <w:r w:rsidRPr="008B4D76">
              <w:rPr>
                <w:rFonts w:eastAsia="Times New Roman"/>
                <w:noProof/>
                <w:color w:val="000000"/>
                <w:sz w:val="22"/>
              </w:rPr>
              <w:t>'</w:t>
            </w:r>
          </w:p>
        </w:tc>
      </w:tr>
    </w:tbl>
    <w:p w:rsidR="004755EE" w:rsidRDefault="004755EE" w:rsidP="004755EE">
      <w:pPr>
        <w:jc w:val="right"/>
        <w:rPr>
          <w:rFonts w:eastAsia="Calibri"/>
          <w:noProof/>
          <w:sz w:val="20"/>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31"/>
        <w:gridCol w:w="3482"/>
      </w:tblGrid>
      <w:tr w:rsidR="004755EE" w:rsidTr="00E863E4">
        <w:tc>
          <w:tcPr>
            <w:tcW w:w="3960" w:type="dxa"/>
            <w:tcBorders>
              <w:top w:val="nil"/>
              <w:left w:val="nil"/>
              <w:right w:val="nil"/>
            </w:tcBorders>
            <w:vAlign w:val="center"/>
          </w:tcPr>
          <w:p w:rsidR="004755EE" w:rsidRDefault="004755EE" w:rsidP="00E863E4">
            <w:pPr>
              <w:jc w:val="center"/>
              <w:rPr>
                <w:rFonts w:eastAsia="Calibri"/>
                <w:noProof/>
                <w:lang w:eastAsia="en-GB"/>
              </w:rPr>
            </w:pPr>
          </w:p>
        </w:tc>
        <w:tc>
          <w:tcPr>
            <w:tcW w:w="1560" w:type="dxa"/>
            <w:tcBorders>
              <w:top w:val="nil"/>
              <w:left w:val="nil"/>
              <w:right w:val="nil"/>
            </w:tcBorders>
          </w:tcPr>
          <w:p w:rsidR="004755EE" w:rsidRDefault="004755EE" w:rsidP="00E863E4">
            <w:pPr>
              <w:rPr>
                <w:rFonts w:eastAsia="Calibri"/>
                <w:noProof/>
                <w:sz w:val="20"/>
                <w:lang w:eastAsia="en-GB"/>
              </w:rPr>
            </w:pPr>
          </w:p>
        </w:tc>
        <w:tc>
          <w:tcPr>
            <w:tcW w:w="534" w:type="dxa"/>
            <w:tcBorders>
              <w:top w:val="nil"/>
              <w:left w:val="nil"/>
            </w:tcBorders>
          </w:tcPr>
          <w:p w:rsidR="004755EE" w:rsidRDefault="004755EE" w:rsidP="00E863E4">
            <w:pPr>
              <w:jc w:val="center"/>
              <w:rPr>
                <w:rFonts w:eastAsia="Calibri"/>
                <w:noProof/>
                <w:sz w:val="20"/>
                <w:lang w:eastAsia="en-GB"/>
              </w:rPr>
            </w:pPr>
          </w:p>
        </w:tc>
        <w:tc>
          <w:tcPr>
            <w:tcW w:w="868" w:type="dxa"/>
            <w:vAlign w:val="center"/>
          </w:tcPr>
          <w:p w:rsidR="004755EE" w:rsidRDefault="004755EE" w:rsidP="00E863E4">
            <w:pPr>
              <w:jc w:val="center"/>
              <w:rPr>
                <w:rFonts w:eastAsia="Calibri"/>
                <w:noProof/>
                <w:sz w:val="20"/>
                <w:lang w:eastAsia="en-GB"/>
              </w:rPr>
            </w:pPr>
            <w:r w:rsidRPr="00034089">
              <w:rPr>
                <w:rFonts w:eastAsia="Calibri"/>
                <w:noProof/>
                <w:sz w:val="20"/>
                <w:lang w:eastAsia="en-GB"/>
              </w:rPr>
              <w:t>2023</w:t>
            </w:r>
          </w:p>
        </w:tc>
        <w:tc>
          <w:tcPr>
            <w:tcW w:w="868" w:type="dxa"/>
            <w:vAlign w:val="center"/>
          </w:tcPr>
          <w:p w:rsidR="004755EE" w:rsidRDefault="004755EE" w:rsidP="00E863E4">
            <w:pPr>
              <w:jc w:val="center"/>
              <w:rPr>
                <w:rFonts w:eastAsia="Calibri"/>
                <w:noProof/>
                <w:sz w:val="20"/>
                <w:lang w:eastAsia="en-GB"/>
              </w:rPr>
            </w:pPr>
            <w:r>
              <w:rPr>
                <w:rFonts w:eastAsia="Calibri"/>
                <w:noProof/>
                <w:sz w:val="20"/>
                <w:lang w:eastAsia="en-GB"/>
              </w:rPr>
              <w:t>2024</w:t>
            </w:r>
          </w:p>
        </w:tc>
        <w:tc>
          <w:tcPr>
            <w:tcW w:w="868" w:type="dxa"/>
            <w:vAlign w:val="center"/>
          </w:tcPr>
          <w:p w:rsidR="004755EE" w:rsidRDefault="004755EE" w:rsidP="00E863E4">
            <w:pPr>
              <w:jc w:val="center"/>
              <w:rPr>
                <w:rFonts w:eastAsia="Calibri"/>
                <w:noProof/>
                <w:sz w:val="20"/>
                <w:lang w:eastAsia="en-GB"/>
              </w:rPr>
            </w:pPr>
            <w:r>
              <w:rPr>
                <w:rFonts w:eastAsia="Calibri"/>
                <w:noProof/>
                <w:sz w:val="20"/>
                <w:lang w:eastAsia="en-GB"/>
              </w:rPr>
              <w:t>2025</w:t>
            </w:r>
          </w:p>
        </w:tc>
        <w:tc>
          <w:tcPr>
            <w:tcW w:w="868" w:type="dxa"/>
            <w:vAlign w:val="center"/>
          </w:tcPr>
          <w:p w:rsidR="004755EE" w:rsidRDefault="004755EE" w:rsidP="00E863E4">
            <w:pPr>
              <w:jc w:val="center"/>
              <w:rPr>
                <w:rFonts w:eastAsia="Calibri"/>
                <w:noProof/>
                <w:sz w:val="20"/>
                <w:lang w:eastAsia="en-GB"/>
              </w:rPr>
            </w:pPr>
            <w:r>
              <w:rPr>
                <w:rFonts w:eastAsia="Calibri"/>
                <w:noProof/>
                <w:sz w:val="20"/>
                <w:lang w:eastAsia="en-GB"/>
              </w:rPr>
              <w:t>2026</w:t>
            </w:r>
          </w:p>
        </w:tc>
        <w:tc>
          <w:tcPr>
            <w:tcW w:w="899" w:type="dxa"/>
            <w:gridSpan w:val="2"/>
            <w:vAlign w:val="center"/>
          </w:tcPr>
          <w:p w:rsidR="004755EE" w:rsidRDefault="004755EE" w:rsidP="00E863E4">
            <w:pPr>
              <w:jc w:val="center"/>
              <w:rPr>
                <w:rFonts w:eastAsia="Calibri"/>
                <w:b/>
                <w:noProof/>
                <w:sz w:val="18"/>
                <w:lang w:eastAsia="en-GB"/>
              </w:rPr>
            </w:pPr>
            <w:r>
              <w:rPr>
                <w:rFonts w:eastAsia="Calibri"/>
                <w:noProof/>
                <w:sz w:val="18"/>
                <w:lang w:eastAsia="en-GB"/>
              </w:rPr>
              <w:t xml:space="preserve">2027 </w:t>
            </w:r>
          </w:p>
        </w:tc>
        <w:tc>
          <w:tcPr>
            <w:tcW w:w="3482" w:type="dxa"/>
            <w:vAlign w:val="center"/>
          </w:tcPr>
          <w:p w:rsidR="004755EE" w:rsidRDefault="004755EE" w:rsidP="00E863E4">
            <w:pPr>
              <w:jc w:val="center"/>
              <w:rPr>
                <w:rFonts w:eastAsia="Calibri"/>
                <w:b/>
                <w:noProof/>
                <w:sz w:val="20"/>
                <w:lang w:eastAsia="en-GB"/>
              </w:rPr>
            </w:pPr>
            <w:r>
              <w:rPr>
                <w:rFonts w:eastAsia="Calibri"/>
                <w:b/>
                <w:noProof/>
                <w:sz w:val="20"/>
                <w:lang w:eastAsia="en-GB"/>
              </w:rPr>
              <w:t>TOTAL</w:t>
            </w:r>
          </w:p>
        </w:tc>
      </w:tr>
      <w:tr w:rsidR="004755EE" w:rsidTr="00E863E4">
        <w:trPr>
          <w:gridAfter w:val="9"/>
          <w:wAfter w:w="9947" w:type="dxa"/>
        </w:trPr>
        <w:tc>
          <w:tcPr>
            <w:tcW w:w="3960" w:type="dxa"/>
            <w:vAlign w:val="center"/>
          </w:tcPr>
          <w:p w:rsidR="004755EE" w:rsidRDefault="004755EE" w:rsidP="00E863E4">
            <w:pPr>
              <w:spacing w:before="60" w:after="60"/>
              <w:jc w:val="center"/>
              <w:rPr>
                <w:rFonts w:eastAsia="Calibri"/>
                <w:noProof/>
                <w:lang w:eastAsia="en-GB"/>
              </w:rPr>
            </w:pPr>
            <w:r>
              <w:rPr>
                <w:rFonts w:eastAsia="Calibri"/>
                <w:noProof/>
                <w:sz w:val="22"/>
                <w:lang w:eastAsia="en-GB"/>
              </w:rPr>
              <w:t>DG: CLIMA</w:t>
            </w:r>
          </w:p>
        </w:tc>
      </w:tr>
      <w:tr w:rsidR="004755EE" w:rsidTr="00E863E4">
        <w:trPr>
          <w:trHeight w:val="638"/>
        </w:trPr>
        <w:tc>
          <w:tcPr>
            <w:tcW w:w="6054" w:type="dxa"/>
            <w:gridSpan w:val="3"/>
            <w:vAlign w:val="center"/>
          </w:tcPr>
          <w:p w:rsidR="004755EE" w:rsidRDefault="004755EE" w:rsidP="00E863E4">
            <w:pPr>
              <w:spacing w:before="20" w:after="20"/>
              <w:rPr>
                <w:rFonts w:eastAsia="Calibri"/>
                <w:noProof/>
                <w:lang w:eastAsia="en-GB"/>
              </w:rPr>
            </w:pPr>
            <w:r>
              <w:rPr>
                <w:rFonts w:ascii="Wingdings" w:eastAsia="Wingdings" w:hAnsi="Wingdings" w:cs="Wingdings"/>
                <w:noProof/>
                <w:sz w:val="22"/>
                <w:lang w:eastAsia="en-GB"/>
              </w:rPr>
              <w:t>□</w:t>
            </w:r>
            <w:r>
              <w:rPr>
                <w:rFonts w:eastAsia="Calibri"/>
                <w:noProof/>
                <w:sz w:val="22"/>
                <w:lang w:eastAsia="en-GB"/>
              </w:rPr>
              <w:t xml:space="preserve"> Human resources </w:t>
            </w:r>
          </w:p>
        </w:tc>
        <w:tc>
          <w:tcPr>
            <w:tcW w:w="868" w:type="dxa"/>
            <w:vAlign w:val="center"/>
          </w:tcPr>
          <w:p w:rsidR="004755EE" w:rsidRDefault="004755EE" w:rsidP="00E863E4">
            <w:pPr>
              <w:spacing w:before="20" w:after="20"/>
              <w:rPr>
                <w:rFonts w:eastAsia="Calibri"/>
                <w:noProof/>
                <w:sz w:val="20"/>
                <w:lang w:eastAsia="en-GB"/>
              </w:rPr>
            </w:pP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w:t>
            </w:r>
            <w:r w:rsidR="00F5152C">
              <w:rPr>
                <w:rFonts w:eastAsia="Calibri"/>
                <w:noProof/>
                <w:sz w:val="20"/>
                <w:lang w:eastAsia="en-GB"/>
              </w:rPr>
              <w:t>0</w:t>
            </w:r>
            <w:r w:rsidR="00C54695">
              <w:rPr>
                <w:rFonts w:eastAsia="Calibri"/>
                <w:noProof/>
                <w:sz w:val="20"/>
                <w:lang w:eastAsia="en-GB"/>
              </w:rPr>
              <w:t>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3513" w:type="dxa"/>
            <w:gridSpan w:val="2"/>
            <w:vAlign w:val="center"/>
          </w:tcPr>
          <w:p w:rsidR="004755EE" w:rsidRDefault="004755EE" w:rsidP="00E863E4">
            <w:pPr>
              <w:spacing w:before="20" w:after="20"/>
              <w:jc w:val="center"/>
              <w:rPr>
                <w:rFonts w:eastAsia="Calibri"/>
                <w:noProof/>
                <w:sz w:val="20"/>
                <w:lang w:eastAsia="en-GB"/>
              </w:rPr>
            </w:pPr>
          </w:p>
          <w:p w:rsidR="004755EE" w:rsidRPr="002717E6" w:rsidRDefault="004755EE" w:rsidP="00E863E4">
            <w:pPr>
              <w:spacing w:before="20" w:after="20"/>
              <w:jc w:val="center"/>
              <w:rPr>
                <w:rFonts w:eastAsia="Calibri"/>
                <w:b/>
                <w:bCs/>
                <w:noProof/>
                <w:sz w:val="20"/>
                <w:lang w:eastAsia="en-GB"/>
              </w:rPr>
            </w:pPr>
            <w:r w:rsidRPr="002717E6">
              <w:rPr>
                <w:rFonts w:eastAsia="Calibri"/>
                <w:b/>
                <w:bCs/>
                <w:noProof/>
                <w:sz w:val="20"/>
                <w:lang w:eastAsia="en-GB"/>
              </w:rPr>
              <w:t>0</w:t>
            </w:r>
            <w:r w:rsidR="00C54695">
              <w:rPr>
                <w:rFonts w:eastAsia="Calibri"/>
                <w:b/>
                <w:bCs/>
                <w:noProof/>
                <w:sz w:val="20"/>
                <w:lang w:eastAsia="en-GB"/>
              </w:rPr>
              <w:t>,364</w:t>
            </w:r>
          </w:p>
          <w:p w:rsidR="004755EE" w:rsidRDefault="004755EE" w:rsidP="00E863E4">
            <w:pPr>
              <w:spacing w:before="20" w:after="20"/>
              <w:jc w:val="right"/>
              <w:rPr>
                <w:rFonts w:eastAsia="Calibri"/>
                <w:b/>
                <w:noProof/>
                <w:sz w:val="20"/>
                <w:lang w:eastAsia="en-GB"/>
              </w:rPr>
            </w:pPr>
          </w:p>
        </w:tc>
      </w:tr>
      <w:tr w:rsidR="004755EE" w:rsidTr="00E863E4">
        <w:trPr>
          <w:trHeight w:val="351"/>
        </w:trPr>
        <w:tc>
          <w:tcPr>
            <w:tcW w:w="6054" w:type="dxa"/>
            <w:gridSpan w:val="3"/>
            <w:vAlign w:val="center"/>
          </w:tcPr>
          <w:p w:rsidR="004755EE" w:rsidRDefault="004755EE" w:rsidP="00E863E4">
            <w:pPr>
              <w:spacing w:before="20" w:after="20"/>
              <w:rPr>
                <w:rFonts w:eastAsia="Calibri"/>
                <w:noProof/>
                <w:lang w:eastAsia="en-GB"/>
              </w:rPr>
            </w:pPr>
            <w:r>
              <w:rPr>
                <w:rFonts w:ascii="Wingdings" w:eastAsia="Wingdings" w:hAnsi="Wingdings" w:cs="Wingdings"/>
                <w:noProof/>
                <w:sz w:val="22"/>
                <w:lang w:eastAsia="en-GB"/>
              </w:rPr>
              <w:t>□</w:t>
            </w:r>
            <w:r>
              <w:rPr>
                <w:rFonts w:eastAsia="Calibri"/>
                <w:noProof/>
                <w:sz w:val="22"/>
                <w:lang w:eastAsia="en-GB"/>
              </w:rPr>
              <w:t xml:space="preserve"> Other administrative expenditure </w:t>
            </w:r>
          </w:p>
        </w:tc>
        <w:tc>
          <w:tcPr>
            <w:tcW w:w="868" w:type="dxa"/>
            <w:vAlign w:val="center"/>
          </w:tcPr>
          <w:p w:rsidR="004755EE" w:rsidRDefault="004755EE" w:rsidP="00E863E4">
            <w:pPr>
              <w:spacing w:before="20" w:after="20"/>
              <w:jc w:val="right"/>
              <w:rPr>
                <w:rFonts w:eastAsia="Calibri"/>
                <w:b/>
                <w:noProof/>
                <w:sz w:val="20"/>
                <w:lang w:eastAsia="en-GB"/>
              </w:rPr>
            </w:pPr>
          </w:p>
        </w:tc>
        <w:tc>
          <w:tcPr>
            <w:tcW w:w="868" w:type="dxa"/>
            <w:vAlign w:val="center"/>
          </w:tcPr>
          <w:p w:rsidR="004755EE" w:rsidRDefault="004755EE" w:rsidP="00E863E4">
            <w:pPr>
              <w:spacing w:before="20" w:after="20"/>
              <w:jc w:val="right"/>
              <w:rPr>
                <w:rFonts w:eastAsia="Calibri"/>
                <w:b/>
                <w:noProof/>
                <w:sz w:val="20"/>
                <w:lang w:eastAsia="en-GB"/>
              </w:rPr>
            </w:pPr>
          </w:p>
        </w:tc>
        <w:tc>
          <w:tcPr>
            <w:tcW w:w="868" w:type="dxa"/>
            <w:vAlign w:val="center"/>
          </w:tcPr>
          <w:p w:rsidR="004755EE" w:rsidRDefault="004755EE" w:rsidP="00E863E4">
            <w:pPr>
              <w:spacing w:before="20" w:after="20"/>
              <w:jc w:val="right"/>
              <w:rPr>
                <w:rFonts w:eastAsia="Calibri"/>
                <w:b/>
                <w:noProof/>
                <w:sz w:val="20"/>
                <w:lang w:eastAsia="en-GB"/>
              </w:rPr>
            </w:pPr>
          </w:p>
        </w:tc>
        <w:tc>
          <w:tcPr>
            <w:tcW w:w="868" w:type="dxa"/>
            <w:vAlign w:val="center"/>
          </w:tcPr>
          <w:p w:rsidR="004755EE" w:rsidRDefault="004755EE" w:rsidP="00E863E4">
            <w:pPr>
              <w:spacing w:before="20" w:after="20"/>
              <w:jc w:val="right"/>
              <w:rPr>
                <w:rFonts w:eastAsia="Calibri"/>
                <w:b/>
                <w:noProof/>
                <w:sz w:val="20"/>
                <w:lang w:eastAsia="en-GB"/>
              </w:rPr>
            </w:pPr>
          </w:p>
        </w:tc>
        <w:tc>
          <w:tcPr>
            <w:tcW w:w="868" w:type="dxa"/>
            <w:vAlign w:val="center"/>
          </w:tcPr>
          <w:p w:rsidR="004755EE" w:rsidRDefault="004755EE" w:rsidP="00E863E4">
            <w:pPr>
              <w:spacing w:before="20" w:after="20"/>
              <w:jc w:val="right"/>
              <w:rPr>
                <w:rFonts w:eastAsia="Calibri"/>
                <w:b/>
                <w:noProof/>
                <w:sz w:val="20"/>
                <w:lang w:eastAsia="en-GB"/>
              </w:rPr>
            </w:pPr>
          </w:p>
        </w:tc>
        <w:tc>
          <w:tcPr>
            <w:tcW w:w="3513" w:type="dxa"/>
            <w:gridSpan w:val="2"/>
            <w:vAlign w:val="center"/>
          </w:tcPr>
          <w:p w:rsidR="004755EE" w:rsidRDefault="004755EE" w:rsidP="00E863E4">
            <w:pPr>
              <w:spacing w:before="20" w:after="20"/>
              <w:jc w:val="right"/>
              <w:rPr>
                <w:rFonts w:eastAsia="Calibri"/>
                <w:b/>
                <w:noProof/>
                <w:sz w:val="20"/>
                <w:lang w:eastAsia="en-GB"/>
              </w:rPr>
            </w:pPr>
          </w:p>
        </w:tc>
      </w:tr>
      <w:tr w:rsidR="004755EE" w:rsidTr="00E863E4">
        <w:trPr>
          <w:trHeight w:val="626"/>
        </w:trPr>
        <w:tc>
          <w:tcPr>
            <w:tcW w:w="3960" w:type="dxa"/>
            <w:vAlign w:val="center"/>
          </w:tcPr>
          <w:p w:rsidR="004755EE" w:rsidRDefault="004755EE" w:rsidP="00E863E4">
            <w:pPr>
              <w:jc w:val="center"/>
              <w:rPr>
                <w:rFonts w:eastAsia="Calibri"/>
                <w:b/>
                <w:noProof/>
                <w:lang w:eastAsia="en-GB"/>
              </w:rPr>
            </w:pPr>
            <w:r>
              <w:rPr>
                <w:rFonts w:eastAsia="Calibri"/>
                <w:b/>
                <w:noProof/>
                <w:sz w:val="22"/>
                <w:lang w:eastAsia="en-GB"/>
              </w:rPr>
              <w:t>TOTAL DG</w:t>
            </w:r>
            <w:r w:rsidRPr="00F14E52">
              <w:rPr>
                <w:rFonts w:eastAsia="Calibri"/>
                <w:b/>
                <w:bCs/>
                <w:noProof/>
                <w:sz w:val="22"/>
                <w:lang w:eastAsia="en-GB"/>
              </w:rPr>
              <w:t xml:space="preserve"> CLIMA</w:t>
            </w:r>
          </w:p>
        </w:tc>
        <w:tc>
          <w:tcPr>
            <w:tcW w:w="2094" w:type="dxa"/>
            <w:gridSpan w:val="2"/>
            <w:vAlign w:val="center"/>
          </w:tcPr>
          <w:p w:rsidR="004755EE" w:rsidRDefault="004755EE" w:rsidP="00E863E4">
            <w:pPr>
              <w:rPr>
                <w:rFonts w:eastAsia="Calibri"/>
                <w:noProof/>
                <w:sz w:val="14"/>
                <w:lang w:eastAsia="en-GB"/>
              </w:rPr>
            </w:pPr>
            <w:r>
              <w:rPr>
                <w:rFonts w:eastAsia="Calibri"/>
                <w:noProof/>
                <w:sz w:val="18"/>
                <w:lang w:eastAsia="en-GB"/>
              </w:rPr>
              <w:t xml:space="preserve">Appropriations </w:t>
            </w:r>
          </w:p>
        </w:tc>
        <w:tc>
          <w:tcPr>
            <w:tcW w:w="868" w:type="dxa"/>
            <w:vAlign w:val="center"/>
          </w:tcPr>
          <w:p w:rsidR="004755EE" w:rsidRDefault="004755EE" w:rsidP="00E863E4">
            <w:pPr>
              <w:spacing w:before="60" w:after="60"/>
              <w:jc w:val="right"/>
              <w:rPr>
                <w:rFonts w:eastAsia="Calibri"/>
                <w:noProof/>
                <w:sz w:val="20"/>
                <w:lang w:eastAsia="en-GB"/>
              </w:rPr>
            </w:pPr>
          </w:p>
        </w:tc>
        <w:tc>
          <w:tcPr>
            <w:tcW w:w="868" w:type="dxa"/>
            <w:vAlign w:val="center"/>
          </w:tcPr>
          <w:p w:rsidR="004755EE" w:rsidRDefault="00C54695"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3513" w:type="dxa"/>
            <w:gridSpan w:val="2"/>
            <w:vAlign w:val="center"/>
          </w:tcPr>
          <w:p w:rsidR="004755EE" w:rsidRPr="009B5C33" w:rsidRDefault="004755EE" w:rsidP="00E863E4">
            <w:pPr>
              <w:spacing w:before="20" w:after="20"/>
              <w:jc w:val="center"/>
              <w:rPr>
                <w:rFonts w:eastAsia="Calibri"/>
                <w:b/>
                <w:bCs/>
                <w:noProof/>
                <w:sz w:val="20"/>
                <w:lang w:eastAsia="en-GB"/>
              </w:rPr>
            </w:pPr>
            <w:r w:rsidRPr="002717E6">
              <w:rPr>
                <w:rFonts w:eastAsia="Calibri"/>
                <w:b/>
                <w:bCs/>
                <w:noProof/>
                <w:sz w:val="20"/>
                <w:lang w:eastAsia="en-GB"/>
              </w:rPr>
              <w:t>0</w:t>
            </w:r>
            <w:r w:rsidR="00C54695">
              <w:rPr>
                <w:rFonts w:eastAsia="Calibri"/>
                <w:b/>
                <w:bCs/>
                <w:noProof/>
                <w:sz w:val="20"/>
                <w:lang w:eastAsia="en-GB"/>
              </w:rPr>
              <w:t>,364</w:t>
            </w:r>
          </w:p>
        </w:tc>
      </w:tr>
    </w:tbl>
    <w:p w:rsidR="004755EE" w:rsidRDefault="004755EE" w:rsidP="004755EE">
      <w:pPr>
        <w:rPr>
          <w:noProof/>
        </w:rPr>
      </w:pPr>
      <w:r>
        <w:rPr>
          <w:noProof/>
        </w:rPr>
        <w:t xml:space="preserve">A FTE CA is needed to deal with the additional </w:t>
      </w:r>
      <w:r w:rsidR="002F431B">
        <w:rPr>
          <w:noProof/>
        </w:rPr>
        <w:t xml:space="preserve">data </w:t>
      </w:r>
      <w:r>
        <w:rPr>
          <w:noProof/>
        </w:rPr>
        <w:t>management.</w:t>
      </w:r>
    </w:p>
    <w:p w:rsidR="004755EE" w:rsidRDefault="004755EE" w:rsidP="004755EE">
      <w:pPr>
        <w:rPr>
          <w:rFonts w:eastAsia="Calibri"/>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3513"/>
      </w:tblGrid>
      <w:tr w:rsidR="004755EE" w:rsidTr="00E863E4">
        <w:tc>
          <w:tcPr>
            <w:tcW w:w="3960" w:type="dxa"/>
            <w:shd w:val="thinDiagStripe" w:color="C0C0C0" w:fill="auto"/>
            <w:vAlign w:val="center"/>
          </w:tcPr>
          <w:p w:rsidR="004755EE" w:rsidRDefault="004755EE" w:rsidP="00E863E4">
            <w:pPr>
              <w:jc w:val="center"/>
              <w:rPr>
                <w:rFonts w:eastAsia="Calibri"/>
                <w:b/>
                <w:noProof/>
                <w:lang w:eastAsia="en-GB"/>
              </w:rPr>
            </w:pPr>
            <w:r>
              <w:rPr>
                <w:rFonts w:eastAsia="Calibri"/>
                <w:b/>
                <w:noProof/>
                <w:sz w:val="22"/>
                <w:lang w:eastAsia="en-GB"/>
              </w:rPr>
              <w:t>TOTAL appropriations</w:t>
            </w:r>
            <w:r>
              <w:rPr>
                <w:rFonts w:eastAsia="Calibri"/>
                <w:noProof/>
                <w:sz w:val="22"/>
                <w:lang w:eastAsia="en-GB"/>
              </w:rPr>
              <w:br/>
            </w:r>
            <w:r>
              <w:rPr>
                <w:rFonts w:eastAsia="Calibri"/>
                <w:b/>
                <w:noProof/>
                <w:sz w:val="22"/>
                <w:lang w:eastAsia="en-GB"/>
              </w:rPr>
              <w:t>under HEADING 7</w:t>
            </w:r>
            <w:r>
              <w:rPr>
                <w:rFonts w:eastAsia="Calibri"/>
                <w:noProof/>
                <w:sz w:val="22"/>
                <w:lang w:eastAsia="en-GB"/>
              </w:rPr>
              <w:br/>
              <w:t>of the multiannual financial framework</w:t>
            </w:r>
            <w:r>
              <w:rPr>
                <w:rFonts w:eastAsia="Calibri"/>
                <w:b/>
                <w:noProof/>
                <w:sz w:val="22"/>
                <w:lang w:eastAsia="en-GB"/>
              </w:rPr>
              <w:t xml:space="preserve"> </w:t>
            </w:r>
          </w:p>
        </w:tc>
        <w:tc>
          <w:tcPr>
            <w:tcW w:w="2094" w:type="dxa"/>
            <w:vAlign w:val="center"/>
          </w:tcPr>
          <w:p w:rsidR="004755EE" w:rsidRDefault="004755EE" w:rsidP="00E863E4">
            <w:pPr>
              <w:spacing w:before="40" w:after="40"/>
              <w:rPr>
                <w:rFonts w:eastAsia="Calibri"/>
                <w:noProof/>
                <w:lang w:eastAsia="en-GB"/>
              </w:rPr>
            </w:pPr>
            <w:r>
              <w:rPr>
                <w:rFonts w:eastAsia="Calibri"/>
                <w:noProof/>
                <w:sz w:val="18"/>
                <w:lang w:eastAsia="en-GB"/>
              </w:rPr>
              <w:t>(Total commitments = Total payments)</w:t>
            </w:r>
          </w:p>
        </w:tc>
        <w:tc>
          <w:tcPr>
            <w:tcW w:w="868" w:type="dxa"/>
            <w:vAlign w:val="center"/>
          </w:tcPr>
          <w:p w:rsidR="004755EE" w:rsidRDefault="004755EE" w:rsidP="00E863E4">
            <w:pPr>
              <w:spacing w:before="20" w:after="20"/>
              <w:jc w:val="right"/>
              <w:rPr>
                <w:rFonts w:eastAsia="Calibri"/>
                <w:noProof/>
                <w:sz w:val="20"/>
                <w:lang w:eastAsia="en-GB"/>
              </w:rPr>
            </w:pPr>
          </w:p>
        </w:tc>
        <w:tc>
          <w:tcPr>
            <w:tcW w:w="868" w:type="dxa"/>
            <w:vAlign w:val="center"/>
          </w:tcPr>
          <w:p w:rsidR="004755EE" w:rsidRDefault="00C54695"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868" w:type="dxa"/>
            <w:vAlign w:val="center"/>
          </w:tcPr>
          <w:p w:rsidR="004755EE" w:rsidRDefault="004755EE" w:rsidP="00E863E4">
            <w:pPr>
              <w:spacing w:before="20" w:after="20"/>
              <w:jc w:val="right"/>
              <w:rPr>
                <w:rFonts w:eastAsia="Calibri"/>
                <w:noProof/>
                <w:sz w:val="20"/>
                <w:lang w:eastAsia="en-GB"/>
              </w:rPr>
            </w:pPr>
            <w:r>
              <w:rPr>
                <w:rFonts w:eastAsia="Calibri"/>
                <w:noProof/>
                <w:sz w:val="20"/>
                <w:lang w:eastAsia="en-GB"/>
              </w:rPr>
              <w:t>0,091</w:t>
            </w:r>
          </w:p>
        </w:tc>
        <w:tc>
          <w:tcPr>
            <w:tcW w:w="3513" w:type="dxa"/>
            <w:vAlign w:val="center"/>
          </w:tcPr>
          <w:p w:rsidR="004755EE" w:rsidRDefault="004755EE" w:rsidP="00E863E4">
            <w:pPr>
              <w:spacing w:before="20" w:after="20"/>
              <w:jc w:val="center"/>
              <w:rPr>
                <w:rFonts w:eastAsia="Calibri"/>
                <w:b/>
                <w:noProof/>
                <w:sz w:val="20"/>
                <w:lang w:eastAsia="en-GB"/>
              </w:rPr>
            </w:pPr>
            <w:r w:rsidRPr="002717E6">
              <w:rPr>
                <w:rFonts w:eastAsia="Calibri"/>
                <w:b/>
                <w:bCs/>
                <w:noProof/>
                <w:sz w:val="20"/>
                <w:lang w:eastAsia="en-GB"/>
              </w:rPr>
              <w:t>0</w:t>
            </w:r>
            <w:r w:rsidR="00C54695">
              <w:rPr>
                <w:rFonts w:eastAsia="Calibri"/>
                <w:b/>
                <w:bCs/>
                <w:noProof/>
                <w:sz w:val="20"/>
                <w:lang w:eastAsia="en-GB"/>
              </w:rPr>
              <w:t>,364</w:t>
            </w:r>
          </w:p>
        </w:tc>
      </w:tr>
    </w:tbl>
    <w:p w:rsidR="004755EE" w:rsidRDefault="004755EE" w:rsidP="004755EE">
      <w:pPr>
        <w:jc w:val="right"/>
        <w:rPr>
          <w:rFonts w:eastAsia="Calibri"/>
          <w:noProof/>
          <w:sz w:val="20"/>
          <w:lang w:eastAsia="en-GB"/>
        </w:rPr>
      </w:pPr>
      <w:r>
        <w:rPr>
          <w:rFonts w:eastAsia="Calibri"/>
          <w:noProof/>
          <w:sz w:val="20"/>
          <w:lang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99"/>
        <w:gridCol w:w="3482"/>
      </w:tblGrid>
      <w:tr w:rsidR="004755EE" w:rsidTr="00E863E4">
        <w:tc>
          <w:tcPr>
            <w:tcW w:w="3960" w:type="dxa"/>
            <w:tcBorders>
              <w:top w:val="nil"/>
              <w:left w:val="nil"/>
              <w:right w:val="nil"/>
            </w:tcBorders>
            <w:vAlign w:val="center"/>
          </w:tcPr>
          <w:p w:rsidR="004755EE" w:rsidRDefault="004755EE" w:rsidP="00E863E4">
            <w:pPr>
              <w:jc w:val="center"/>
              <w:rPr>
                <w:rFonts w:eastAsia="Calibri"/>
                <w:noProof/>
                <w:lang w:eastAsia="en-GB"/>
              </w:rPr>
            </w:pPr>
          </w:p>
        </w:tc>
        <w:tc>
          <w:tcPr>
            <w:tcW w:w="1560" w:type="dxa"/>
            <w:tcBorders>
              <w:top w:val="nil"/>
              <w:left w:val="nil"/>
              <w:right w:val="nil"/>
            </w:tcBorders>
          </w:tcPr>
          <w:p w:rsidR="004755EE" w:rsidRDefault="004755EE" w:rsidP="00E863E4">
            <w:pPr>
              <w:rPr>
                <w:rFonts w:eastAsia="Calibri"/>
                <w:noProof/>
                <w:sz w:val="20"/>
                <w:lang w:eastAsia="en-GB"/>
              </w:rPr>
            </w:pPr>
          </w:p>
        </w:tc>
        <w:tc>
          <w:tcPr>
            <w:tcW w:w="534" w:type="dxa"/>
            <w:tcBorders>
              <w:top w:val="nil"/>
              <w:left w:val="nil"/>
            </w:tcBorders>
          </w:tcPr>
          <w:p w:rsidR="004755EE" w:rsidRDefault="004755EE" w:rsidP="00E863E4">
            <w:pPr>
              <w:jc w:val="center"/>
              <w:rPr>
                <w:rFonts w:eastAsia="Calibri"/>
                <w:noProof/>
                <w:sz w:val="20"/>
                <w:lang w:eastAsia="en-GB"/>
              </w:rPr>
            </w:pPr>
          </w:p>
        </w:tc>
        <w:tc>
          <w:tcPr>
            <w:tcW w:w="868" w:type="dxa"/>
            <w:vAlign w:val="center"/>
          </w:tcPr>
          <w:p w:rsidR="004755EE" w:rsidRDefault="004755EE" w:rsidP="00E863E4">
            <w:pPr>
              <w:jc w:val="center"/>
              <w:rPr>
                <w:rFonts w:eastAsia="Calibri"/>
                <w:noProof/>
                <w:sz w:val="20"/>
                <w:lang w:eastAsia="en-GB"/>
              </w:rPr>
            </w:pPr>
            <w:r>
              <w:rPr>
                <w:rFonts w:eastAsia="Calibri"/>
                <w:noProof/>
                <w:sz w:val="20"/>
                <w:lang w:eastAsia="en-GB"/>
              </w:rPr>
              <w:t>2023</w:t>
            </w:r>
          </w:p>
        </w:tc>
        <w:tc>
          <w:tcPr>
            <w:tcW w:w="868" w:type="dxa"/>
            <w:vAlign w:val="center"/>
          </w:tcPr>
          <w:p w:rsidR="004755EE" w:rsidRDefault="004755EE" w:rsidP="00E863E4">
            <w:pPr>
              <w:jc w:val="center"/>
              <w:rPr>
                <w:rFonts w:eastAsia="Calibri"/>
                <w:noProof/>
                <w:sz w:val="20"/>
                <w:lang w:eastAsia="en-GB"/>
              </w:rPr>
            </w:pPr>
            <w:r>
              <w:rPr>
                <w:rFonts w:eastAsia="Calibri"/>
                <w:noProof/>
                <w:sz w:val="20"/>
                <w:lang w:eastAsia="en-GB"/>
              </w:rPr>
              <w:t>2024</w:t>
            </w:r>
          </w:p>
        </w:tc>
        <w:tc>
          <w:tcPr>
            <w:tcW w:w="868" w:type="dxa"/>
            <w:vAlign w:val="center"/>
          </w:tcPr>
          <w:p w:rsidR="004755EE" w:rsidRDefault="004755EE" w:rsidP="00E863E4">
            <w:pPr>
              <w:jc w:val="center"/>
              <w:rPr>
                <w:rFonts w:eastAsia="Calibri"/>
                <w:noProof/>
                <w:sz w:val="20"/>
                <w:lang w:eastAsia="en-GB"/>
              </w:rPr>
            </w:pPr>
            <w:r>
              <w:rPr>
                <w:rFonts w:eastAsia="Calibri"/>
                <w:noProof/>
                <w:sz w:val="20"/>
                <w:lang w:eastAsia="en-GB"/>
              </w:rPr>
              <w:t>2025</w:t>
            </w:r>
          </w:p>
        </w:tc>
        <w:tc>
          <w:tcPr>
            <w:tcW w:w="868" w:type="dxa"/>
            <w:vAlign w:val="center"/>
          </w:tcPr>
          <w:p w:rsidR="004755EE" w:rsidRDefault="004755EE" w:rsidP="00E863E4">
            <w:pPr>
              <w:jc w:val="center"/>
              <w:rPr>
                <w:rFonts w:eastAsia="Calibri"/>
                <w:noProof/>
                <w:sz w:val="20"/>
                <w:lang w:eastAsia="en-GB"/>
              </w:rPr>
            </w:pPr>
            <w:r>
              <w:rPr>
                <w:rFonts w:eastAsia="Calibri"/>
                <w:noProof/>
                <w:sz w:val="20"/>
                <w:lang w:eastAsia="en-GB"/>
              </w:rPr>
              <w:t>2026</w:t>
            </w:r>
          </w:p>
        </w:tc>
        <w:tc>
          <w:tcPr>
            <w:tcW w:w="899" w:type="dxa"/>
            <w:vAlign w:val="center"/>
          </w:tcPr>
          <w:p w:rsidR="004755EE" w:rsidRDefault="004755EE" w:rsidP="00E863E4">
            <w:pPr>
              <w:jc w:val="center"/>
              <w:rPr>
                <w:rFonts w:eastAsia="Calibri"/>
                <w:b/>
                <w:noProof/>
                <w:sz w:val="18"/>
                <w:lang w:eastAsia="en-GB"/>
              </w:rPr>
            </w:pPr>
            <w:r>
              <w:rPr>
                <w:rFonts w:eastAsia="Calibri"/>
                <w:noProof/>
                <w:sz w:val="18"/>
                <w:lang w:eastAsia="en-GB"/>
              </w:rPr>
              <w:t>2027</w:t>
            </w:r>
          </w:p>
        </w:tc>
        <w:tc>
          <w:tcPr>
            <w:tcW w:w="3482" w:type="dxa"/>
            <w:vAlign w:val="center"/>
          </w:tcPr>
          <w:p w:rsidR="004755EE" w:rsidRDefault="004755EE" w:rsidP="00E863E4">
            <w:pPr>
              <w:jc w:val="center"/>
              <w:rPr>
                <w:rFonts w:eastAsia="Calibri"/>
                <w:b/>
                <w:noProof/>
                <w:sz w:val="20"/>
                <w:lang w:eastAsia="en-GB"/>
              </w:rPr>
            </w:pPr>
            <w:r>
              <w:rPr>
                <w:rFonts w:eastAsia="Calibri"/>
                <w:b/>
                <w:noProof/>
                <w:sz w:val="20"/>
                <w:lang w:eastAsia="en-GB"/>
              </w:rPr>
              <w:t>TOTAL</w:t>
            </w:r>
          </w:p>
        </w:tc>
      </w:tr>
      <w:tr w:rsidR="00680441" w:rsidTr="00B318DC">
        <w:tc>
          <w:tcPr>
            <w:tcW w:w="3960" w:type="dxa"/>
            <w:vMerge w:val="restart"/>
            <w:shd w:val="clear" w:color="auto" w:fill="C0C0C0"/>
            <w:vAlign w:val="center"/>
          </w:tcPr>
          <w:p w:rsidR="00680441" w:rsidRDefault="00680441" w:rsidP="00680441">
            <w:pPr>
              <w:jc w:val="center"/>
              <w:rPr>
                <w:rFonts w:eastAsia="Calibri"/>
                <w:b/>
                <w:noProof/>
                <w:lang w:eastAsia="en-GB"/>
              </w:rPr>
            </w:pPr>
            <w:r>
              <w:rPr>
                <w:rFonts w:eastAsia="Calibri"/>
                <w:b/>
                <w:noProof/>
                <w:sz w:val="22"/>
                <w:lang w:eastAsia="en-GB"/>
              </w:rPr>
              <w:t xml:space="preserve">TOTAL appropriations </w:t>
            </w:r>
            <w:r>
              <w:rPr>
                <w:rFonts w:eastAsia="Calibri"/>
                <w:noProof/>
                <w:sz w:val="22"/>
                <w:lang w:eastAsia="en-GB"/>
              </w:rPr>
              <w:br/>
            </w:r>
            <w:r>
              <w:rPr>
                <w:rFonts w:eastAsia="Calibri"/>
                <w:b/>
                <w:noProof/>
                <w:sz w:val="22"/>
                <w:lang w:eastAsia="en-GB"/>
              </w:rPr>
              <w:t>under HEADINGS 1 to 7</w:t>
            </w:r>
            <w:r>
              <w:rPr>
                <w:rFonts w:eastAsia="Calibri"/>
                <w:noProof/>
                <w:sz w:val="22"/>
                <w:lang w:eastAsia="en-GB"/>
              </w:rPr>
              <w:br/>
              <w:t>of the multiannual financial framework</w:t>
            </w:r>
            <w:r>
              <w:rPr>
                <w:rFonts w:eastAsia="Calibri"/>
                <w:b/>
                <w:noProof/>
                <w:sz w:val="22"/>
                <w:lang w:eastAsia="en-GB"/>
              </w:rPr>
              <w:t xml:space="preserve"> </w:t>
            </w:r>
          </w:p>
        </w:tc>
        <w:tc>
          <w:tcPr>
            <w:tcW w:w="2094" w:type="dxa"/>
            <w:gridSpan w:val="2"/>
            <w:vAlign w:val="center"/>
          </w:tcPr>
          <w:p w:rsidR="00680441" w:rsidRDefault="00680441" w:rsidP="00680441">
            <w:pPr>
              <w:rPr>
                <w:rFonts w:eastAsia="Calibri"/>
                <w:noProof/>
                <w:sz w:val="14"/>
                <w:lang w:eastAsia="en-GB"/>
              </w:rPr>
            </w:pPr>
            <w:r>
              <w:rPr>
                <w:rFonts w:eastAsia="Calibri"/>
                <w:noProof/>
                <w:sz w:val="18"/>
                <w:lang w:eastAsia="en-GB"/>
              </w:rPr>
              <w:t>Commitments</w:t>
            </w:r>
          </w:p>
        </w:tc>
        <w:tc>
          <w:tcPr>
            <w:tcW w:w="868" w:type="dxa"/>
            <w:vAlign w:val="center"/>
          </w:tcPr>
          <w:p w:rsidR="00680441" w:rsidRDefault="00680441" w:rsidP="00680441">
            <w:pPr>
              <w:spacing w:before="60" w:after="60"/>
              <w:jc w:val="right"/>
              <w:rPr>
                <w:rFonts w:eastAsia="Calibri"/>
                <w:noProof/>
                <w:sz w:val="20"/>
                <w:lang w:eastAsia="en-GB"/>
              </w:rPr>
            </w:pPr>
          </w:p>
        </w:tc>
        <w:tc>
          <w:tcPr>
            <w:tcW w:w="868"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noProof/>
                <w:sz w:val="20"/>
                <w:lang w:eastAsia="en-GB"/>
              </w:rPr>
            </w:pPr>
            <w:r>
              <w:rPr>
                <w:rFonts w:eastAsia="Times New Roman"/>
                <w:noProof/>
                <w:color w:val="000000"/>
                <w:sz w:val="20"/>
                <w:szCs w:val="20"/>
              </w:rPr>
              <w:t>0,570</w:t>
            </w:r>
          </w:p>
        </w:tc>
        <w:tc>
          <w:tcPr>
            <w:tcW w:w="868"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noProof/>
                <w:sz w:val="20"/>
                <w:lang w:eastAsia="en-GB"/>
              </w:rPr>
            </w:pPr>
            <w:r>
              <w:rPr>
                <w:rFonts w:eastAsia="Times New Roman"/>
                <w:noProof/>
                <w:color w:val="000000"/>
                <w:sz w:val="20"/>
                <w:szCs w:val="20"/>
              </w:rPr>
              <w:t>1,026</w:t>
            </w:r>
          </w:p>
        </w:tc>
        <w:tc>
          <w:tcPr>
            <w:tcW w:w="868"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noProof/>
                <w:sz w:val="20"/>
                <w:lang w:eastAsia="en-GB"/>
              </w:rPr>
            </w:pPr>
            <w:r>
              <w:rPr>
                <w:rFonts w:eastAsia="Times New Roman"/>
                <w:noProof/>
                <w:color w:val="000000"/>
                <w:sz w:val="20"/>
                <w:szCs w:val="20"/>
              </w:rPr>
              <w:t>0,981</w:t>
            </w:r>
          </w:p>
        </w:tc>
        <w:tc>
          <w:tcPr>
            <w:tcW w:w="899"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noProof/>
                <w:sz w:val="20"/>
                <w:lang w:eastAsia="en-GB"/>
              </w:rPr>
            </w:pPr>
            <w:r>
              <w:rPr>
                <w:rFonts w:eastAsia="Times New Roman"/>
                <w:noProof/>
                <w:color w:val="000000"/>
                <w:sz w:val="20"/>
                <w:szCs w:val="20"/>
              </w:rPr>
              <w:t>0,996</w:t>
            </w:r>
          </w:p>
        </w:tc>
        <w:tc>
          <w:tcPr>
            <w:tcW w:w="3482"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center"/>
              <w:rPr>
                <w:rFonts w:eastAsia="Calibri"/>
                <w:b/>
                <w:noProof/>
                <w:sz w:val="20"/>
                <w:lang w:eastAsia="en-GB"/>
              </w:rPr>
            </w:pPr>
            <w:r>
              <w:rPr>
                <w:rFonts w:eastAsia="Times New Roman"/>
                <w:b/>
                <w:bCs/>
                <w:noProof/>
                <w:color w:val="000000"/>
                <w:sz w:val="20"/>
                <w:szCs w:val="20"/>
              </w:rPr>
              <w:t>3,573</w:t>
            </w:r>
          </w:p>
        </w:tc>
      </w:tr>
      <w:tr w:rsidR="00680441" w:rsidTr="00B318DC">
        <w:tc>
          <w:tcPr>
            <w:tcW w:w="3960" w:type="dxa"/>
            <w:vMerge/>
            <w:shd w:val="clear" w:color="auto" w:fill="C0C0C0"/>
          </w:tcPr>
          <w:p w:rsidR="00680441" w:rsidRDefault="00680441" w:rsidP="00680441">
            <w:pPr>
              <w:rPr>
                <w:rFonts w:eastAsia="Calibri"/>
                <w:noProof/>
                <w:sz w:val="20"/>
                <w:lang w:eastAsia="en-GB"/>
              </w:rPr>
            </w:pPr>
          </w:p>
        </w:tc>
        <w:tc>
          <w:tcPr>
            <w:tcW w:w="2094" w:type="dxa"/>
            <w:gridSpan w:val="2"/>
            <w:vAlign w:val="center"/>
          </w:tcPr>
          <w:p w:rsidR="00680441" w:rsidRDefault="00680441" w:rsidP="00680441">
            <w:pPr>
              <w:rPr>
                <w:rFonts w:eastAsia="Calibri"/>
                <w:noProof/>
                <w:sz w:val="14"/>
                <w:lang w:eastAsia="en-GB"/>
              </w:rPr>
            </w:pPr>
            <w:r>
              <w:rPr>
                <w:rFonts w:eastAsia="Calibri"/>
                <w:noProof/>
                <w:sz w:val="18"/>
                <w:lang w:eastAsia="en-GB"/>
              </w:rPr>
              <w:t>Payments</w:t>
            </w:r>
          </w:p>
        </w:tc>
        <w:tc>
          <w:tcPr>
            <w:tcW w:w="868" w:type="dxa"/>
            <w:vAlign w:val="center"/>
          </w:tcPr>
          <w:p w:rsidR="00680441" w:rsidRDefault="00680441" w:rsidP="00680441">
            <w:pPr>
              <w:spacing w:before="60" w:after="60"/>
              <w:jc w:val="right"/>
              <w:rPr>
                <w:rFonts w:eastAsia="Calibri"/>
                <w:noProof/>
                <w:sz w:val="20"/>
                <w:lang w:eastAsia="en-GB"/>
              </w:rPr>
            </w:pPr>
          </w:p>
        </w:tc>
        <w:tc>
          <w:tcPr>
            <w:tcW w:w="868"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noProof/>
                <w:sz w:val="20"/>
                <w:lang w:eastAsia="en-GB"/>
              </w:rPr>
            </w:pPr>
            <w:r>
              <w:rPr>
                <w:rFonts w:eastAsia="Times New Roman"/>
                <w:noProof/>
                <w:color w:val="000000"/>
                <w:sz w:val="20"/>
                <w:szCs w:val="20"/>
              </w:rPr>
              <w:t>0,570</w:t>
            </w:r>
          </w:p>
        </w:tc>
        <w:tc>
          <w:tcPr>
            <w:tcW w:w="868"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noProof/>
                <w:sz w:val="20"/>
                <w:lang w:eastAsia="en-GB"/>
              </w:rPr>
            </w:pPr>
            <w:r>
              <w:rPr>
                <w:rFonts w:eastAsia="Times New Roman"/>
                <w:noProof/>
                <w:color w:val="000000"/>
                <w:sz w:val="20"/>
                <w:szCs w:val="20"/>
              </w:rPr>
              <w:t>1,026</w:t>
            </w:r>
          </w:p>
        </w:tc>
        <w:tc>
          <w:tcPr>
            <w:tcW w:w="868"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noProof/>
                <w:sz w:val="20"/>
                <w:lang w:eastAsia="en-GB"/>
              </w:rPr>
            </w:pPr>
            <w:r>
              <w:rPr>
                <w:rFonts w:eastAsia="Times New Roman"/>
                <w:noProof/>
                <w:color w:val="000000"/>
                <w:sz w:val="20"/>
                <w:szCs w:val="20"/>
              </w:rPr>
              <w:t>0,981</w:t>
            </w:r>
          </w:p>
        </w:tc>
        <w:tc>
          <w:tcPr>
            <w:tcW w:w="899"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right"/>
              <w:rPr>
                <w:rFonts w:eastAsia="Calibri"/>
                <w:b/>
                <w:noProof/>
                <w:sz w:val="20"/>
                <w:lang w:eastAsia="en-GB"/>
              </w:rPr>
            </w:pPr>
            <w:r>
              <w:rPr>
                <w:rFonts w:eastAsia="Times New Roman"/>
                <w:noProof/>
                <w:color w:val="000000"/>
                <w:sz w:val="20"/>
                <w:szCs w:val="20"/>
              </w:rPr>
              <w:t>0,996</w:t>
            </w:r>
          </w:p>
        </w:tc>
        <w:tc>
          <w:tcPr>
            <w:tcW w:w="3482" w:type="dxa"/>
            <w:tcBorders>
              <w:top w:val="single" w:sz="4" w:space="0" w:color="auto"/>
              <w:left w:val="single" w:sz="4" w:space="0" w:color="auto"/>
              <w:bottom w:val="single" w:sz="4" w:space="0" w:color="auto"/>
              <w:right w:val="single" w:sz="4" w:space="0" w:color="auto"/>
            </w:tcBorders>
            <w:vAlign w:val="center"/>
          </w:tcPr>
          <w:p w:rsidR="00680441" w:rsidRDefault="00680441" w:rsidP="00680441">
            <w:pPr>
              <w:spacing w:before="60" w:after="60"/>
              <w:jc w:val="center"/>
              <w:rPr>
                <w:rFonts w:eastAsia="Calibri"/>
                <w:b/>
                <w:noProof/>
                <w:sz w:val="20"/>
                <w:lang w:eastAsia="en-GB"/>
              </w:rPr>
            </w:pPr>
            <w:r>
              <w:rPr>
                <w:rFonts w:eastAsia="Calibri"/>
                <w:b/>
                <w:noProof/>
                <w:sz w:val="20"/>
                <w:lang w:eastAsia="en-GB"/>
              </w:rPr>
              <w:t>3,573</w:t>
            </w:r>
          </w:p>
        </w:tc>
      </w:tr>
    </w:tbl>
    <w:p w:rsidR="004755EE" w:rsidRDefault="004755EE" w:rsidP="004755EE">
      <w:pPr>
        <w:rPr>
          <w:rFonts w:eastAsia="Calibri"/>
          <w:noProof/>
          <w:lang w:eastAsia="en-GB"/>
        </w:rPr>
      </w:pPr>
    </w:p>
    <w:p w:rsidR="004755EE" w:rsidRDefault="004755EE" w:rsidP="004755EE">
      <w:pPr>
        <w:pStyle w:val="ManualHeading3"/>
        <w:rPr>
          <w:noProof/>
          <w:szCs w:val="24"/>
          <w:lang w:eastAsia="en-GB"/>
        </w:rPr>
      </w:pPr>
      <w:bookmarkStart w:id="63" w:name="_Toc514938054"/>
      <w:bookmarkStart w:id="64" w:name="_Toc520485053"/>
      <w:r>
        <w:rPr>
          <w:noProof/>
        </w:rPr>
        <w:t>3.2.2.</w:t>
      </w:r>
      <w:r>
        <w:rPr>
          <w:noProof/>
        </w:rPr>
        <w:tab/>
      </w:r>
      <w:r>
        <w:rPr>
          <w:noProof/>
          <w:lang w:eastAsia="en-GB"/>
        </w:rPr>
        <w:t>Estimated output funded with operational appropriations</w:t>
      </w:r>
      <w:bookmarkEnd w:id="63"/>
      <w:bookmarkEnd w:id="64"/>
      <w:r>
        <w:rPr>
          <w:noProof/>
          <w:lang w:eastAsia="en-GB"/>
        </w:rPr>
        <w:t xml:space="preserve"> </w:t>
      </w:r>
    </w:p>
    <w:p w:rsidR="004755EE" w:rsidRDefault="004755EE" w:rsidP="004755EE">
      <w:pPr>
        <w:jc w:val="right"/>
        <w:rPr>
          <w:rFonts w:eastAsia="Calibri"/>
          <w:noProof/>
          <w:sz w:val="20"/>
          <w:lang w:eastAsia="en-GB"/>
        </w:rPr>
      </w:pPr>
      <w:r>
        <w:rPr>
          <w:rFonts w:eastAsia="Calibri"/>
          <w:noProof/>
          <w:sz w:val="20"/>
          <w:lang w:eastAsia="en-GB"/>
        </w:rPr>
        <w:t>Commitment appropriations in EUR million (to three decimal places)</w:t>
      </w:r>
    </w:p>
    <w:tbl>
      <w:tblPr>
        <w:tblW w:w="11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10"/>
        <w:gridCol w:w="710"/>
        <w:gridCol w:w="540"/>
        <w:gridCol w:w="648"/>
        <w:gridCol w:w="7"/>
        <w:gridCol w:w="713"/>
        <w:gridCol w:w="900"/>
        <w:gridCol w:w="7"/>
        <w:gridCol w:w="11"/>
      </w:tblGrid>
      <w:tr w:rsidR="004755EE" w:rsidTr="00E863E4">
        <w:trPr>
          <w:gridAfter w:val="1"/>
          <w:wAfter w:w="11" w:type="dxa"/>
          <w:jc w:val="center"/>
        </w:trPr>
        <w:tc>
          <w:tcPr>
            <w:tcW w:w="1423" w:type="dxa"/>
            <w:vMerge w:val="restart"/>
            <w:tcBorders>
              <w:bottom w:val="single" w:sz="4" w:space="0" w:color="auto"/>
            </w:tcBorders>
            <w:vAlign w:val="center"/>
          </w:tcPr>
          <w:p w:rsidR="004755EE" w:rsidRDefault="004755EE" w:rsidP="00E863E4">
            <w:pPr>
              <w:ind w:right="-29"/>
              <w:jc w:val="center"/>
              <w:rPr>
                <w:rFonts w:eastAsia="Calibri"/>
                <w:b/>
                <w:noProof/>
                <w:sz w:val="18"/>
                <w:szCs w:val="18"/>
                <w:lang w:eastAsia="en-GB"/>
              </w:rPr>
            </w:pPr>
            <w:r>
              <w:rPr>
                <w:rFonts w:eastAsia="Calibri"/>
                <w:b/>
                <w:noProof/>
                <w:sz w:val="18"/>
                <w:lang w:eastAsia="en-GB"/>
              </w:rPr>
              <w:t xml:space="preserve">Indicate objectives and outputs </w:t>
            </w:r>
          </w:p>
          <w:p w:rsidR="004755EE" w:rsidRDefault="004755EE" w:rsidP="00E863E4">
            <w:pPr>
              <w:ind w:right="-29"/>
              <w:jc w:val="center"/>
              <w:rPr>
                <w:rFonts w:eastAsia="Calibri"/>
                <w:b/>
                <w:noProof/>
                <w:sz w:val="18"/>
                <w:szCs w:val="18"/>
                <w:lang w:eastAsia="en-GB"/>
              </w:rPr>
            </w:pPr>
          </w:p>
          <w:p w:rsidR="004755EE" w:rsidRDefault="004755EE" w:rsidP="00E863E4">
            <w:pPr>
              <w:ind w:right="-29"/>
              <w:jc w:val="center"/>
              <w:rPr>
                <w:rFonts w:eastAsia="Calibri"/>
                <w:noProof/>
                <w:sz w:val="18"/>
                <w:szCs w:val="18"/>
                <w:lang w:eastAsia="en-GB"/>
              </w:rPr>
            </w:pPr>
            <w:r>
              <w:rPr>
                <w:rFonts w:ascii="Wingdings" w:eastAsia="Wingdings" w:hAnsi="Wingdings" w:cs="Wingdings"/>
                <w:noProof/>
                <w:sz w:val="18"/>
                <w:lang w:eastAsia="en-GB"/>
              </w:rPr>
              <w:t></w:t>
            </w:r>
          </w:p>
        </w:tc>
        <w:tc>
          <w:tcPr>
            <w:tcW w:w="720" w:type="dxa"/>
            <w:tcBorders>
              <w:bottom w:val="single" w:sz="4" w:space="0" w:color="auto"/>
            </w:tcBorders>
            <w:vAlign w:val="center"/>
          </w:tcPr>
          <w:p w:rsidR="004755EE" w:rsidRDefault="004755EE" w:rsidP="00E863E4">
            <w:pPr>
              <w:ind w:right="-29"/>
              <w:jc w:val="center"/>
              <w:rPr>
                <w:rFonts w:eastAsia="Calibri"/>
                <w:noProof/>
                <w:sz w:val="18"/>
                <w:szCs w:val="18"/>
                <w:lang w:eastAsia="en-GB"/>
              </w:rPr>
            </w:pPr>
          </w:p>
        </w:tc>
        <w:tc>
          <w:tcPr>
            <w:tcW w:w="701" w:type="dxa"/>
            <w:tcBorders>
              <w:bottom w:val="single" w:sz="4" w:space="0" w:color="auto"/>
            </w:tcBorders>
            <w:vAlign w:val="center"/>
          </w:tcPr>
          <w:p w:rsidR="004755EE" w:rsidRDefault="004755EE" w:rsidP="00E863E4">
            <w:pPr>
              <w:ind w:right="-29"/>
              <w:jc w:val="center"/>
              <w:rPr>
                <w:rFonts w:eastAsia="Calibri"/>
                <w:noProof/>
                <w:sz w:val="18"/>
                <w:szCs w:val="18"/>
                <w:lang w:eastAsia="en-GB"/>
              </w:rPr>
            </w:pPr>
          </w:p>
        </w:tc>
        <w:tc>
          <w:tcPr>
            <w:tcW w:w="1224" w:type="dxa"/>
            <w:gridSpan w:val="2"/>
            <w:tcBorders>
              <w:left w:val="nil"/>
              <w:bottom w:val="single" w:sz="4" w:space="0" w:color="auto"/>
            </w:tcBorders>
            <w:vAlign w:val="center"/>
          </w:tcPr>
          <w:p w:rsidR="004755EE" w:rsidRDefault="004755EE" w:rsidP="00E863E4">
            <w:pPr>
              <w:ind w:right="-29"/>
              <w:jc w:val="center"/>
              <w:rPr>
                <w:rFonts w:eastAsia="Calibri"/>
                <w:noProof/>
                <w:sz w:val="18"/>
                <w:szCs w:val="18"/>
                <w:lang w:eastAsia="en-GB"/>
              </w:rPr>
            </w:pPr>
            <w:r>
              <w:rPr>
                <w:rFonts w:eastAsia="Calibri"/>
                <w:noProof/>
                <w:sz w:val="18"/>
                <w:lang w:eastAsia="en-GB"/>
              </w:rPr>
              <w:t>2023</w:t>
            </w:r>
          </w:p>
        </w:tc>
        <w:tc>
          <w:tcPr>
            <w:tcW w:w="1260" w:type="dxa"/>
            <w:gridSpan w:val="2"/>
            <w:tcBorders>
              <w:bottom w:val="single" w:sz="4" w:space="0" w:color="auto"/>
            </w:tcBorders>
            <w:vAlign w:val="center"/>
          </w:tcPr>
          <w:p w:rsidR="004755EE" w:rsidRDefault="004755EE" w:rsidP="00E863E4">
            <w:pPr>
              <w:ind w:right="-29"/>
              <w:jc w:val="center"/>
              <w:rPr>
                <w:rFonts w:eastAsia="Calibri"/>
                <w:noProof/>
                <w:sz w:val="18"/>
                <w:szCs w:val="18"/>
                <w:lang w:eastAsia="en-GB"/>
              </w:rPr>
            </w:pPr>
            <w:r>
              <w:rPr>
                <w:rFonts w:eastAsia="Calibri"/>
                <w:noProof/>
                <w:sz w:val="18"/>
                <w:lang w:eastAsia="en-GB"/>
              </w:rPr>
              <w:t>2024</w:t>
            </w:r>
          </w:p>
        </w:tc>
        <w:tc>
          <w:tcPr>
            <w:tcW w:w="1440" w:type="dxa"/>
            <w:gridSpan w:val="2"/>
            <w:tcBorders>
              <w:bottom w:val="single" w:sz="4" w:space="0" w:color="auto"/>
            </w:tcBorders>
            <w:vAlign w:val="center"/>
          </w:tcPr>
          <w:p w:rsidR="004755EE" w:rsidRDefault="004755EE" w:rsidP="00E863E4">
            <w:pPr>
              <w:ind w:right="-29"/>
              <w:jc w:val="center"/>
              <w:rPr>
                <w:rFonts w:eastAsia="Calibri"/>
                <w:noProof/>
                <w:sz w:val="18"/>
                <w:szCs w:val="18"/>
                <w:lang w:eastAsia="en-GB"/>
              </w:rPr>
            </w:pPr>
            <w:r>
              <w:rPr>
                <w:rFonts w:eastAsia="Calibri"/>
                <w:noProof/>
                <w:sz w:val="18"/>
                <w:lang w:eastAsia="en-GB"/>
              </w:rPr>
              <w:t>2025</w:t>
            </w:r>
          </w:p>
        </w:tc>
        <w:tc>
          <w:tcPr>
            <w:tcW w:w="1620" w:type="dxa"/>
            <w:gridSpan w:val="2"/>
            <w:tcBorders>
              <w:bottom w:val="single" w:sz="4" w:space="0" w:color="auto"/>
            </w:tcBorders>
            <w:vAlign w:val="center"/>
          </w:tcPr>
          <w:p w:rsidR="004755EE" w:rsidRDefault="004755EE" w:rsidP="00E863E4">
            <w:pPr>
              <w:ind w:right="-29"/>
              <w:jc w:val="center"/>
              <w:rPr>
                <w:rFonts w:eastAsia="Calibri"/>
                <w:noProof/>
                <w:sz w:val="18"/>
                <w:szCs w:val="18"/>
                <w:lang w:eastAsia="en-GB"/>
              </w:rPr>
            </w:pPr>
            <w:r>
              <w:rPr>
                <w:rFonts w:eastAsia="Calibri"/>
                <w:noProof/>
                <w:sz w:val="18"/>
                <w:lang w:eastAsia="en-GB"/>
              </w:rPr>
              <w:t>2026</w:t>
            </w:r>
          </w:p>
        </w:tc>
        <w:tc>
          <w:tcPr>
            <w:tcW w:w="1195" w:type="dxa"/>
            <w:gridSpan w:val="3"/>
            <w:tcBorders>
              <w:bottom w:val="single" w:sz="4" w:space="0" w:color="auto"/>
            </w:tcBorders>
            <w:vAlign w:val="center"/>
          </w:tcPr>
          <w:p w:rsidR="004755EE" w:rsidRDefault="004755EE" w:rsidP="00E863E4">
            <w:pPr>
              <w:jc w:val="center"/>
              <w:rPr>
                <w:rFonts w:eastAsia="Calibri"/>
                <w:noProof/>
                <w:sz w:val="18"/>
                <w:szCs w:val="18"/>
                <w:lang w:eastAsia="en-GB"/>
              </w:rPr>
            </w:pPr>
            <w:r>
              <w:rPr>
                <w:rFonts w:eastAsia="Calibri"/>
                <w:noProof/>
                <w:sz w:val="18"/>
                <w:lang w:eastAsia="en-GB"/>
              </w:rPr>
              <w:t>2027</w:t>
            </w:r>
          </w:p>
        </w:tc>
        <w:tc>
          <w:tcPr>
            <w:tcW w:w="1620" w:type="dxa"/>
            <w:gridSpan w:val="3"/>
            <w:tcBorders>
              <w:left w:val="nil"/>
              <w:bottom w:val="single" w:sz="4" w:space="0" w:color="auto"/>
            </w:tcBorders>
            <w:vAlign w:val="center"/>
          </w:tcPr>
          <w:p w:rsidR="004755EE" w:rsidRDefault="004755EE" w:rsidP="00E863E4">
            <w:pPr>
              <w:ind w:right="-29"/>
              <w:jc w:val="center"/>
              <w:rPr>
                <w:rFonts w:eastAsia="Calibri"/>
                <w:noProof/>
                <w:sz w:val="18"/>
                <w:szCs w:val="18"/>
                <w:lang w:eastAsia="en-GB"/>
              </w:rPr>
            </w:pPr>
            <w:r>
              <w:rPr>
                <w:rFonts w:eastAsia="Calibri"/>
                <w:b/>
                <w:noProof/>
                <w:sz w:val="18"/>
                <w:lang w:eastAsia="en-GB"/>
              </w:rPr>
              <w:t>TOTAL</w:t>
            </w:r>
          </w:p>
        </w:tc>
      </w:tr>
      <w:tr w:rsidR="004755EE" w:rsidTr="00E863E4">
        <w:trPr>
          <w:jc w:val="center"/>
        </w:trPr>
        <w:tc>
          <w:tcPr>
            <w:tcW w:w="1423" w:type="dxa"/>
            <w:vMerge/>
            <w:vAlign w:val="center"/>
          </w:tcPr>
          <w:p w:rsidR="004755EE" w:rsidRDefault="004755EE" w:rsidP="00E863E4">
            <w:pPr>
              <w:ind w:right="-29"/>
              <w:jc w:val="center"/>
              <w:rPr>
                <w:rFonts w:eastAsia="Calibri"/>
                <w:noProof/>
                <w:sz w:val="18"/>
                <w:szCs w:val="18"/>
                <w:lang w:eastAsia="en-GB"/>
              </w:rPr>
            </w:pPr>
          </w:p>
        </w:tc>
        <w:tc>
          <w:tcPr>
            <w:tcW w:w="9791" w:type="dxa"/>
            <w:gridSpan w:val="17"/>
            <w:vAlign w:val="center"/>
          </w:tcPr>
          <w:p w:rsidR="004755EE" w:rsidRDefault="004755EE" w:rsidP="00E863E4">
            <w:pPr>
              <w:spacing w:before="60" w:after="60"/>
              <w:ind w:right="-29"/>
              <w:jc w:val="center"/>
              <w:rPr>
                <w:rFonts w:eastAsia="Calibri"/>
                <w:noProof/>
                <w:sz w:val="18"/>
                <w:szCs w:val="18"/>
                <w:lang w:eastAsia="en-GB"/>
              </w:rPr>
            </w:pPr>
            <w:r>
              <w:rPr>
                <w:rFonts w:eastAsia="Calibri"/>
                <w:b/>
                <w:noProof/>
                <w:sz w:val="18"/>
                <w:lang w:eastAsia="en-GB"/>
              </w:rPr>
              <w:t>OUTPUTS</w:t>
            </w:r>
          </w:p>
        </w:tc>
      </w:tr>
      <w:tr w:rsidR="004755EE" w:rsidTr="00E863E4">
        <w:trPr>
          <w:gridAfter w:val="2"/>
          <w:wAfter w:w="18" w:type="dxa"/>
          <w:cantSplit/>
          <w:trHeight w:val="1134"/>
          <w:jc w:val="center"/>
        </w:trPr>
        <w:tc>
          <w:tcPr>
            <w:tcW w:w="1423" w:type="dxa"/>
            <w:vMerge/>
            <w:tcBorders>
              <w:right w:val="single" w:sz="4" w:space="0" w:color="auto"/>
            </w:tcBorders>
            <w:vAlign w:val="center"/>
          </w:tcPr>
          <w:p w:rsidR="004755EE" w:rsidRDefault="004755EE" w:rsidP="00E863E4">
            <w:pPr>
              <w:rPr>
                <w:rFonts w:eastAsia="Calibri"/>
                <w:noProof/>
                <w:sz w:val="18"/>
                <w:szCs w:val="18"/>
                <w:lang w:eastAsia="en-GB"/>
              </w:rPr>
            </w:pPr>
          </w:p>
        </w:tc>
        <w:tc>
          <w:tcPr>
            <w:tcW w:w="720" w:type="dxa"/>
            <w:tcBorders>
              <w:left w:val="single" w:sz="4" w:space="0" w:color="auto"/>
              <w:right w:val="single" w:sz="4" w:space="0" w:color="auto"/>
            </w:tcBorders>
            <w:vAlign w:val="center"/>
          </w:tcPr>
          <w:p w:rsidR="004755EE" w:rsidRDefault="004755EE" w:rsidP="00E863E4">
            <w:pPr>
              <w:jc w:val="center"/>
              <w:rPr>
                <w:rFonts w:eastAsia="Calibri"/>
                <w:noProof/>
                <w:sz w:val="18"/>
                <w:szCs w:val="18"/>
                <w:lang w:eastAsia="en-GB"/>
              </w:rPr>
            </w:pPr>
            <w:r>
              <w:rPr>
                <w:rFonts w:eastAsia="Calibri"/>
                <w:noProof/>
                <w:sz w:val="18"/>
                <w:lang w:eastAsia="en-GB"/>
              </w:rPr>
              <w:t>Type</w:t>
            </w:r>
            <w:r w:rsidRPr="00C9020F">
              <w:rPr>
                <w:rStyle w:val="FootnoteReference"/>
                <w:noProof/>
              </w:rPr>
              <w:footnoteReference w:id="32"/>
            </w:r>
          </w:p>
          <w:p w:rsidR="004755EE" w:rsidRDefault="004755EE" w:rsidP="00E863E4">
            <w:pPr>
              <w:spacing w:before="0" w:after="0"/>
              <w:jc w:val="center"/>
              <w:rPr>
                <w:rFonts w:eastAsia="Calibri"/>
                <w:noProof/>
                <w:sz w:val="18"/>
                <w:szCs w:val="18"/>
                <w:lang w:eastAsia="en-GB"/>
              </w:rPr>
            </w:pPr>
          </w:p>
        </w:tc>
        <w:tc>
          <w:tcPr>
            <w:tcW w:w="701" w:type="dxa"/>
            <w:tcBorders>
              <w:left w:val="single" w:sz="4" w:space="0" w:color="auto"/>
              <w:right w:val="single" w:sz="4" w:space="0" w:color="auto"/>
            </w:tcBorders>
            <w:vAlign w:val="center"/>
          </w:tcPr>
          <w:p w:rsidR="004755EE" w:rsidRDefault="004755EE" w:rsidP="00E863E4">
            <w:pPr>
              <w:jc w:val="center"/>
              <w:rPr>
                <w:rFonts w:eastAsia="Calibri"/>
                <w:noProof/>
                <w:sz w:val="18"/>
                <w:szCs w:val="18"/>
                <w:lang w:eastAsia="en-GB"/>
              </w:rPr>
            </w:pPr>
            <w:r>
              <w:rPr>
                <w:rFonts w:eastAsia="Calibri"/>
                <w:noProof/>
                <w:sz w:val="18"/>
                <w:lang w:eastAsia="en-GB"/>
              </w:rPr>
              <w:t>Average cost</w:t>
            </w:r>
          </w:p>
        </w:tc>
        <w:tc>
          <w:tcPr>
            <w:tcW w:w="504" w:type="dxa"/>
            <w:tcBorders>
              <w:left w:val="single" w:sz="4" w:space="0" w:color="auto"/>
              <w:right w:val="single" w:sz="4" w:space="0" w:color="auto"/>
            </w:tcBorders>
            <w:shd w:val="pct10" w:color="auto" w:fill="auto"/>
            <w:textDirection w:val="btLr"/>
            <w:vAlign w:val="center"/>
          </w:tcPr>
          <w:p w:rsidR="004755EE" w:rsidRDefault="004755EE" w:rsidP="00E863E4">
            <w:pPr>
              <w:ind w:left="113" w:right="113"/>
              <w:jc w:val="center"/>
              <w:rPr>
                <w:rFonts w:eastAsia="Calibri"/>
                <w:noProof/>
                <w:sz w:val="18"/>
                <w:szCs w:val="18"/>
                <w:lang w:eastAsia="en-GB"/>
              </w:rPr>
            </w:pPr>
            <w:r>
              <w:rPr>
                <w:rFonts w:eastAsia="Calibri"/>
                <w:noProof/>
                <w:sz w:val="18"/>
                <w:lang w:eastAsia="en-GB"/>
              </w:rPr>
              <w:t>No</w:t>
            </w:r>
          </w:p>
        </w:tc>
        <w:tc>
          <w:tcPr>
            <w:tcW w:w="720" w:type="dxa"/>
            <w:tcBorders>
              <w:left w:val="single" w:sz="4" w:space="0" w:color="auto"/>
              <w:right w:val="single" w:sz="4" w:space="0" w:color="auto"/>
            </w:tcBorders>
            <w:shd w:val="pct10" w:color="auto" w:fill="auto"/>
            <w:vAlign w:val="center"/>
          </w:tcPr>
          <w:p w:rsidR="004755EE" w:rsidRDefault="004755EE" w:rsidP="00E863E4">
            <w:pPr>
              <w:jc w:val="center"/>
              <w:rPr>
                <w:rFonts w:eastAsia="Calibri"/>
                <w:noProof/>
                <w:sz w:val="18"/>
                <w:szCs w:val="18"/>
                <w:lang w:eastAsia="en-GB"/>
              </w:rPr>
            </w:pPr>
            <w:r>
              <w:rPr>
                <w:rFonts w:eastAsia="Calibri"/>
                <w:noProof/>
                <w:sz w:val="18"/>
                <w:lang w:eastAsia="en-GB"/>
              </w:rPr>
              <w:t>Cost</w:t>
            </w:r>
          </w:p>
        </w:tc>
        <w:tc>
          <w:tcPr>
            <w:tcW w:w="540" w:type="dxa"/>
            <w:tcBorders>
              <w:left w:val="single" w:sz="4" w:space="0" w:color="auto"/>
              <w:right w:val="single" w:sz="4" w:space="0" w:color="auto"/>
            </w:tcBorders>
            <w:shd w:val="pct10" w:color="auto" w:fill="auto"/>
            <w:textDirection w:val="btLr"/>
            <w:vAlign w:val="center"/>
          </w:tcPr>
          <w:p w:rsidR="004755EE" w:rsidRDefault="004755EE" w:rsidP="00E863E4">
            <w:pPr>
              <w:ind w:left="113" w:right="113"/>
              <w:jc w:val="center"/>
              <w:rPr>
                <w:rFonts w:eastAsia="Calibri"/>
                <w:noProof/>
                <w:sz w:val="18"/>
                <w:szCs w:val="18"/>
                <w:lang w:eastAsia="en-GB"/>
              </w:rPr>
            </w:pPr>
            <w:r>
              <w:rPr>
                <w:rFonts w:eastAsia="Calibri"/>
                <w:noProof/>
                <w:sz w:val="18"/>
                <w:lang w:eastAsia="en-GB"/>
              </w:rPr>
              <w:t>No</w:t>
            </w:r>
          </w:p>
        </w:tc>
        <w:tc>
          <w:tcPr>
            <w:tcW w:w="720" w:type="dxa"/>
            <w:tcBorders>
              <w:left w:val="single" w:sz="4" w:space="0" w:color="auto"/>
              <w:right w:val="single" w:sz="4" w:space="0" w:color="auto"/>
            </w:tcBorders>
            <w:shd w:val="pct10" w:color="auto" w:fill="auto"/>
            <w:vAlign w:val="center"/>
          </w:tcPr>
          <w:p w:rsidR="004755EE" w:rsidRDefault="004755EE" w:rsidP="00E863E4">
            <w:pPr>
              <w:jc w:val="center"/>
              <w:rPr>
                <w:rFonts w:eastAsia="Calibri"/>
                <w:noProof/>
                <w:sz w:val="18"/>
                <w:szCs w:val="18"/>
                <w:lang w:eastAsia="en-GB"/>
              </w:rPr>
            </w:pPr>
            <w:r>
              <w:rPr>
                <w:rFonts w:eastAsia="Calibri"/>
                <w:noProof/>
                <w:sz w:val="18"/>
                <w:lang w:eastAsia="en-GB"/>
              </w:rPr>
              <w:t>Cost</w:t>
            </w:r>
          </w:p>
        </w:tc>
        <w:tc>
          <w:tcPr>
            <w:tcW w:w="720" w:type="dxa"/>
            <w:tcBorders>
              <w:left w:val="single" w:sz="4" w:space="0" w:color="auto"/>
              <w:right w:val="single" w:sz="4" w:space="0" w:color="auto"/>
            </w:tcBorders>
            <w:shd w:val="pct10" w:color="auto" w:fill="auto"/>
            <w:textDirection w:val="btLr"/>
            <w:vAlign w:val="center"/>
          </w:tcPr>
          <w:p w:rsidR="004755EE" w:rsidRDefault="004755EE" w:rsidP="00E863E4">
            <w:pPr>
              <w:ind w:left="113" w:right="113"/>
              <w:jc w:val="center"/>
              <w:rPr>
                <w:rFonts w:eastAsia="Calibri"/>
                <w:noProof/>
                <w:sz w:val="18"/>
                <w:szCs w:val="18"/>
                <w:lang w:eastAsia="en-GB"/>
              </w:rPr>
            </w:pPr>
            <w:r>
              <w:rPr>
                <w:rFonts w:eastAsia="Calibri"/>
                <w:noProof/>
                <w:sz w:val="18"/>
                <w:lang w:eastAsia="en-GB"/>
              </w:rPr>
              <w:t>No</w:t>
            </w:r>
          </w:p>
        </w:tc>
        <w:tc>
          <w:tcPr>
            <w:tcW w:w="720" w:type="dxa"/>
            <w:tcBorders>
              <w:left w:val="single" w:sz="4" w:space="0" w:color="auto"/>
              <w:right w:val="single" w:sz="4" w:space="0" w:color="auto"/>
            </w:tcBorders>
            <w:shd w:val="pct10" w:color="auto" w:fill="auto"/>
            <w:vAlign w:val="center"/>
          </w:tcPr>
          <w:p w:rsidR="004755EE" w:rsidRDefault="004755EE" w:rsidP="00E863E4">
            <w:pPr>
              <w:jc w:val="center"/>
              <w:rPr>
                <w:rFonts w:eastAsia="Calibri"/>
                <w:noProof/>
                <w:sz w:val="18"/>
                <w:szCs w:val="18"/>
                <w:lang w:eastAsia="en-GB"/>
              </w:rPr>
            </w:pPr>
            <w:r>
              <w:rPr>
                <w:rFonts w:eastAsia="Calibri"/>
                <w:noProof/>
                <w:sz w:val="18"/>
                <w:lang w:eastAsia="en-GB"/>
              </w:rPr>
              <w:t>Cost</w:t>
            </w:r>
          </w:p>
        </w:tc>
        <w:tc>
          <w:tcPr>
            <w:tcW w:w="910" w:type="dxa"/>
            <w:tcBorders>
              <w:left w:val="single" w:sz="4" w:space="0" w:color="auto"/>
              <w:right w:val="single" w:sz="4" w:space="0" w:color="auto"/>
            </w:tcBorders>
            <w:shd w:val="pct10" w:color="auto" w:fill="auto"/>
            <w:textDirection w:val="btLr"/>
            <w:vAlign w:val="center"/>
          </w:tcPr>
          <w:p w:rsidR="004755EE" w:rsidRDefault="004755EE" w:rsidP="00E863E4">
            <w:pPr>
              <w:ind w:left="113" w:right="113"/>
              <w:jc w:val="center"/>
              <w:rPr>
                <w:rFonts w:eastAsia="Calibri"/>
                <w:noProof/>
                <w:sz w:val="18"/>
                <w:szCs w:val="18"/>
                <w:lang w:eastAsia="en-GB"/>
              </w:rPr>
            </w:pPr>
            <w:r>
              <w:rPr>
                <w:rFonts w:eastAsia="Calibri"/>
                <w:noProof/>
                <w:sz w:val="18"/>
                <w:lang w:eastAsia="en-GB"/>
              </w:rPr>
              <w:t>No</w:t>
            </w:r>
          </w:p>
        </w:tc>
        <w:tc>
          <w:tcPr>
            <w:tcW w:w="710" w:type="dxa"/>
            <w:tcBorders>
              <w:left w:val="single" w:sz="4" w:space="0" w:color="auto"/>
              <w:right w:val="single" w:sz="4" w:space="0" w:color="auto"/>
            </w:tcBorders>
            <w:shd w:val="pct10" w:color="auto" w:fill="auto"/>
            <w:vAlign w:val="center"/>
          </w:tcPr>
          <w:p w:rsidR="004755EE" w:rsidRDefault="004755EE" w:rsidP="00E863E4">
            <w:pPr>
              <w:jc w:val="center"/>
              <w:rPr>
                <w:rFonts w:eastAsia="Calibri"/>
                <w:noProof/>
                <w:sz w:val="18"/>
                <w:szCs w:val="18"/>
                <w:lang w:eastAsia="en-GB"/>
              </w:rPr>
            </w:pPr>
            <w:r>
              <w:rPr>
                <w:rFonts w:eastAsia="Calibri"/>
                <w:noProof/>
                <w:sz w:val="18"/>
                <w:lang w:eastAsia="en-GB"/>
              </w:rPr>
              <w:t>Cost</w:t>
            </w:r>
          </w:p>
        </w:tc>
        <w:tc>
          <w:tcPr>
            <w:tcW w:w="540" w:type="dxa"/>
            <w:tcBorders>
              <w:left w:val="single" w:sz="4" w:space="0" w:color="auto"/>
              <w:right w:val="single" w:sz="4" w:space="0" w:color="auto"/>
            </w:tcBorders>
            <w:shd w:val="pct10" w:color="auto" w:fill="auto"/>
            <w:textDirection w:val="btLr"/>
            <w:vAlign w:val="center"/>
          </w:tcPr>
          <w:p w:rsidR="004755EE" w:rsidRDefault="004755EE" w:rsidP="00E863E4">
            <w:pPr>
              <w:ind w:left="113" w:right="113"/>
              <w:jc w:val="center"/>
              <w:rPr>
                <w:rFonts w:eastAsia="Calibri"/>
                <w:noProof/>
                <w:sz w:val="18"/>
                <w:szCs w:val="18"/>
                <w:lang w:eastAsia="en-GB"/>
              </w:rPr>
            </w:pPr>
            <w:r>
              <w:rPr>
                <w:rFonts w:eastAsia="Calibri"/>
                <w:noProof/>
                <w:sz w:val="18"/>
                <w:lang w:eastAsia="en-GB"/>
              </w:rPr>
              <w:t>No</w:t>
            </w:r>
          </w:p>
        </w:tc>
        <w:tc>
          <w:tcPr>
            <w:tcW w:w="648" w:type="dxa"/>
            <w:tcBorders>
              <w:left w:val="single" w:sz="4" w:space="0" w:color="auto"/>
              <w:right w:val="single" w:sz="4" w:space="0" w:color="auto"/>
            </w:tcBorders>
            <w:shd w:val="pct10" w:color="auto" w:fill="auto"/>
            <w:vAlign w:val="center"/>
          </w:tcPr>
          <w:p w:rsidR="004755EE" w:rsidRDefault="004755EE" w:rsidP="00E863E4">
            <w:pPr>
              <w:jc w:val="center"/>
              <w:rPr>
                <w:rFonts w:eastAsia="Calibri"/>
                <w:noProof/>
                <w:sz w:val="18"/>
                <w:szCs w:val="18"/>
                <w:lang w:eastAsia="en-GB"/>
              </w:rPr>
            </w:pPr>
            <w:r>
              <w:rPr>
                <w:rFonts w:eastAsia="Calibri"/>
                <w:noProof/>
                <w:sz w:val="18"/>
                <w:lang w:eastAsia="en-GB"/>
              </w:rPr>
              <w:t>Cost</w:t>
            </w:r>
          </w:p>
        </w:tc>
        <w:tc>
          <w:tcPr>
            <w:tcW w:w="720" w:type="dxa"/>
            <w:gridSpan w:val="2"/>
            <w:tcBorders>
              <w:left w:val="single" w:sz="4" w:space="0" w:color="auto"/>
              <w:right w:val="single" w:sz="4" w:space="0" w:color="auto"/>
            </w:tcBorders>
            <w:shd w:val="pct10" w:color="auto" w:fill="auto"/>
            <w:vAlign w:val="center"/>
          </w:tcPr>
          <w:p w:rsidR="004755EE" w:rsidRDefault="004755EE" w:rsidP="00E863E4">
            <w:pPr>
              <w:jc w:val="center"/>
              <w:rPr>
                <w:rFonts w:eastAsia="Calibri"/>
                <w:noProof/>
                <w:sz w:val="18"/>
                <w:szCs w:val="18"/>
                <w:lang w:eastAsia="en-GB"/>
              </w:rPr>
            </w:pPr>
            <w:r>
              <w:rPr>
                <w:rFonts w:eastAsia="Calibri"/>
                <w:noProof/>
                <w:sz w:val="18"/>
                <w:lang w:eastAsia="en-GB"/>
              </w:rPr>
              <w:t>Total No</w:t>
            </w:r>
          </w:p>
        </w:tc>
        <w:tc>
          <w:tcPr>
            <w:tcW w:w="900" w:type="dxa"/>
            <w:tcBorders>
              <w:left w:val="single" w:sz="4" w:space="0" w:color="auto"/>
            </w:tcBorders>
            <w:shd w:val="pct10" w:color="auto" w:fill="auto"/>
            <w:vAlign w:val="center"/>
          </w:tcPr>
          <w:p w:rsidR="004755EE" w:rsidRDefault="004755EE" w:rsidP="00E863E4">
            <w:pPr>
              <w:jc w:val="center"/>
              <w:rPr>
                <w:rFonts w:eastAsia="Calibri"/>
                <w:noProof/>
                <w:sz w:val="18"/>
                <w:szCs w:val="18"/>
                <w:lang w:eastAsia="en-GB"/>
              </w:rPr>
            </w:pPr>
            <w:r>
              <w:rPr>
                <w:rFonts w:eastAsia="Calibri"/>
                <w:noProof/>
                <w:sz w:val="18"/>
                <w:lang w:eastAsia="en-GB"/>
              </w:rPr>
              <w:t>Total cost</w:t>
            </w:r>
          </w:p>
        </w:tc>
      </w:tr>
      <w:tr w:rsidR="004755EE" w:rsidTr="00E863E4">
        <w:trPr>
          <w:gridAfter w:val="2"/>
          <w:wAfter w:w="18" w:type="dxa"/>
          <w:jc w:val="center"/>
        </w:trPr>
        <w:tc>
          <w:tcPr>
            <w:tcW w:w="2844" w:type="dxa"/>
            <w:gridSpan w:val="3"/>
            <w:tcBorders>
              <w:top w:val="single" w:sz="4" w:space="0" w:color="auto"/>
              <w:bottom w:val="single" w:sz="4" w:space="0" w:color="auto"/>
              <w:right w:val="single" w:sz="4" w:space="0" w:color="auto"/>
            </w:tcBorders>
            <w:vAlign w:val="center"/>
          </w:tcPr>
          <w:p w:rsidR="004755EE" w:rsidRDefault="004755EE" w:rsidP="00E863E4">
            <w:pPr>
              <w:spacing w:before="60" w:after="60"/>
              <w:ind w:right="-29"/>
              <w:jc w:val="center"/>
              <w:rPr>
                <w:rFonts w:eastAsia="Calibri"/>
                <w:noProof/>
                <w:sz w:val="18"/>
                <w:szCs w:val="18"/>
                <w:lang w:eastAsia="en-GB"/>
              </w:rPr>
            </w:pPr>
            <w:r>
              <w:rPr>
                <w:rFonts w:eastAsia="Calibri"/>
                <w:noProof/>
                <w:sz w:val="18"/>
                <w:lang w:eastAsia="en-GB"/>
              </w:rPr>
              <w:t>SPECIFIC OBJECTIVE No 1</w:t>
            </w:r>
            <w:r w:rsidRPr="00C9020F">
              <w:rPr>
                <w:rStyle w:val="FootnoteReference"/>
                <w:noProof/>
              </w:rPr>
              <w:footnoteReference w:id="33"/>
            </w:r>
            <w:r>
              <w:rPr>
                <w:rFonts w:eastAsia="Calibri"/>
                <w:noProof/>
                <w:sz w:val="18"/>
                <w:lang w:eastAsia="en-GB"/>
              </w:rPr>
              <w:t>…</w:t>
            </w:r>
          </w:p>
        </w:tc>
        <w:tc>
          <w:tcPr>
            <w:tcW w:w="504"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54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91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1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54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648"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gridSpan w:val="2"/>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90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r>
      <w:tr w:rsidR="004755EE" w:rsidTr="00E863E4">
        <w:trPr>
          <w:gridAfter w:val="2"/>
          <w:wAfter w:w="18" w:type="dxa"/>
          <w:trHeight w:hRule="exact" w:val="369"/>
          <w:jc w:val="center"/>
        </w:trPr>
        <w:tc>
          <w:tcPr>
            <w:tcW w:w="1423" w:type="dxa"/>
            <w:tcBorders>
              <w:right w:val="single" w:sz="4" w:space="0" w:color="auto"/>
            </w:tcBorders>
          </w:tcPr>
          <w:p w:rsidR="004755EE" w:rsidRDefault="004755EE" w:rsidP="00E863E4">
            <w:pPr>
              <w:ind w:right="-29"/>
              <w:jc w:val="center"/>
              <w:rPr>
                <w:rFonts w:eastAsia="Calibri"/>
                <w:noProof/>
                <w:sz w:val="18"/>
                <w:szCs w:val="18"/>
                <w:lang w:eastAsia="en-GB"/>
              </w:rPr>
            </w:pPr>
            <w:r>
              <w:rPr>
                <w:rFonts w:eastAsia="Calibri"/>
                <w:noProof/>
                <w:sz w:val="18"/>
                <w:lang w:eastAsia="en-GB"/>
              </w:rPr>
              <w:t>- Output</w:t>
            </w: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01"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504"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91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1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648"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gridSpan w:val="2"/>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900" w:type="dxa"/>
            <w:tcBorders>
              <w:left w:val="single" w:sz="4" w:space="0" w:color="auto"/>
            </w:tcBorders>
          </w:tcPr>
          <w:p w:rsidR="004755EE" w:rsidRDefault="004755EE" w:rsidP="00E863E4">
            <w:pPr>
              <w:ind w:right="-29"/>
              <w:jc w:val="center"/>
              <w:rPr>
                <w:rFonts w:eastAsia="Calibri"/>
                <w:noProof/>
                <w:sz w:val="18"/>
                <w:szCs w:val="18"/>
                <w:lang w:eastAsia="en-GB"/>
              </w:rPr>
            </w:pPr>
          </w:p>
        </w:tc>
      </w:tr>
      <w:tr w:rsidR="004755EE" w:rsidTr="00E863E4">
        <w:trPr>
          <w:gridAfter w:val="2"/>
          <w:wAfter w:w="18" w:type="dxa"/>
          <w:trHeight w:hRule="exact" w:val="369"/>
          <w:jc w:val="center"/>
        </w:trPr>
        <w:tc>
          <w:tcPr>
            <w:tcW w:w="1423" w:type="dxa"/>
            <w:tcBorders>
              <w:right w:val="single" w:sz="4" w:space="0" w:color="auto"/>
            </w:tcBorders>
          </w:tcPr>
          <w:p w:rsidR="004755EE" w:rsidRDefault="004755EE" w:rsidP="00E863E4">
            <w:pPr>
              <w:ind w:right="-29"/>
              <w:jc w:val="center"/>
              <w:rPr>
                <w:rFonts w:eastAsia="Calibri"/>
                <w:noProof/>
                <w:sz w:val="18"/>
                <w:szCs w:val="18"/>
                <w:lang w:eastAsia="en-GB"/>
              </w:rPr>
            </w:pPr>
            <w:r>
              <w:rPr>
                <w:rFonts w:eastAsia="Calibri"/>
                <w:noProof/>
                <w:sz w:val="18"/>
                <w:lang w:eastAsia="en-GB"/>
              </w:rPr>
              <w:t>- Output</w:t>
            </w: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01"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504"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91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1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648" w:type="dxa"/>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720" w:type="dxa"/>
            <w:gridSpan w:val="2"/>
            <w:tcBorders>
              <w:left w:val="single" w:sz="4" w:space="0" w:color="auto"/>
              <w:right w:val="single" w:sz="4" w:space="0" w:color="auto"/>
            </w:tcBorders>
          </w:tcPr>
          <w:p w:rsidR="004755EE" w:rsidRDefault="004755EE" w:rsidP="00E863E4">
            <w:pPr>
              <w:ind w:right="-29"/>
              <w:jc w:val="center"/>
              <w:rPr>
                <w:rFonts w:eastAsia="Calibri"/>
                <w:noProof/>
                <w:sz w:val="18"/>
                <w:szCs w:val="18"/>
                <w:lang w:eastAsia="en-GB"/>
              </w:rPr>
            </w:pPr>
          </w:p>
        </w:tc>
        <w:tc>
          <w:tcPr>
            <w:tcW w:w="900" w:type="dxa"/>
            <w:tcBorders>
              <w:left w:val="single" w:sz="4" w:space="0" w:color="auto"/>
            </w:tcBorders>
          </w:tcPr>
          <w:p w:rsidR="004755EE" w:rsidRDefault="004755EE" w:rsidP="00E863E4">
            <w:pPr>
              <w:ind w:right="-29"/>
              <w:jc w:val="center"/>
              <w:rPr>
                <w:rFonts w:eastAsia="Calibri"/>
                <w:noProof/>
                <w:sz w:val="18"/>
                <w:szCs w:val="18"/>
                <w:lang w:eastAsia="en-GB"/>
              </w:rPr>
            </w:pPr>
          </w:p>
        </w:tc>
      </w:tr>
      <w:tr w:rsidR="004755EE" w:rsidTr="00E863E4">
        <w:trPr>
          <w:gridAfter w:val="2"/>
          <w:wAfter w:w="18" w:type="dxa"/>
          <w:trHeight w:hRule="exact" w:val="369"/>
          <w:jc w:val="center"/>
        </w:trPr>
        <w:tc>
          <w:tcPr>
            <w:tcW w:w="1423" w:type="dxa"/>
          </w:tcPr>
          <w:p w:rsidR="004755EE" w:rsidRDefault="004755EE" w:rsidP="00E863E4">
            <w:pPr>
              <w:ind w:right="-29"/>
              <w:jc w:val="center"/>
              <w:rPr>
                <w:rFonts w:eastAsia="Calibri"/>
                <w:noProof/>
                <w:sz w:val="18"/>
                <w:szCs w:val="18"/>
                <w:lang w:eastAsia="en-GB"/>
              </w:rPr>
            </w:pPr>
            <w:r>
              <w:rPr>
                <w:rFonts w:eastAsia="Calibri"/>
                <w:noProof/>
                <w:sz w:val="18"/>
                <w:lang w:eastAsia="en-GB"/>
              </w:rPr>
              <w:t>- Output</w:t>
            </w:r>
          </w:p>
        </w:tc>
        <w:tc>
          <w:tcPr>
            <w:tcW w:w="720" w:type="dxa"/>
          </w:tcPr>
          <w:p w:rsidR="004755EE" w:rsidRDefault="004755EE" w:rsidP="00E863E4">
            <w:pPr>
              <w:ind w:right="-29"/>
              <w:jc w:val="center"/>
              <w:rPr>
                <w:rFonts w:eastAsia="Calibri"/>
                <w:noProof/>
                <w:sz w:val="18"/>
                <w:szCs w:val="18"/>
                <w:lang w:eastAsia="en-GB"/>
              </w:rPr>
            </w:pPr>
          </w:p>
        </w:tc>
        <w:tc>
          <w:tcPr>
            <w:tcW w:w="701" w:type="dxa"/>
          </w:tcPr>
          <w:p w:rsidR="004755EE" w:rsidRDefault="004755EE" w:rsidP="00E863E4">
            <w:pPr>
              <w:ind w:right="-29"/>
              <w:jc w:val="center"/>
              <w:rPr>
                <w:rFonts w:eastAsia="Calibri"/>
                <w:noProof/>
                <w:sz w:val="18"/>
                <w:szCs w:val="18"/>
                <w:lang w:eastAsia="en-GB"/>
              </w:rPr>
            </w:pPr>
          </w:p>
        </w:tc>
        <w:tc>
          <w:tcPr>
            <w:tcW w:w="504"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540"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910" w:type="dxa"/>
          </w:tcPr>
          <w:p w:rsidR="004755EE" w:rsidRDefault="004755EE" w:rsidP="00E863E4">
            <w:pPr>
              <w:ind w:right="-29"/>
              <w:jc w:val="center"/>
              <w:rPr>
                <w:rFonts w:eastAsia="Calibri"/>
                <w:noProof/>
                <w:sz w:val="18"/>
                <w:szCs w:val="18"/>
                <w:lang w:eastAsia="en-GB"/>
              </w:rPr>
            </w:pPr>
          </w:p>
        </w:tc>
        <w:tc>
          <w:tcPr>
            <w:tcW w:w="710" w:type="dxa"/>
          </w:tcPr>
          <w:p w:rsidR="004755EE" w:rsidRDefault="004755EE" w:rsidP="00E863E4">
            <w:pPr>
              <w:ind w:right="-29"/>
              <w:jc w:val="center"/>
              <w:rPr>
                <w:rFonts w:eastAsia="Calibri"/>
                <w:noProof/>
                <w:sz w:val="18"/>
                <w:szCs w:val="18"/>
                <w:lang w:eastAsia="en-GB"/>
              </w:rPr>
            </w:pPr>
          </w:p>
        </w:tc>
        <w:tc>
          <w:tcPr>
            <w:tcW w:w="540" w:type="dxa"/>
          </w:tcPr>
          <w:p w:rsidR="004755EE" w:rsidRDefault="004755EE" w:rsidP="00E863E4">
            <w:pPr>
              <w:ind w:right="-29"/>
              <w:jc w:val="center"/>
              <w:rPr>
                <w:rFonts w:eastAsia="Calibri"/>
                <w:noProof/>
                <w:sz w:val="18"/>
                <w:szCs w:val="18"/>
                <w:lang w:eastAsia="en-GB"/>
              </w:rPr>
            </w:pPr>
          </w:p>
        </w:tc>
        <w:tc>
          <w:tcPr>
            <w:tcW w:w="648" w:type="dxa"/>
          </w:tcPr>
          <w:p w:rsidR="004755EE" w:rsidRDefault="004755EE" w:rsidP="00E863E4">
            <w:pPr>
              <w:ind w:right="-29"/>
              <w:jc w:val="center"/>
              <w:rPr>
                <w:rFonts w:eastAsia="Calibri"/>
                <w:noProof/>
                <w:sz w:val="18"/>
                <w:szCs w:val="18"/>
                <w:lang w:eastAsia="en-GB"/>
              </w:rPr>
            </w:pPr>
          </w:p>
        </w:tc>
        <w:tc>
          <w:tcPr>
            <w:tcW w:w="720" w:type="dxa"/>
            <w:gridSpan w:val="2"/>
          </w:tcPr>
          <w:p w:rsidR="004755EE" w:rsidRDefault="004755EE" w:rsidP="00E863E4">
            <w:pPr>
              <w:ind w:right="-29"/>
              <w:jc w:val="center"/>
              <w:rPr>
                <w:rFonts w:eastAsia="Calibri"/>
                <w:noProof/>
                <w:sz w:val="18"/>
                <w:szCs w:val="18"/>
                <w:lang w:eastAsia="en-GB"/>
              </w:rPr>
            </w:pPr>
          </w:p>
        </w:tc>
        <w:tc>
          <w:tcPr>
            <w:tcW w:w="900" w:type="dxa"/>
          </w:tcPr>
          <w:p w:rsidR="004755EE" w:rsidRDefault="004755EE" w:rsidP="00E863E4">
            <w:pPr>
              <w:ind w:right="-29"/>
              <w:jc w:val="center"/>
              <w:rPr>
                <w:rFonts w:eastAsia="Calibri"/>
                <w:noProof/>
                <w:sz w:val="18"/>
                <w:szCs w:val="18"/>
                <w:lang w:eastAsia="en-GB"/>
              </w:rPr>
            </w:pPr>
          </w:p>
        </w:tc>
      </w:tr>
      <w:tr w:rsidR="004755EE" w:rsidTr="00E863E4">
        <w:trPr>
          <w:gridAfter w:val="2"/>
          <w:wAfter w:w="18" w:type="dxa"/>
          <w:trHeight w:val="77"/>
          <w:jc w:val="center"/>
        </w:trPr>
        <w:tc>
          <w:tcPr>
            <w:tcW w:w="2844" w:type="dxa"/>
            <w:gridSpan w:val="3"/>
            <w:tcBorders>
              <w:bottom w:val="single" w:sz="4" w:space="0" w:color="auto"/>
            </w:tcBorders>
            <w:vAlign w:val="center"/>
          </w:tcPr>
          <w:p w:rsidR="004755EE" w:rsidRDefault="004755EE" w:rsidP="00E863E4">
            <w:pPr>
              <w:ind w:right="-29"/>
              <w:jc w:val="center"/>
              <w:rPr>
                <w:rFonts w:eastAsia="Calibri"/>
                <w:noProof/>
                <w:sz w:val="18"/>
                <w:szCs w:val="18"/>
                <w:lang w:eastAsia="en-GB"/>
              </w:rPr>
            </w:pPr>
            <w:r>
              <w:rPr>
                <w:rFonts w:eastAsia="Calibri"/>
                <w:noProof/>
                <w:sz w:val="18"/>
                <w:lang w:eastAsia="en-GB"/>
              </w:rPr>
              <w:t>Subtotal for specific objective No 1</w:t>
            </w:r>
          </w:p>
        </w:tc>
        <w:tc>
          <w:tcPr>
            <w:tcW w:w="504"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91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1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648"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gridSpan w:val="2"/>
            <w:tcBorders>
              <w:bottom w:val="single" w:sz="4" w:space="0" w:color="auto"/>
            </w:tcBorders>
          </w:tcPr>
          <w:p w:rsidR="004755EE" w:rsidRDefault="004755EE" w:rsidP="00E863E4">
            <w:pPr>
              <w:ind w:right="-29"/>
              <w:jc w:val="center"/>
              <w:rPr>
                <w:rFonts w:eastAsia="Calibri"/>
                <w:noProof/>
                <w:sz w:val="18"/>
                <w:szCs w:val="18"/>
                <w:lang w:eastAsia="en-GB"/>
              </w:rPr>
            </w:pPr>
          </w:p>
        </w:tc>
        <w:tc>
          <w:tcPr>
            <w:tcW w:w="900" w:type="dxa"/>
            <w:tcBorders>
              <w:bottom w:val="single" w:sz="4" w:space="0" w:color="auto"/>
            </w:tcBorders>
          </w:tcPr>
          <w:p w:rsidR="004755EE" w:rsidRDefault="004755EE" w:rsidP="00E863E4">
            <w:pPr>
              <w:ind w:right="-29"/>
              <w:jc w:val="center"/>
              <w:rPr>
                <w:rFonts w:eastAsia="Calibri"/>
                <w:noProof/>
                <w:sz w:val="18"/>
                <w:szCs w:val="18"/>
                <w:lang w:eastAsia="en-GB"/>
              </w:rPr>
            </w:pPr>
          </w:p>
        </w:tc>
      </w:tr>
      <w:tr w:rsidR="004755EE" w:rsidTr="00E863E4">
        <w:trPr>
          <w:gridAfter w:val="2"/>
          <w:wAfter w:w="18" w:type="dxa"/>
          <w:jc w:val="center"/>
        </w:trPr>
        <w:tc>
          <w:tcPr>
            <w:tcW w:w="2844" w:type="dxa"/>
            <w:gridSpan w:val="3"/>
            <w:tcBorders>
              <w:top w:val="single" w:sz="4" w:space="0" w:color="auto"/>
              <w:bottom w:val="single" w:sz="4" w:space="0" w:color="auto"/>
              <w:right w:val="single" w:sz="4" w:space="0" w:color="auto"/>
            </w:tcBorders>
            <w:vAlign w:val="center"/>
          </w:tcPr>
          <w:p w:rsidR="004755EE" w:rsidRDefault="004755EE" w:rsidP="00E863E4">
            <w:pPr>
              <w:spacing w:before="60" w:after="60"/>
              <w:ind w:right="-29"/>
              <w:jc w:val="center"/>
              <w:rPr>
                <w:rFonts w:eastAsia="Calibri"/>
                <w:noProof/>
                <w:sz w:val="18"/>
                <w:szCs w:val="18"/>
                <w:lang w:eastAsia="en-GB"/>
              </w:rPr>
            </w:pPr>
            <w:r>
              <w:rPr>
                <w:rFonts w:eastAsia="Calibri"/>
                <w:noProof/>
                <w:sz w:val="18"/>
                <w:lang w:eastAsia="en-GB"/>
              </w:rPr>
              <w:t>SPECIFIC OBJECTIVE No 2</w:t>
            </w:r>
          </w:p>
        </w:tc>
        <w:tc>
          <w:tcPr>
            <w:tcW w:w="504"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54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91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1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54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648"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720" w:type="dxa"/>
            <w:gridSpan w:val="2"/>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c>
          <w:tcPr>
            <w:tcW w:w="900" w:type="dxa"/>
            <w:tcBorders>
              <w:top w:val="single" w:sz="4" w:space="0" w:color="auto"/>
              <w:left w:val="single" w:sz="4" w:space="0" w:color="auto"/>
              <w:bottom w:val="single" w:sz="4" w:space="0" w:color="auto"/>
              <w:right w:val="single" w:sz="4" w:space="0" w:color="auto"/>
            </w:tcBorders>
          </w:tcPr>
          <w:p w:rsidR="004755EE" w:rsidRDefault="004755EE" w:rsidP="00E863E4">
            <w:pPr>
              <w:spacing w:before="60" w:after="60"/>
              <w:ind w:right="-29"/>
              <w:jc w:val="center"/>
              <w:rPr>
                <w:rFonts w:eastAsia="Calibri"/>
                <w:noProof/>
                <w:sz w:val="18"/>
                <w:szCs w:val="18"/>
                <w:lang w:eastAsia="en-GB"/>
              </w:rPr>
            </w:pPr>
          </w:p>
        </w:tc>
      </w:tr>
      <w:tr w:rsidR="004755EE" w:rsidTr="00E863E4">
        <w:trPr>
          <w:gridAfter w:val="2"/>
          <w:wAfter w:w="18" w:type="dxa"/>
          <w:trHeight w:hRule="exact" w:val="369"/>
          <w:jc w:val="center"/>
        </w:trPr>
        <w:tc>
          <w:tcPr>
            <w:tcW w:w="1423" w:type="dxa"/>
          </w:tcPr>
          <w:p w:rsidR="004755EE" w:rsidRDefault="004755EE" w:rsidP="00E863E4">
            <w:pPr>
              <w:ind w:right="-29"/>
              <w:jc w:val="center"/>
              <w:rPr>
                <w:rFonts w:eastAsia="Calibri"/>
                <w:noProof/>
                <w:sz w:val="18"/>
                <w:szCs w:val="18"/>
                <w:lang w:eastAsia="en-GB"/>
              </w:rPr>
            </w:pPr>
            <w:r>
              <w:rPr>
                <w:rFonts w:eastAsia="Calibri"/>
                <w:noProof/>
                <w:sz w:val="18"/>
                <w:lang w:eastAsia="en-GB"/>
              </w:rPr>
              <w:t>- Output</w:t>
            </w:r>
          </w:p>
        </w:tc>
        <w:tc>
          <w:tcPr>
            <w:tcW w:w="720" w:type="dxa"/>
          </w:tcPr>
          <w:p w:rsidR="004755EE" w:rsidRDefault="004755EE" w:rsidP="00E863E4">
            <w:pPr>
              <w:ind w:right="-29"/>
              <w:jc w:val="center"/>
              <w:rPr>
                <w:rFonts w:eastAsia="Calibri"/>
                <w:noProof/>
                <w:sz w:val="18"/>
                <w:szCs w:val="18"/>
                <w:lang w:eastAsia="en-GB"/>
              </w:rPr>
            </w:pPr>
          </w:p>
        </w:tc>
        <w:tc>
          <w:tcPr>
            <w:tcW w:w="701" w:type="dxa"/>
          </w:tcPr>
          <w:p w:rsidR="004755EE" w:rsidRDefault="004755EE" w:rsidP="00E863E4">
            <w:pPr>
              <w:ind w:right="-29"/>
              <w:jc w:val="center"/>
              <w:rPr>
                <w:rFonts w:eastAsia="Calibri"/>
                <w:noProof/>
                <w:sz w:val="18"/>
                <w:szCs w:val="18"/>
                <w:lang w:eastAsia="en-GB"/>
              </w:rPr>
            </w:pPr>
          </w:p>
        </w:tc>
        <w:tc>
          <w:tcPr>
            <w:tcW w:w="504"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540"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720" w:type="dxa"/>
          </w:tcPr>
          <w:p w:rsidR="004755EE" w:rsidRDefault="004755EE" w:rsidP="00E863E4">
            <w:pPr>
              <w:ind w:right="-29"/>
              <w:jc w:val="center"/>
              <w:rPr>
                <w:rFonts w:eastAsia="Calibri"/>
                <w:noProof/>
                <w:sz w:val="18"/>
                <w:szCs w:val="18"/>
                <w:lang w:eastAsia="en-GB"/>
              </w:rPr>
            </w:pPr>
          </w:p>
        </w:tc>
        <w:tc>
          <w:tcPr>
            <w:tcW w:w="910" w:type="dxa"/>
          </w:tcPr>
          <w:p w:rsidR="004755EE" w:rsidRDefault="004755EE" w:rsidP="00E863E4">
            <w:pPr>
              <w:ind w:right="-29"/>
              <w:jc w:val="center"/>
              <w:rPr>
                <w:rFonts w:eastAsia="Calibri"/>
                <w:noProof/>
                <w:sz w:val="18"/>
                <w:szCs w:val="18"/>
                <w:lang w:eastAsia="en-GB"/>
              </w:rPr>
            </w:pPr>
          </w:p>
        </w:tc>
        <w:tc>
          <w:tcPr>
            <w:tcW w:w="710" w:type="dxa"/>
          </w:tcPr>
          <w:p w:rsidR="004755EE" w:rsidRDefault="004755EE" w:rsidP="00E863E4">
            <w:pPr>
              <w:ind w:right="-29"/>
              <w:jc w:val="center"/>
              <w:rPr>
                <w:rFonts w:eastAsia="Calibri"/>
                <w:noProof/>
                <w:sz w:val="18"/>
                <w:szCs w:val="18"/>
                <w:lang w:eastAsia="en-GB"/>
              </w:rPr>
            </w:pPr>
          </w:p>
        </w:tc>
        <w:tc>
          <w:tcPr>
            <w:tcW w:w="540" w:type="dxa"/>
          </w:tcPr>
          <w:p w:rsidR="004755EE" w:rsidRDefault="004755EE" w:rsidP="00E863E4">
            <w:pPr>
              <w:ind w:right="-29"/>
              <w:jc w:val="center"/>
              <w:rPr>
                <w:rFonts w:eastAsia="Calibri"/>
                <w:noProof/>
                <w:sz w:val="18"/>
                <w:szCs w:val="18"/>
                <w:lang w:eastAsia="en-GB"/>
              </w:rPr>
            </w:pPr>
          </w:p>
        </w:tc>
        <w:tc>
          <w:tcPr>
            <w:tcW w:w="648" w:type="dxa"/>
          </w:tcPr>
          <w:p w:rsidR="004755EE" w:rsidRDefault="004755EE" w:rsidP="00E863E4">
            <w:pPr>
              <w:ind w:right="-29"/>
              <w:jc w:val="center"/>
              <w:rPr>
                <w:rFonts w:eastAsia="Calibri"/>
                <w:noProof/>
                <w:sz w:val="18"/>
                <w:szCs w:val="18"/>
                <w:lang w:eastAsia="en-GB"/>
              </w:rPr>
            </w:pPr>
          </w:p>
        </w:tc>
        <w:tc>
          <w:tcPr>
            <w:tcW w:w="720" w:type="dxa"/>
            <w:gridSpan w:val="2"/>
          </w:tcPr>
          <w:p w:rsidR="004755EE" w:rsidRDefault="004755EE" w:rsidP="00E863E4">
            <w:pPr>
              <w:ind w:right="-29"/>
              <w:jc w:val="center"/>
              <w:rPr>
                <w:rFonts w:eastAsia="Calibri"/>
                <w:noProof/>
                <w:sz w:val="18"/>
                <w:szCs w:val="18"/>
                <w:lang w:eastAsia="en-GB"/>
              </w:rPr>
            </w:pPr>
          </w:p>
        </w:tc>
        <w:tc>
          <w:tcPr>
            <w:tcW w:w="900" w:type="dxa"/>
          </w:tcPr>
          <w:p w:rsidR="004755EE" w:rsidRDefault="004755EE" w:rsidP="00E863E4">
            <w:pPr>
              <w:ind w:right="-29"/>
              <w:jc w:val="center"/>
              <w:rPr>
                <w:rFonts w:eastAsia="Calibri"/>
                <w:noProof/>
                <w:sz w:val="18"/>
                <w:szCs w:val="18"/>
                <w:lang w:eastAsia="en-GB"/>
              </w:rPr>
            </w:pPr>
          </w:p>
        </w:tc>
      </w:tr>
      <w:tr w:rsidR="004755EE" w:rsidTr="00E863E4">
        <w:trPr>
          <w:gridAfter w:val="2"/>
          <w:wAfter w:w="18" w:type="dxa"/>
          <w:jc w:val="center"/>
        </w:trPr>
        <w:tc>
          <w:tcPr>
            <w:tcW w:w="2844" w:type="dxa"/>
            <w:gridSpan w:val="3"/>
            <w:tcBorders>
              <w:bottom w:val="single" w:sz="4" w:space="0" w:color="auto"/>
            </w:tcBorders>
            <w:vAlign w:val="center"/>
          </w:tcPr>
          <w:p w:rsidR="004755EE" w:rsidRDefault="004755EE" w:rsidP="00E863E4">
            <w:pPr>
              <w:jc w:val="center"/>
              <w:rPr>
                <w:rFonts w:eastAsia="Calibri"/>
                <w:noProof/>
                <w:sz w:val="18"/>
                <w:szCs w:val="18"/>
                <w:lang w:eastAsia="en-GB"/>
              </w:rPr>
            </w:pPr>
            <w:r>
              <w:rPr>
                <w:rFonts w:eastAsia="Calibri"/>
                <w:noProof/>
                <w:sz w:val="18"/>
                <w:lang w:eastAsia="en-GB"/>
              </w:rPr>
              <w:t>Subtotal for specific objective No 2</w:t>
            </w:r>
          </w:p>
        </w:tc>
        <w:tc>
          <w:tcPr>
            <w:tcW w:w="504"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91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1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540"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648" w:type="dxa"/>
            <w:tcBorders>
              <w:bottom w:val="single" w:sz="4" w:space="0" w:color="auto"/>
            </w:tcBorders>
          </w:tcPr>
          <w:p w:rsidR="004755EE" w:rsidRDefault="004755EE" w:rsidP="00E863E4">
            <w:pPr>
              <w:ind w:right="-29"/>
              <w:jc w:val="center"/>
              <w:rPr>
                <w:rFonts w:eastAsia="Calibri"/>
                <w:noProof/>
                <w:sz w:val="18"/>
                <w:szCs w:val="18"/>
                <w:lang w:eastAsia="en-GB"/>
              </w:rPr>
            </w:pPr>
          </w:p>
        </w:tc>
        <w:tc>
          <w:tcPr>
            <w:tcW w:w="720" w:type="dxa"/>
            <w:gridSpan w:val="2"/>
            <w:tcBorders>
              <w:bottom w:val="single" w:sz="4" w:space="0" w:color="auto"/>
            </w:tcBorders>
          </w:tcPr>
          <w:p w:rsidR="004755EE" w:rsidRDefault="004755EE" w:rsidP="00E863E4">
            <w:pPr>
              <w:ind w:right="-29"/>
              <w:jc w:val="center"/>
              <w:rPr>
                <w:rFonts w:eastAsia="Calibri"/>
                <w:noProof/>
                <w:sz w:val="18"/>
                <w:szCs w:val="18"/>
                <w:lang w:eastAsia="en-GB"/>
              </w:rPr>
            </w:pPr>
          </w:p>
        </w:tc>
        <w:tc>
          <w:tcPr>
            <w:tcW w:w="900" w:type="dxa"/>
            <w:tcBorders>
              <w:bottom w:val="single" w:sz="4" w:space="0" w:color="auto"/>
            </w:tcBorders>
          </w:tcPr>
          <w:p w:rsidR="004755EE" w:rsidRDefault="004755EE" w:rsidP="00E863E4">
            <w:pPr>
              <w:ind w:right="-29"/>
              <w:jc w:val="center"/>
              <w:rPr>
                <w:rFonts w:eastAsia="Calibri"/>
                <w:noProof/>
                <w:sz w:val="18"/>
                <w:szCs w:val="18"/>
                <w:lang w:eastAsia="en-GB"/>
              </w:rPr>
            </w:pPr>
          </w:p>
        </w:tc>
      </w:tr>
      <w:tr w:rsidR="004755EE" w:rsidTr="00E863E4">
        <w:trPr>
          <w:gridAfter w:val="2"/>
          <w:wAfter w:w="18" w:type="dxa"/>
          <w:jc w:val="center"/>
        </w:trPr>
        <w:tc>
          <w:tcPr>
            <w:tcW w:w="2844" w:type="dxa"/>
            <w:gridSpan w:val="3"/>
            <w:tcBorders>
              <w:top w:val="single" w:sz="4" w:space="0" w:color="auto"/>
              <w:left w:val="single" w:sz="4" w:space="0" w:color="auto"/>
              <w:bottom w:val="single" w:sz="4" w:space="0" w:color="auto"/>
            </w:tcBorders>
            <w:vAlign w:val="center"/>
          </w:tcPr>
          <w:p w:rsidR="004755EE" w:rsidRDefault="004755EE" w:rsidP="00E863E4">
            <w:pPr>
              <w:ind w:right="-29"/>
              <w:jc w:val="center"/>
              <w:rPr>
                <w:rFonts w:eastAsia="Calibri"/>
                <w:noProof/>
                <w:sz w:val="18"/>
                <w:szCs w:val="18"/>
                <w:lang w:eastAsia="en-GB"/>
              </w:rPr>
            </w:pPr>
            <w:r>
              <w:rPr>
                <w:rFonts w:eastAsia="Calibri"/>
                <w:b/>
                <w:noProof/>
                <w:sz w:val="18"/>
                <w:lang w:eastAsia="en-GB"/>
              </w:rPr>
              <w:t>TOTALS</w:t>
            </w:r>
          </w:p>
        </w:tc>
        <w:tc>
          <w:tcPr>
            <w:tcW w:w="504"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72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54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72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72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72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91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71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540"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648" w:type="dxa"/>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720" w:type="dxa"/>
            <w:gridSpan w:val="2"/>
            <w:tcBorders>
              <w:top w:val="single" w:sz="4" w:space="0" w:color="auto"/>
              <w:bottom w:val="single" w:sz="4" w:space="0" w:color="auto"/>
            </w:tcBorders>
          </w:tcPr>
          <w:p w:rsidR="004755EE" w:rsidRDefault="004755EE" w:rsidP="00E863E4">
            <w:pPr>
              <w:spacing w:before="180" w:after="180"/>
              <w:ind w:right="-29"/>
              <w:jc w:val="center"/>
              <w:rPr>
                <w:rFonts w:eastAsia="Calibri"/>
                <w:noProof/>
                <w:sz w:val="18"/>
                <w:szCs w:val="18"/>
                <w:lang w:eastAsia="en-GB"/>
              </w:rPr>
            </w:pPr>
          </w:p>
        </w:tc>
        <w:tc>
          <w:tcPr>
            <w:tcW w:w="900" w:type="dxa"/>
            <w:tcBorders>
              <w:top w:val="single" w:sz="4" w:space="0" w:color="auto"/>
              <w:bottom w:val="single" w:sz="4" w:space="0" w:color="auto"/>
              <w:right w:val="single" w:sz="4" w:space="0" w:color="auto"/>
            </w:tcBorders>
          </w:tcPr>
          <w:p w:rsidR="004755EE" w:rsidRDefault="004755EE" w:rsidP="00E863E4">
            <w:pPr>
              <w:spacing w:before="180" w:after="180"/>
              <w:ind w:right="-29"/>
              <w:jc w:val="center"/>
              <w:rPr>
                <w:rFonts w:eastAsia="Calibri"/>
                <w:noProof/>
                <w:sz w:val="18"/>
                <w:szCs w:val="18"/>
                <w:lang w:eastAsia="en-GB"/>
              </w:rPr>
            </w:pPr>
          </w:p>
        </w:tc>
      </w:tr>
    </w:tbl>
    <w:p w:rsidR="004755EE" w:rsidRDefault="006C0379" w:rsidP="00C9020F">
      <w:pPr>
        <w:pStyle w:val="ManualHeading3"/>
        <w:rPr>
          <w:noProof/>
          <w:lang w:eastAsia="en-GB"/>
        </w:rPr>
      </w:pPr>
      <w:bookmarkStart w:id="65" w:name="_Toc514938055"/>
      <w:bookmarkStart w:id="66" w:name="_Toc520485054"/>
      <w:r>
        <w:rPr>
          <w:noProof/>
          <w:lang w:eastAsia="en-GB"/>
        </w:rPr>
        <w:t>3.2.3.</w:t>
      </w:r>
      <w:r>
        <w:rPr>
          <w:noProof/>
          <w:lang w:eastAsia="en-GB"/>
        </w:rPr>
        <w:tab/>
      </w:r>
      <w:r w:rsidR="004755EE">
        <w:rPr>
          <w:noProof/>
          <w:lang w:eastAsia="en-GB"/>
        </w:rPr>
        <w:t>Summary of estimated impact on administrative appropriations</w:t>
      </w:r>
      <w:bookmarkEnd w:id="65"/>
      <w:bookmarkEnd w:id="66"/>
      <w:r w:rsidR="004755EE">
        <w:rPr>
          <w:noProof/>
          <w:lang w:eastAsia="en-GB"/>
        </w:rPr>
        <w:t xml:space="preserve"> </w:t>
      </w:r>
    </w:p>
    <w:p w:rsidR="004755EE" w:rsidRPr="003F7F82" w:rsidRDefault="006C0379" w:rsidP="006C0379">
      <w:pPr>
        <w:pStyle w:val="ManualHeading4"/>
        <w:rPr>
          <w:bCs/>
          <w:noProof/>
          <w:szCs w:val="24"/>
        </w:rPr>
      </w:pPr>
      <w:r>
        <w:rPr>
          <w:noProof/>
        </w:rPr>
        <w:t>3.2.3.1.</w:t>
      </w:r>
      <w:r>
        <w:rPr>
          <w:noProof/>
        </w:rPr>
        <w:tab/>
      </w:r>
      <w:r w:rsidR="004755EE">
        <w:rPr>
          <w:noProof/>
        </w:rPr>
        <w:t>Estimated impact on EEA</w:t>
      </w:r>
      <w:r w:rsidR="004755EE" w:rsidRPr="00CE5F32">
        <w:rPr>
          <w:noProof/>
        </w:rPr>
        <w:t xml:space="preserve">'s human resources </w:t>
      </w:r>
    </w:p>
    <w:p w:rsidR="004755EE" w:rsidRDefault="004755EE" w:rsidP="004755EE">
      <w:pPr>
        <w:pStyle w:val="Bullet1"/>
        <w:rPr>
          <w:noProof/>
          <w:lang w:eastAsia="en-GB"/>
        </w:rPr>
      </w:pPr>
      <w:r>
        <w:rPr>
          <w:rFonts w:ascii="Wingdings" w:eastAsia="Wingdings" w:hAnsi="Wingdings" w:cs="Wingdings"/>
          <w:noProof/>
          <w:lang w:eastAsia="en-GB"/>
        </w:rPr>
        <w:t></w:t>
      </w:r>
      <w:r>
        <w:rPr>
          <w:noProof/>
        </w:rPr>
        <w:tab/>
      </w:r>
      <w:r>
        <w:rPr>
          <w:noProof/>
          <w:lang w:eastAsia="en-GB"/>
        </w:rPr>
        <w:t xml:space="preserve">The proposal/initiative does not require the use of appropriations of an administrative nature </w:t>
      </w:r>
    </w:p>
    <w:p w:rsidR="004755EE" w:rsidRDefault="004755EE" w:rsidP="004755EE">
      <w:pPr>
        <w:pStyle w:val="Bullet1"/>
        <w:rPr>
          <w:noProof/>
          <w:lang w:eastAsia="en-GB"/>
        </w:rPr>
      </w:pPr>
      <w:r>
        <w:rPr>
          <w:rFonts w:ascii="Wingdings" w:eastAsia="Wingdings" w:hAnsi="Wingdings" w:cs="Wingdings"/>
          <w:noProof/>
          <w:lang w:eastAsia="en-GB"/>
        </w:rPr>
        <w:t></w:t>
      </w:r>
      <w:r>
        <w:rPr>
          <w:noProof/>
        </w:rPr>
        <w:tab/>
      </w:r>
      <w:r>
        <w:rPr>
          <w:noProof/>
          <w:lang w:eastAsia="en-GB"/>
        </w:rPr>
        <w:t>The proposal/initiative requires the use of appropriations of an administrative nature, as explained below:</w:t>
      </w:r>
    </w:p>
    <w:p w:rsidR="004755EE" w:rsidRPr="00B83CAF" w:rsidRDefault="004755EE" w:rsidP="004755EE">
      <w:pPr>
        <w:rPr>
          <w:noProof/>
          <w:sz w:val="20"/>
        </w:rPr>
      </w:pPr>
      <w:r w:rsidRPr="00B83CAF">
        <w:rPr>
          <w:noProof/>
          <w:sz w:val="20"/>
        </w:rPr>
        <w:t>EUR million (to three decimal places)</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4755EE" w:rsidRPr="00B83CAF" w:rsidTr="00E863E4">
        <w:trPr>
          <w:trHeight w:val="585"/>
          <w:jc w:val="center"/>
        </w:trPr>
        <w:tc>
          <w:tcPr>
            <w:tcW w:w="1980" w:type="dxa"/>
          </w:tcPr>
          <w:p w:rsidR="004755EE" w:rsidRPr="00B83CAF" w:rsidRDefault="004755EE" w:rsidP="00E863E4">
            <w:pPr>
              <w:spacing w:before="60" w:after="60"/>
              <w:rPr>
                <w:noProof/>
                <w:sz w:val="20"/>
              </w:rPr>
            </w:pPr>
          </w:p>
        </w:tc>
        <w:tc>
          <w:tcPr>
            <w:tcW w:w="1080" w:type="dxa"/>
            <w:vAlign w:val="center"/>
          </w:tcPr>
          <w:p w:rsidR="004755EE" w:rsidRPr="00B83CAF" w:rsidRDefault="004755EE" w:rsidP="00E863E4">
            <w:pPr>
              <w:spacing w:before="60" w:after="60"/>
              <w:jc w:val="center"/>
              <w:rPr>
                <w:b/>
                <w:noProof/>
                <w:sz w:val="20"/>
              </w:rPr>
            </w:pPr>
            <w:r w:rsidRPr="00B83CAF">
              <w:rPr>
                <w:b/>
                <w:noProof/>
                <w:sz w:val="20"/>
              </w:rPr>
              <w:t>2024</w:t>
            </w:r>
          </w:p>
        </w:tc>
        <w:tc>
          <w:tcPr>
            <w:tcW w:w="1080" w:type="dxa"/>
            <w:vAlign w:val="center"/>
          </w:tcPr>
          <w:p w:rsidR="004755EE" w:rsidRPr="00B83CAF" w:rsidRDefault="004755EE" w:rsidP="00E863E4">
            <w:pPr>
              <w:spacing w:before="60" w:after="60"/>
              <w:jc w:val="center"/>
              <w:rPr>
                <w:b/>
                <w:noProof/>
                <w:sz w:val="20"/>
              </w:rPr>
            </w:pPr>
            <w:r w:rsidRPr="00B83CAF">
              <w:rPr>
                <w:b/>
                <w:noProof/>
                <w:sz w:val="20"/>
              </w:rPr>
              <w:t>2025</w:t>
            </w:r>
          </w:p>
        </w:tc>
        <w:tc>
          <w:tcPr>
            <w:tcW w:w="1080" w:type="dxa"/>
            <w:vAlign w:val="center"/>
          </w:tcPr>
          <w:p w:rsidR="004755EE" w:rsidRPr="00B83CAF" w:rsidRDefault="004755EE" w:rsidP="00E863E4">
            <w:pPr>
              <w:spacing w:before="60" w:after="60"/>
              <w:jc w:val="center"/>
              <w:rPr>
                <w:b/>
                <w:noProof/>
                <w:sz w:val="20"/>
              </w:rPr>
            </w:pPr>
            <w:r w:rsidRPr="00B83CAF">
              <w:rPr>
                <w:b/>
                <w:noProof/>
                <w:sz w:val="20"/>
              </w:rPr>
              <w:t>2026</w:t>
            </w:r>
          </w:p>
        </w:tc>
        <w:tc>
          <w:tcPr>
            <w:tcW w:w="1080" w:type="dxa"/>
            <w:vAlign w:val="center"/>
          </w:tcPr>
          <w:p w:rsidR="004755EE" w:rsidRPr="00B83CAF" w:rsidRDefault="004755EE" w:rsidP="00E863E4">
            <w:pPr>
              <w:spacing w:before="60" w:after="60"/>
              <w:jc w:val="center"/>
              <w:rPr>
                <w:b/>
                <w:noProof/>
                <w:sz w:val="20"/>
              </w:rPr>
            </w:pPr>
            <w:r w:rsidRPr="00B83CAF">
              <w:rPr>
                <w:b/>
                <w:noProof/>
                <w:sz w:val="20"/>
              </w:rPr>
              <w:t>2027</w:t>
            </w:r>
          </w:p>
        </w:tc>
        <w:tc>
          <w:tcPr>
            <w:tcW w:w="1080" w:type="dxa"/>
            <w:vAlign w:val="center"/>
          </w:tcPr>
          <w:p w:rsidR="004755EE" w:rsidRPr="00B83CAF" w:rsidRDefault="004755EE" w:rsidP="00E863E4">
            <w:pPr>
              <w:jc w:val="center"/>
              <w:rPr>
                <w:b/>
                <w:noProof/>
                <w:sz w:val="20"/>
              </w:rPr>
            </w:pPr>
            <w:r w:rsidRPr="00B83CAF">
              <w:rPr>
                <w:b/>
                <w:noProof/>
                <w:sz w:val="20"/>
              </w:rPr>
              <w:t>TOTAL</w:t>
            </w:r>
          </w:p>
        </w:tc>
      </w:tr>
    </w:tbl>
    <w:p w:rsidR="004755EE" w:rsidRPr="00B83CAF" w:rsidRDefault="004755EE" w:rsidP="004755EE">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680441" w:rsidRPr="00B83CAF" w:rsidTr="00B318DC">
        <w:trPr>
          <w:trHeight w:val="585"/>
          <w:jc w:val="center"/>
        </w:trPr>
        <w:tc>
          <w:tcPr>
            <w:tcW w:w="1980" w:type="dxa"/>
            <w:shd w:val="clear" w:color="auto" w:fill="D9D9D9" w:themeFill="background1" w:themeFillShade="D9"/>
            <w:vAlign w:val="center"/>
          </w:tcPr>
          <w:p w:rsidR="00680441" w:rsidRPr="00B83CAF" w:rsidRDefault="00680441" w:rsidP="00680441">
            <w:pPr>
              <w:spacing w:before="60" w:after="60"/>
              <w:jc w:val="center"/>
              <w:rPr>
                <w:noProof/>
              </w:rPr>
            </w:pPr>
            <w:r w:rsidRPr="00B83CAF">
              <w:rPr>
                <w:noProof/>
                <w:sz w:val="18"/>
              </w:rPr>
              <w:t>Temporary agents (AD Grades)</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0,115</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0,235</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0,240</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0,244</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0,834</w:t>
            </w:r>
          </w:p>
        </w:tc>
      </w:tr>
      <w:tr w:rsidR="00680441" w:rsidRPr="00B83CAF" w:rsidTr="00B318DC">
        <w:trPr>
          <w:trHeight w:val="585"/>
          <w:jc w:val="center"/>
        </w:trPr>
        <w:tc>
          <w:tcPr>
            <w:tcW w:w="1980" w:type="dxa"/>
            <w:shd w:val="clear" w:color="auto" w:fill="BFBFBF" w:themeFill="background1" w:themeFillShade="BF"/>
            <w:vAlign w:val="center"/>
          </w:tcPr>
          <w:p w:rsidR="00680441" w:rsidRPr="00B83CAF" w:rsidRDefault="00680441" w:rsidP="00680441">
            <w:pPr>
              <w:spacing w:before="60" w:after="60"/>
              <w:ind w:left="72"/>
              <w:rPr>
                <w:noProof/>
              </w:rPr>
            </w:pPr>
            <w:r w:rsidRPr="00B83CAF">
              <w:rPr>
                <w:noProof/>
                <w:sz w:val="20"/>
              </w:rPr>
              <w:t>Temporary agents (AST grades)</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p>
        </w:tc>
      </w:tr>
      <w:tr w:rsidR="00680441" w:rsidRPr="000C22D2" w:rsidTr="00B318DC">
        <w:trPr>
          <w:trHeight w:val="585"/>
          <w:jc w:val="center"/>
        </w:trPr>
        <w:tc>
          <w:tcPr>
            <w:tcW w:w="1980" w:type="dxa"/>
            <w:shd w:val="clear" w:color="auto" w:fill="BFBFBF" w:themeFill="background1" w:themeFillShade="BF"/>
            <w:vAlign w:val="center"/>
          </w:tcPr>
          <w:p w:rsidR="00680441" w:rsidRPr="000C22D2" w:rsidRDefault="00680441" w:rsidP="00680441">
            <w:pPr>
              <w:spacing w:before="60" w:after="60"/>
              <w:ind w:left="72"/>
              <w:rPr>
                <w:noProof/>
                <w:sz w:val="22"/>
              </w:rPr>
            </w:pPr>
            <w:r w:rsidRPr="000C22D2">
              <w:rPr>
                <w:noProof/>
                <w:sz w:val="22"/>
              </w:rPr>
              <w:t>Contract staff</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0.184</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0.500</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0.510</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0.520</w:t>
            </w:r>
          </w:p>
        </w:tc>
        <w:tc>
          <w:tcPr>
            <w:tcW w:w="1080" w:type="dxa"/>
            <w:tcBorders>
              <w:top w:val="single" w:sz="2" w:space="0" w:color="auto"/>
              <w:left w:val="single" w:sz="2" w:space="0" w:color="auto"/>
              <w:bottom w:val="single" w:sz="2" w:space="0" w:color="auto"/>
              <w:right w:val="single" w:sz="2" w:space="0" w:color="auto"/>
            </w:tcBorders>
            <w:vAlign w:val="bottom"/>
          </w:tcPr>
          <w:p w:rsidR="00680441" w:rsidRPr="00DE462C" w:rsidRDefault="00680441" w:rsidP="00680441">
            <w:pPr>
              <w:spacing w:before="60" w:after="60"/>
              <w:jc w:val="right"/>
              <w:rPr>
                <w:noProof/>
                <w:sz w:val="18"/>
                <w:szCs w:val="18"/>
              </w:rPr>
            </w:pPr>
            <w:r>
              <w:rPr>
                <w:noProof/>
                <w:sz w:val="18"/>
                <w:szCs w:val="18"/>
              </w:rPr>
              <w:t>1.714</w:t>
            </w:r>
          </w:p>
        </w:tc>
      </w:tr>
      <w:tr w:rsidR="004755EE" w:rsidRPr="000C22D2" w:rsidTr="00E863E4">
        <w:trPr>
          <w:trHeight w:val="585"/>
          <w:jc w:val="center"/>
        </w:trPr>
        <w:tc>
          <w:tcPr>
            <w:tcW w:w="1980" w:type="dxa"/>
            <w:shd w:val="clear" w:color="auto" w:fill="CCCCCC"/>
            <w:vAlign w:val="center"/>
          </w:tcPr>
          <w:p w:rsidR="004755EE" w:rsidRPr="000C22D2" w:rsidRDefault="004755EE" w:rsidP="00E863E4">
            <w:pPr>
              <w:spacing w:before="60" w:after="60"/>
              <w:jc w:val="center"/>
              <w:rPr>
                <w:noProof/>
                <w:sz w:val="22"/>
              </w:rPr>
            </w:pPr>
            <w:r w:rsidRPr="000C22D2">
              <w:rPr>
                <w:noProof/>
                <w:sz w:val="22"/>
              </w:rPr>
              <w:t>Seconded National Experts</w:t>
            </w:r>
          </w:p>
        </w:tc>
        <w:tc>
          <w:tcPr>
            <w:tcW w:w="1080" w:type="dxa"/>
            <w:vAlign w:val="center"/>
          </w:tcPr>
          <w:p w:rsidR="004755EE" w:rsidRPr="000C22D2" w:rsidRDefault="004755EE" w:rsidP="00E863E4">
            <w:pPr>
              <w:spacing w:before="60" w:after="60"/>
              <w:jc w:val="right"/>
              <w:rPr>
                <w:noProof/>
                <w:sz w:val="22"/>
              </w:rPr>
            </w:pPr>
          </w:p>
        </w:tc>
        <w:tc>
          <w:tcPr>
            <w:tcW w:w="1080" w:type="dxa"/>
            <w:vAlign w:val="center"/>
          </w:tcPr>
          <w:p w:rsidR="004755EE" w:rsidRPr="000C22D2" w:rsidRDefault="004755EE" w:rsidP="00E863E4">
            <w:pPr>
              <w:spacing w:before="60" w:after="60"/>
              <w:jc w:val="right"/>
              <w:rPr>
                <w:noProof/>
                <w:sz w:val="22"/>
              </w:rPr>
            </w:pPr>
          </w:p>
        </w:tc>
        <w:tc>
          <w:tcPr>
            <w:tcW w:w="1080" w:type="dxa"/>
          </w:tcPr>
          <w:p w:rsidR="004755EE" w:rsidRPr="000C22D2" w:rsidRDefault="004755EE" w:rsidP="00E863E4">
            <w:pPr>
              <w:spacing w:before="60" w:after="60"/>
              <w:jc w:val="right"/>
              <w:rPr>
                <w:noProof/>
                <w:sz w:val="22"/>
              </w:rPr>
            </w:pPr>
          </w:p>
        </w:tc>
        <w:tc>
          <w:tcPr>
            <w:tcW w:w="1080" w:type="dxa"/>
            <w:vAlign w:val="center"/>
          </w:tcPr>
          <w:p w:rsidR="004755EE" w:rsidRPr="000C22D2" w:rsidRDefault="004755EE" w:rsidP="00E863E4">
            <w:pPr>
              <w:spacing w:before="60" w:after="60"/>
              <w:jc w:val="right"/>
              <w:rPr>
                <w:noProof/>
                <w:sz w:val="22"/>
              </w:rPr>
            </w:pPr>
          </w:p>
        </w:tc>
        <w:tc>
          <w:tcPr>
            <w:tcW w:w="1080" w:type="dxa"/>
            <w:vAlign w:val="center"/>
          </w:tcPr>
          <w:p w:rsidR="004755EE" w:rsidRPr="000C22D2" w:rsidRDefault="004755EE" w:rsidP="00E863E4">
            <w:pPr>
              <w:spacing w:before="60" w:after="60"/>
              <w:jc w:val="right"/>
              <w:rPr>
                <w:noProof/>
                <w:sz w:val="22"/>
              </w:rPr>
            </w:pPr>
          </w:p>
        </w:tc>
      </w:tr>
    </w:tbl>
    <w:p w:rsidR="004755EE" w:rsidRPr="000C22D2" w:rsidRDefault="004755EE" w:rsidP="004755EE">
      <w:pPr>
        <w:rPr>
          <w:noProof/>
          <w:sz w:val="22"/>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680441" w:rsidRPr="000C22D2" w:rsidTr="00E863E4">
        <w:trPr>
          <w:trHeight w:val="449"/>
          <w:jc w:val="center"/>
        </w:trPr>
        <w:tc>
          <w:tcPr>
            <w:tcW w:w="1980" w:type="dxa"/>
            <w:tcBorders>
              <w:top w:val="single" w:sz="12" w:space="0" w:color="auto"/>
              <w:left w:val="single" w:sz="12" w:space="0" w:color="auto"/>
              <w:bottom w:val="single" w:sz="12" w:space="0" w:color="auto"/>
              <w:right w:val="single" w:sz="2" w:space="0" w:color="auto"/>
            </w:tcBorders>
            <w:vAlign w:val="center"/>
          </w:tcPr>
          <w:p w:rsidR="00680441" w:rsidRPr="000C22D2" w:rsidRDefault="00680441" w:rsidP="00680441">
            <w:pPr>
              <w:spacing w:before="60" w:after="60"/>
              <w:jc w:val="center"/>
              <w:rPr>
                <w:noProof/>
                <w:sz w:val="22"/>
              </w:rPr>
            </w:pPr>
            <w:r w:rsidRPr="000C22D2">
              <w:rPr>
                <w:b/>
                <w:noProof/>
                <w:sz w:val="22"/>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680441" w:rsidRPr="00CC2DE6" w:rsidRDefault="00680441" w:rsidP="00680441">
            <w:pPr>
              <w:spacing w:before="60" w:after="60"/>
              <w:jc w:val="right"/>
              <w:rPr>
                <w:b/>
                <w:bCs/>
                <w:noProof/>
                <w:sz w:val="22"/>
              </w:rPr>
            </w:pPr>
            <w:r>
              <w:rPr>
                <w:b/>
                <w:bCs/>
                <w:noProof/>
                <w:sz w:val="22"/>
              </w:rPr>
              <w:t>0.299</w:t>
            </w:r>
          </w:p>
        </w:tc>
        <w:tc>
          <w:tcPr>
            <w:tcW w:w="1080" w:type="dxa"/>
            <w:tcBorders>
              <w:top w:val="single" w:sz="12" w:space="0" w:color="auto"/>
              <w:left w:val="single" w:sz="2" w:space="0" w:color="auto"/>
              <w:bottom w:val="single" w:sz="12" w:space="0" w:color="auto"/>
              <w:right w:val="single" w:sz="2" w:space="0" w:color="auto"/>
            </w:tcBorders>
            <w:vAlign w:val="center"/>
          </w:tcPr>
          <w:p w:rsidR="00680441" w:rsidRPr="00CC2DE6" w:rsidRDefault="00680441" w:rsidP="00680441">
            <w:pPr>
              <w:spacing w:before="60" w:after="60"/>
              <w:jc w:val="right"/>
              <w:rPr>
                <w:b/>
                <w:bCs/>
                <w:noProof/>
                <w:sz w:val="22"/>
              </w:rPr>
            </w:pPr>
            <w:r>
              <w:rPr>
                <w:b/>
                <w:bCs/>
                <w:noProof/>
                <w:sz w:val="22"/>
              </w:rPr>
              <w:t>0.735</w:t>
            </w:r>
          </w:p>
        </w:tc>
        <w:tc>
          <w:tcPr>
            <w:tcW w:w="1080" w:type="dxa"/>
            <w:tcBorders>
              <w:top w:val="single" w:sz="12" w:space="0" w:color="auto"/>
              <w:left w:val="single" w:sz="2" w:space="0" w:color="auto"/>
              <w:bottom w:val="single" w:sz="12" w:space="0" w:color="auto"/>
              <w:right w:val="single" w:sz="2" w:space="0" w:color="auto"/>
            </w:tcBorders>
            <w:vAlign w:val="center"/>
          </w:tcPr>
          <w:p w:rsidR="00680441" w:rsidRPr="00CC2DE6" w:rsidRDefault="00680441" w:rsidP="00680441">
            <w:pPr>
              <w:spacing w:before="60" w:after="60"/>
              <w:jc w:val="right"/>
              <w:rPr>
                <w:b/>
                <w:bCs/>
                <w:noProof/>
                <w:sz w:val="22"/>
              </w:rPr>
            </w:pPr>
            <w:r>
              <w:rPr>
                <w:b/>
                <w:bCs/>
                <w:noProof/>
                <w:sz w:val="22"/>
              </w:rPr>
              <w:t>0.750</w:t>
            </w:r>
          </w:p>
        </w:tc>
        <w:tc>
          <w:tcPr>
            <w:tcW w:w="1080" w:type="dxa"/>
            <w:tcBorders>
              <w:top w:val="single" w:sz="12" w:space="0" w:color="auto"/>
              <w:left w:val="single" w:sz="2" w:space="0" w:color="auto"/>
              <w:bottom w:val="single" w:sz="12" w:space="0" w:color="auto"/>
              <w:right w:val="single" w:sz="2" w:space="0" w:color="auto"/>
            </w:tcBorders>
            <w:vAlign w:val="center"/>
          </w:tcPr>
          <w:p w:rsidR="00680441" w:rsidRPr="00CC2DE6" w:rsidRDefault="00680441" w:rsidP="00680441">
            <w:pPr>
              <w:spacing w:before="60" w:after="60"/>
              <w:jc w:val="right"/>
              <w:rPr>
                <w:b/>
                <w:bCs/>
                <w:noProof/>
                <w:sz w:val="22"/>
              </w:rPr>
            </w:pPr>
            <w:r>
              <w:rPr>
                <w:b/>
                <w:bCs/>
                <w:noProof/>
                <w:sz w:val="22"/>
              </w:rPr>
              <w:t>0.765</w:t>
            </w:r>
          </w:p>
        </w:tc>
        <w:tc>
          <w:tcPr>
            <w:tcW w:w="1080" w:type="dxa"/>
            <w:tcBorders>
              <w:top w:val="single" w:sz="12" w:space="0" w:color="auto"/>
              <w:left w:val="single" w:sz="2" w:space="0" w:color="auto"/>
              <w:bottom w:val="single" w:sz="12" w:space="0" w:color="auto"/>
              <w:right w:val="single" w:sz="2" w:space="0" w:color="auto"/>
            </w:tcBorders>
            <w:vAlign w:val="center"/>
          </w:tcPr>
          <w:p w:rsidR="00680441" w:rsidRPr="00DE462C" w:rsidRDefault="00680441" w:rsidP="00680441">
            <w:pPr>
              <w:spacing w:before="60" w:after="60"/>
              <w:jc w:val="right"/>
              <w:rPr>
                <w:b/>
                <w:noProof/>
                <w:sz w:val="22"/>
              </w:rPr>
            </w:pPr>
            <w:r>
              <w:rPr>
                <w:b/>
                <w:bCs/>
                <w:noProof/>
                <w:sz w:val="22"/>
              </w:rPr>
              <w:t>2.549</w:t>
            </w:r>
          </w:p>
        </w:tc>
      </w:tr>
    </w:tbl>
    <w:p w:rsidR="004755EE" w:rsidRPr="00B83CAF" w:rsidRDefault="004755EE" w:rsidP="004755EE">
      <w:pPr>
        <w:rPr>
          <w:noProof/>
          <w:u w:val="single"/>
        </w:rPr>
      </w:pPr>
    </w:p>
    <w:p w:rsidR="004755EE" w:rsidRPr="00B83CAF" w:rsidRDefault="004755EE" w:rsidP="004755EE">
      <w:pPr>
        <w:rPr>
          <w:noProof/>
          <w:sz w:val="20"/>
        </w:rPr>
      </w:pPr>
      <w:r w:rsidRPr="00B83CAF">
        <w:rPr>
          <w:noProof/>
          <w:sz w:val="20"/>
        </w:rPr>
        <w:t>Staff requirements (FTE):</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4755EE" w:rsidRPr="00B83CAF" w:rsidTr="00E863E4">
        <w:trPr>
          <w:trHeight w:val="585"/>
          <w:jc w:val="center"/>
        </w:trPr>
        <w:tc>
          <w:tcPr>
            <w:tcW w:w="1980" w:type="dxa"/>
          </w:tcPr>
          <w:p w:rsidR="004755EE" w:rsidRPr="00B83CAF" w:rsidRDefault="004755EE" w:rsidP="00E863E4">
            <w:pPr>
              <w:spacing w:before="60" w:after="60"/>
              <w:rPr>
                <w:noProof/>
                <w:sz w:val="20"/>
              </w:rPr>
            </w:pPr>
          </w:p>
        </w:tc>
        <w:tc>
          <w:tcPr>
            <w:tcW w:w="1080" w:type="dxa"/>
            <w:vAlign w:val="center"/>
          </w:tcPr>
          <w:p w:rsidR="004755EE" w:rsidRPr="00B83CAF" w:rsidRDefault="004755EE" w:rsidP="00E863E4">
            <w:pPr>
              <w:spacing w:before="60" w:after="60"/>
              <w:jc w:val="center"/>
              <w:rPr>
                <w:noProof/>
                <w:sz w:val="20"/>
              </w:rPr>
            </w:pPr>
            <w:r w:rsidRPr="00B83CAF">
              <w:rPr>
                <w:b/>
                <w:noProof/>
                <w:sz w:val="20"/>
              </w:rPr>
              <w:t>2024</w:t>
            </w:r>
          </w:p>
        </w:tc>
        <w:tc>
          <w:tcPr>
            <w:tcW w:w="1080" w:type="dxa"/>
            <w:vAlign w:val="center"/>
          </w:tcPr>
          <w:p w:rsidR="004755EE" w:rsidRPr="00B83CAF" w:rsidRDefault="004755EE" w:rsidP="00E863E4">
            <w:pPr>
              <w:spacing w:before="60" w:after="60"/>
              <w:jc w:val="center"/>
              <w:rPr>
                <w:noProof/>
                <w:sz w:val="20"/>
              </w:rPr>
            </w:pPr>
            <w:r w:rsidRPr="00B83CAF">
              <w:rPr>
                <w:b/>
                <w:noProof/>
                <w:sz w:val="20"/>
              </w:rPr>
              <w:t>2025</w:t>
            </w:r>
          </w:p>
        </w:tc>
        <w:tc>
          <w:tcPr>
            <w:tcW w:w="1080" w:type="dxa"/>
            <w:vAlign w:val="center"/>
          </w:tcPr>
          <w:p w:rsidR="004755EE" w:rsidRPr="00B83CAF" w:rsidRDefault="004755EE" w:rsidP="00E863E4">
            <w:pPr>
              <w:spacing w:before="60" w:after="60"/>
              <w:jc w:val="center"/>
              <w:rPr>
                <w:noProof/>
                <w:sz w:val="20"/>
              </w:rPr>
            </w:pPr>
            <w:r w:rsidRPr="00B83CAF">
              <w:rPr>
                <w:b/>
                <w:noProof/>
                <w:sz w:val="20"/>
              </w:rPr>
              <w:t>2026</w:t>
            </w:r>
          </w:p>
        </w:tc>
        <w:tc>
          <w:tcPr>
            <w:tcW w:w="1080" w:type="dxa"/>
            <w:vAlign w:val="center"/>
          </w:tcPr>
          <w:p w:rsidR="004755EE" w:rsidRPr="00B83CAF" w:rsidRDefault="004755EE" w:rsidP="00E863E4">
            <w:pPr>
              <w:spacing w:before="60" w:after="60"/>
              <w:jc w:val="center"/>
              <w:rPr>
                <w:noProof/>
                <w:sz w:val="20"/>
              </w:rPr>
            </w:pPr>
            <w:r w:rsidRPr="00B83CAF">
              <w:rPr>
                <w:b/>
                <w:noProof/>
                <w:sz w:val="20"/>
              </w:rPr>
              <w:t>2027</w:t>
            </w:r>
          </w:p>
        </w:tc>
        <w:tc>
          <w:tcPr>
            <w:tcW w:w="1080" w:type="dxa"/>
            <w:vAlign w:val="center"/>
          </w:tcPr>
          <w:p w:rsidR="004755EE" w:rsidRPr="00B83CAF" w:rsidRDefault="004755EE" w:rsidP="00E863E4">
            <w:pPr>
              <w:spacing w:before="60" w:after="60"/>
              <w:jc w:val="center"/>
              <w:rPr>
                <w:b/>
                <w:noProof/>
                <w:sz w:val="20"/>
              </w:rPr>
            </w:pPr>
            <w:r w:rsidRPr="00B83CAF">
              <w:rPr>
                <w:b/>
                <w:noProof/>
                <w:sz w:val="20"/>
              </w:rPr>
              <w:t>TOTAL</w:t>
            </w:r>
          </w:p>
        </w:tc>
      </w:tr>
    </w:tbl>
    <w:p w:rsidR="004755EE" w:rsidRPr="00B83CAF" w:rsidRDefault="004755EE" w:rsidP="004755EE">
      <w:pPr>
        <w:rPr>
          <w:noProof/>
          <w:sz w:val="20"/>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4755EE" w:rsidRPr="00B83CAF" w:rsidTr="00E863E4">
        <w:trPr>
          <w:trHeight w:val="585"/>
          <w:jc w:val="center"/>
        </w:trPr>
        <w:tc>
          <w:tcPr>
            <w:tcW w:w="1980" w:type="dxa"/>
            <w:shd w:val="clear" w:color="auto" w:fill="D9D9D9" w:themeFill="background1" w:themeFillShade="D9"/>
            <w:vAlign w:val="center"/>
          </w:tcPr>
          <w:p w:rsidR="004755EE" w:rsidRPr="00B83CAF" w:rsidRDefault="004755EE" w:rsidP="00E863E4">
            <w:pPr>
              <w:spacing w:before="60" w:after="60"/>
              <w:jc w:val="center"/>
              <w:rPr>
                <w:noProof/>
              </w:rPr>
            </w:pPr>
            <w:r w:rsidRPr="00B83CAF">
              <w:rPr>
                <w:noProof/>
                <w:sz w:val="18"/>
              </w:rPr>
              <w:t>Temporary agents (AD Grades)</w:t>
            </w:r>
          </w:p>
        </w:tc>
        <w:tc>
          <w:tcPr>
            <w:tcW w:w="1080" w:type="dxa"/>
            <w:vAlign w:val="center"/>
          </w:tcPr>
          <w:p w:rsidR="004755EE" w:rsidRPr="00DE462C" w:rsidRDefault="004755EE" w:rsidP="00E863E4">
            <w:pPr>
              <w:spacing w:before="60" w:after="60"/>
              <w:jc w:val="right"/>
              <w:rPr>
                <w:noProof/>
                <w:sz w:val="18"/>
                <w:szCs w:val="18"/>
              </w:rPr>
            </w:pPr>
            <w:r w:rsidRPr="00DE462C">
              <w:rPr>
                <w:noProof/>
                <w:sz w:val="18"/>
                <w:szCs w:val="18"/>
              </w:rPr>
              <w:t>1</w:t>
            </w:r>
          </w:p>
        </w:tc>
        <w:tc>
          <w:tcPr>
            <w:tcW w:w="1080" w:type="dxa"/>
            <w:vAlign w:val="center"/>
          </w:tcPr>
          <w:p w:rsidR="004755EE" w:rsidRPr="00DE462C" w:rsidRDefault="004755EE" w:rsidP="00E863E4">
            <w:pPr>
              <w:spacing w:before="60" w:after="60"/>
              <w:jc w:val="right"/>
              <w:rPr>
                <w:noProof/>
                <w:sz w:val="18"/>
                <w:szCs w:val="18"/>
              </w:rPr>
            </w:pPr>
            <w:r w:rsidRPr="00DE462C">
              <w:rPr>
                <w:noProof/>
                <w:sz w:val="18"/>
                <w:szCs w:val="18"/>
              </w:rPr>
              <w:t>1</w:t>
            </w:r>
          </w:p>
        </w:tc>
        <w:tc>
          <w:tcPr>
            <w:tcW w:w="1080" w:type="dxa"/>
            <w:vAlign w:val="center"/>
          </w:tcPr>
          <w:p w:rsidR="004755EE" w:rsidRPr="00DE462C" w:rsidRDefault="004755EE" w:rsidP="00E863E4">
            <w:pPr>
              <w:spacing w:before="60" w:after="60"/>
              <w:jc w:val="right"/>
              <w:rPr>
                <w:noProof/>
                <w:sz w:val="18"/>
                <w:szCs w:val="18"/>
              </w:rPr>
            </w:pPr>
            <w:r w:rsidRPr="00DE462C">
              <w:rPr>
                <w:noProof/>
                <w:sz w:val="18"/>
                <w:szCs w:val="18"/>
              </w:rPr>
              <w:t>1</w:t>
            </w:r>
          </w:p>
        </w:tc>
        <w:tc>
          <w:tcPr>
            <w:tcW w:w="1080" w:type="dxa"/>
            <w:vAlign w:val="center"/>
          </w:tcPr>
          <w:p w:rsidR="004755EE" w:rsidRPr="00DE462C" w:rsidRDefault="004755EE" w:rsidP="00E863E4">
            <w:pPr>
              <w:spacing w:before="60" w:after="60"/>
              <w:jc w:val="right"/>
              <w:rPr>
                <w:noProof/>
                <w:sz w:val="18"/>
                <w:szCs w:val="18"/>
              </w:rPr>
            </w:pPr>
            <w:r w:rsidRPr="00DE462C">
              <w:rPr>
                <w:noProof/>
                <w:sz w:val="18"/>
                <w:szCs w:val="18"/>
              </w:rPr>
              <w:t>1</w:t>
            </w:r>
          </w:p>
        </w:tc>
        <w:tc>
          <w:tcPr>
            <w:tcW w:w="1080" w:type="dxa"/>
            <w:vAlign w:val="center"/>
          </w:tcPr>
          <w:p w:rsidR="004755EE" w:rsidRPr="00DE462C" w:rsidRDefault="004755EE" w:rsidP="00E863E4">
            <w:pPr>
              <w:spacing w:before="60" w:after="60"/>
              <w:jc w:val="right"/>
              <w:rPr>
                <w:b/>
                <w:noProof/>
                <w:sz w:val="18"/>
                <w:szCs w:val="18"/>
              </w:rPr>
            </w:pPr>
            <w:r w:rsidRPr="00DE462C">
              <w:rPr>
                <w:noProof/>
                <w:sz w:val="18"/>
                <w:szCs w:val="18"/>
              </w:rPr>
              <w:t>1</w:t>
            </w:r>
          </w:p>
        </w:tc>
      </w:tr>
      <w:tr w:rsidR="004755EE" w:rsidRPr="00B83CAF" w:rsidTr="00E863E4">
        <w:trPr>
          <w:trHeight w:val="585"/>
          <w:jc w:val="center"/>
        </w:trPr>
        <w:tc>
          <w:tcPr>
            <w:tcW w:w="1980" w:type="dxa"/>
            <w:shd w:val="clear" w:color="auto" w:fill="BFBFBF" w:themeFill="background1" w:themeFillShade="BF"/>
            <w:vAlign w:val="center"/>
          </w:tcPr>
          <w:p w:rsidR="004755EE" w:rsidRPr="00B83CAF" w:rsidRDefault="004755EE" w:rsidP="00E863E4">
            <w:pPr>
              <w:spacing w:before="60" w:after="60"/>
              <w:ind w:left="72"/>
              <w:rPr>
                <w:noProof/>
              </w:rPr>
            </w:pPr>
            <w:r w:rsidRPr="00B83CAF">
              <w:rPr>
                <w:noProof/>
                <w:sz w:val="20"/>
              </w:rPr>
              <w:t>Temporary agents (AST grades)</w:t>
            </w:r>
          </w:p>
        </w:tc>
        <w:tc>
          <w:tcPr>
            <w:tcW w:w="1080" w:type="dxa"/>
            <w:vAlign w:val="center"/>
          </w:tcPr>
          <w:p w:rsidR="004755EE" w:rsidRPr="00DE462C" w:rsidRDefault="004755EE" w:rsidP="00E863E4">
            <w:pPr>
              <w:spacing w:before="60" w:after="60"/>
              <w:jc w:val="right"/>
              <w:rPr>
                <w:noProof/>
                <w:sz w:val="18"/>
                <w:szCs w:val="18"/>
              </w:rPr>
            </w:pPr>
          </w:p>
        </w:tc>
        <w:tc>
          <w:tcPr>
            <w:tcW w:w="1080" w:type="dxa"/>
            <w:vAlign w:val="center"/>
          </w:tcPr>
          <w:p w:rsidR="004755EE" w:rsidRPr="00DE462C" w:rsidRDefault="004755EE" w:rsidP="00E863E4">
            <w:pPr>
              <w:spacing w:before="60" w:after="60"/>
              <w:jc w:val="right"/>
              <w:rPr>
                <w:noProof/>
                <w:sz w:val="18"/>
                <w:szCs w:val="18"/>
              </w:rPr>
            </w:pPr>
          </w:p>
        </w:tc>
        <w:tc>
          <w:tcPr>
            <w:tcW w:w="1080" w:type="dxa"/>
            <w:vAlign w:val="center"/>
          </w:tcPr>
          <w:p w:rsidR="004755EE" w:rsidRPr="00DE462C" w:rsidRDefault="004755EE" w:rsidP="00E863E4">
            <w:pPr>
              <w:spacing w:before="60" w:after="60"/>
              <w:jc w:val="right"/>
              <w:rPr>
                <w:noProof/>
                <w:sz w:val="18"/>
                <w:szCs w:val="18"/>
              </w:rPr>
            </w:pPr>
          </w:p>
        </w:tc>
        <w:tc>
          <w:tcPr>
            <w:tcW w:w="1080" w:type="dxa"/>
            <w:vAlign w:val="center"/>
          </w:tcPr>
          <w:p w:rsidR="004755EE" w:rsidRPr="00DE462C" w:rsidRDefault="004755EE" w:rsidP="00E863E4">
            <w:pPr>
              <w:spacing w:before="60" w:after="60"/>
              <w:jc w:val="right"/>
              <w:rPr>
                <w:noProof/>
                <w:sz w:val="18"/>
                <w:szCs w:val="18"/>
              </w:rPr>
            </w:pPr>
          </w:p>
        </w:tc>
        <w:tc>
          <w:tcPr>
            <w:tcW w:w="1080" w:type="dxa"/>
            <w:vAlign w:val="center"/>
          </w:tcPr>
          <w:p w:rsidR="004755EE" w:rsidRPr="00DE462C" w:rsidRDefault="004755EE" w:rsidP="00E863E4">
            <w:pPr>
              <w:spacing w:before="60" w:after="60"/>
              <w:jc w:val="right"/>
              <w:rPr>
                <w:b/>
                <w:noProof/>
                <w:sz w:val="18"/>
                <w:szCs w:val="18"/>
              </w:rPr>
            </w:pPr>
          </w:p>
        </w:tc>
      </w:tr>
      <w:tr w:rsidR="004755EE" w:rsidRPr="00B83CAF" w:rsidTr="00E863E4">
        <w:trPr>
          <w:trHeight w:val="585"/>
          <w:jc w:val="center"/>
        </w:trPr>
        <w:tc>
          <w:tcPr>
            <w:tcW w:w="1980" w:type="dxa"/>
            <w:shd w:val="clear" w:color="auto" w:fill="BFBFBF" w:themeFill="background1" w:themeFillShade="BF"/>
            <w:vAlign w:val="center"/>
          </w:tcPr>
          <w:p w:rsidR="004755EE" w:rsidRPr="00B83CAF" w:rsidRDefault="004755EE" w:rsidP="00E863E4">
            <w:pPr>
              <w:spacing w:before="60" w:after="60"/>
              <w:ind w:left="72"/>
              <w:rPr>
                <w:noProof/>
              </w:rPr>
            </w:pPr>
            <w:r w:rsidRPr="00B83CAF">
              <w:rPr>
                <w:noProof/>
                <w:sz w:val="20"/>
              </w:rPr>
              <w:t>Contract staff</w:t>
            </w:r>
          </w:p>
        </w:tc>
        <w:tc>
          <w:tcPr>
            <w:tcW w:w="1080" w:type="dxa"/>
            <w:shd w:val="clear" w:color="auto" w:fill="auto"/>
            <w:vAlign w:val="center"/>
          </w:tcPr>
          <w:p w:rsidR="004755EE" w:rsidRPr="00DE462C" w:rsidRDefault="00EC7336" w:rsidP="00E863E4">
            <w:pPr>
              <w:spacing w:before="60" w:after="60"/>
              <w:jc w:val="right"/>
              <w:rPr>
                <w:noProof/>
                <w:sz w:val="18"/>
                <w:szCs w:val="18"/>
              </w:rPr>
            </w:pPr>
            <w:r>
              <w:rPr>
                <w:noProof/>
                <w:sz w:val="18"/>
                <w:szCs w:val="18"/>
              </w:rPr>
              <w:t>3</w:t>
            </w:r>
          </w:p>
        </w:tc>
        <w:tc>
          <w:tcPr>
            <w:tcW w:w="1080" w:type="dxa"/>
            <w:shd w:val="clear" w:color="auto" w:fill="auto"/>
            <w:vAlign w:val="center"/>
          </w:tcPr>
          <w:p w:rsidR="004755EE" w:rsidRPr="00DE462C" w:rsidRDefault="00EC7336" w:rsidP="00E863E4">
            <w:pPr>
              <w:spacing w:before="60" w:after="60"/>
              <w:jc w:val="right"/>
              <w:rPr>
                <w:noProof/>
                <w:sz w:val="18"/>
                <w:szCs w:val="18"/>
              </w:rPr>
            </w:pPr>
            <w:r>
              <w:rPr>
                <w:noProof/>
                <w:sz w:val="18"/>
                <w:szCs w:val="18"/>
              </w:rPr>
              <w:t>4</w:t>
            </w:r>
          </w:p>
        </w:tc>
        <w:tc>
          <w:tcPr>
            <w:tcW w:w="1080" w:type="dxa"/>
            <w:shd w:val="clear" w:color="auto" w:fill="auto"/>
            <w:vAlign w:val="center"/>
          </w:tcPr>
          <w:p w:rsidR="004755EE" w:rsidRPr="00DE462C" w:rsidRDefault="00EC7336" w:rsidP="00E863E4">
            <w:pPr>
              <w:spacing w:before="60" w:after="60"/>
              <w:jc w:val="right"/>
              <w:rPr>
                <w:noProof/>
                <w:sz w:val="18"/>
                <w:szCs w:val="18"/>
              </w:rPr>
            </w:pPr>
            <w:r>
              <w:rPr>
                <w:noProof/>
                <w:sz w:val="18"/>
                <w:szCs w:val="18"/>
              </w:rPr>
              <w:t>4</w:t>
            </w:r>
          </w:p>
        </w:tc>
        <w:tc>
          <w:tcPr>
            <w:tcW w:w="1080" w:type="dxa"/>
            <w:shd w:val="clear" w:color="auto" w:fill="auto"/>
            <w:vAlign w:val="center"/>
          </w:tcPr>
          <w:p w:rsidR="004755EE" w:rsidRPr="00DE462C" w:rsidRDefault="00EC7336" w:rsidP="00E863E4">
            <w:pPr>
              <w:spacing w:before="60" w:after="60"/>
              <w:jc w:val="right"/>
              <w:rPr>
                <w:noProof/>
                <w:sz w:val="18"/>
                <w:szCs w:val="18"/>
              </w:rPr>
            </w:pPr>
            <w:r>
              <w:rPr>
                <w:noProof/>
                <w:sz w:val="18"/>
                <w:szCs w:val="18"/>
              </w:rPr>
              <w:t>4</w:t>
            </w:r>
          </w:p>
        </w:tc>
        <w:tc>
          <w:tcPr>
            <w:tcW w:w="1080" w:type="dxa"/>
            <w:shd w:val="clear" w:color="auto" w:fill="auto"/>
            <w:vAlign w:val="center"/>
          </w:tcPr>
          <w:p w:rsidR="004755EE" w:rsidRPr="00DE462C" w:rsidRDefault="00EC7336" w:rsidP="00E863E4">
            <w:pPr>
              <w:spacing w:before="60" w:after="60"/>
              <w:jc w:val="right"/>
              <w:rPr>
                <w:b/>
                <w:noProof/>
                <w:sz w:val="18"/>
                <w:szCs w:val="18"/>
              </w:rPr>
            </w:pPr>
            <w:r>
              <w:rPr>
                <w:noProof/>
                <w:sz w:val="18"/>
                <w:szCs w:val="18"/>
              </w:rPr>
              <w:t>4</w:t>
            </w:r>
          </w:p>
        </w:tc>
      </w:tr>
      <w:tr w:rsidR="004755EE" w:rsidRPr="00B83CAF" w:rsidTr="00E863E4">
        <w:trPr>
          <w:trHeight w:val="585"/>
          <w:jc w:val="center"/>
        </w:trPr>
        <w:tc>
          <w:tcPr>
            <w:tcW w:w="1980" w:type="dxa"/>
            <w:shd w:val="clear" w:color="auto" w:fill="CCCCCC"/>
            <w:vAlign w:val="center"/>
          </w:tcPr>
          <w:p w:rsidR="004755EE" w:rsidRPr="00B83CAF" w:rsidRDefault="004755EE" w:rsidP="00E863E4">
            <w:pPr>
              <w:spacing w:before="60" w:after="60"/>
              <w:jc w:val="center"/>
              <w:rPr>
                <w:noProof/>
              </w:rPr>
            </w:pPr>
            <w:r w:rsidRPr="00B83CAF">
              <w:rPr>
                <w:noProof/>
                <w:sz w:val="18"/>
              </w:rPr>
              <w:t>Seconded National Experts</w:t>
            </w:r>
          </w:p>
        </w:tc>
        <w:tc>
          <w:tcPr>
            <w:tcW w:w="1080" w:type="dxa"/>
            <w:vAlign w:val="center"/>
          </w:tcPr>
          <w:p w:rsidR="004755EE" w:rsidRPr="00B83CAF" w:rsidRDefault="004755EE" w:rsidP="00E863E4">
            <w:pPr>
              <w:spacing w:before="60" w:after="60"/>
              <w:jc w:val="right"/>
              <w:rPr>
                <w:noProof/>
                <w:sz w:val="20"/>
              </w:rPr>
            </w:pPr>
          </w:p>
        </w:tc>
        <w:tc>
          <w:tcPr>
            <w:tcW w:w="1080" w:type="dxa"/>
            <w:vAlign w:val="center"/>
          </w:tcPr>
          <w:p w:rsidR="004755EE" w:rsidRPr="00B83CAF" w:rsidRDefault="004755EE" w:rsidP="00E863E4">
            <w:pPr>
              <w:spacing w:before="60" w:after="60"/>
              <w:jc w:val="right"/>
              <w:rPr>
                <w:noProof/>
                <w:sz w:val="20"/>
              </w:rPr>
            </w:pPr>
          </w:p>
        </w:tc>
        <w:tc>
          <w:tcPr>
            <w:tcW w:w="1080" w:type="dxa"/>
            <w:vAlign w:val="center"/>
          </w:tcPr>
          <w:p w:rsidR="004755EE" w:rsidRPr="00B83CAF" w:rsidRDefault="004755EE" w:rsidP="00E863E4">
            <w:pPr>
              <w:spacing w:before="60" w:after="60"/>
              <w:jc w:val="right"/>
              <w:rPr>
                <w:noProof/>
                <w:sz w:val="20"/>
              </w:rPr>
            </w:pPr>
          </w:p>
        </w:tc>
        <w:tc>
          <w:tcPr>
            <w:tcW w:w="1080" w:type="dxa"/>
            <w:vAlign w:val="center"/>
          </w:tcPr>
          <w:p w:rsidR="004755EE" w:rsidRPr="00B83CAF" w:rsidRDefault="004755EE" w:rsidP="00E863E4">
            <w:pPr>
              <w:spacing w:before="60" w:after="60"/>
              <w:jc w:val="right"/>
              <w:rPr>
                <w:noProof/>
                <w:sz w:val="20"/>
              </w:rPr>
            </w:pPr>
          </w:p>
        </w:tc>
        <w:tc>
          <w:tcPr>
            <w:tcW w:w="1080" w:type="dxa"/>
            <w:vAlign w:val="center"/>
          </w:tcPr>
          <w:p w:rsidR="004755EE" w:rsidRPr="00B83CAF" w:rsidRDefault="004755EE" w:rsidP="00E863E4">
            <w:pPr>
              <w:spacing w:before="60" w:after="60"/>
              <w:jc w:val="right"/>
              <w:rPr>
                <w:b/>
                <w:noProof/>
                <w:sz w:val="20"/>
              </w:rPr>
            </w:pPr>
          </w:p>
        </w:tc>
      </w:tr>
    </w:tbl>
    <w:p w:rsidR="004755EE" w:rsidRPr="00B83CAF" w:rsidRDefault="004755EE" w:rsidP="004755EE">
      <w:pPr>
        <w:rPr>
          <w:noProof/>
          <w:sz w:val="20"/>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4755EE" w:rsidRPr="00B83CAF" w:rsidTr="00E863E4">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rsidR="004755EE" w:rsidRPr="00DE462C" w:rsidRDefault="004755EE" w:rsidP="00E863E4">
            <w:pPr>
              <w:spacing w:before="60" w:after="60"/>
              <w:jc w:val="center"/>
              <w:rPr>
                <w:noProof/>
                <w:sz w:val="22"/>
              </w:rPr>
            </w:pPr>
            <w:r w:rsidRPr="00DE462C">
              <w:rPr>
                <w:b/>
                <w:noProof/>
                <w:sz w:val="22"/>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Pr="00DE462C" w:rsidRDefault="00EC7336" w:rsidP="00E863E4">
            <w:pPr>
              <w:spacing w:before="60" w:after="60"/>
              <w:jc w:val="right"/>
              <w:rPr>
                <w:b/>
                <w:noProof/>
                <w:sz w:val="22"/>
              </w:rPr>
            </w:pPr>
            <w:r>
              <w:rPr>
                <w:b/>
                <w:noProof/>
                <w:sz w:val="22"/>
              </w:rPr>
              <w:t>4</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Pr="00DE462C" w:rsidRDefault="00EC7336" w:rsidP="00E863E4">
            <w:pPr>
              <w:spacing w:before="60" w:after="60"/>
              <w:jc w:val="right"/>
              <w:rPr>
                <w:b/>
                <w:noProof/>
                <w:sz w:val="22"/>
              </w:rPr>
            </w:pPr>
            <w:r>
              <w:rPr>
                <w:b/>
                <w:noProof/>
                <w:sz w:val="22"/>
              </w:rPr>
              <w:t>5</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Pr="00DE462C" w:rsidRDefault="00EC7336" w:rsidP="00E863E4">
            <w:pPr>
              <w:spacing w:before="60" w:after="60"/>
              <w:jc w:val="right"/>
              <w:rPr>
                <w:b/>
                <w:noProof/>
                <w:sz w:val="22"/>
              </w:rPr>
            </w:pPr>
            <w:r>
              <w:rPr>
                <w:b/>
                <w:noProof/>
                <w:sz w:val="22"/>
              </w:rPr>
              <w:t>5</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Pr="00DE462C" w:rsidRDefault="00EC7336" w:rsidP="00E863E4">
            <w:pPr>
              <w:spacing w:before="60" w:after="60"/>
              <w:jc w:val="right"/>
              <w:rPr>
                <w:b/>
                <w:noProof/>
                <w:sz w:val="22"/>
              </w:rPr>
            </w:pPr>
            <w:r>
              <w:rPr>
                <w:b/>
                <w:noProof/>
                <w:sz w:val="22"/>
              </w:rPr>
              <w:t>5</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Pr="00DE462C" w:rsidRDefault="00EC7336" w:rsidP="00E863E4">
            <w:pPr>
              <w:spacing w:before="60" w:after="60"/>
              <w:jc w:val="right"/>
              <w:rPr>
                <w:b/>
                <w:noProof/>
                <w:sz w:val="22"/>
              </w:rPr>
            </w:pPr>
            <w:r>
              <w:rPr>
                <w:b/>
                <w:noProof/>
                <w:sz w:val="22"/>
              </w:rPr>
              <w:t>5</w:t>
            </w:r>
          </w:p>
        </w:tc>
      </w:tr>
    </w:tbl>
    <w:p w:rsidR="009971B9" w:rsidRDefault="009971B9">
      <w:pPr>
        <w:spacing w:before="0" w:after="200" w:line="276" w:lineRule="auto"/>
        <w:jc w:val="left"/>
        <w:rPr>
          <w:noProof/>
        </w:rPr>
      </w:pPr>
      <w:r>
        <w:rPr>
          <w:noProof/>
        </w:rPr>
        <w:br w:type="page"/>
      </w:r>
    </w:p>
    <w:p w:rsidR="004755EE" w:rsidRDefault="006C0379" w:rsidP="006C0379">
      <w:pPr>
        <w:pStyle w:val="ManualHeading4"/>
        <w:rPr>
          <w:noProof/>
        </w:rPr>
      </w:pPr>
      <w:r>
        <w:rPr>
          <w:noProof/>
        </w:rPr>
        <w:t>3.2.3.2.</w:t>
      </w:r>
      <w:r>
        <w:rPr>
          <w:noProof/>
        </w:rPr>
        <w:tab/>
      </w:r>
      <w:r w:rsidR="004755EE">
        <w:rPr>
          <w:noProof/>
        </w:rPr>
        <w:t>Estimated requirements on administrative appropriations in the Commission</w:t>
      </w:r>
    </w:p>
    <w:p w:rsidR="004755EE" w:rsidRPr="004D004E" w:rsidRDefault="006C0379" w:rsidP="006C0379">
      <w:pPr>
        <w:pStyle w:val="ManualHeading4"/>
        <w:rPr>
          <w:noProof/>
          <w:lang w:val="en-IE"/>
        </w:rPr>
      </w:pPr>
      <w:r>
        <w:rPr>
          <w:noProof/>
        </w:rPr>
        <w:t>3.2.3.3.</w:t>
      </w:r>
      <w:r>
        <w:rPr>
          <w:noProof/>
        </w:rPr>
        <w:tab/>
      </w:r>
      <w:r w:rsidR="004755EE" w:rsidRPr="004D004E">
        <w:rPr>
          <w:noProof/>
        </w:rPr>
        <w:t>Summary of estimated impact on administrative appropriations</w:t>
      </w:r>
    </w:p>
    <w:p w:rsidR="004755EE" w:rsidRPr="00814871" w:rsidRDefault="004755EE" w:rsidP="00C9020F">
      <w:pPr>
        <w:pStyle w:val="ListDash1"/>
        <w:rPr>
          <w:noProof/>
          <w:lang w:val="en-IE"/>
        </w:rPr>
      </w:pPr>
      <w:r w:rsidRPr="004D004E">
        <w:rPr>
          <w:i/>
          <w:noProof/>
        </w:rPr>
        <w:t xml:space="preserve"> </w:t>
      </w:r>
      <w:r w:rsidRPr="00814871">
        <w:rPr>
          <w:rFonts w:ascii="Wingdings" w:eastAsia="Wingdings" w:hAnsi="Wingdings" w:cs="Wingdings"/>
          <w:noProof/>
          <w:lang w:val="en-IE"/>
        </w:rPr>
        <w:t></w:t>
      </w:r>
      <w:r w:rsidRPr="00814871">
        <w:rPr>
          <w:noProof/>
          <w:lang w:val="en-IE"/>
        </w:rPr>
        <w:tab/>
        <w:t xml:space="preserve">The proposal/initiative does not require the use of appropriations of an administrative nature </w:t>
      </w:r>
    </w:p>
    <w:p w:rsidR="004755EE" w:rsidRDefault="004755EE" w:rsidP="00C9020F">
      <w:pPr>
        <w:pStyle w:val="ListDash1"/>
        <w:rPr>
          <w:noProof/>
          <w:lang w:val="en-IE"/>
        </w:rPr>
      </w:pPr>
      <w:r w:rsidRPr="00B83CAF">
        <w:rPr>
          <w:rFonts w:ascii="Wingdings" w:eastAsia="Wingdings" w:hAnsi="Wingdings" w:cs="Wingdings"/>
          <w:noProof/>
        </w:rPr>
        <w:t></w:t>
      </w:r>
      <w:r>
        <w:rPr>
          <w:noProof/>
        </w:rPr>
        <w:t xml:space="preserve"> </w:t>
      </w:r>
      <w:r w:rsidRPr="00814871">
        <w:rPr>
          <w:noProof/>
          <w:lang w:val="en-IE"/>
        </w:rPr>
        <w:t>The proposal/initiative requires the use of appropriations of an administrative nature, as explained below:</w:t>
      </w:r>
    </w:p>
    <w:p w:rsidR="004755EE" w:rsidRDefault="004755EE" w:rsidP="00BC2129">
      <w:pPr>
        <w:jc w:val="center"/>
        <w:rPr>
          <w:rFonts w:eastAsia="Calibri"/>
          <w:noProof/>
          <w:sz w:val="20"/>
          <w:lang w:eastAsia="en-GB"/>
        </w:rPr>
      </w:pPr>
      <w:r>
        <w:rPr>
          <w:rFonts w:eastAsia="Calibri"/>
          <w:noProof/>
          <w:sz w:val="20"/>
          <w:lang w:eastAsia="en-GB"/>
        </w:rPr>
        <w:t>EUR million (to three decimal places)</w:t>
      </w:r>
    </w:p>
    <w:tbl>
      <w:tblPr>
        <w:tblW w:w="8517"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3"/>
        <w:gridCol w:w="1134"/>
      </w:tblGrid>
      <w:tr w:rsidR="004755EE" w:rsidTr="00E863E4">
        <w:trPr>
          <w:trHeight w:val="585"/>
        </w:trPr>
        <w:tc>
          <w:tcPr>
            <w:tcW w:w="1980" w:type="dxa"/>
          </w:tcPr>
          <w:p w:rsidR="004755EE" w:rsidRDefault="004755EE" w:rsidP="00E863E4">
            <w:pPr>
              <w:spacing w:before="60" w:after="60" w:line="200" w:lineRule="exact"/>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lang w:eastAsia="en-GB"/>
              </w:rPr>
              <w:t>Year</w:t>
            </w:r>
            <w:r>
              <w:rPr>
                <w:rFonts w:eastAsia="Calibri"/>
                <w:noProof/>
                <w:sz w:val="22"/>
                <w:lang w:eastAsia="en-GB"/>
              </w:rPr>
              <w:br/>
            </w:r>
            <w:r>
              <w:rPr>
                <w:rFonts w:eastAsia="Calibri"/>
                <w:b/>
                <w:noProof/>
                <w:sz w:val="16"/>
                <w:lang w:eastAsia="en-GB"/>
              </w:rPr>
              <w:t>2024</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lang w:eastAsia="en-GB"/>
              </w:rPr>
              <w:t>Year</w:t>
            </w:r>
            <w:r>
              <w:rPr>
                <w:rFonts w:eastAsia="Calibri"/>
                <w:noProof/>
                <w:sz w:val="22"/>
                <w:lang w:eastAsia="en-GB"/>
              </w:rPr>
              <w:br/>
            </w:r>
            <w:r>
              <w:rPr>
                <w:rFonts w:eastAsia="Calibri"/>
                <w:b/>
                <w:noProof/>
                <w:sz w:val="16"/>
                <w:lang w:eastAsia="en-GB"/>
              </w:rPr>
              <w:t>2025</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lang w:eastAsia="en-GB"/>
              </w:rPr>
              <w:t>Year</w:t>
            </w:r>
            <w:r>
              <w:rPr>
                <w:rFonts w:eastAsia="Calibri"/>
                <w:noProof/>
                <w:sz w:val="22"/>
                <w:lang w:eastAsia="en-GB"/>
              </w:rPr>
              <w:br/>
            </w:r>
            <w:r>
              <w:rPr>
                <w:rFonts w:eastAsia="Calibri"/>
                <w:b/>
                <w:noProof/>
                <w:sz w:val="16"/>
                <w:lang w:eastAsia="en-GB"/>
              </w:rPr>
              <w:t>2026</w:t>
            </w:r>
          </w:p>
        </w:tc>
        <w:tc>
          <w:tcPr>
            <w:tcW w:w="1083" w:type="dxa"/>
            <w:vAlign w:val="center"/>
          </w:tcPr>
          <w:p w:rsidR="004755EE" w:rsidRDefault="004755EE" w:rsidP="00E863E4">
            <w:pPr>
              <w:spacing w:line="200" w:lineRule="exact"/>
              <w:jc w:val="center"/>
              <w:rPr>
                <w:rFonts w:eastAsia="Calibri"/>
                <w:b/>
                <w:noProof/>
                <w:sz w:val="16"/>
                <w:szCs w:val="16"/>
                <w:lang w:eastAsia="en-GB"/>
              </w:rPr>
            </w:pPr>
            <w:r>
              <w:rPr>
                <w:rFonts w:eastAsia="Calibri"/>
                <w:noProof/>
                <w:sz w:val="16"/>
                <w:szCs w:val="16"/>
                <w:lang w:eastAsia="en-GB"/>
              </w:rPr>
              <w:t>Year</w:t>
            </w:r>
            <w:r>
              <w:rPr>
                <w:rFonts w:eastAsia="Calibri"/>
                <w:b/>
                <w:noProof/>
                <w:sz w:val="16"/>
                <w:szCs w:val="16"/>
                <w:lang w:eastAsia="en-GB"/>
              </w:rPr>
              <w:br/>
              <w:t>2027</w:t>
            </w:r>
          </w:p>
        </w:tc>
        <w:tc>
          <w:tcPr>
            <w:tcW w:w="1134" w:type="dxa"/>
            <w:vAlign w:val="center"/>
          </w:tcPr>
          <w:p w:rsidR="004755EE" w:rsidRDefault="004755EE" w:rsidP="00E863E4">
            <w:pPr>
              <w:spacing w:before="60" w:after="60" w:line="200" w:lineRule="exact"/>
              <w:jc w:val="center"/>
              <w:rPr>
                <w:rFonts w:eastAsia="Calibri"/>
                <w:b/>
                <w:noProof/>
                <w:sz w:val="16"/>
                <w:szCs w:val="16"/>
                <w:lang w:eastAsia="en-GB"/>
              </w:rPr>
            </w:pPr>
            <w:r>
              <w:rPr>
                <w:rFonts w:eastAsia="Calibri"/>
                <w:b/>
                <w:noProof/>
                <w:sz w:val="16"/>
                <w:lang w:eastAsia="en-GB"/>
              </w:rPr>
              <w:t>TOTAL</w:t>
            </w:r>
          </w:p>
        </w:tc>
      </w:tr>
    </w:tbl>
    <w:p w:rsidR="004755EE" w:rsidRDefault="004755EE" w:rsidP="004755EE">
      <w:pPr>
        <w:spacing w:line="200" w:lineRule="exact"/>
        <w:rPr>
          <w:rFonts w:eastAsia="Calibri"/>
          <w:noProof/>
          <w:sz w:val="16"/>
          <w:szCs w:val="16"/>
          <w:lang w:eastAsia="en-GB"/>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4755EE" w:rsidTr="00E863E4">
        <w:trPr>
          <w:trHeight w:val="585"/>
        </w:trPr>
        <w:tc>
          <w:tcPr>
            <w:tcW w:w="1980" w:type="dxa"/>
            <w:shd w:val="clear" w:color="auto" w:fill="CCCCCC"/>
            <w:vAlign w:val="center"/>
          </w:tcPr>
          <w:p w:rsidR="004755EE" w:rsidRDefault="004755EE" w:rsidP="00E863E4">
            <w:pPr>
              <w:spacing w:before="60" w:after="60" w:line="200" w:lineRule="exact"/>
              <w:jc w:val="center"/>
              <w:rPr>
                <w:rFonts w:eastAsia="Calibri"/>
                <w:b/>
                <w:noProof/>
                <w:sz w:val="16"/>
                <w:szCs w:val="16"/>
                <w:lang w:eastAsia="en-GB"/>
              </w:rPr>
            </w:pPr>
            <w:r>
              <w:rPr>
                <w:rFonts w:eastAsia="Calibri"/>
                <w:b/>
                <w:noProof/>
                <w:sz w:val="16"/>
                <w:lang w:eastAsia="en-GB"/>
              </w:rPr>
              <w:t>HEADING 7</w:t>
            </w:r>
            <w:r>
              <w:rPr>
                <w:rFonts w:eastAsia="Calibri"/>
                <w:noProof/>
                <w:sz w:val="22"/>
                <w:lang w:eastAsia="en-GB"/>
              </w:rPr>
              <w:br/>
            </w:r>
            <w:r>
              <w:rPr>
                <w:rFonts w:eastAsia="Calibri"/>
                <w:b/>
                <w:noProof/>
                <w:sz w:val="16"/>
                <w:lang w:eastAsia="en-GB"/>
              </w:rPr>
              <w:t>of the multiannual financial framework</w:t>
            </w: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b/>
                <w:noProof/>
                <w:sz w:val="16"/>
                <w:szCs w:val="16"/>
                <w:lang w:eastAsia="en-GB"/>
              </w:rPr>
            </w:pPr>
          </w:p>
        </w:tc>
      </w:tr>
      <w:tr w:rsidR="004755EE" w:rsidTr="00E863E4">
        <w:trPr>
          <w:trHeight w:val="585"/>
        </w:trPr>
        <w:tc>
          <w:tcPr>
            <w:tcW w:w="1980" w:type="dxa"/>
            <w:vAlign w:val="center"/>
          </w:tcPr>
          <w:p w:rsidR="004755EE" w:rsidRDefault="004755EE" w:rsidP="00E863E4">
            <w:pPr>
              <w:spacing w:before="60" w:after="60" w:line="200" w:lineRule="exact"/>
              <w:ind w:left="72"/>
              <w:jc w:val="left"/>
              <w:rPr>
                <w:rFonts w:eastAsia="Calibri"/>
                <w:noProof/>
                <w:sz w:val="16"/>
                <w:szCs w:val="16"/>
                <w:lang w:eastAsia="en-GB"/>
              </w:rPr>
            </w:pPr>
            <w:r>
              <w:rPr>
                <w:rFonts w:eastAsia="Calibri"/>
                <w:noProof/>
                <w:sz w:val="16"/>
                <w:lang w:eastAsia="en-GB"/>
              </w:rPr>
              <w:t xml:space="preserve">Human resources </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DF0A38" w:rsidP="00E863E4">
            <w:pPr>
              <w:spacing w:before="60" w:after="60" w:line="200" w:lineRule="exact"/>
              <w:jc w:val="center"/>
              <w:rPr>
                <w:rFonts w:eastAsia="Calibri"/>
                <w:noProof/>
                <w:sz w:val="16"/>
                <w:szCs w:val="16"/>
                <w:lang w:eastAsia="en-GB"/>
              </w:rPr>
            </w:pPr>
            <w:r>
              <w:rPr>
                <w:rFonts w:eastAsia="Calibri"/>
                <w:noProof/>
                <w:sz w:val="16"/>
                <w:szCs w:val="16"/>
                <w:lang w:eastAsia="en-GB"/>
              </w:rPr>
              <w:t>0,091</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sidRPr="005D3B8F">
              <w:rPr>
                <w:rFonts w:eastAsia="Calibri"/>
                <w:noProof/>
                <w:sz w:val="16"/>
                <w:szCs w:val="16"/>
                <w:lang w:eastAsia="en-GB"/>
              </w:rPr>
              <w:t>0,091</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sidRPr="005D3B8F">
              <w:rPr>
                <w:rFonts w:eastAsia="Calibri"/>
                <w:noProof/>
                <w:sz w:val="16"/>
                <w:szCs w:val="16"/>
                <w:lang w:eastAsia="en-GB"/>
              </w:rPr>
              <w:t>0,091</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sidRPr="005D3B8F">
              <w:rPr>
                <w:rFonts w:eastAsia="Calibri"/>
                <w:noProof/>
                <w:sz w:val="16"/>
                <w:szCs w:val="16"/>
                <w:lang w:eastAsia="en-GB"/>
              </w:rPr>
              <w:t>0,091</w:t>
            </w:r>
          </w:p>
        </w:tc>
        <w:tc>
          <w:tcPr>
            <w:tcW w:w="1080" w:type="dxa"/>
            <w:vAlign w:val="center"/>
          </w:tcPr>
          <w:p w:rsidR="004755EE" w:rsidRPr="005D3B8F" w:rsidRDefault="00DF0A38" w:rsidP="00E863E4">
            <w:pPr>
              <w:spacing w:before="60" w:after="60" w:line="200" w:lineRule="exact"/>
              <w:jc w:val="center"/>
              <w:rPr>
                <w:rFonts w:eastAsia="Calibri"/>
                <w:b/>
                <w:bCs/>
                <w:noProof/>
                <w:sz w:val="16"/>
                <w:szCs w:val="16"/>
                <w:lang w:eastAsia="en-GB"/>
              </w:rPr>
            </w:pPr>
            <w:r>
              <w:rPr>
                <w:rFonts w:eastAsia="Calibri"/>
                <w:b/>
                <w:bCs/>
                <w:noProof/>
                <w:sz w:val="16"/>
                <w:szCs w:val="16"/>
                <w:lang w:eastAsia="en-GB"/>
              </w:rPr>
              <w:t>0,364</w:t>
            </w:r>
          </w:p>
        </w:tc>
      </w:tr>
      <w:tr w:rsidR="004755EE" w:rsidTr="00E863E4">
        <w:trPr>
          <w:trHeight w:val="585"/>
        </w:trPr>
        <w:tc>
          <w:tcPr>
            <w:tcW w:w="1980" w:type="dxa"/>
            <w:vAlign w:val="center"/>
          </w:tcPr>
          <w:p w:rsidR="004755EE" w:rsidRDefault="004755EE" w:rsidP="00E863E4">
            <w:pPr>
              <w:spacing w:before="60" w:after="60" w:line="200" w:lineRule="exact"/>
              <w:ind w:left="72"/>
              <w:jc w:val="left"/>
              <w:rPr>
                <w:rFonts w:eastAsia="Calibri"/>
                <w:noProof/>
                <w:sz w:val="16"/>
                <w:szCs w:val="16"/>
                <w:lang w:eastAsia="en-GB"/>
              </w:rPr>
            </w:pPr>
            <w:r>
              <w:rPr>
                <w:rFonts w:eastAsia="Calibri"/>
                <w:noProof/>
                <w:sz w:val="16"/>
                <w:lang w:eastAsia="en-GB"/>
              </w:rPr>
              <w:t xml:space="preserve">Other administrative expenditure </w:t>
            </w: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noProof/>
                <w:sz w:val="16"/>
                <w:szCs w:val="16"/>
                <w:lang w:eastAsia="en-GB"/>
              </w:rPr>
            </w:pPr>
          </w:p>
        </w:tc>
        <w:tc>
          <w:tcPr>
            <w:tcW w:w="1080" w:type="dxa"/>
            <w:vAlign w:val="center"/>
          </w:tcPr>
          <w:p w:rsidR="004755EE" w:rsidRDefault="004755EE" w:rsidP="00E863E4">
            <w:pPr>
              <w:spacing w:before="60" w:after="60" w:line="200" w:lineRule="exact"/>
              <w:jc w:val="right"/>
              <w:rPr>
                <w:rFonts w:eastAsia="Calibri"/>
                <w:b/>
                <w:noProof/>
                <w:sz w:val="16"/>
                <w:szCs w:val="16"/>
                <w:lang w:eastAsia="en-GB"/>
              </w:rPr>
            </w:pPr>
          </w:p>
        </w:tc>
      </w:tr>
      <w:tr w:rsidR="004755EE" w:rsidTr="00E863E4">
        <w:trPr>
          <w:trHeight w:val="585"/>
        </w:trPr>
        <w:tc>
          <w:tcPr>
            <w:tcW w:w="1980" w:type="dxa"/>
            <w:shd w:val="clear" w:color="auto" w:fill="CCCCCC"/>
            <w:vAlign w:val="center"/>
          </w:tcPr>
          <w:p w:rsidR="004755EE" w:rsidRDefault="004755EE" w:rsidP="00E863E4">
            <w:pPr>
              <w:spacing w:before="60" w:after="60" w:line="200" w:lineRule="exact"/>
              <w:jc w:val="center"/>
              <w:rPr>
                <w:rFonts w:eastAsia="Calibri"/>
                <w:b/>
                <w:noProof/>
                <w:sz w:val="16"/>
                <w:szCs w:val="16"/>
                <w:lang w:eastAsia="en-GB"/>
              </w:rPr>
            </w:pPr>
            <w:r>
              <w:rPr>
                <w:rFonts w:eastAsia="Calibri"/>
                <w:b/>
                <w:noProof/>
                <w:sz w:val="16"/>
                <w:lang w:eastAsia="en-GB"/>
              </w:rPr>
              <w:t>Subtotal HEADING 7</w:t>
            </w:r>
            <w:r>
              <w:rPr>
                <w:rFonts w:eastAsia="Calibri"/>
                <w:noProof/>
                <w:sz w:val="22"/>
                <w:lang w:eastAsia="en-GB"/>
              </w:rPr>
              <w:br/>
            </w:r>
            <w:r>
              <w:rPr>
                <w:rFonts w:eastAsia="Calibri"/>
                <w:b/>
                <w:noProof/>
                <w:sz w:val="16"/>
                <w:lang w:eastAsia="en-GB"/>
              </w:rPr>
              <w:t xml:space="preserve">of the multiannual financial framework </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DF0A38" w:rsidP="00E863E4">
            <w:pPr>
              <w:spacing w:before="60" w:after="60" w:line="200" w:lineRule="exact"/>
              <w:jc w:val="center"/>
              <w:rPr>
                <w:rFonts w:eastAsia="Calibri"/>
                <w:noProof/>
                <w:sz w:val="16"/>
                <w:szCs w:val="16"/>
                <w:lang w:eastAsia="en-GB"/>
              </w:rPr>
            </w:pPr>
            <w:r>
              <w:rPr>
                <w:rFonts w:eastAsia="Calibri"/>
                <w:noProof/>
                <w:sz w:val="16"/>
                <w:szCs w:val="16"/>
                <w:lang w:eastAsia="en-GB"/>
              </w:rPr>
              <w:t>0,091</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sidRPr="005D3B8F">
              <w:rPr>
                <w:rFonts w:eastAsia="Calibri"/>
                <w:noProof/>
                <w:sz w:val="16"/>
                <w:szCs w:val="16"/>
                <w:lang w:eastAsia="en-GB"/>
              </w:rPr>
              <w:t>0,091</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sidRPr="005D3B8F">
              <w:rPr>
                <w:rFonts w:eastAsia="Calibri"/>
                <w:noProof/>
                <w:sz w:val="16"/>
                <w:szCs w:val="16"/>
                <w:lang w:eastAsia="en-GB"/>
              </w:rPr>
              <w:t>0,091</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sidRPr="005D3B8F">
              <w:rPr>
                <w:rFonts w:eastAsia="Calibri"/>
                <w:noProof/>
                <w:sz w:val="16"/>
                <w:szCs w:val="16"/>
                <w:lang w:eastAsia="en-GB"/>
              </w:rPr>
              <w:t>0,091</w:t>
            </w:r>
          </w:p>
        </w:tc>
        <w:tc>
          <w:tcPr>
            <w:tcW w:w="1080" w:type="dxa"/>
            <w:vAlign w:val="center"/>
          </w:tcPr>
          <w:p w:rsidR="004755EE" w:rsidRDefault="00DF0A38" w:rsidP="00E863E4">
            <w:pPr>
              <w:spacing w:before="60" w:after="60" w:line="200" w:lineRule="exact"/>
              <w:jc w:val="center"/>
              <w:rPr>
                <w:rFonts w:eastAsia="Calibri"/>
                <w:b/>
                <w:noProof/>
                <w:sz w:val="16"/>
                <w:szCs w:val="16"/>
                <w:lang w:eastAsia="en-GB"/>
              </w:rPr>
            </w:pPr>
            <w:r>
              <w:rPr>
                <w:rFonts w:eastAsia="Calibri"/>
                <w:b/>
                <w:bCs/>
                <w:noProof/>
                <w:sz w:val="16"/>
                <w:szCs w:val="16"/>
                <w:lang w:eastAsia="en-GB"/>
              </w:rPr>
              <w:t>0,364</w:t>
            </w:r>
          </w:p>
        </w:tc>
      </w:tr>
    </w:tbl>
    <w:p w:rsidR="004755EE" w:rsidRDefault="004755EE" w:rsidP="004755EE">
      <w:pPr>
        <w:spacing w:line="200" w:lineRule="exact"/>
        <w:rPr>
          <w:rFonts w:eastAsia="Calibri"/>
          <w:noProof/>
          <w:sz w:val="16"/>
          <w:szCs w:val="16"/>
          <w:lang w:eastAsia="en-GB"/>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4755EE" w:rsidTr="00E863E4">
        <w:trPr>
          <w:trHeight w:val="585"/>
        </w:trPr>
        <w:tc>
          <w:tcPr>
            <w:tcW w:w="1980" w:type="dxa"/>
            <w:shd w:val="clear" w:color="auto" w:fill="CCCCCC"/>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b/>
                <w:noProof/>
                <w:sz w:val="16"/>
                <w:lang w:eastAsia="en-GB"/>
              </w:rPr>
              <w:t>Outside HEADING 7</w:t>
            </w:r>
            <w:r w:rsidRPr="00C9020F">
              <w:rPr>
                <w:rStyle w:val="FootnoteReference"/>
                <w:noProof/>
              </w:rPr>
              <w:footnoteReference w:id="34"/>
            </w:r>
            <w:r>
              <w:rPr>
                <w:rFonts w:eastAsia="Calibri"/>
                <w:noProof/>
                <w:sz w:val="22"/>
                <w:lang w:eastAsia="en-GB"/>
              </w:rPr>
              <w:br/>
            </w:r>
            <w:r>
              <w:rPr>
                <w:rFonts w:eastAsia="Calibri"/>
                <w:b/>
                <w:noProof/>
                <w:sz w:val="16"/>
                <w:lang w:eastAsia="en-GB"/>
              </w:rPr>
              <w:t xml:space="preserve">of the multiannual financial framework </w:t>
            </w:r>
          </w:p>
          <w:p w:rsidR="004755EE" w:rsidRDefault="004755EE" w:rsidP="00E863E4">
            <w:pPr>
              <w:spacing w:before="0" w:after="0" w:line="200" w:lineRule="exact"/>
              <w:jc w:val="center"/>
              <w:rPr>
                <w:rFonts w:eastAsia="Calibri"/>
                <w:b/>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r>
      <w:tr w:rsidR="004755EE" w:rsidTr="00E863E4">
        <w:trPr>
          <w:trHeight w:val="585"/>
        </w:trPr>
        <w:tc>
          <w:tcPr>
            <w:tcW w:w="1980" w:type="dxa"/>
            <w:vAlign w:val="center"/>
          </w:tcPr>
          <w:p w:rsidR="004755EE" w:rsidRDefault="004755EE" w:rsidP="00E863E4">
            <w:pPr>
              <w:spacing w:before="60" w:after="60" w:line="200" w:lineRule="exact"/>
              <w:ind w:left="72"/>
              <w:jc w:val="left"/>
              <w:rPr>
                <w:rFonts w:eastAsia="Calibri"/>
                <w:noProof/>
                <w:sz w:val="16"/>
                <w:szCs w:val="16"/>
                <w:lang w:eastAsia="en-GB"/>
              </w:rPr>
            </w:pPr>
            <w:r>
              <w:rPr>
                <w:rFonts w:eastAsia="Calibri"/>
                <w:noProof/>
                <w:sz w:val="16"/>
                <w:lang w:eastAsia="en-GB"/>
              </w:rPr>
              <w:t xml:space="preserve">Human resources </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r>
      <w:tr w:rsidR="004755EE" w:rsidTr="00E863E4">
        <w:trPr>
          <w:trHeight w:val="585"/>
        </w:trPr>
        <w:tc>
          <w:tcPr>
            <w:tcW w:w="1980" w:type="dxa"/>
            <w:vAlign w:val="center"/>
          </w:tcPr>
          <w:p w:rsidR="004755EE" w:rsidRDefault="004755EE" w:rsidP="00E863E4">
            <w:pPr>
              <w:spacing w:before="60" w:after="60" w:line="200" w:lineRule="exact"/>
              <w:ind w:left="72"/>
              <w:jc w:val="left"/>
              <w:rPr>
                <w:rFonts w:eastAsia="Calibri"/>
                <w:noProof/>
                <w:sz w:val="16"/>
                <w:szCs w:val="16"/>
                <w:lang w:eastAsia="en-GB"/>
              </w:rPr>
            </w:pPr>
            <w:r>
              <w:rPr>
                <w:rFonts w:eastAsia="Calibri"/>
                <w:noProof/>
                <w:sz w:val="16"/>
                <w:lang w:eastAsia="en-GB"/>
              </w:rPr>
              <w:t xml:space="preserve">Other expenditure </w:t>
            </w:r>
            <w:r>
              <w:rPr>
                <w:rFonts w:eastAsia="Calibri"/>
                <w:noProof/>
                <w:sz w:val="22"/>
                <w:lang w:eastAsia="en-GB"/>
              </w:rPr>
              <w:br/>
            </w:r>
            <w:r>
              <w:rPr>
                <w:rFonts w:eastAsia="Calibri"/>
                <w:noProof/>
                <w:sz w:val="16"/>
                <w:lang w:eastAsia="en-GB"/>
              </w:rPr>
              <w:t>of an administrative nature</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r>
      <w:tr w:rsidR="004755EE" w:rsidTr="00E863E4">
        <w:trPr>
          <w:trHeight w:val="585"/>
        </w:trPr>
        <w:tc>
          <w:tcPr>
            <w:tcW w:w="1980" w:type="dxa"/>
            <w:shd w:val="clear" w:color="auto" w:fill="CCCCCC"/>
            <w:vAlign w:val="center"/>
          </w:tcPr>
          <w:p w:rsidR="004755EE" w:rsidRDefault="004755EE" w:rsidP="00E863E4">
            <w:pPr>
              <w:spacing w:before="60" w:after="60" w:line="200" w:lineRule="exact"/>
              <w:jc w:val="center"/>
              <w:rPr>
                <w:rFonts w:eastAsia="Calibri"/>
                <w:b/>
                <w:noProof/>
                <w:sz w:val="16"/>
                <w:szCs w:val="16"/>
                <w:lang w:eastAsia="en-GB"/>
              </w:rPr>
            </w:pPr>
            <w:r>
              <w:rPr>
                <w:rFonts w:eastAsia="Calibri"/>
                <w:b/>
                <w:noProof/>
                <w:sz w:val="16"/>
                <w:lang w:eastAsia="en-GB"/>
              </w:rPr>
              <w:t xml:space="preserve">Subtotal </w:t>
            </w:r>
            <w:r>
              <w:rPr>
                <w:rFonts w:eastAsia="Calibri"/>
                <w:noProof/>
                <w:sz w:val="22"/>
                <w:lang w:eastAsia="en-GB"/>
              </w:rPr>
              <w:br/>
            </w:r>
            <w:r>
              <w:rPr>
                <w:rFonts w:eastAsia="Calibri"/>
                <w:b/>
                <w:noProof/>
                <w:sz w:val="16"/>
                <w:lang w:eastAsia="en-GB"/>
              </w:rPr>
              <w:t>outside HEADING 7</w:t>
            </w:r>
            <w:r>
              <w:rPr>
                <w:rFonts w:eastAsia="Calibri"/>
                <w:noProof/>
                <w:sz w:val="22"/>
                <w:lang w:eastAsia="en-GB"/>
              </w:rPr>
              <w:br/>
            </w:r>
            <w:r>
              <w:rPr>
                <w:rFonts w:eastAsia="Calibri"/>
                <w:b/>
                <w:noProof/>
                <w:sz w:val="16"/>
                <w:lang w:eastAsia="en-GB"/>
              </w:rPr>
              <w:t xml:space="preserve">of the multiannual financial framework </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c>
          <w:tcPr>
            <w:tcW w:w="1080" w:type="dxa"/>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noProof/>
                <w:sz w:val="16"/>
                <w:szCs w:val="16"/>
                <w:lang w:eastAsia="en-GB"/>
              </w:rPr>
              <w:t>N/A</w:t>
            </w:r>
          </w:p>
        </w:tc>
      </w:tr>
    </w:tbl>
    <w:p w:rsidR="004755EE" w:rsidRDefault="004755EE" w:rsidP="004755EE">
      <w:pPr>
        <w:spacing w:line="200" w:lineRule="exact"/>
        <w:rPr>
          <w:rFonts w:eastAsia="Calibri"/>
          <w:noProof/>
          <w:sz w:val="16"/>
          <w:szCs w:val="16"/>
          <w:lang w:eastAsia="en-GB"/>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4755EE" w:rsidTr="00E863E4">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4755EE" w:rsidRDefault="004755EE" w:rsidP="00E863E4">
            <w:pPr>
              <w:spacing w:before="60" w:after="60" w:line="200" w:lineRule="exact"/>
              <w:jc w:val="center"/>
              <w:rPr>
                <w:rFonts w:eastAsia="Calibri"/>
                <w:noProof/>
                <w:sz w:val="16"/>
                <w:szCs w:val="16"/>
                <w:lang w:eastAsia="en-GB"/>
              </w:rPr>
            </w:pPr>
            <w:r>
              <w:rPr>
                <w:rFonts w:eastAsia="Calibri"/>
                <w:b/>
                <w:noProof/>
                <w:sz w:val="16"/>
                <w:lang w:eastAsia="en-GB"/>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Default="004755EE" w:rsidP="00E863E4">
            <w:pPr>
              <w:spacing w:before="60" w:after="60" w:line="200" w:lineRule="exact"/>
              <w:jc w:val="center"/>
              <w:rPr>
                <w:rFonts w:eastAsia="Calibri"/>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center"/>
          </w:tcPr>
          <w:p w:rsidR="004755EE" w:rsidRDefault="00DF0A38" w:rsidP="00E863E4">
            <w:pPr>
              <w:spacing w:before="60" w:after="60" w:line="200" w:lineRule="exact"/>
              <w:jc w:val="center"/>
              <w:rPr>
                <w:rFonts w:eastAsia="Calibri"/>
                <w:b/>
                <w:noProof/>
                <w:sz w:val="16"/>
                <w:szCs w:val="16"/>
                <w:lang w:eastAsia="en-GB"/>
              </w:rPr>
            </w:pPr>
            <w:r>
              <w:rPr>
                <w:rFonts w:eastAsia="Calibri"/>
                <w:noProof/>
                <w:sz w:val="16"/>
                <w:szCs w:val="16"/>
                <w:lang w:eastAsia="en-GB"/>
              </w:rPr>
              <w:t>0,091</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Default="004755EE" w:rsidP="00E863E4">
            <w:pPr>
              <w:spacing w:before="60" w:after="60" w:line="200" w:lineRule="exact"/>
              <w:jc w:val="center"/>
              <w:rPr>
                <w:rFonts w:eastAsia="Calibri"/>
                <w:b/>
                <w:noProof/>
                <w:sz w:val="16"/>
                <w:szCs w:val="16"/>
                <w:lang w:eastAsia="en-GB"/>
              </w:rPr>
            </w:pPr>
            <w:r w:rsidRPr="005D3B8F">
              <w:rPr>
                <w:rFonts w:eastAsia="Calibri"/>
                <w:noProof/>
                <w:sz w:val="16"/>
                <w:szCs w:val="16"/>
                <w:lang w:eastAsia="en-GB"/>
              </w:rPr>
              <w:t>0,091</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Default="004755EE" w:rsidP="00E863E4">
            <w:pPr>
              <w:spacing w:before="60" w:after="60" w:line="200" w:lineRule="exact"/>
              <w:jc w:val="center"/>
              <w:rPr>
                <w:rFonts w:eastAsia="Calibri"/>
                <w:b/>
                <w:noProof/>
                <w:sz w:val="16"/>
                <w:szCs w:val="16"/>
                <w:lang w:eastAsia="en-GB"/>
              </w:rPr>
            </w:pPr>
            <w:r w:rsidRPr="005D3B8F">
              <w:rPr>
                <w:rFonts w:eastAsia="Calibri"/>
                <w:noProof/>
                <w:sz w:val="16"/>
                <w:szCs w:val="16"/>
                <w:lang w:eastAsia="en-GB"/>
              </w:rPr>
              <w:t>0,091</w:t>
            </w:r>
          </w:p>
        </w:tc>
        <w:tc>
          <w:tcPr>
            <w:tcW w:w="1080" w:type="dxa"/>
            <w:tcBorders>
              <w:top w:val="single" w:sz="12" w:space="0" w:color="auto"/>
              <w:left w:val="single" w:sz="2" w:space="0" w:color="auto"/>
              <w:bottom w:val="single" w:sz="12" w:space="0" w:color="auto"/>
              <w:right w:val="single" w:sz="2" w:space="0" w:color="auto"/>
            </w:tcBorders>
            <w:vAlign w:val="center"/>
          </w:tcPr>
          <w:p w:rsidR="004755EE" w:rsidRDefault="004755EE" w:rsidP="00E863E4">
            <w:pPr>
              <w:spacing w:before="60" w:after="60" w:line="200" w:lineRule="exact"/>
              <w:jc w:val="center"/>
              <w:rPr>
                <w:rFonts w:eastAsia="Calibri"/>
                <w:b/>
                <w:noProof/>
                <w:sz w:val="16"/>
                <w:szCs w:val="16"/>
                <w:lang w:eastAsia="en-GB"/>
              </w:rPr>
            </w:pPr>
            <w:r w:rsidRPr="005D3B8F">
              <w:rPr>
                <w:rFonts w:eastAsia="Calibri"/>
                <w:noProof/>
                <w:sz w:val="16"/>
                <w:szCs w:val="16"/>
                <w:lang w:eastAsia="en-GB"/>
              </w:rPr>
              <w:t>0,091</w:t>
            </w:r>
          </w:p>
        </w:tc>
        <w:tc>
          <w:tcPr>
            <w:tcW w:w="1080" w:type="dxa"/>
            <w:tcBorders>
              <w:top w:val="single" w:sz="12" w:space="0" w:color="auto"/>
              <w:left w:val="single" w:sz="2" w:space="0" w:color="auto"/>
              <w:bottom w:val="single" w:sz="12" w:space="0" w:color="auto"/>
              <w:right w:val="single" w:sz="12" w:space="0" w:color="auto"/>
            </w:tcBorders>
            <w:vAlign w:val="center"/>
          </w:tcPr>
          <w:p w:rsidR="004755EE" w:rsidRDefault="00DF0A38" w:rsidP="00E863E4">
            <w:pPr>
              <w:spacing w:before="60" w:after="60" w:line="200" w:lineRule="exact"/>
              <w:jc w:val="center"/>
              <w:rPr>
                <w:rFonts w:eastAsia="Calibri"/>
                <w:b/>
                <w:noProof/>
                <w:sz w:val="16"/>
                <w:szCs w:val="16"/>
                <w:lang w:eastAsia="en-GB"/>
              </w:rPr>
            </w:pPr>
            <w:r>
              <w:rPr>
                <w:rFonts w:eastAsia="Calibri"/>
                <w:b/>
                <w:bCs/>
                <w:noProof/>
                <w:sz w:val="16"/>
                <w:szCs w:val="16"/>
                <w:lang w:eastAsia="en-GB"/>
              </w:rPr>
              <w:t>0,364</w:t>
            </w:r>
          </w:p>
        </w:tc>
      </w:tr>
    </w:tbl>
    <w:p w:rsidR="004755EE" w:rsidRDefault="004755EE" w:rsidP="004755EE">
      <w:pPr>
        <w:rPr>
          <w:rFonts w:eastAsia="Calibri"/>
          <w:noProof/>
          <w:sz w:val="18"/>
          <w:lang w:eastAsia="en-GB"/>
        </w:rPr>
      </w:pPr>
      <w:r>
        <w:rPr>
          <w:rFonts w:eastAsia="Calibri"/>
          <w:noProof/>
          <w:sz w:val="18"/>
          <w:lang w:eastAsia="en-GB"/>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4755EE" w:rsidRDefault="004755EE" w:rsidP="004755EE">
      <w:pPr>
        <w:rPr>
          <w:rFonts w:eastAsia="Calibri"/>
          <w:noProof/>
          <w:sz w:val="18"/>
          <w:lang w:eastAsia="en-GB"/>
        </w:rPr>
        <w:sectPr w:rsidR="004755EE" w:rsidSect="00F221E9">
          <w:pgSz w:w="16840" w:h="11907" w:orient="landscape"/>
          <w:pgMar w:top="1418" w:right="1134" w:bottom="1418" w:left="1134" w:header="709" w:footer="709" w:gutter="0"/>
          <w:cols w:space="708"/>
          <w:docGrid w:linePitch="360"/>
        </w:sectPr>
      </w:pPr>
    </w:p>
    <w:p w:rsidR="004755EE" w:rsidRDefault="006C0379" w:rsidP="006C0379">
      <w:pPr>
        <w:pStyle w:val="ManualHeading4"/>
        <w:rPr>
          <w:noProof/>
        </w:rPr>
      </w:pPr>
      <w:r>
        <w:rPr>
          <w:noProof/>
        </w:rPr>
        <w:t>3.2.3.4.</w:t>
      </w:r>
      <w:r>
        <w:rPr>
          <w:noProof/>
        </w:rPr>
        <w:tab/>
      </w:r>
      <w:r w:rsidR="004755EE" w:rsidRPr="4DB18B0C">
        <w:rPr>
          <w:noProof/>
        </w:rPr>
        <w:t xml:space="preserve">Estimated requirements of human resources </w:t>
      </w:r>
    </w:p>
    <w:p w:rsidR="004755EE" w:rsidRDefault="004755EE" w:rsidP="004755EE">
      <w:pPr>
        <w:pStyle w:val="Bullet1"/>
        <w:rPr>
          <w:noProof/>
          <w:lang w:eastAsia="en-GB"/>
        </w:rPr>
      </w:pPr>
      <w:r>
        <w:rPr>
          <w:rFonts w:ascii="Wingdings" w:eastAsia="Wingdings" w:hAnsi="Wingdings" w:cs="Wingdings"/>
          <w:noProof/>
          <w:lang w:eastAsia="en-GB"/>
        </w:rPr>
        <w:t></w:t>
      </w:r>
      <w:r>
        <w:rPr>
          <w:noProof/>
        </w:rPr>
        <w:tab/>
      </w:r>
      <w:r>
        <w:rPr>
          <w:noProof/>
          <w:lang w:eastAsia="en-GB"/>
        </w:rPr>
        <w:t xml:space="preserve">The proposal/initiative does not require the use of human resources. </w:t>
      </w:r>
    </w:p>
    <w:p w:rsidR="004755EE" w:rsidRDefault="004755EE" w:rsidP="004755EE">
      <w:pPr>
        <w:pStyle w:val="Bullet1"/>
        <w:rPr>
          <w:noProof/>
          <w:lang w:eastAsia="en-GB"/>
        </w:rPr>
      </w:pPr>
      <w:r>
        <w:rPr>
          <w:rFonts w:ascii="Wingdings" w:eastAsia="Wingdings" w:hAnsi="Wingdings" w:cs="Wingdings"/>
          <w:noProof/>
          <w:lang w:eastAsia="en-GB"/>
        </w:rPr>
        <w:t></w:t>
      </w:r>
      <w:r>
        <w:rPr>
          <w:noProof/>
        </w:rPr>
        <w:tab/>
      </w:r>
      <w:r>
        <w:rPr>
          <w:noProof/>
          <w:lang w:eastAsia="en-GB"/>
        </w:rPr>
        <w:t>The proposal/initiative requires the use of human resources, as explained below:</w:t>
      </w:r>
    </w:p>
    <w:p w:rsidR="004755EE" w:rsidRDefault="004755EE" w:rsidP="004755EE">
      <w:pPr>
        <w:spacing w:after="60"/>
        <w:jc w:val="right"/>
        <w:rPr>
          <w:rFonts w:eastAsia="Calibri"/>
          <w:i/>
          <w:noProof/>
          <w:sz w:val="20"/>
          <w:lang w:eastAsia="en-GB"/>
        </w:rPr>
      </w:pPr>
      <w:r>
        <w:rPr>
          <w:rFonts w:eastAsia="Calibri"/>
          <w:i/>
          <w:noProof/>
          <w:sz w:val="20"/>
          <w:lang w:eastAsia="en-GB"/>
        </w:rPr>
        <w:t>Estimate to be expressed in full time equivalent units</w:t>
      </w:r>
    </w:p>
    <w:tbl>
      <w:tblPr>
        <w:tblW w:w="8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804"/>
      </w:tblGrid>
      <w:tr w:rsidR="004755EE" w:rsidTr="00E863E4">
        <w:trPr>
          <w:gridBefore w:val="1"/>
          <w:wBefore w:w="15" w:type="dxa"/>
          <w:trHeight w:val="289"/>
          <w:jc w:val="center"/>
        </w:trPr>
        <w:tc>
          <w:tcPr>
            <w:tcW w:w="4754" w:type="dxa"/>
            <w:gridSpan w:val="2"/>
            <w:shd w:val="clear" w:color="auto" w:fill="auto"/>
          </w:tcPr>
          <w:p w:rsidR="004755EE" w:rsidRDefault="004755EE" w:rsidP="00E863E4">
            <w:pPr>
              <w:spacing w:before="40" w:after="40"/>
              <w:rPr>
                <w:rFonts w:eastAsia="Calibri"/>
                <w:i/>
                <w:noProof/>
                <w:sz w:val="16"/>
                <w:szCs w:val="16"/>
                <w:lang w:eastAsia="en-GB"/>
              </w:rPr>
            </w:pPr>
          </w:p>
        </w:tc>
        <w:tc>
          <w:tcPr>
            <w:tcW w:w="731" w:type="dxa"/>
            <w:shd w:val="clear" w:color="auto" w:fill="auto"/>
            <w:vAlign w:val="center"/>
          </w:tcPr>
          <w:p w:rsidR="004755EE" w:rsidRDefault="004755EE" w:rsidP="00E863E4">
            <w:pPr>
              <w:spacing w:before="20" w:after="20"/>
              <w:jc w:val="center"/>
              <w:rPr>
                <w:rFonts w:eastAsia="Calibri"/>
                <w:noProof/>
                <w:sz w:val="16"/>
                <w:szCs w:val="16"/>
                <w:lang w:eastAsia="en-GB"/>
              </w:rPr>
            </w:pPr>
            <w:r>
              <w:rPr>
                <w:rFonts w:eastAsia="Calibri"/>
                <w:noProof/>
                <w:sz w:val="16"/>
                <w:lang w:eastAsia="en-GB"/>
              </w:rPr>
              <w:t>Year</w:t>
            </w:r>
            <w:r>
              <w:rPr>
                <w:rFonts w:eastAsia="Calibri"/>
                <w:noProof/>
                <w:sz w:val="22"/>
                <w:lang w:eastAsia="en-GB"/>
              </w:rPr>
              <w:br/>
            </w:r>
            <w:r>
              <w:rPr>
                <w:rFonts w:eastAsia="Calibri"/>
                <w:b/>
                <w:noProof/>
                <w:sz w:val="16"/>
                <w:lang w:eastAsia="en-GB"/>
              </w:rPr>
              <w:t>2023</w:t>
            </w:r>
          </w:p>
        </w:tc>
        <w:tc>
          <w:tcPr>
            <w:tcW w:w="731" w:type="dxa"/>
            <w:shd w:val="clear" w:color="auto" w:fill="auto"/>
            <w:vAlign w:val="center"/>
          </w:tcPr>
          <w:p w:rsidR="004755EE" w:rsidRDefault="004755EE" w:rsidP="00E863E4">
            <w:pPr>
              <w:spacing w:before="20" w:after="20"/>
              <w:jc w:val="center"/>
              <w:rPr>
                <w:rFonts w:eastAsia="Calibri"/>
                <w:noProof/>
                <w:sz w:val="16"/>
                <w:szCs w:val="16"/>
                <w:lang w:eastAsia="en-GB"/>
              </w:rPr>
            </w:pPr>
            <w:r>
              <w:rPr>
                <w:rFonts w:eastAsia="Calibri"/>
                <w:noProof/>
                <w:sz w:val="16"/>
                <w:lang w:eastAsia="en-GB"/>
              </w:rPr>
              <w:t>Year</w:t>
            </w:r>
            <w:r>
              <w:rPr>
                <w:rFonts w:eastAsia="Calibri"/>
                <w:noProof/>
                <w:sz w:val="22"/>
                <w:lang w:eastAsia="en-GB"/>
              </w:rPr>
              <w:br/>
            </w:r>
            <w:r>
              <w:rPr>
                <w:rFonts w:eastAsia="Calibri"/>
                <w:b/>
                <w:noProof/>
                <w:sz w:val="16"/>
                <w:lang w:eastAsia="en-GB"/>
              </w:rPr>
              <w:t>2024</w:t>
            </w:r>
          </w:p>
        </w:tc>
        <w:tc>
          <w:tcPr>
            <w:tcW w:w="731" w:type="dxa"/>
            <w:shd w:val="clear" w:color="auto" w:fill="auto"/>
            <w:vAlign w:val="center"/>
          </w:tcPr>
          <w:p w:rsidR="004755EE" w:rsidRDefault="004755EE" w:rsidP="00E863E4">
            <w:pPr>
              <w:spacing w:before="20" w:after="20"/>
              <w:jc w:val="center"/>
              <w:rPr>
                <w:rFonts w:eastAsia="Calibri"/>
                <w:noProof/>
                <w:sz w:val="16"/>
                <w:szCs w:val="16"/>
                <w:lang w:eastAsia="en-GB"/>
              </w:rPr>
            </w:pPr>
            <w:r>
              <w:rPr>
                <w:rFonts w:eastAsia="Calibri"/>
                <w:noProof/>
                <w:sz w:val="16"/>
                <w:szCs w:val="16"/>
                <w:lang w:eastAsia="en-GB"/>
              </w:rPr>
              <w:t xml:space="preserve">Year </w:t>
            </w:r>
            <w:r>
              <w:rPr>
                <w:rFonts w:eastAsia="Calibri"/>
                <w:b/>
                <w:noProof/>
                <w:sz w:val="16"/>
                <w:szCs w:val="16"/>
                <w:lang w:eastAsia="en-GB"/>
              </w:rPr>
              <w:t>2025</w:t>
            </w:r>
          </w:p>
        </w:tc>
        <w:tc>
          <w:tcPr>
            <w:tcW w:w="731" w:type="dxa"/>
            <w:shd w:val="clear" w:color="auto" w:fill="auto"/>
            <w:vAlign w:val="center"/>
          </w:tcPr>
          <w:p w:rsidR="004755EE" w:rsidRDefault="004755EE" w:rsidP="00E863E4">
            <w:pPr>
              <w:spacing w:before="20" w:after="20"/>
              <w:jc w:val="center"/>
              <w:rPr>
                <w:rFonts w:eastAsia="Calibri"/>
                <w:noProof/>
                <w:sz w:val="16"/>
                <w:szCs w:val="16"/>
                <w:lang w:eastAsia="en-GB"/>
              </w:rPr>
            </w:pPr>
            <w:r>
              <w:rPr>
                <w:rFonts w:eastAsia="Calibri"/>
                <w:noProof/>
                <w:sz w:val="16"/>
                <w:szCs w:val="16"/>
                <w:lang w:eastAsia="en-GB"/>
              </w:rPr>
              <w:t xml:space="preserve">Year </w:t>
            </w:r>
            <w:r>
              <w:rPr>
                <w:rFonts w:eastAsia="Calibri"/>
                <w:b/>
                <w:noProof/>
                <w:sz w:val="16"/>
                <w:szCs w:val="16"/>
                <w:lang w:eastAsia="en-GB"/>
              </w:rPr>
              <w:t>2026</w:t>
            </w:r>
          </w:p>
        </w:tc>
        <w:tc>
          <w:tcPr>
            <w:tcW w:w="804" w:type="dxa"/>
            <w:shd w:val="clear" w:color="auto" w:fill="auto"/>
            <w:vAlign w:val="center"/>
          </w:tcPr>
          <w:p w:rsidR="004755EE" w:rsidRDefault="004755EE" w:rsidP="00E863E4">
            <w:pPr>
              <w:jc w:val="center"/>
              <w:rPr>
                <w:rFonts w:eastAsia="Calibri"/>
                <w:b/>
                <w:noProof/>
                <w:sz w:val="16"/>
                <w:szCs w:val="16"/>
                <w:lang w:eastAsia="en-GB"/>
              </w:rPr>
            </w:pPr>
            <w:r>
              <w:rPr>
                <w:rFonts w:eastAsia="Calibri"/>
                <w:noProof/>
                <w:sz w:val="16"/>
                <w:szCs w:val="16"/>
                <w:lang w:eastAsia="en-GB"/>
              </w:rPr>
              <w:t xml:space="preserve">Year </w:t>
            </w:r>
            <w:r>
              <w:rPr>
                <w:rFonts w:eastAsia="Calibri"/>
                <w:b/>
                <w:noProof/>
                <w:sz w:val="16"/>
                <w:szCs w:val="16"/>
                <w:lang w:eastAsia="en-GB"/>
              </w:rPr>
              <w:br/>
              <w:t>2027</w:t>
            </w:r>
          </w:p>
        </w:tc>
      </w:tr>
      <w:tr w:rsidR="004755EE" w:rsidTr="00E863E4">
        <w:trPr>
          <w:gridBefore w:val="1"/>
          <w:wBefore w:w="15" w:type="dxa"/>
          <w:trHeight w:val="289"/>
          <w:jc w:val="center"/>
        </w:trPr>
        <w:tc>
          <w:tcPr>
            <w:tcW w:w="8482" w:type="dxa"/>
            <w:gridSpan w:val="7"/>
            <w:shd w:val="clear" w:color="auto" w:fill="auto"/>
          </w:tcPr>
          <w:p w:rsidR="004755EE" w:rsidRDefault="004755EE" w:rsidP="00E863E4">
            <w:pPr>
              <w:jc w:val="left"/>
              <w:rPr>
                <w:rFonts w:eastAsia="Calibri"/>
                <w:noProof/>
                <w:sz w:val="16"/>
                <w:szCs w:val="16"/>
                <w:lang w:eastAsia="en-GB"/>
              </w:rPr>
            </w:pPr>
            <w:r>
              <w:rPr>
                <w:rFonts w:ascii="Wingdings" w:eastAsia="Wingdings" w:hAnsi="Wingdings" w:cs="Wingdings"/>
                <w:b/>
                <w:noProof/>
                <w:sz w:val="16"/>
                <w:lang w:eastAsia="en-GB"/>
              </w:rPr>
              <w:t>□</w:t>
            </w:r>
            <w:r>
              <w:rPr>
                <w:rFonts w:eastAsia="Calibri"/>
                <w:b/>
                <w:noProof/>
                <w:sz w:val="16"/>
                <w:lang w:eastAsia="en-GB"/>
              </w:rPr>
              <w:t xml:space="preserve"> Establishment plan posts (officials and temporary staff)</w:t>
            </w: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4"/>
              <w:jc w:val="left"/>
              <w:rPr>
                <w:rFonts w:eastAsia="Calibri"/>
                <w:b/>
                <w:noProof/>
                <w:sz w:val="16"/>
                <w:szCs w:val="16"/>
                <w:lang w:eastAsia="en-GB"/>
              </w:rPr>
            </w:pPr>
            <w:r>
              <w:rPr>
                <w:rFonts w:eastAsia="Calibri"/>
                <w:noProof/>
                <w:sz w:val="16"/>
                <w:lang w:eastAsia="en-GB"/>
              </w:rPr>
              <w:t>20 01 02 01</w:t>
            </w:r>
            <w:r>
              <w:rPr>
                <w:rFonts w:ascii="Arial Narrow" w:eastAsia="Calibri" w:hAnsi="Arial Narrow"/>
                <w:noProof/>
                <w:color w:val="000000"/>
                <w:sz w:val="20"/>
                <w:szCs w:val="20"/>
                <w:lang w:eastAsia="en-GB"/>
              </w:rPr>
              <w:t xml:space="preserve"> </w:t>
            </w:r>
            <w:r>
              <w:rPr>
                <w:rFonts w:eastAsia="Calibri"/>
                <w:noProof/>
                <w:sz w:val="16"/>
                <w:lang w:eastAsia="en-GB"/>
              </w:rPr>
              <w:t>(Headquarters and Commission’s Representation Offices)</w:t>
            </w:r>
          </w:p>
        </w:tc>
        <w:tc>
          <w:tcPr>
            <w:tcW w:w="731" w:type="dxa"/>
            <w:shd w:val="clear" w:color="auto" w:fill="auto"/>
            <w:vAlign w:val="center"/>
          </w:tcPr>
          <w:p w:rsidR="004755EE" w:rsidRPr="009E76D2" w:rsidRDefault="004755EE" w:rsidP="00E863E4">
            <w:pPr>
              <w:spacing w:beforeLines="20" w:before="48" w:afterLines="20" w:after="48"/>
              <w:jc w:val="center"/>
              <w:rPr>
                <w:rFonts w:eastAsia="Calibri"/>
                <w:noProof/>
                <w:sz w:val="16"/>
                <w:szCs w:val="16"/>
                <w:highlight w:val="yellow"/>
                <w:lang w:eastAsia="en-GB"/>
              </w:rPr>
            </w:pPr>
          </w:p>
        </w:tc>
        <w:tc>
          <w:tcPr>
            <w:tcW w:w="731" w:type="dxa"/>
            <w:shd w:val="clear" w:color="auto" w:fill="auto"/>
            <w:vAlign w:val="center"/>
          </w:tcPr>
          <w:p w:rsidR="004755EE" w:rsidRPr="009E76D2" w:rsidRDefault="004755EE" w:rsidP="00E863E4">
            <w:pPr>
              <w:spacing w:beforeLines="20" w:before="48" w:afterLines="20" w:after="48"/>
              <w:jc w:val="center"/>
              <w:rPr>
                <w:rFonts w:eastAsia="Calibri"/>
                <w:noProof/>
                <w:sz w:val="16"/>
                <w:szCs w:val="16"/>
                <w:highlight w:val="yellow"/>
                <w:lang w:eastAsia="en-GB"/>
              </w:rPr>
            </w:pPr>
          </w:p>
        </w:tc>
        <w:tc>
          <w:tcPr>
            <w:tcW w:w="731" w:type="dxa"/>
            <w:shd w:val="clear" w:color="auto" w:fill="auto"/>
            <w:vAlign w:val="center"/>
          </w:tcPr>
          <w:p w:rsidR="004755EE" w:rsidRPr="009E76D2"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Pr="009E76D2"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Pr="009E76D2"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4"/>
              <w:jc w:val="left"/>
              <w:rPr>
                <w:rFonts w:eastAsia="Calibri"/>
                <w:noProof/>
                <w:sz w:val="16"/>
                <w:lang w:eastAsia="en-GB"/>
              </w:rPr>
            </w:pPr>
            <w:r>
              <w:rPr>
                <w:rFonts w:eastAsia="Calibri"/>
                <w:noProof/>
                <w:sz w:val="16"/>
                <w:lang w:eastAsia="en-GB"/>
              </w:rPr>
              <w:t>20 01 02 03 (Delegations)</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4"/>
              <w:jc w:val="left"/>
              <w:rPr>
                <w:rFonts w:eastAsia="Calibri"/>
                <w:noProof/>
                <w:sz w:val="16"/>
                <w:szCs w:val="16"/>
                <w:lang w:eastAsia="en-GB"/>
              </w:rPr>
            </w:pPr>
            <w:r>
              <w:rPr>
                <w:rFonts w:eastAsia="Calibri"/>
                <w:noProof/>
                <w:sz w:val="16"/>
                <w:lang w:eastAsia="en-GB"/>
              </w:rPr>
              <w:t>01 01 01 01 (Indirect research)</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4"/>
              <w:jc w:val="left"/>
              <w:rPr>
                <w:rFonts w:eastAsia="Calibri"/>
                <w:noProof/>
                <w:sz w:val="16"/>
                <w:szCs w:val="16"/>
                <w:lang w:eastAsia="en-GB"/>
              </w:rPr>
            </w:pPr>
            <w:r>
              <w:rPr>
                <w:rFonts w:eastAsia="Calibri"/>
                <w:noProof/>
                <w:sz w:val="16"/>
                <w:lang w:eastAsia="en-GB"/>
              </w:rPr>
              <w:t xml:space="preserve"> 01 01 01 11 (Direct research)</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trHeight w:val="248"/>
          <w:jc w:val="center"/>
        </w:trPr>
        <w:tc>
          <w:tcPr>
            <w:tcW w:w="8497" w:type="dxa"/>
            <w:gridSpan w:val="8"/>
            <w:shd w:val="clear" w:color="auto" w:fill="auto"/>
            <w:vAlign w:val="center"/>
          </w:tcPr>
          <w:p w:rsidR="004755EE" w:rsidRDefault="004755EE" w:rsidP="00E863E4">
            <w:pPr>
              <w:spacing w:before="60" w:after="60"/>
              <w:jc w:val="left"/>
              <w:rPr>
                <w:rFonts w:eastAsia="Calibri"/>
                <w:b/>
                <w:noProof/>
                <w:sz w:val="16"/>
                <w:szCs w:val="16"/>
                <w:lang w:eastAsia="en-GB"/>
              </w:rPr>
            </w:pPr>
            <w:r>
              <w:rPr>
                <w:rFonts w:ascii="Wingdings" w:eastAsia="Wingdings" w:hAnsi="Wingdings" w:cs="Wingdings"/>
                <w:b/>
                <w:noProof/>
                <w:sz w:val="16"/>
                <w:lang w:eastAsia="en-GB"/>
              </w:rPr>
              <w:t>□</w:t>
            </w:r>
            <w:r>
              <w:rPr>
                <w:rFonts w:eastAsia="Calibri"/>
                <w:b/>
                <w:noProof/>
                <w:sz w:val="16"/>
                <w:lang w:eastAsia="en-GB"/>
              </w:rPr>
              <w:t xml:space="preserve"> External staff (in Full Time Equivalent unit: FTE)</w:t>
            </w:r>
            <w:r w:rsidRPr="00C9020F">
              <w:rPr>
                <w:rStyle w:val="FootnoteReference"/>
                <w:noProof/>
              </w:rPr>
              <w:footnoteReference w:id="35"/>
            </w: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6"/>
              <w:jc w:val="left"/>
              <w:rPr>
                <w:rFonts w:eastAsia="Calibri"/>
                <w:b/>
                <w:noProof/>
                <w:sz w:val="16"/>
                <w:szCs w:val="16"/>
                <w:lang w:eastAsia="en-GB"/>
              </w:rPr>
            </w:pPr>
            <w:r>
              <w:rPr>
                <w:rFonts w:eastAsia="Calibri"/>
                <w:noProof/>
                <w:sz w:val="16"/>
                <w:lang w:eastAsia="en-GB"/>
              </w:rPr>
              <w:t>20 02 01</w:t>
            </w:r>
            <w:r>
              <w:rPr>
                <w:rFonts w:ascii="Arial Narrow" w:eastAsia="Calibri" w:hAnsi="Arial Narrow"/>
                <w:noProof/>
                <w:color w:val="000000"/>
                <w:sz w:val="20"/>
                <w:szCs w:val="20"/>
                <w:lang w:eastAsia="en-GB"/>
              </w:rPr>
              <w:t xml:space="preserve"> </w:t>
            </w:r>
            <w:r>
              <w:rPr>
                <w:rFonts w:eastAsia="Calibri"/>
                <w:noProof/>
                <w:sz w:val="16"/>
                <w:lang w:eastAsia="en-GB"/>
              </w:rPr>
              <w:t>(AC, END, INT from the ‘global envelope’)</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r>
              <w:rPr>
                <w:rFonts w:eastAsia="Calibri"/>
                <w:noProof/>
                <w:sz w:val="16"/>
                <w:szCs w:val="16"/>
                <w:lang w:eastAsia="en-GB"/>
              </w:rPr>
              <w:t>1</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r>
              <w:rPr>
                <w:rFonts w:eastAsia="Calibri"/>
                <w:noProof/>
                <w:sz w:val="16"/>
                <w:szCs w:val="16"/>
                <w:lang w:eastAsia="en-GB"/>
              </w:rPr>
              <w:t>1</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r>
              <w:rPr>
                <w:rFonts w:eastAsia="Calibri"/>
                <w:noProof/>
                <w:sz w:val="16"/>
                <w:szCs w:val="16"/>
                <w:lang w:eastAsia="en-GB"/>
              </w:rPr>
              <w:t>1</w:t>
            </w: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r>
              <w:rPr>
                <w:rFonts w:eastAsia="Calibri"/>
                <w:noProof/>
                <w:sz w:val="16"/>
                <w:szCs w:val="16"/>
                <w:lang w:eastAsia="en-GB"/>
              </w:rPr>
              <w:t>1</w:t>
            </w: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6"/>
              <w:jc w:val="left"/>
              <w:rPr>
                <w:rFonts w:eastAsia="Calibri"/>
                <w:noProof/>
                <w:sz w:val="16"/>
                <w:lang w:eastAsia="en-GB"/>
              </w:rPr>
            </w:pPr>
            <w:r>
              <w:rPr>
                <w:rFonts w:eastAsia="Calibri"/>
                <w:noProof/>
                <w:sz w:val="16"/>
                <w:lang w:eastAsia="en-GB"/>
              </w:rPr>
              <w:t>20 02 03 (AC, AL, END, INT and JPD in the delegations)</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2376" w:type="dxa"/>
            <w:vMerge w:val="restart"/>
            <w:shd w:val="clear" w:color="auto" w:fill="auto"/>
            <w:vAlign w:val="center"/>
          </w:tcPr>
          <w:p w:rsidR="004755EE" w:rsidRDefault="004755EE" w:rsidP="00E863E4">
            <w:pPr>
              <w:spacing w:beforeLines="20" w:before="48" w:afterLines="20" w:after="48"/>
              <w:ind w:left="136"/>
              <w:jc w:val="left"/>
              <w:rPr>
                <w:rFonts w:eastAsia="Calibri"/>
                <w:b/>
                <w:noProof/>
                <w:sz w:val="16"/>
                <w:szCs w:val="16"/>
                <w:lang w:eastAsia="en-GB"/>
              </w:rPr>
            </w:pPr>
            <w:r>
              <w:rPr>
                <w:rFonts w:eastAsia="Calibri"/>
                <w:b/>
                <w:noProof/>
                <w:sz w:val="16"/>
                <w:szCs w:val="16"/>
                <w:lang w:eastAsia="en-GB"/>
              </w:rPr>
              <w:t>XX</w:t>
            </w:r>
            <w:r>
              <w:rPr>
                <w:rFonts w:eastAsia="Calibri"/>
                <w:noProof/>
                <w:sz w:val="16"/>
                <w:szCs w:val="16"/>
                <w:lang w:eastAsia="en-GB"/>
              </w:rPr>
              <w:t xml:space="preserve"> 01 xx </w:t>
            </w:r>
            <w:r>
              <w:rPr>
                <w:rFonts w:eastAsia="Calibri"/>
                <w:b/>
                <w:noProof/>
                <w:sz w:val="16"/>
                <w:szCs w:val="16"/>
                <w:lang w:eastAsia="en-GB"/>
              </w:rPr>
              <w:t>yy zz</w:t>
            </w:r>
            <w:r>
              <w:rPr>
                <w:rFonts w:eastAsia="Calibri"/>
                <w:b/>
                <w:i/>
                <w:noProof/>
                <w:sz w:val="16"/>
                <w:lang w:eastAsia="en-GB"/>
              </w:rPr>
              <w:t xml:space="preserve"> </w:t>
            </w:r>
            <w:r w:rsidRPr="00C9020F">
              <w:rPr>
                <w:rStyle w:val="FootnoteReference"/>
                <w:noProof/>
              </w:rPr>
              <w:footnoteReference w:id="36"/>
            </w:r>
          </w:p>
          <w:p w:rsidR="004755EE" w:rsidRDefault="004755EE" w:rsidP="00E863E4">
            <w:pPr>
              <w:spacing w:beforeLines="20" w:before="48" w:afterLines="20" w:after="48"/>
              <w:ind w:left="136"/>
              <w:jc w:val="left"/>
              <w:rPr>
                <w:rFonts w:eastAsia="Calibri"/>
                <w:b/>
                <w:noProof/>
                <w:sz w:val="16"/>
                <w:szCs w:val="16"/>
                <w:lang w:eastAsia="en-GB"/>
              </w:rPr>
            </w:pPr>
          </w:p>
        </w:tc>
        <w:tc>
          <w:tcPr>
            <w:tcW w:w="2378" w:type="dxa"/>
            <w:shd w:val="clear" w:color="auto" w:fill="auto"/>
            <w:vAlign w:val="center"/>
          </w:tcPr>
          <w:p w:rsidR="004755EE" w:rsidRDefault="004755EE" w:rsidP="00E863E4">
            <w:pPr>
              <w:spacing w:beforeLines="20" w:before="48" w:afterLines="20" w:after="48"/>
              <w:ind w:left="136"/>
              <w:jc w:val="left"/>
              <w:rPr>
                <w:rFonts w:eastAsia="Calibri"/>
                <w:b/>
                <w:noProof/>
                <w:sz w:val="16"/>
                <w:szCs w:val="16"/>
                <w:lang w:eastAsia="en-GB"/>
              </w:rPr>
            </w:pPr>
            <w:r>
              <w:rPr>
                <w:rFonts w:eastAsia="Calibri"/>
                <w:noProof/>
                <w:sz w:val="16"/>
                <w:lang w:eastAsia="en-GB"/>
              </w:rPr>
              <w:t>- at Headquarters</w:t>
            </w:r>
          </w:p>
          <w:p w:rsidR="004755EE" w:rsidRDefault="004755EE" w:rsidP="00E863E4">
            <w:pPr>
              <w:spacing w:beforeLines="20" w:before="48" w:afterLines="20" w:after="48"/>
              <w:jc w:val="left"/>
              <w:rPr>
                <w:rFonts w:eastAsia="Calibri"/>
                <w:b/>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2376" w:type="dxa"/>
            <w:vMerge/>
            <w:shd w:val="clear" w:color="auto" w:fill="auto"/>
            <w:vAlign w:val="center"/>
          </w:tcPr>
          <w:p w:rsidR="004755EE" w:rsidRDefault="004755EE" w:rsidP="00006ABB">
            <w:pPr>
              <w:numPr>
                <w:ilvl w:val="0"/>
                <w:numId w:val="17"/>
              </w:numPr>
              <w:spacing w:beforeLines="20" w:before="48" w:afterLines="20" w:after="48"/>
              <w:ind w:left="136" w:firstLine="0"/>
              <w:jc w:val="left"/>
              <w:rPr>
                <w:rFonts w:eastAsia="Calibri"/>
                <w:b/>
                <w:noProof/>
                <w:sz w:val="16"/>
                <w:szCs w:val="16"/>
                <w:lang w:eastAsia="en-GB"/>
              </w:rPr>
            </w:pPr>
          </w:p>
        </w:tc>
        <w:tc>
          <w:tcPr>
            <w:tcW w:w="2378" w:type="dxa"/>
            <w:shd w:val="clear" w:color="auto" w:fill="auto"/>
            <w:vAlign w:val="center"/>
          </w:tcPr>
          <w:p w:rsidR="004755EE" w:rsidRDefault="004755EE" w:rsidP="00E863E4">
            <w:pPr>
              <w:spacing w:beforeLines="20" w:before="48" w:afterLines="20" w:after="48"/>
              <w:ind w:left="136"/>
              <w:jc w:val="left"/>
              <w:rPr>
                <w:rFonts w:eastAsia="Calibri"/>
                <w:b/>
                <w:noProof/>
                <w:sz w:val="16"/>
                <w:szCs w:val="16"/>
                <w:lang w:eastAsia="en-GB"/>
              </w:rPr>
            </w:pPr>
            <w:r>
              <w:rPr>
                <w:rFonts w:eastAsia="Calibri"/>
                <w:noProof/>
                <w:sz w:val="16"/>
                <w:lang w:eastAsia="en-GB"/>
              </w:rPr>
              <w:t xml:space="preserve">- in Delegations </w:t>
            </w:r>
          </w:p>
        </w:tc>
        <w:tc>
          <w:tcPr>
            <w:tcW w:w="731" w:type="dxa"/>
            <w:shd w:val="clear" w:color="auto" w:fill="auto"/>
            <w:vAlign w:val="center"/>
          </w:tcPr>
          <w:p w:rsidR="004755EE" w:rsidRDefault="004755EE" w:rsidP="00E863E4">
            <w:pPr>
              <w:spacing w:beforeLines="20" w:before="48" w:afterLines="20" w:after="48"/>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6"/>
              <w:jc w:val="left"/>
              <w:rPr>
                <w:rFonts w:eastAsia="Calibri"/>
                <w:noProof/>
                <w:sz w:val="16"/>
                <w:szCs w:val="16"/>
                <w:lang w:eastAsia="en-GB"/>
              </w:rPr>
            </w:pPr>
            <w:r>
              <w:rPr>
                <w:rFonts w:eastAsia="Calibri"/>
                <w:noProof/>
                <w:sz w:val="16"/>
                <w:lang w:eastAsia="en-GB"/>
              </w:rPr>
              <w:t>01 01 01 02</w:t>
            </w:r>
            <w:r>
              <w:rPr>
                <w:rFonts w:ascii="Arial Narrow" w:eastAsia="Calibri" w:hAnsi="Arial Narrow"/>
                <w:noProof/>
                <w:color w:val="000000"/>
                <w:sz w:val="20"/>
                <w:szCs w:val="20"/>
                <w:lang w:eastAsia="en-GB"/>
              </w:rPr>
              <w:t xml:space="preserve"> </w:t>
            </w:r>
            <w:r>
              <w:rPr>
                <w:rFonts w:eastAsia="Calibri"/>
                <w:noProof/>
                <w:sz w:val="16"/>
                <w:szCs w:val="16"/>
                <w:lang w:eastAsia="en-GB"/>
              </w:rPr>
              <w:t>(AC, END, INT - Indirect research)</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4754" w:type="dxa"/>
            <w:gridSpan w:val="2"/>
            <w:shd w:val="clear" w:color="auto" w:fill="auto"/>
            <w:vAlign w:val="center"/>
          </w:tcPr>
          <w:p w:rsidR="004755EE" w:rsidRDefault="004755EE" w:rsidP="00E863E4">
            <w:pPr>
              <w:spacing w:beforeLines="20" w:before="48" w:afterLines="20" w:after="48"/>
              <w:ind w:left="136"/>
              <w:jc w:val="left"/>
              <w:rPr>
                <w:rFonts w:eastAsia="Calibri"/>
                <w:noProof/>
                <w:color w:val="FF0000"/>
                <w:sz w:val="16"/>
                <w:szCs w:val="16"/>
                <w:lang w:eastAsia="en-GB"/>
              </w:rPr>
            </w:pPr>
            <w:r>
              <w:rPr>
                <w:rFonts w:eastAsia="Calibri"/>
                <w:noProof/>
                <w:sz w:val="16"/>
                <w:lang w:eastAsia="en-GB"/>
              </w:rPr>
              <w:t xml:space="preserve"> 01 01 01 12 (AC, END, INT - Direct research)</w:t>
            </w: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731"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c>
          <w:tcPr>
            <w:tcW w:w="804" w:type="dxa"/>
            <w:shd w:val="clear" w:color="auto" w:fill="auto"/>
            <w:vAlign w:val="center"/>
          </w:tcPr>
          <w:p w:rsidR="004755EE" w:rsidRDefault="004755EE" w:rsidP="00E863E4">
            <w:pPr>
              <w:spacing w:beforeLines="20" w:before="48" w:afterLines="20" w:after="48"/>
              <w:jc w:val="center"/>
              <w:rPr>
                <w:rFonts w:eastAsia="Calibri"/>
                <w:noProof/>
                <w:sz w:val="16"/>
                <w:szCs w:val="16"/>
                <w:lang w:eastAsia="en-GB"/>
              </w:rPr>
            </w:pPr>
          </w:p>
        </w:tc>
      </w:tr>
      <w:tr w:rsidR="004755EE" w:rsidTr="00E863E4">
        <w:trPr>
          <w:gridBefore w:val="1"/>
          <w:wBefore w:w="15" w:type="dxa"/>
          <w:trHeight w:val="289"/>
          <w:jc w:val="center"/>
        </w:trPr>
        <w:tc>
          <w:tcPr>
            <w:tcW w:w="4754" w:type="dxa"/>
            <w:gridSpan w:val="2"/>
            <w:tcBorders>
              <w:top w:val="double" w:sz="4" w:space="0" w:color="auto"/>
            </w:tcBorders>
            <w:shd w:val="clear" w:color="auto" w:fill="auto"/>
            <w:vAlign w:val="center"/>
          </w:tcPr>
          <w:p w:rsidR="004755EE" w:rsidRDefault="004755EE" w:rsidP="00E863E4">
            <w:pPr>
              <w:spacing w:beforeLines="20" w:before="48" w:afterLines="20" w:after="48"/>
              <w:ind w:left="136"/>
              <w:jc w:val="left"/>
              <w:rPr>
                <w:rFonts w:eastAsia="Calibri"/>
                <w:noProof/>
                <w:sz w:val="16"/>
                <w:szCs w:val="16"/>
                <w:lang w:eastAsia="en-GB"/>
              </w:rPr>
            </w:pPr>
            <w:r>
              <w:rPr>
                <w:rFonts w:eastAsia="Calibri"/>
                <w:b/>
                <w:noProof/>
                <w:sz w:val="16"/>
                <w:lang w:eastAsia="en-GB"/>
              </w:rPr>
              <w:t>TOTAL</w:t>
            </w:r>
          </w:p>
        </w:tc>
        <w:tc>
          <w:tcPr>
            <w:tcW w:w="731" w:type="dxa"/>
            <w:tcBorders>
              <w:top w:val="double" w:sz="4" w:space="0" w:color="auto"/>
            </w:tcBorders>
            <w:shd w:val="clear" w:color="auto" w:fill="auto"/>
            <w:vAlign w:val="center"/>
          </w:tcPr>
          <w:p w:rsidR="004755EE" w:rsidRDefault="004755EE" w:rsidP="00E863E4">
            <w:pPr>
              <w:spacing w:beforeLines="20" w:before="48" w:afterLines="20" w:after="48"/>
              <w:jc w:val="center"/>
              <w:rPr>
                <w:rFonts w:eastAsia="Calibri"/>
                <w:b/>
                <w:noProof/>
                <w:sz w:val="16"/>
                <w:szCs w:val="16"/>
                <w:lang w:eastAsia="en-GB"/>
              </w:rPr>
            </w:pPr>
          </w:p>
        </w:tc>
        <w:tc>
          <w:tcPr>
            <w:tcW w:w="731" w:type="dxa"/>
            <w:tcBorders>
              <w:top w:val="double" w:sz="4" w:space="0" w:color="auto"/>
            </w:tcBorders>
            <w:shd w:val="clear" w:color="auto" w:fill="auto"/>
            <w:vAlign w:val="center"/>
          </w:tcPr>
          <w:p w:rsidR="004755EE" w:rsidRDefault="004755EE" w:rsidP="00E863E4">
            <w:pPr>
              <w:spacing w:beforeLines="20" w:before="48" w:afterLines="20" w:after="48"/>
              <w:jc w:val="center"/>
              <w:rPr>
                <w:rFonts w:eastAsia="Calibri"/>
                <w:b/>
                <w:noProof/>
                <w:sz w:val="16"/>
                <w:szCs w:val="16"/>
                <w:lang w:eastAsia="en-GB"/>
              </w:rPr>
            </w:pPr>
            <w:r>
              <w:rPr>
                <w:rFonts w:eastAsia="Calibri"/>
                <w:b/>
                <w:noProof/>
                <w:sz w:val="16"/>
                <w:szCs w:val="16"/>
                <w:lang w:eastAsia="en-GB"/>
              </w:rPr>
              <w:t>1</w:t>
            </w:r>
          </w:p>
        </w:tc>
        <w:tc>
          <w:tcPr>
            <w:tcW w:w="731" w:type="dxa"/>
            <w:tcBorders>
              <w:top w:val="double" w:sz="4" w:space="0" w:color="auto"/>
            </w:tcBorders>
            <w:shd w:val="clear" w:color="auto" w:fill="auto"/>
            <w:vAlign w:val="center"/>
          </w:tcPr>
          <w:p w:rsidR="004755EE" w:rsidRDefault="004755EE" w:rsidP="00E863E4">
            <w:pPr>
              <w:spacing w:beforeLines="20" w:before="48" w:afterLines="20" w:after="48"/>
              <w:jc w:val="center"/>
              <w:rPr>
                <w:rFonts w:eastAsia="Calibri"/>
                <w:b/>
                <w:noProof/>
                <w:sz w:val="16"/>
                <w:szCs w:val="16"/>
                <w:lang w:eastAsia="en-GB"/>
              </w:rPr>
            </w:pPr>
            <w:r>
              <w:rPr>
                <w:rFonts w:eastAsia="Calibri"/>
                <w:b/>
                <w:noProof/>
                <w:sz w:val="16"/>
                <w:szCs w:val="16"/>
                <w:lang w:eastAsia="en-GB"/>
              </w:rPr>
              <w:t>1</w:t>
            </w:r>
          </w:p>
        </w:tc>
        <w:tc>
          <w:tcPr>
            <w:tcW w:w="731" w:type="dxa"/>
            <w:tcBorders>
              <w:top w:val="double" w:sz="4" w:space="0" w:color="auto"/>
            </w:tcBorders>
            <w:shd w:val="clear" w:color="auto" w:fill="auto"/>
            <w:vAlign w:val="center"/>
          </w:tcPr>
          <w:p w:rsidR="004755EE" w:rsidRDefault="004755EE" w:rsidP="00E863E4">
            <w:pPr>
              <w:spacing w:beforeLines="20" w:before="48" w:afterLines="20" w:after="48"/>
              <w:jc w:val="center"/>
              <w:rPr>
                <w:rFonts w:eastAsia="Calibri"/>
                <w:b/>
                <w:noProof/>
                <w:sz w:val="16"/>
                <w:szCs w:val="16"/>
                <w:lang w:eastAsia="en-GB"/>
              </w:rPr>
            </w:pPr>
            <w:r>
              <w:rPr>
                <w:rFonts w:eastAsia="Calibri"/>
                <w:b/>
                <w:noProof/>
                <w:sz w:val="16"/>
                <w:szCs w:val="16"/>
                <w:lang w:eastAsia="en-GB"/>
              </w:rPr>
              <w:t>1</w:t>
            </w:r>
          </w:p>
        </w:tc>
        <w:tc>
          <w:tcPr>
            <w:tcW w:w="804" w:type="dxa"/>
            <w:tcBorders>
              <w:top w:val="double" w:sz="4" w:space="0" w:color="auto"/>
            </w:tcBorders>
            <w:shd w:val="clear" w:color="auto" w:fill="auto"/>
            <w:vAlign w:val="center"/>
          </w:tcPr>
          <w:p w:rsidR="004755EE" w:rsidRDefault="004755EE" w:rsidP="00E863E4">
            <w:pPr>
              <w:spacing w:beforeLines="20" w:before="48" w:afterLines="20" w:after="48"/>
              <w:jc w:val="center"/>
              <w:rPr>
                <w:rFonts w:eastAsia="Calibri"/>
                <w:b/>
                <w:noProof/>
                <w:sz w:val="16"/>
                <w:szCs w:val="16"/>
                <w:lang w:eastAsia="en-GB"/>
              </w:rPr>
            </w:pPr>
            <w:r>
              <w:rPr>
                <w:rFonts w:eastAsia="Calibri"/>
                <w:b/>
                <w:noProof/>
                <w:sz w:val="16"/>
                <w:szCs w:val="16"/>
                <w:lang w:eastAsia="en-GB"/>
              </w:rPr>
              <w:t>1</w:t>
            </w:r>
          </w:p>
        </w:tc>
      </w:tr>
    </w:tbl>
    <w:p w:rsidR="004755EE" w:rsidRDefault="004755EE" w:rsidP="004755EE">
      <w:pPr>
        <w:spacing w:before="60" w:after="60"/>
        <w:ind w:firstLine="360"/>
        <w:rPr>
          <w:rFonts w:eastAsia="Calibri"/>
          <w:noProof/>
          <w:sz w:val="18"/>
          <w:szCs w:val="18"/>
          <w:lang w:eastAsia="en-GB"/>
        </w:rPr>
      </w:pPr>
      <w:r>
        <w:rPr>
          <w:rFonts w:eastAsia="Calibri"/>
          <w:b/>
          <w:noProof/>
          <w:sz w:val="18"/>
          <w:szCs w:val="18"/>
          <w:lang w:eastAsia="en-GB"/>
        </w:rPr>
        <w:t>XX</w:t>
      </w:r>
      <w:r>
        <w:rPr>
          <w:rFonts w:eastAsia="Calibri"/>
          <w:noProof/>
          <w:sz w:val="18"/>
          <w:szCs w:val="18"/>
          <w:lang w:eastAsia="en-GB"/>
        </w:rPr>
        <w:t xml:space="preserve"> is the policy area or budget title concerned.</w:t>
      </w:r>
    </w:p>
    <w:p w:rsidR="004755EE" w:rsidRDefault="004755EE" w:rsidP="004755EE">
      <w:pPr>
        <w:ind w:left="360"/>
        <w:rPr>
          <w:rFonts w:eastAsia="Calibri"/>
          <w:noProof/>
          <w:sz w:val="18"/>
          <w:szCs w:val="18"/>
          <w:lang w:eastAsia="en-GB"/>
        </w:rPr>
      </w:pPr>
      <w:r>
        <w:rPr>
          <w:rFonts w:eastAsia="Calibri"/>
          <w:noProof/>
          <w:sz w:val="18"/>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4755EE" w:rsidRDefault="004755EE" w:rsidP="004755EE">
      <w:pPr>
        <w:rPr>
          <w:rFonts w:eastAsia="Calibri"/>
          <w:noProof/>
          <w:sz w:val="20"/>
          <w:lang w:eastAsia="en-GB"/>
        </w:rPr>
      </w:pPr>
      <w:r>
        <w:rPr>
          <w:rFonts w:eastAsia="Calibri"/>
          <w:noProof/>
          <w:sz w:val="20"/>
          <w:lang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755EE" w:rsidTr="00E863E4">
        <w:tc>
          <w:tcPr>
            <w:tcW w:w="3240" w:type="dxa"/>
          </w:tcPr>
          <w:p w:rsidR="004755EE" w:rsidRDefault="004755EE" w:rsidP="00E863E4">
            <w:pPr>
              <w:rPr>
                <w:rFonts w:eastAsia="Calibri"/>
                <w:noProof/>
                <w:sz w:val="20"/>
                <w:lang w:eastAsia="en-GB"/>
              </w:rPr>
            </w:pPr>
            <w:r>
              <w:rPr>
                <w:rFonts w:eastAsia="Calibri"/>
                <w:noProof/>
                <w:sz w:val="20"/>
                <w:lang w:eastAsia="en-GB"/>
              </w:rPr>
              <w:t>Officials and temporary staff</w:t>
            </w:r>
          </w:p>
        </w:tc>
        <w:tc>
          <w:tcPr>
            <w:tcW w:w="7200" w:type="dxa"/>
          </w:tcPr>
          <w:p w:rsidR="004755EE" w:rsidRPr="002F62D6" w:rsidRDefault="004755EE" w:rsidP="00E863E4">
            <w:pPr>
              <w:rPr>
                <w:rFonts w:eastAsia="Times New Roman"/>
                <w:noProof/>
              </w:rPr>
            </w:pPr>
          </w:p>
        </w:tc>
      </w:tr>
      <w:tr w:rsidR="004755EE" w:rsidTr="00E863E4">
        <w:tc>
          <w:tcPr>
            <w:tcW w:w="3240" w:type="dxa"/>
          </w:tcPr>
          <w:p w:rsidR="004755EE" w:rsidRDefault="004755EE" w:rsidP="00E863E4">
            <w:pPr>
              <w:spacing w:before="60" w:after="60"/>
              <w:rPr>
                <w:rFonts w:eastAsia="Calibri"/>
                <w:noProof/>
                <w:sz w:val="20"/>
                <w:lang w:eastAsia="en-GB"/>
              </w:rPr>
            </w:pPr>
            <w:r>
              <w:rPr>
                <w:rFonts w:eastAsia="Calibri"/>
                <w:noProof/>
                <w:sz w:val="20"/>
                <w:lang w:eastAsia="en-GB"/>
              </w:rPr>
              <w:t>External staff</w:t>
            </w:r>
          </w:p>
        </w:tc>
        <w:tc>
          <w:tcPr>
            <w:tcW w:w="7200" w:type="dxa"/>
          </w:tcPr>
          <w:p w:rsidR="004755EE" w:rsidRPr="00836E33" w:rsidRDefault="004755EE" w:rsidP="00E863E4">
            <w:pPr>
              <w:rPr>
                <w:noProof/>
              </w:rPr>
            </w:pPr>
            <w:r>
              <w:rPr>
                <w:noProof/>
              </w:rPr>
              <w:t>1 CA for the Commission would be needed to deal with the higher complexity and extended scope of the legislation and associated additional surveillance and management.</w:t>
            </w:r>
          </w:p>
        </w:tc>
      </w:tr>
    </w:tbl>
    <w:p w:rsidR="004755EE" w:rsidRDefault="00B16E99" w:rsidP="004755EE">
      <w:pPr>
        <w:pStyle w:val="ManualHeading3"/>
        <w:rPr>
          <w:noProof/>
          <w:lang w:eastAsia="en-GB"/>
        </w:rPr>
      </w:pPr>
      <w:bookmarkStart w:id="67" w:name="_Toc514938056"/>
      <w:bookmarkStart w:id="68" w:name="_Toc520485055"/>
      <w:r>
        <w:rPr>
          <w:noProof/>
        </w:rPr>
        <w:t>3.2.4</w:t>
      </w:r>
      <w:r w:rsidR="004755EE">
        <w:rPr>
          <w:noProof/>
        </w:rPr>
        <w:tab/>
      </w:r>
      <w:r w:rsidR="004755EE">
        <w:rPr>
          <w:noProof/>
          <w:lang w:eastAsia="en-GB"/>
        </w:rPr>
        <w:t xml:space="preserve"> Compatibility with the current multiannual financial framework</w:t>
      </w:r>
      <w:bookmarkEnd w:id="67"/>
      <w:bookmarkEnd w:id="68"/>
      <w:r w:rsidR="004755EE">
        <w:rPr>
          <w:noProof/>
          <w:lang w:eastAsia="en-GB"/>
        </w:rPr>
        <w:t xml:space="preserve"> </w:t>
      </w:r>
    </w:p>
    <w:p w:rsidR="004755EE" w:rsidRDefault="004755EE" w:rsidP="004755EE">
      <w:pPr>
        <w:pStyle w:val="Bullet1"/>
        <w:rPr>
          <w:noProof/>
          <w:lang w:eastAsia="en-GB"/>
        </w:rPr>
      </w:pPr>
      <w:r>
        <w:rPr>
          <w:noProof/>
          <w:lang w:eastAsia="en-GB"/>
        </w:rPr>
        <w:t>The proposal/initiative:</w:t>
      </w:r>
    </w:p>
    <w:p w:rsidR="004755EE" w:rsidRDefault="004755EE" w:rsidP="004755EE">
      <w:pPr>
        <w:tabs>
          <w:tab w:val="num" w:pos="1134"/>
        </w:tabs>
        <w:ind w:left="1134" w:hanging="283"/>
        <w:rPr>
          <w:rFonts w:eastAsia="Calibri"/>
          <w:noProof/>
          <w:lang w:eastAsia="en-GB"/>
        </w:rPr>
      </w:pPr>
      <w:r>
        <w:rPr>
          <w:rFonts w:ascii="Wingdings" w:eastAsia="Wingdings" w:hAnsi="Wingdings" w:cs="Wingdings"/>
          <w:noProof/>
          <w:lang w:eastAsia="en-GB"/>
        </w:rPr>
        <w:t></w:t>
      </w:r>
      <w:r>
        <w:rPr>
          <w:rFonts w:eastAsia="Calibri"/>
          <w:noProof/>
          <w:lang w:eastAsia="en-GB"/>
        </w:rPr>
        <w:tab/>
        <w:t>can be fully financed through redeployment within the relevant heading of the Multiannual Financial Framework (MFF).</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sz w:val="20"/>
          <w:lang w:eastAsia="en-GB"/>
        </w:rPr>
      </w:pPr>
      <w:r>
        <w:rPr>
          <w:rFonts w:eastAsia="Calibri"/>
          <w:noProof/>
          <w:sz w:val="20"/>
          <w:lang w:eastAsia="en-GB"/>
        </w:rPr>
        <w:t>No additional operational expenditure foreseen. In any case, eventual expenditure will be incured within the LIFE envelope.</w:t>
      </w:r>
    </w:p>
    <w:p w:rsidR="004755EE" w:rsidRDefault="004755EE" w:rsidP="004755EE">
      <w:pPr>
        <w:tabs>
          <w:tab w:val="num" w:pos="1134"/>
        </w:tabs>
        <w:ind w:left="1134" w:hanging="283"/>
        <w:rPr>
          <w:rFonts w:eastAsia="Calibri"/>
          <w:noProof/>
          <w:lang w:eastAsia="en-GB"/>
        </w:rPr>
      </w:pPr>
      <w:r>
        <w:rPr>
          <w:rFonts w:ascii="Wingdings" w:eastAsia="Wingdings" w:hAnsi="Wingdings" w:cs="Wingdings"/>
          <w:noProof/>
          <w:lang w:eastAsia="en-GB"/>
        </w:rPr>
        <w:t></w:t>
      </w:r>
      <w:r>
        <w:rPr>
          <w:rFonts w:eastAsia="Calibri"/>
          <w:noProof/>
          <w:lang w:eastAsia="en-GB"/>
        </w:rPr>
        <w:tab/>
        <w:t>requires use of the unallocated margin under the relevant heading of the MFF and/or use of the special instruments as defined in the MFF Regulation.</w:t>
      </w:r>
    </w:p>
    <w:p w:rsidR="004755EE" w:rsidRDefault="004755EE" w:rsidP="004755EE">
      <w:pPr>
        <w:tabs>
          <w:tab w:val="num" w:pos="1134"/>
        </w:tabs>
        <w:ind w:left="1134" w:hanging="283"/>
        <w:rPr>
          <w:rFonts w:eastAsia="Calibri"/>
          <w:noProof/>
          <w:lang w:eastAsia="en-GB"/>
        </w:rPr>
      </w:pPr>
      <w:r>
        <w:rPr>
          <w:rFonts w:ascii="Wingdings" w:eastAsia="Wingdings" w:hAnsi="Wingdings" w:cs="Wingdings"/>
          <w:noProof/>
          <w:lang w:eastAsia="en-GB"/>
        </w:rPr>
        <w:t></w:t>
      </w:r>
      <w:r>
        <w:rPr>
          <w:rFonts w:eastAsia="Calibri"/>
          <w:noProof/>
          <w:lang w:eastAsia="en-GB"/>
        </w:rPr>
        <w:tab/>
        <w:t>requires a revision of the MFF.</w:t>
      </w:r>
    </w:p>
    <w:p w:rsidR="004755EE" w:rsidRDefault="00B16E99" w:rsidP="004755EE">
      <w:pPr>
        <w:pStyle w:val="ManualHeading3"/>
        <w:rPr>
          <w:noProof/>
          <w:szCs w:val="24"/>
          <w:lang w:eastAsia="en-GB"/>
        </w:rPr>
      </w:pPr>
      <w:bookmarkStart w:id="69" w:name="_Toc514938058"/>
      <w:bookmarkStart w:id="70" w:name="_Toc520485056"/>
      <w:r>
        <w:rPr>
          <w:noProof/>
        </w:rPr>
        <w:t>3.2.5</w:t>
      </w:r>
      <w:r w:rsidR="004755EE">
        <w:rPr>
          <w:noProof/>
        </w:rPr>
        <w:t>.</w:t>
      </w:r>
      <w:r w:rsidR="004755EE">
        <w:rPr>
          <w:noProof/>
        </w:rPr>
        <w:tab/>
      </w:r>
      <w:r w:rsidR="004755EE">
        <w:rPr>
          <w:noProof/>
          <w:lang w:eastAsia="en-GB"/>
        </w:rPr>
        <w:t>Third-party contributions</w:t>
      </w:r>
      <w:bookmarkEnd w:id="69"/>
      <w:bookmarkEnd w:id="70"/>
      <w:r w:rsidR="004755EE">
        <w:rPr>
          <w:noProof/>
          <w:lang w:eastAsia="en-GB"/>
        </w:rPr>
        <w:t xml:space="preserve"> </w:t>
      </w:r>
    </w:p>
    <w:p w:rsidR="004755EE" w:rsidRDefault="004755EE" w:rsidP="004755EE">
      <w:pPr>
        <w:tabs>
          <w:tab w:val="num" w:pos="850"/>
        </w:tabs>
        <w:ind w:left="850" w:hanging="850"/>
        <w:rPr>
          <w:rFonts w:eastAsia="Calibri"/>
          <w:noProof/>
          <w:lang w:eastAsia="en-GB"/>
        </w:rPr>
      </w:pPr>
      <w:r>
        <w:rPr>
          <w:rFonts w:eastAsia="Calibri"/>
          <w:noProof/>
          <w:lang w:eastAsia="en-GB"/>
        </w:rPr>
        <w:t>The proposal/initiative:</w:t>
      </w:r>
    </w:p>
    <w:p w:rsidR="004755EE" w:rsidRDefault="004755EE" w:rsidP="004755EE">
      <w:pPr>
        <w:tabs>
          <w:tab w:val="num" w:pos="1134"/>
        </w:tabs>
        <w:ind w:left="1134" w:hanging="283"/>
        <w:rPr>
          <w:rFonts w:eastAsia="Calibri"/>
          <w:noProof/>
          <w:lang w:eastAsia="en-GB"/>
        </w:rPr>
      </w:pPr>
      <w:r>
        <w:rPr>
          <w:rFonts w:ascii="Wingdings" w:eastAsia="Wingdings" w:hAnsi="Wingdings" w:cs="Wingdings"/>
          <w:noProof/>
          <w:lang w:eastAsia="en-GB"/>
        </w:rPr>
        <w:t></w:t>
      </w:r>
      <w:r>
        <w:rPr>
          <w:rFonts w:eastAsia="Calibri"/>
          <w:noProof/>
          <w:lang w:eastAsia="en-GB"/>
        </w:rPr>
        <w:tab/>
        <w:t>does not provide for co-financing by third parties</w:t>
      </w:r>
    </w:p>
    <w:p w:rsidR="004755EE" w:rsidRPr="0024031D" w:rsidRDefault="004755EE" w:rsidP="004755EE">
      <w:pPr>
        <w:tabs>
          <w:tab w:val="num" w:pos="1134"/>
        </w:tabs>
        <w:ind w:left="1134" w:hanging="283"/>
        <w:rPr>
          <w:rFonts w:eastAsia="Calibri"/>
          <w:noProof/>
          <w:lang w:eastAsia="en-GB"/>
        </w:rPr>
      </w:pPr>
      <w:r>
        <w:rPr>
          <w:rFonts w:ascii="Wingdings" w:eastAsia="Wingdings" w:hAnsi="Wingdings" w:cs="Wingdings"/>
          <w:noProof/>
          <w:lang w:eastAsia="en-GB"/>
        </w:rPr>
        <w:t></w:t>
      </w:r>
      <w:r>
        <w:rPr>
          <w:rFonts w:eastAsia="Calibri"/>
          <w:noProof/>
          <w:lang w:eastAsia="en-GB"/>
        </w:rPr>
        <w:tab/>
        <w:t>provides for the co-financing by third parties estimated below:</w:t>
      </w:r>
    </w:p>
    <w:p w:rsidR="004755EE" w:rsidRDefault="004755EE" w:rsidP="004755EE">
      <w:pPr>
        <w:jc w:val="right"/>
        <w:rPr>
          <w:rFonts w:eastAsia="Calibri"/>
          <w:noProof/>
          <w:sz w:val="20"/>
          <w:lang w:eastAsia="en-GB"/>
        </w:rPr>
      </w:pPr>
    </w:p>
    <w:p w:rsidR="004755EE" w:rsidRDefault="004755EE" w:rsidP="004755EE">
      <w:pPr>
        <w:jc w:val="right"/>
        <w:rPr>
          <w:rFonts w:eastAsia="Calibri"/>
          <w:noProof/>
          <w:sz w:val="20"/>
          <w:lang w:eastAsia="en-GB"/>
        </w:rPr>
      </w:pPr>
      <w:r>
        <w:rPr>
          <w:rFonts w:eastAsia="Calibri"/>
          <w:noProof/>
          <w:sz w:val="20"/>
          <w:lang w:eastAsia="en-GB"/>
        </w:rPr>
        <w:t>Appropriations in EUR million (to three decimal places)</w:t>
      </w:r>
    </w:p>
    <w:tbl>
      <w:tblPr>
        <w:tblW w:w="831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1158"/>
      </w:tblGrid>
      <w:tr w:rsidR="004755EE" w:rsidTr="00E863E4">
        <w:trPr>
          <w:cantSplit/>
        </w:trPr>
        <w:tc>
          <w:tcPr>
            <w:tcW w:w="2340" w:type="dxa"/>
          </w:tcPr>
          <w:p w:rsidR="004755EE" w:rsidRDefault="004755EE" w:rsidP="00E863E4">
            <w:pPr>
              <w:spacing w:before="60" w:after="60"/>
              <w:rPr>
                <w:rFonts w:eastAsia="Calibri"/>
                <w:noProof/>
                <w:sz w:val="20"/>
                <w:lang w:eastAsia="en-GB"/>
              </w:rPr>
            </w:pPr>
          </w:p>
        </w:tc>
        <w:tc>
          <w:tcPr>
            <w:tcW w:w="964" w:type="dxa"/>
            <w:vAlign w:val="center"/>
          </w:tcPr>
          <w:p w:rsidR="004755EE" w:rsidRDefault="004755EE" w:rsidP="00E863E4">
            <w:pPr>
              <w:jc w:val="center"/>
              <w:rPr>
                <w:rFonts w:eastAsia="Calibri"/>
                <w:noProof/>
                <w:sz w:val="20"/>
                <w:lang w:eastAsia="en-GB"/>
              </w:rPr>
            </w:pPr>
            <w:r>
              <w:rPr>
                <w:rFonts w:eastAsia="Calibri"/>
                <w:noProof/>
                <w:sz w:val="20"/>
                <w:lang w:eastAsia="en-GB"/>
              </w:rPr>
              <w:t>2023</w:t>
            </w:r>
          </w:p>
        </w:tc>
        <w:tc>
          <w:tcPr>
            <w:tcW w:w="964" w:type="dxa"/>
            <w:vAlign w:val="center"/>
          </w:tcPr>
          <w:p w:rsidR="004755EE" w:rsidRDefault="004755EE" w:rsidP="00E863E4">
            <w:pPr>
              <w:jc w:val="center"/>
              <w:rPr>
                <w:rFonts w:eastAsia="Calibri"/>
                <w:noProof/>
                <w:sz w:val="20"/>
                <w:lang w:eastAsia="en-GB"/>
              </w:rPr>
            </w:pPr>
            <w:r>
              <w:rPr>
                <w:rFonts w:eastAsia="Calibri"/>
                <w:noProof/>
                <w:sz w:val="20"/>
                <w:lang w:eastAsia="en-GB"/>
              </w:rPr>
              <w:t>2024</w:t>
            </w:r>
          </w:p>
        </w:tc>
        <w:tc>
          <w:tcPr>
            <w:tcW w:w="964" w:type="dxa"/>
            <w:vAlign w:val="center"/>
          </w:tcPr>
          <w:p w:rsidR="004755EE" w:rsidRDefault="004755EE" w:rsidP="00E863E4">
            <w:pPr>
              <w:jc w:val="center"/>
              <w:rPr>
                <w:rFonts w:eastAsia="Calibri"/>
                <w:noProof/>
                <w:sz w:val="20"/>
                <w:lang w:eastAsia="en-GB"/>
              </w:rPr>
            </w:pPr>
            <w:r>
              <w:rPr>
                <w:rFonts w:eastAsia="Calibri"/>
                <w:noProof/>
                <w:sz w:val="20"/>
                <w:lang w:eastAsia="en-GB"/>
              </w:rPr>
              <w:t>2025</w:t>
            </w:r>
          </w:p>
        </w:tc>
        <w:tc>
          <w:tcPr>
            <w:tcW w:w="964" w:type="dxa"/>
            <w:vAlign w:val="center"/>
          </w:tcPr>
          <w:p w:rsidR="004755EE" w:rsidRDefault="004755EE" w:rsidP="00E863E4">
            <w:pPr>
              <w:jc w:val="center"/>
              <w:rPr>
                <w:rFonts w:eastAsia="Calibri"/>
                <w:noProof/>
                <w:sz w:val="20"/>
                <w:lang w:eastAsia="en-GB"/>
              </w:rPr>
            </w:pPr>
            <w:r>
              <w:rPr>
                <w:rFonts w:eastAsia="Calibri"/>
                <w:noProof/>
                <w:sz w:val="20"/>
                <w:lang w:eastAsia="en-GB"/>
              </w:rPr>
              <w:t>2026</w:t>
            </w:r>
          </w:p>
        </w:tc>
        <w:tc>
          <w:tcPr>
            <w:tcW w:w="964" w:type="dxa"/>
            <w:vAlign w:val="center"/>
          </w:tcPr>
          <w:p w:rsidR="004755EE" w:rsidRDefault="004755EE" w:rsidP="00E863E4">
            <w:pPr>
              <w:jc w:val="center"/>
              <w:rPr>
                <w:rFonts w:eastAsia="Calibri"/>
                <w:b/>
                <w:noProof/>
                <w:sz w:val="20"/>
                <w:lang w:eastAsia="en-GB"/>
              </w:rPr>
            </w:pPr>
            <w:r>
              <w:rPr>
                <w:rFonts w:eastAsia="Calibri"/>
                <w:noProof/>
                <w:sz w:val="20"/>
                <w:lang w:eastAsia="en-GB"/>
              </w:rPr>
              <w:t>2027</w:t>
            </w:r>
          </w:p>
        </w:tc>
        <w:tc>
          <w:tcPr>
            <w:tcW w:w="1158" w:type="dxa"/>
            <w:vAlign w:val="center"/>
          </w:tcPr>
          <w:p w:rsidR="004755EE" w:rsidRDefault="004755EE" w:rsidP="00E863E4">
            <w:pPr>
              <w:spacing w:before="60" w:after="60"/>
              <w:jc w:val="center"/>
              <w:rPr>
                <w:rFonts w:eastAsia="Calibri"/>
                <w:noProof/>
                <w:sz w:val="20"/>
                <w:lang w:eastAsia="en-GB"/>
              </w:rPr>
            </w:pPr>
            <w:r>
              <w:rPr>
                <w:rFonts w:eastAsia="Calibri"/>
                <w:noProof/>
                <w:sz w:val="20"/>
                <w:lang w:eastAsia="en-GB"/>
              </w:rPr>
              <w:t>Total</w:t>
            </w:r>
          </w:p>
        </w:tc>
      </w:tr>
      <w:tr w:rsidR="004755EE" w:rsidTr="00E863E4">
        <w:trPr>
          <w:cantSplit/>
        </w:trPr>
        <w:tc>
          <w:tcPr>
            <w:tcW w:w="2340" w:type="dxa"/>
          </w:tcPr>
          <w:p w:rsidR="004755EE" w:rsidRDefault="004755EE" w:rsidP="00E863E4">
            <w:pPr>
              <w:rPr>
                <w:rFonts w:eastAsia="Calibri"/>
                <w:noProof/>
                <w:lang w:eastAsia="en-GB"/>
              </w:rPr>
            </w:pPr>
            <w:r>
              <w:rPr>
                <w:rFonts w:eastAsia="Calibri"/>
                <w:noProof/>
                <w:sz w:val="20"/>
                <w:lang w:eastAsia="en-GB"/>
              </w:rPr>
              <w:t>Specify the co-financing body</w:t>
            </w:r>
            <w:r>
              <w:rPr>
                <w:rFonts w:eastAsia="Calibri"/>
                <w:i/>
                <w:noProof/>
                <w:sz w:val="20"/>
                <w:lang w:eastAsia="en-GB"/>
              </w:rPr>
              <w:t xml:space="preserve"> </w:t>
            </w: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1158" w:type="dxa"/>
            <w:vAlign w:val="center"/>
          </w:tcPr>
          <w:p w:rsidR="004755EE" w:rsidRDefault="004755EE" w:rsidP="00E863E4">
            <w:pPr>
              <w:spacing w:before="60" w:after="60"/>
              <w:jc w:val="center"/>
              <w:rPr>
                <w:rFonts w:eastAsia="Calibri"/>
                <w:noProof/>
                <w:sz w:val="20"/>
                <w:lang w:eastAsia="en-GB"/>
              </w:rPr>
            </w:pPr>
          </w:p>
        </w:tc>
      </w:tr>
      <w:tr w:rsidR="004755EE" w:rsidTr="00E863E4">
        <w:trPr>
          <w:cantSplit/>
        </w:trPr>
        <w:tc>
          <w:tcPr>
            <w:tcW w:w="2340" w:type="dxa"/>
          </w:tcPr>
          <w:p w:rsidR="004755EE" w:rsidRDefault="004755EE" w:rsidP="00E863E4">
            <w:pPr>
              <w:spacing w:before="60" w:after="60"/>
              <w:jc w:val="left"/>
              <w:rPr>
                <w:rFonts w:eastAsia="Calibri"/>
                <w:noProof/>
                <w:sz w:val="20"/>
                <w:lang w:eastAsia="en-GB"/>
              </w:rPr>
            </w:pPr>
            <w:r>
              <w:rPr>
                <w:rFonts w:eastAsia="Calibri"/>
                <w:noProof/>
                <w:sz w:val="20"/>
                <w:lang w:eastAsia="en-GB"/>
              </w:rPr>
              <w:t xml:space="preserve">TOTAL appropriations co-financed </w:t>
            </w: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964" w:type="dxa"/>
            <w:vAlign w:val="center"/>
          </w:tcPr>
          <w:p w:rsidR="004755EE" w:rsidRDefault="004755EE" w:rsidP="00E863E4">
            <w:pPr>
              <w:spacing w:before="60" w:after="60"/>
              <w:jc w:val="center"/>
              <w:rPr>
                <w:rFonts w:eastAsia="Calibri"/>
                <w:noProof/>
                <w:sz w:val="20"/>
                <w:lang w:eastAsia="en-GB"/>
              </w:rPr>
            </w:pPr>
          </w:p>
        </w:tc>
        <w:tc>
          <w:tcPr>
            <w:tcW w:w="1158" w:type="dxa"/>
            <w:vAlign w:val="center"/>
          </w:tcPr>
          <w:p w:rsidR="004755EE" w:rsidRDefault="004755EE" w:rsidP="00E863E4">
            <w:pPr>
              <w:spacing w:before="60" w:after="60"/>
              <w:jc w:val="center"/>
              <w:rPr>
                <w:rFonts w:eastAsia="Calibri"/>
                <w:noProof/>
                <w:sz w:val="20"/>
                <w:lang w:eastAsia="en-GB"/>
              </w:rPr>
            </w:pPr>
          </w:p>
        </w:tc>
      </w:tr>
    </w:tbl>
    <w:p w:rsidR="004755EE" w:rsidRDefault="004755EE" w:rsidP="004755EE">
      <w:pPr>
        <w:rPr>
          <w:rFonts w:eastAsia="Calibri"/>
          <w:noProof/>
          <w:lang w:eastAsia="en-GB"/>
        </w:rPr>
      </w:pPr>
    </w:p>
    <w:p w:rsidR="004755EE" w:rsidRDefault="004755EE" w:rsidP="004755EE">
      <w:pPr>
        <w:pStyle w:val="ManualHeading2"/>
        <w:rPr>
          <w:noProof/>
          <w:szCs w:val="24"/>
          <w:lang w:eastAsia="en-GB"/>
        </w:rPr>
      </w:pPr>
      <w:bookmarkStart w:id="71" w:name="_Toc514938059"/>
      <w:bookmarkStart w:id="72" w:name="_Toc520485057"/>
      <w:r>
        <w:rPr>
          <w:noProof/>
        </w:rPr>
        <w:t>3.3.</w:t>
      </w:r>
      <w:r>
        <w:rPr>
          <w:noProof/>
        </w:rPr>
        <w:tab/>
      </w:r>
      <w:r>
        <w:rPr>
          <w:noProof/>
          <w:lang w:eastAsia="en-GB"/>
        </w:rPr>
        <w:t xml:space="preserve">Estimated impact on revenue </w:t>
      </w:r>
    </w:p>
    <w:p w:rsidR="004755EE" w:rsidRDefault="004755EE" w:rsidP="004755EE">
      <w:pPr>
        <w:tabs>
          <w:tab w:val="num" w:pos="1134"/>
        </w:tabs>
        <w:ind w:left="1134" w:hanging="283"/>
        <w:rPr>
          <w:rFonts w:eastAsia="Calibri"/>
          <w:noProof/>
          <w:lang w:eastAsia="en-GB"/>
        </w:rPr>
      </w:pPr>
      <w:r>
        <w:rPr>
          <w:rFonts w:ascii="Wingdings" w:eastAsia="Wingdings" w:hAnsi="Wingdings" w:cs="Wingdings"/>
          <w:noProof/>
          <w:lang w:eastAsia="en-GB"/>
        </w:rPr>
        <w:t></w:t>
      </w:r>
      <w:r>
        <w:rPr>
          <w:rFonts w:eastAsia="Calibri"/>
          <w:noProof/>
          <w:lang w:eastAsia="en-GB"/>
        </w:rPr>
        <w:tab/>
        <w:t>The proposal/initiative has no financial impact on revenue.</w:t>
      </w:r>
    </w:p>
    <w:p w:rsidR="004755EE" w:rsidRDefault="004755EE" w:rsidP="004755EE">
      <w:pPr>
        <w:tabs>
          <w:tab w:val="num" w:pos="1134"/>
        </w:tabs>
        <w:ind w:left="1134" w:hanging="283"/>
        <w:rPr>
          <w:rFonts w:eastAsia="Calibri"/>
          <w:noProof/>
          <w:lang w:eastAsia="en-GB"/>
        </w:rPr>
      </w:pPr>
      <w:r>
        <w:rPr>
          <w:rFonts w:ascii="Wingdings" w:eastAsia="Wingdings" w:hAnsi="Wingdings" w:cs="Wingdings"/>
          <w:noProof/>
          <w:lang w:eastAsia="en-GB"/>
        </w:rPr>
        <w:t></w:t>
      </w:r>
      <w:r>
        <w:rPr>
          <w:rFonts w:eastAsia="Calibri"/>
          <w:noProof/>
          <w:lang w:eastAsia="en-GB"/>
        </w:rPr>
        <w:tab/>
      </w:r>
      <w:r>
        <w:rPr>
          <w:rFonts w:eastAsia="Calibri"/>
          <w:noProof/>
          <w:lang w:eastAsia="en-GB"/>
        </w:rPr>
        <w:tab/>
        <w:t>The proposal/initiative has the following financial impact:</w:t>
      </w:r>
    </w:p>
    <w:p w:rsidR="004755EE" w:rsidRDefault="004755EE" w:rsidP="004755EE">
      <w:pPr>
        <w:numPr>
          <w:ilvl w:val="2"/>
          <w:numId w:val="0"/>
        </w:numPr>
        <w:tabs>
          <w:tab w:val="num" w:pos="1843"/>
        </w:tabs>
        <w:ind w:left="2126" w:hanging="709"/>
        <w:rPr>
          <w:rFonts w:eastAsia="Calibri"/>
          <w:noProof/>
          <w:lang w:eastAsia="en-GB"/>
        </w:rPr>
      </w:pPr>
      <w:r>
        <w:rPr>
          <w:rFonts w:ascii="Wingdings" w:eastAsia="Wingdings" w:hAnsi="Wingdings" w:cs="Wingdings"/>
          <w:noProof/>
          <w:lang w:eastAsia="en-GB"/>
        </w:rPr>
        <w:t></w:t>
      </w:r>
      <w:r>
        <w:rPr>
          <w:rFonts w:eastAsia="Calibri"/>
          <w:noProof/>
          <w:lang w:eastAsia="en-GB"/>
        </w:rPr>
        <w:tab/>
        <w:t xml:space="preserve">on own resources </w:t>
      </w:r>
    </w:p>
    <w:p w:rsidR="004755EE" w:rsidRDefault="004755EE" w:rsidP="004755EE">
      <w:pPr>
        <w:numPr>
          <w:ilvl w:val="2"/>
          <w:numId w:val="0"/>
        </w:numPr>
        <w:tabs>
          <w:tab w:val="num" w:pos="1843"/>
        </w:tabs>
        <w:ind w:left="2126" w:hanging="709"/>
        <w:rPr>
          <w:rFonts w:eastAsia="Calibri"/>
          <w:noProof/>
          <w:lang w:eastAsia="en-GB"/>
        </w:rPr>
      </w:pPr>
      <w:r>
        <w:rPr>
          <w:rFonts w:ascii="Wingdings" w:eastAsia="Wingdings" w:hAnsi="Wingdings" w:cs="Wingdings"/>
          <w:noProof/>
          <w:lang w:eastAsia="en-GB"/>
        </w:rPr>
        <w:t></w:t>
      </w:r>
      <w:r>
        <w:rPr>
          <w:rFonts w:eastAsia="Calibri"/>
          <w:noProof/>
          <w:lang w:eastAsia="en-GB"/>
        </w:rPr>
        <w:tab/>
        <w:t>on other revenue</w:t>
      </w:r>
    </w:p>
    <w:p w:rsidR="004755EE" w:rsidRDefault="004755EE" w:rsidP="004755EE">
      <w:pPr>
        <w:numPr>
          <w:ilvl w:val="2"/>
          <w:numId w:val="0"/>
        </w:numPr>
        <w:tabs>
          <w:tab w:val="num" w:pos="2126"/>
        </w:tabs>
        <w:ind w:left="2126" w:hanging="709"/>
        <w:rPr>
          <w:rFonts w:eastAsia="Calibri"/>
          <w:noProof/>
          <w:lang w:eastAsia="en-GB"/>
        </w:rPr>
      </w:pPr>
      <w:r>
        <w:rPr>
          <w:rFonts w:eastAsia="Calibri"/>
          <w:noProof/>
          <w:lang w:eastAsia="en-GB"/>
        </w:rPr>
        <w:t xml:space="preserve">please indicate, if the revenue is assigned to expenditure lines </w:t>
      </w:r>
      <w:r>
        <w:rPr>
          <w:rFonts w:ascii="Wingdings" w:eastAsia="Wingdings" w:hAnsi="Wingdings" w:cs="Wingdings"/>
          <w:noProof/>
          <w:lang w:eastAsia="en-GB"/>
        </w:rPr>
        <w:t></w:t>
      </w:r>
      <w:r>
        <w:rPr>
          <w:rFonts w:eastAsia="Calibri"/>
          <w:noProof/>
          <w:lang w:eastAsia="en-GB"/>
        </w:rPr>
        <w:tab/>
      </w:r>
    </w:p>
    <w:p w:rsidR="004755EE" w:rsidRDefault="004755EE" w:rsidP="004755EE">
      <w:pPr>
        <w:numPr>
          <w:ilvl w:val="2"/>
          <w:numId w:val="0"/>
        </w:numPr>
        <w:tabs>
          <w:tab w:val="num" w:pos="2126"/>
        </w:tabs>
        <w:ind w:left="2126" w:hanging="709"/>
        <w:rPr>
          <w:rFonts w:eastAsia="Calibri"/>
          <w:i/>
          <w:noProof/>
          <w:sz w:val="20"/>
          <w:szCs w:val="20"/>
          <w:lang w:eastAsia="en-GB"/>
        </w:rPr>
      </w:pPr>
      <w:r>
        <w:rPr>
          <w:rFonts w:eastAsia="Calibri"/>
          <w:noProof/>
          <w:lang w:eastAsia="en-GB"/>
        </w:rPr>
        <w:tab/>
      </w:r>
      <w:r>
        <w:rPr>
          <w:rFonts w:eastAsia="Calibri"/>
          <w:noProof/>
          <w:lang w:eastAsia="en-GB"/>
        </w:rPr>
        <w:tab/>
      </w:r>
      <w:r>
        <w:rPr>
          <w:rFonts w:eastAsia="Calibri"/>
          <w:noProof/>
          <w:lang w:eastAsia="en-GB"/>
        </w:rPr>
        <w:tab/>
      </w:r>
      <w:r>
        <w:rPr>
          <w:rFonts w:eastAsia="Calibri"/>
          <w:noProof/>
          <w:lang w:eastAsia="en-GB"/>
        </w:rPr>
        <w:tab/>
      </w:r>
      <w:r>
        <w:rPr>
          <w:rFonts w:eastAsia="Calibri"/>
          <w:noProof/>
          <w:lang w:eastAsia="en-GB"/>
        </w:rPr>
        <w:tab/>
      </w:r>
      <w:r>
        <w:rPr>
          <w:rFonts w:eastAsia="Calibri"/>
          <w:noProof/>
          <w:lang w:eastAsia="en-GB"/>
        </w:rPr>
        <w:tab/>
        <w:t xml:space="preserve"> </w:t>
      </w:r>
      <w:r>
        <w:rPr>
          <w:rFonts w:eastAsia="Calibri"/>
          <w:noProof/>
          <w:sz w:val="20"/>
          <w:szCs w:val="20"/>
          <w:lang w:eastAsia="en-GB"/>
        </w:rPr>
        <w:t>EUR million (to three decimal places)</w:t>
      </w:r>
    </w:p>
    <w:tbl>
      <w:tblPr>
        <w:tblW w:w="89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551"/>
        <w:gridCol w:w="51"/>
      </w:tblGrid>
      <w:tr w:rsidR="004755EE" w:rsidTr="00E863E4">
        <w:trPr>
          <w:trHeight w:val="388"/>
        </w:trPr>
        <w:tc>
          <w:tcPr>
            <w:tcW w:w="2144" w:type="dxa"/>
            <w:vMerge w:val="restart"/>
            <w:vAlign w:val="center"/>
          </w:tcPr>
          <w:p w:rsidR="004755EE" w:rsidRDefault="004755EE" w:rsidP="00E863E4">
            <w:pPr>
              <w:spacing w:before="40" w:after="40"/>
              <w:rPr>
                <w:rFonts w:eastAsia="Calibri"/>
                <w:noProof/>
                <w:sz w:val="18"/>
                <w:lang w:eastAsia="en-GB"/>
              </w:rPr>
            </w:pPr>
            <w:r>
              <w:rPr>
                <w:rFonts w:eastAsia="Calibri"/>
                <w:noProof/>
                <w:sz w:val="18"/>
                <w:lang w:eastAsia="en-GB"/>
              </w:rPr>
              <w:t>Budget revenue line:</w:t>
            </w:r>
          </w:p>
        </w:tc>
        <w:tc>
          <w:tcPr>
            <w:tcW w:w="1325" w:type="dxa"/>
            <w:vMerge w:val="restart"/>
            <w:vAlign w:val="center"/>
          </w:tcPr>
          <w:p w:rsidR="004755EE" w:rsidRDefault="004755EE" w:rsidP="00E863E4">
            <w:pPr>
              <w:jc w:val="center"/>
              <w:rPr>
                <w:rFonts w:eastAsia="Calibri"/>
                <w:noProof/>
                <w:sz w:val="18"/>
                <w:lang w:eastAsia="en-GB"/>
              </w:rPr>
            </w:pPr>
            <w:r>
              <w:rPr>
                <w:rFonts w:eastAsia="Calibri"/>
                <w:noProof/>
                <w:sz w:val="18"/>
                <w:lang w:eastAsia="en-GB"/>
              </w:rPr>
              <w:t>Appropriations available for the current financial year</w:t>
            </w:r>
          </w:p>
        </w:tc>
        <w:tc>
          <w:tcPr>
            <w:tcW w:w="5513" w:type="dxa"/>
            <w:gridSpan w:val="6"/>
            <w:vAlign w:val="center"/>
          </w:tcPr>
          <w:p w:rsidR="004755EE" w:rsidRDefault="004755EE" w:rsidP="00E863E4">
            <w:pPr>
              <w:jc w:val="center"/>
              <w:rPr>
                <w:rFonts w:eastAsia="Calibri"/>
                <w:noProof/>
                <w:sz w:val="18"/>
                <w:lang w:eastAsia="en-GB"/>
              </w:rPr>
            </w:pPr>
            <w:r>
              <w:rPr>
                <w:rFonts w:eastAsia="Calibri"/>
                <w:noProof/>
                <w:sz w:val="18"/>
                <w:lang w:eastAsia="en-GB"/>
              </w:rPr>
              <w:t>Impact of the proposal/initiative</w:t>
            </w:r>
            <w:r w:rsidRPr="00C9020F">
              <w:rPr>
                <w:rStyle w:val="FootnoteReference"/>
                <w:noProof/>
              </w:rPr>
              <w:footnoteReference w:id="37"/>
            </w:r>
          </w:p>
        </w:tc>
      </w:tr>
      <w:tr w:rsidR="004755EE" w:rsidTr="00E863E4">
        <w:trPr>
          <w:trHeight w:val="388"/>
        </w:trPr>
        <w:tc>
          <w:tcPr>
            <w:tcW w:w="2144" w:type="dxa"/>
            <w:vMerge/>
          </w:tcPr>
          <w:p w:rsidR="004755EE" w:rsidRDefault="004755EE" w:rsidP="00E863E4">
            <w:pPr>
              <w:spacing w:before="40" w:after="40"/>
              <w:rPr>
                <w:rFonts w:eastAsia="Calibri"/>
                <w:noProof/>
                <w:sz w:val="18"/>
                <w:lang w:eastAsia="en-GB"/>
              </w:rPr>
            </w:pPr>
          </w:p>
        </w:tc>
        <w:tc>
          <w:tcPr>
            <w:tcW w:w="1325" w:type="dxa"/>
            <w:vMerge/>
          </w:tcPr>
          <w:p w:rsidR="004755EE" w:rsidRDefault="004755EE" w:rsidP="00E863E4">
            <w:pPr>
              <w:spacing w:beforeLines="40" w:before="96" w:afterLines="40" w:after="96"/>
              <w:rPr>
                <w:rFonts w:eastAsia="Calibri"/>
                <w:i/>
                <w:noProof/>
                <w:sz w:val="18"/>
                <w:lang w:eastAsia="en-GB"/>
              </w:rPr>
            </w:pPr>
          </w:p>
        </w:tc>
        <w:tc>
          <w:tcPr>
            <w:tcW w:w="1031" w:type="dxa"/>
            <w:vAlign w:val="center"/>
          </w:tcPr>
          <w:p w:rsidR="004755EE" w:rsidRDefault="004755EE" w:rsidP="00E863E4">
            <w:pPr>
              <w:jc w:val="center"/>
              <w:rPr>
                <w:rFonts w:eastAsia="Calibri"/>
                <w:noProof/>
                <w:sz w:val="18"/>
                <w:lang w:eastAsia="en-GB"/>
              </w:rPr>
            </w:pPr>
            <w:r>
              <w:rPr>
                <w:rFonts w:eastAsia="Calibri"/>
                <w:noProof/>
                <w:sz w:val="18"/>
                <w:lang w:eastAsia="en-GB"/>
              </w:rPr>
              <w:t>2023</w:t>
            </w:r>
          </w:p>
        </w:tc>
        <w:tc>
          <w:tcPr>
            <w:tcW w:w="900" w:type="dxa"/>
            <w:vAlign w:val="center"/>
          </w:tcPr>
          <w:p w:rsidR="004755EE" w:rsidRDefault="004755EE" w:rsidP="00E863E4">
            <w:pPr>
              <w:jc w:val="center"/>
              <w:rPr>
                <w:rFonts w:eastAsia="Calibri"/>
                <w:noProof/>
                <w:sz w:val="18"/>
                <w:lang w:eastAsia="en-GB"/>
              </w:rPr>
            </w:pPr>
            <w:r>
              <w:rPr>
                <w:rFonts w:eastAsia="Calibri"/>
                <w:noProof/>
                <w:sz w:val="18"/>
                <w:lang w:eastAsia="en-GB"/>
              </w:rPr>
              <w:t>2024</w:t>
            </w:r>
          </w:p>
        </w:tc>
        <w:tc>
          <w:tcPr>
            <w:tcW w:w="900" w:type="dxa"/>
            <w:vAlign w:val="center"/>
          </w:tcPr>
          <w:p w:rsidR="004755EE" w:rsidRDefault="004755EE" w:rsidP="00E863E4">
            <w:pPr>
              <w:jc w:val="center"/>
              <w:rPr>
                <w:rFonts w:eastAsia="Calibri"/>
                <w:noProof/>
                <w:sz w:val="18"/>
                <w:lang w:eastAsia="en-GB"/>
              </w:rPr>
            </w:pPr>
            <w:r>
              <w:rPr>
                <w:rFonts w:eastAsia="Calibri"/>
                <w:noProof/>
                <w:sz w:val="18"/>
                <w:lang w:eastAsia="en-GB"/>
              </w:rPr>
              <w:t>2025</w:t>
            </w:r>
          </w:p>
        </w:tc>
        <w:tc>
          <w:tcPr>
            <w:tcW w:w="1080" w:type="dxa"/>
            <w:vAlign w:val="center"/>
          </w:tcPr>
          <w:p w:rsidR="004755EE" w:rsidRDefault="004755EE" w:rsidP="00E863E4">
            <w:pPr>
              <w:jc w:val="center"/>
              <w:rPr>
                <w:rFonts w:eastAsia="Calibri"/>
                <w:noProof/>
                <w:sz w:val="18"/>
                <w:lang w:eastAsia="en-GB"/>
              </w:rPr>
            </w:pPr>
            <w:r>
              <w:rPr>
                <w:rFonts w:eastAsia="Calibri"/>
                <w:noProof/>
                <w:sz w:val="18"/>
                <w:lang w:eastAsia="en-GB"/>
              </w:rPr>
              <w:t>2026</w:t>
            </w:r>
          </w:p>
        </w:tc>
        <w:tc>
          <w:tcPr>
            <w:tcW w:w="1602" w:type="dxa"/>
            <w:gridSpan w:val="2"/>
            <w:vAlign w:val="center"/>
          </w:tcPr>
          <w:p w:rsidR="004755EE" w:rsidRDefault="004755EE" w:rsidP="00E863E4">
            <w:pPr>
              <w:jc w:val="center"/>
              <w:rPr>
                <w:rFonts w:eastAsia="Calibri"/>
                <w:b/>
                <w:noProof/>
                <w:sz w:val="18"/>
                <w:lang w:eastAsia="en-GB"/>
              </w:rPr>
            </w:pPr>
            <w:r>
              <w:rPr>
                <w:rFonts w:eastAsia="Calibri"/>
                <w:noProof/>
                <w:sz w:val="18"/>
                <w:lang w:eastAsia="en-GB"/>
              </w:rPr>
              <w:t>2027</w:t>
            </w:r>
          </w:p>
        </w:tc>
      </w:tr>
      <w:tr w:rsidR="004755EE" w:rsidTr="00E863E4">
        <w:trPr>
          <w:gridAfter w:val="1"/>
          <w:wAfter w:w="51" w:type="dxa"/>
          <w:trHeight w:val="388"/>
        </w:trPr>
        <w:tc>
          <w:tcPr>
            <w:tcW w:w="2144" w:type="dxa"/>
            <w:vAlign w:val="center"/>
          </w:tcPr>
          <w:p w:rsidR="004755EE" w:rsidRDefault="004755EE" w:rsidP="00E863E4">
            <w:pPr>
              <w:spacing w:before="40" w:after="40"/>
              <w:rPr>
                <w:rFonts w:eastAsia="Calibri"/>
                <w:noProof/>
                <w:sz w:val="18"/>
                <w:lang w:eastAsia="en-GB"/>
              </w:rPr>
            </w:pPr>
            <w:r>
              <w:rPr>
                <w:rFonts w:eastAsia="Calibri"/>
                <w:noProof/>
                <w:sz w:val="18"/>
                <w:lang w:eastAsia="en-GB"/>
              </w:rPr>
              <w:t>Article 4 2 9</w:t>
            </w:r>
          </w:p>
        </w:tc>
        <w:tc>
          <w:tcPr>
            <w:tcW w:w="1325" w:type="dxa"/>
          </w:tcPr>
          <w:p w:rsidR="004755EE" w:rsidRDefault="004755EE" w:rsidP="00E863E4">
            <w:pPr>
              <w:spacing w:beforeLines="40" w:before="96" w:afterLines="40" w:after="96"/>
              <w:jc w:val="center"/>
              <w:rPr>
                <w:rFonts w:eastAsia="Calibri"/>
                <w:i/>
                <w:noProof/>
                <w:sz w:val="18"/>
                <w:lang w:eastAsia="en-GB"/>
              </w:rPr>
            </w:pPr>
          </w:p>
        </w:tc>
        <w:tc>
          <w:tcPr>
            <w:tcW w:w="1031" w:type="dxa"/>
          </w:tcPr>
          <w:p w:rsidR="004755EE" w:rsidRDefault="004755EE" w:rsidP="00E863E4">
            <w:pPr>
              <w:spacing w:beforeLines="40" w:before="96" w:afterLines="40" w:after="96"/>
              <w:jc w:val="center"/>
              <w:rPr>
                <w:rFonts w:eastAsia="Calibri"/>
                <w:noProof/>
                <w:sz w:val="18"/>
                <w:lang w:eastAsia="en-GB"/>
              </w:rPr>
            </w:pPr>
          </w:p>
        </w:tc>
        <w:tc>
          <w:tcPr>
            <w:tcW w:w="900" w:type="dxa"/>
          </w:tcPr>
          <w:p w:rsidR="004755EE" w:rsidRDefault="004755EE" w:rsidP="00E863E4">
            <w:pPr>
              <w:spacing w:beforeLines="40" w:before="96" w:afterLines="40" w:after="96"/>
              <w:jc w:val="center"/>
              <w:rPr>
                <w:rFonts w:eastAsia="Calibri"/>
                <w:noProof/>
                <w:sz w:val="18"/>
                <w:lang w:eastAsia="en-GB"/>
              </w:rPr>
            </w:pPr>
          </w:p>
        </w:tc>
        <w:tc>
          <w:tcPr>
            <w:tcW w:w="900" w:type="dxa"/>
          </w:tcPr>
          <w:p w:rsidR="004755EE" w:rsidRDefault="004755EE" w:rsidP="00E863E4">
            <w:pPr>
              <w:spacing w:beforeLines="40" w:before="96" w:afterLines="40" w:after="96"/>
              <w:jc w:val="center"/>
              <w:rPr>
                <w:rFonts w:eastAsia="Calibri"/>
                <w:noProof/>
                <w:sz w:val="18"/>
                <w:lang w:eastAsia="en-GB"/>
              </w:rPr>
            </w:pPr>
          </w:p>
        </w:tc>
        <w:tc>
          <w:tcPr>
            <w:tcW w:w="1080" w:type="dxa"/>
          </w:tcPr>
          <w:p w:rsidR="004755EE" w:rsidRDefault="004755EE" w:rsidP="00E863E4">
            <w:pPr>
              <w:spacing w:beforeLines="40" w:before="96" w:afterLines="40" w:after="96"/>
              <w:jc w:val="center"/>
              <w:rPr>
                <w:rFonts w:eastAsia="Calibri"/>
                <w:noProof/>
                <w:sz w:val="18"/>
                <w:lang w:eastAsia="en-GB"/>
              </w:rPr>
            </w:pPr>
          </w:p>
        </w:tc>
        <w:tc>
          <w:tcPr>
            <w:tcW w:w="1551" w:type="dxa"/>
          </w:tcPr>
          <w:p w:rsidR="004755EE" w:rsidRDefault="004755EE" w:rsidP="00E863E4">
            <w:pPr>
              <w:spacing w:beforeLines="40" w:before="96" w:afterLines="40" w:after="96"/>
              <w:jc w:val="center"/>
              <w:rPr>
                <w:rFonts w:eastAsia="Calibri"/>
                <w:noProof/>
                <w:sz w:val="18"/>
                <w:lang w:eastAsia="en-GB"/>
              </w:rPr>
            </w:pPr>
          </w:p>
        </w:tc>
      </w:tr>
    </w:tbl>
    <w:p w:rsidR="004755EE" w:rsidRDefault="004755EE" w:rsidP="004755EE">
      <w:pPr>
        <w:ind w:left="360"/>
        <w:rPr>
          <w:rFonts w:eastAsia="Calibri"/>
          <w:noProof/>
          <w:sz w:val="20"/>
          <w:lang w:eastAsia="en-GB"/>
        </w:rPr>
      </w:pPr>
      <w:r>
        <w:rPr>
          <w:rFonts w:eastAsia="Calibri"/>
          <w:noProof/>
          <w:sz w:val="20"/>
          <w:lang w:eastAsia="en-GB"/>
        </w:rPr>
        <w:t>For assigned revenue, specify the budget expenditure line(s) affected.</w:t>
      </w:r>
    </w:p>
    <w:p w:rsidR="004755EE" w:rsidRDefault="004755EE" w:rsidP="004755EE">
      <w:pPr>
        <w:pBdr>
          <w:top w:val="single" w:sz="4" w:space="1" w:color="auto"/>
          <w:left w:val="single" w:sz="4" w:space="4" w:color="auto"/>
          <w:bottom w:val="single" w:sz="4" w:space="1" w:color="auto"/>
          <w:right w:val="single" w:sz="4" w:space="4" w:color="auto"/>
        </w:pBdr>
        <w:ind w:left="360"/>
        <w:rPr>
          <w:rFonts w:eastAsia="Calibri"/>
          <w:noProof/>
          <w:lang w:eastAsia="en-GB"/>
        </w:rPr>
      </w:pPr>
      <w:r>
        <w:rPr>
          <w:rFonts w:eastAsia="Calibri"/>
          <w:noProof/>
          <w:lang w:eastAsia="en-GB"/>
        </w:rPr>
        <w:t>n/a</w:t>
      </w:r>
    </w:p>
    <w:p w:rsidR="004755EE" w:rsidRDefault="004755EE" w:rsidP="004755EE">
      <w:pPr>
        <w:ind w:left="360"/>
        <w:rPr>
          <w:rFonts w:eastAsia="Calibri"/>
          <w:noProof/>
          <w:sz w:val="20"/>
          <w:lang w:eastAsia="en-GB"/>
        </w:rPr>
      </w:pPr>
      <w:r>
        <w:rPr>
          <w:rFonts w:eastAsia="Calibri"/>
          <w:noProof/>
          <w:sz w:val="20"/>
          <w:lang w:eastAsia="en-GB"/>
        </w:rPr>
        <w:t>Other remarks (e.g. method/formula used for calculating the impact on revenue or any other information).</w:t>
      </w:r>
    </w:p>
    <w:p w:rsidR="00571BD5" w:rsidRDefault="00B33803" w:rsidP="00E05BE1">
      <w:pPr>
        <w:pBdr>
          <w:top w:val="single" w:sz="4" w:space="1" w:color="auto"/>
          <w:left w:val="single" w:sz="4" w:space="4" w:color="auto"/>
          <w:bottom w:val="single" w:sz="4" w:space="1" w:color="auto"/>
          <w:right w:val="single" w:sz="4" w:space="4" w:color="auto"/>
        </w:pBdr>
        <w:ind w:left="360"/>
        <w:rPr>
          <w:noProof/>
        </w:rPr>
      </w:pPr>
      <w:r>
        <w:rPr>
          <w:noProof/>
        </w:rPr>
        <w:t>R</w:t>
      </w:r>
      <w:r w:rsidR="004755EE" w:rsidRPr="00C211B8">
        <w:rPr>
          <w:noProof/>
        </w:rPr>
        <w:t xml:space="preserve">evenues </w:t>
      </w:r>
      <w:r>
        <w:rPr>
          <w:noProof/>
        </w:rPr>
        <w:t>might</w:t>
      </w:r>
      <w:r w:rsidR="004755EE" w:rsidRPr="00C211B8">
        <w:rPr>
          <w:noProof/>
        </w:rPr>
        <w:t xml:space="preserve"> be generated through the Excess CO</w:t>
      </w:r>
      <w:r w:rsidR="004755EE" w:rsidRPr="00C211B8">
        <w:rPr>
          <w:noProof/>
          <w:vertAlign w:val="subscript"/>
        </w:rPr>
        <w:t>2</w:t>
      </w:r>
      <w:r w:rsidR="004755EE" w:rsidRPr="00C211B8">
        <w:rPr>
          <w:noProof/>
        </w:rPr>
        <w:t xml:space="preserve"> Emission Premiums. </w:t>
      </w:r>
      <w:r w:rsidR="004755EE" w:rsidRPr="00C211B8">
        <w:rPr>
          <w:rFonts w:eastAsia="Calibri"/>
          <w:noProof/>
          <w:lang w:eastAsia="en-GB"/>
        </w:rPr>
        <w:t xml:space="preserve">Revenues payable by manufacturers will continue to be considered as revenue for the EU general budget. </w:t>
      </w:r>
      <w:bookmarkEnd w:id="71"/>
      <w:bookmarkEnd w:id="72"/>
    </w:p>
    <w:sectPr w:rsidR="00571BD5" w:rsidSect="00F221E9">
      <w:headerReference w:type="default" r:id="rId27"/>
      <w:footerReference w:type="default" r:id="rId28"/>
      <w:headerReference w:type="first" r:id="rId29"/>
      <w:footerReference w:type="first" r:id="rId3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A7" w:rsidRDefault="002011A7" w:rsidP="00571BD5">
      <w:pPr>
        <w:spacing w:before="0" w:after="0"/>
      </w:pPr>
      <w:r>
        <w:separator/>
      </w:r>
    </w:p>
  </w:endnote>
  <w:endnote w:type="continuationSeparator" w:id="0">
    <w:p w:rsidR="002011A7" w:rsidRDefault="002011A7" w:rsidP="00571BD5">
      <w:pPr>
        <w:spacing w:before="0" w:after="0"/>
      </w:pPr>
      <w:r>
        <w:continuationSeparator/>
      </w:r>
    </w:p>
  </w:endnote>
  <w:endnote w:type="continuationNotice" w:id="1">
    <w:p w:rsidR="002011A7" w:rsidRDefault="002011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1A7" w:rsidRPr="00F221E9" w:rsidRDefault="00F221E9" w:rsidP="00F221E9">
    <w:pPr>
      <w:pStyle w:val="Footer"/>
      <w:rPr>
        <w:rFonts w:ascii="Arial" w:hAnsi="Arial" w:cs="Arial"/>
        <w:b/>
        <w:sz w:val="48"/>
      </w:rPr>
    </w:pPr>
    <w:r w:rsidRPr="00F221E9">
      <w:rPr>
        <w:rFonts w:ascii="Arial" w:hAnsi="Arial" w:cs="Arial"/>
        <w:b/>
        <w:sz w:val="48"/>
      </w:rPr>
      <w:t>EN</w:t>
    </w:r>
    <w:r w:rsidRPr="00F221E9">
      <w:rPr>
        <w:rFonts w:ascii="Arial" w:hAnsi="Arial" w:cs="Arial"/>
        <w:b/>
        <w:sz w:val="48"/>
      </w:rPr>
      <w:tab/>
    </w:r>
    <w:r w:rsidRPr="00F221E9">
      <w:rPr>
        <w:rFonts w:ascii="Arial" w:hAnsi="Arial" w:cs="Arial"/>
        <w:b/>
        <w:sz w:val="48"/>
      </w:rPr>
      <w:tab/>
    </w:r>
    <w:r w:rsidRPr="00F221E9">
      <w:tab/>
    </w:r>
    <w:r w:rsidRPr="00F221E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Footer"/>
      <w:rPr>
        <w:rFonts w:ascii="Arial" w:hAnsi="Arial" w:cs="Arial"/>
        <w:b/>
        <w:sz w:val="48"/>
      </w:rPr>
    </w:pPr>
    <w:r w:rsidRPr="00F221E9">
      <w:rPr>
        <w:rFonts w:ascii="Arial" w:hAnsi="Arial" w:cs="Arial"/>
        <w:b/>
        <w:sz w:val="48"/>
      </w:rPr>
      <w:t>EN</w:t>
    </w:r>
    <w:r w:rsidRPr="00F221E9">
      <w:rPr>
        <w:rFonts w:ascii="Arial" w:hAnsi="Arial" w:cs="Arial"/>
        <w:b/>
        <w:sz w:val="48"/>
      </w:rPr>
      <w:tab/>
    </w:r>
    <w:r>
      <w:fldChar w:fldCharType="begin"/>
    </w:r>
    <w:r>
      <w:instrText xml:space="preserve"> PAGE  \* MERGEFORMAT </w:instrText>
    </w:r>
    <w:r>
      <w:fldChar w:fldCharType="separate"/>
    </w:r>
    <w:r w:rsidR="00685D53">
      <w:rPr>
        <w:noProof/>
      </w:rPr>
      <w:t>5</w:t>
    </w:r>
    <w:r>
      <w:fldChar w:fldCharType="end"/>
    </w:r>
    <w:r>
      <w:tab/>
    </w:r>
    <w:r w:rsidRPr="00F221E9">
      <w:tab/>
    </w:r>
    <w:r w:rsidRPr="00F221E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2E" w:rsidRPr="00F221E9" w:rsidRDefault="00F221E9" w:rsidP="00F221E9">
    <w:pPr>
      <w:pStyle w:val="FooterLandscape"/>
      <w:rPr>
        <w:rFonts w:ascii="Arial" w:hAnsi="Arial" w:cs="Arial"/>
        <w:b/>
        <w:sz w:val="48"/>
      </w:rPr>
    </w:pPr>
    <w:r w:rsidRPr="00F221E9">
      <w:rPr>
        <w:rFonts w:ascii="Arial" w:hAnsi="Arial" w:cs="Arial"/>
        <w:b/>
        <w:sz w:val="48"/>
      </w:rPr>
      <w:t>EN</w:t>
    </w:r>
    <w:r w:rsidRPr="00F221E9">
      <w:rPr>
        <w:rFonts w:ascii="Arial" w:hAnsi="Arial" w:cs="Arial"/>
        <w:b/>
        <w:sz w:val="48"/>
      </w:rPr>
      <w:tab/>
    </w:r>
    <w:r>
      <w:fldChar w:fldCharType="begin"/>
    </w:r>
    <w:r>
      <w:instrText xml:space="preserve"> PAGE  \* MERGEFORMAT </w:instrText>
    </w:r>
    <w:r>
      <w:fldChar w:fldCharType="separate"/>
    </w:r>
    <w:r>
      <w:rPr>
        <w:noProof/>
      </w:rPr>
      <w:t>45</w:t>
    </w:r>
    <w:r>
      <w:fldChar w:fldCharType="end"/>
    </w:r>
    <w:r>
      <w:tab/>
    </w:r>
    <w:r w:rsidRPr="00F221E9">
      <w:tab/>
    </w:r>
    <w:r w:rsidRPr="00F221E9">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Footer"/>
      <w:rPr>
        <w:rFonts w:ascii="Arial" w:hAnsi="Arial" w:cs="Arial"/>
        <w:b/>
        <w:sz w:val="48"/>
      </w:rPr>
    </w:pPr>
    <w:r w:rsidRPr="00F221E9">
      <w:rPr>
        <w:rFonts w:ascii="Arial" w:hAnsi="Arial" w:cs="Arial"/>
        <w:b/>
        <w:sz w:val="48"/>
      </w:rPr>
      <w:t>EN</w:t>
    </w:r>
    <w:r w:rsidRPr="00F221E9">
      <w:rPr>
        <w:rFonts w:ascii="Arial" w:hAnsi="Arial" w:cs="Arial"/>
        <w:b/>
        <w:sz w:val="48"/>
      </w:rPr>
      <w:tab/>
    </w:r>
    <w:r>
      <w:fldChar w:fldCharType="begin"/>
    </w:r>
    <w:r>
      <w:instrText xml:space="preserve"> PAGE  \* MERGEFORMAT </w:instrText>
    </w:r>
    <w:r>
      <w:fldChar w:fldCharType="separate"/>
    </w:r>
    <w:r>
      <w:rPr>
        <w:noProof/>
      </w:rPr>
      <w:t>45</w:t>
    </w:r>
    <w:r>
      <w:fldChar w:fldCharType="end"/>
    </w:r>
    <w:r>
      <w:tab/>
    </w:r>
    <w:r w:rsidRPr="00F221E9">
      <w:tab/>
    </w:r>
    <w:r w:rsidRPr="00F221E9">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A7" w:rsidRDefault="002011A7" w:rsidP="00571BD5">
      <w:pPr>
        <w:spacing w:before="0" w:after="0"/>
      </w:pPr>
      <w:r>
        <w:separator/>
      </w:r>
    </w:p>
  </w:footnote>
  <w:footnote w:type="continuationSeparator" w:id="0">
    <w:p w:rsidR="002011A7" w:rsidRDefault="002011A7" w:rsidP="00571BD5">
      <w:pPr>
        <w:spacing w:before="0" w:after="0"/>
      </w:pPr>
      <w:r>
        <w:continuationSeparator/>
      </w:r>
    </w:p>
  </w:footnote>
  <w:footnote w:type="continuationNotice" w:id="1">
    <w:p w:rsidR="002011A7" w:rsidRDefault="002011A7">
      <w:pPr>
        <w:spacing w:before="0" w:after="0"/>
      </w:pPr>
    </w:p>
  </w:footnote>
  <w:footnote w:id="2">
    <w:p w:rsidR="002011A7" w:rsidRDefault="002011A7" w:rsidP="008F2B7C">
      <w:pPr>
        <w:pStyle w:val="FootnoteText"/>
        <w:rPr>
          <w:lang w:val="en-IE"/>
        </w:rPr>
      </w:pPr>
      <w:r w:rsidRPr="00EC499C">
        <w:rPr>
          <w:rStyle w:val="FootnoteReference"/>
        </w:rPr>
        <w:footnoteRef/>
      </w:r>
      <w:r>
        <w:tab/>
        <w:t>COM(2021) 400 final</w:t>
      </w:r>
    </w:p>
  </w:footnote>
  <w:footnote w:id="3">
    <w:p w:rsidR="002011A7" w:rsidRDefault="002011A7" w:rsidP="008F2B7C">
      <w:pPr>
        <w:pStyle w:val="FootnoteText"/>
      </w:pPr>
      <w:r w:rsidRPr="00EC499C">
        <w:rPr>
          <w:rStyle w:val="FootnoteReference"/>
        </w:rPr>
        <w:footnoteRef/>
      </w:r>
      <w:r>
        <w:tab/>
        <w:t>COM(2022) 542 final</w:t>
      </w:r>
    </w:p>
  </w:footnote>
  <w:footnote w:id="4">
    <w:p w:rsidR="002011A7" w:rsidRDefault="002011A7" w:rsidP="001C7855">
      <w:pPr>
        <w:pStyle w:val="FootnoteText"/>
        <w:rPr>
          <w:lang w:val="en-IE"/>
        </w:rPr>
      </w:pPr>
      <w:r w:rsidRPr="00C9020F">
        <w:rPr>
          <w:rStyle w:val="FootnoteReference"/>
        </w:rPr>
        <w:footnoteRef/>
      </w:r>
      <w:r>
        <w:tab/>
      </w:r>
      <w:r>
        <w:rPr>
          <w:lang w:val="en-IE"/>
        </w:rPr>
        <w:t>COM(2020) 350 final</w:t>
      </w:r>
    </w:p>
  </w:footnote>
  <w:footnote w:id="5">
    <w:p w:rsidR="00524A44" w:rsidRPr="00EB45AE" w:rsidRDefault="00524A44">
      <w:pPr>
        <w:pStyle w:val="FootnoteText"/>
        <w:rPr>
          <w:lang w:val="en-IE"/>
        </w:rPr>
      </w:pPr>
      <w:r w:rsidRPr="00F221E9">
        <w:rPr>
          <w:rStyle w:val="FootnoteReference"/>
        </w:rPr>
        <w:footnoteRef/>
      </w:r>
      <w:r w:rsidR="00F221E9">
        <w:tab/>
      </w:r>
      <w:r w:rsidRPr="00EB45AE">
        <w:rPr>
          <w:lang w:val="en-IE"/>
        </w:rPr>
        <w:t>COM(2023) 62 final</w:t>
      </w:r>
    </w:p>
  </w:footnote>
  <w:footnote w:id="6">
    <w:p w:rsidR="002011A7" w:rsidRDefault="002011A7" w:rsidP="001C7855">
      <w:pPr>
        <w:pStyle w:val="FootnoteText"/>
      </w:pPr>
      <w:r w:rsidRPr="00C9020F">
        <w:rPr>
          <w:rStyle w:val="FootnoteReference"/>
        </w:rPr>
        <w:footnoteRef/>
      </w:r>
      <w:r>
        <w:tab/>
        <w:t>OJ C 326, 26.10.2012, p. 391.</w:t>
      </w:r>
    </w:p>
  </w:footnote>
  <w:footnote w:id="7">
    <w:p w:rsidR="002011A7" w:rsidRDefault="002011A7" w:rsidP="001C7855">
      <w:pPr>
        <w:pStyle w:val="FootnoteText"/>
        <w:rPr>
          <w:lang w:val="en-IE"/>
        </w:rPr>
      </w:pPr>
      <w:r w:rsidRPr="00C9020F">
        <w:rPr>
          <w:rStyle w:val="FootnoteReference"/>
        </w:rPr>
        <w:footnoteRef/>
      </w:r>
      <w:r>
        <w:tab/>
        <w:t>Directive 2007/46/EC of the European Parliament and of the Council of 5 September 2007 establishing a framework for the approval of motor vehicles and their trailers, and of systems, components and separate technical units intended for such vehicles</w:t>
      </w:r>
    </w:p>
  </w:footnote>
  <w:footnote w:id="8">
    <w:p w:rsidR="002011A7" w:rsidRDefault="002011A7" w:rsidP="001C7855">
      <w:pPr>
        <w:pStyle w:val="FootnoteText"/>
        <w:rPr>
          <w:lang w:val="en-IE"/>
        </w:rPr>
      </w:pPr>
      <w:r w:rsidRPr="00C9020F">
        <w:rPr>
          <w:rStyle w:val="FootnoteReference"/>
        </w:rPr>
        <w:footnoteRef/>
      </w:r>
      <w:r>
        <w:tab/>
        <w:t>Regulation (EU) 2018/858 of 30 May 2018 on the approval and market surveillance of motor vehicles and their trailers, and of systems, components and separate technical units intended for such vehicles, amending Regulations (EC) No 715/2007 and (EC) No 595/2009 and repealing Directive 2007/46/EC</w:t>
      </w:r>
    </w:p>
  </w:footnote>
  <w:footnote w:id="9">
    <w:p w:rsidR="002011A7" w:rsidRPr="00B55DF0" w:rsidRDefault="002011A7" w:rsidP="006537B0">
      <w:pPr>
        <w:pStyle w:val="FootnoteText"/>
        <w:rPr>
          <w:lang w:val="en-IE"/>
        </w:rPr>
      </w:pPr>
      <w:r w:rsidRPr="00C9020F">
        <w:rPr>
          <w:rStyle w:val="FootnoteReference"/>
        </w:rPr>
        <w:footnoteRef/>
      </w:r>
      <w:r>
        <w:tab/>
      </w:r>
      <w:r w:rsidRPr="00B55DF0">
        <w:rPr>
          <w:lang w:val="en-IE"/>
        </w:rPr>
        <w:t>OJ C […], […], p. […].</w:t>
      </w:r>
    </w:p>
  </w:footnote>
  <w:footnote w:id="10">
    <w:p w:rsidR="002011A7" w:rsidRPr="00B55DF0" w:rsidRDefault="002011A7" w:rsidP="006537B0">
      <w:pPr>
        <w:pStyle w:val="FootnoteText"/>
        <w:rPr>
          <w:lang w:val="en-IE"/>
        </w:rPr>
      </w:pPr>
      <w:r w:rsidRPr="00C9020F">
        <w:rPr>
          <w:rStyle w:val="FootnoteReference"/>
        </w:rPr>
        <w:footnoteRef/>
      </w:r>
      <w:r w:rsidRPr="00B55DF0">
        <w:rPr>
          <w:lang w:val="en-IE"/>
        </w:rPr>
        <w:tab/>
        <w:t>OJ C […], […], p. […].</w:t>
      </w:r>
    </w:p>
  </w:footnote>
  <w:footnote w:id="11">
    <w:p w:rsidR="002011A7" w:rsidRDefault="002011A7" w:rsidP="0034744A">
      <w:pPr>
        <w:pStyle w:val="FootnoteText"/>
        <w:rPr>
          <w:lang w:val="en-IE"/>
        </w:rPr>
      </w:pPr>
      <w:r w:rsidRPr="00C9020F">
        <w:rPr>
          <w:rStyle w:val="FootnoteReference"/>
        </w:rPr>
        <w:footnoteRef/>
      </w:r>
      <w:r w:rsidRPr="002F29B2">
        <w:rPr>
          <w:lang w:val="en-IE"/>
        </w:rPr>
        <w:tab/>
      </w:r>
      <w:r w:rsidRPr="008E5D2E">
        <w:rPr>
          <w:lang w:val="en-IE"/>
        </w:rPr>
        <w:t>Commission Communication of 11 December 2019</w:t>
      </w:r>
      <w:r>
        <w:rPr>
          <w:lang w:val="en-IE"/>
        </w:rPr>
        <w:t xml:space="preserve"> on</w:t>
      </w:r>
      <w:r w:rsidRPr="008E5D2E">
        <w:rPr>
          <w:lang w:val="en-IE"/>
        </w:rPr>
        <w:t xml:space="preserve"> </w:t>
      </w:r>
      <w:r>
        <w:rPr>
          <w:lang w:val="en-IE"/>
        </w:rPr>
        <w:t>t</w:t>
      </w:r>
      <w:r w:rsidRPr="008E5D2E">
        <w:rPr>
          <w:lang w:val="en-IE"/>
        </w:rPr>
        <w:t>he European Green Deal, COM(2019) 640 final.</w:t>
      </w:r>
    </w:p>
  </w:footnote>
  <w:footnote w:id="12">
    <w:p w:rsidR="002011A7" w:rsidRPr="00E41C8E" w:rsidRDefault="002011A7">
      <w:pPr>
        <w:pStyle w:val="FootnoteText"/>
        <w:rPr>
          <w:lang w:val="en-IE"/>
        </w:rPr>
      </w:pPr>
      <w:r w:rsidRPr="00EC499C">
        <w:rPr>
          <w:rStyle w:val="FootnoteReference"/>
        </w:rPr>
        <w:footnoteRef/>
      </w:r>
      <w:r>
        <w:tab/>
      </w:r>
      <w:r w:rsidRPr="00E41C8E">
        <w:rPr>
          <w:lang w:val="en-IE"/>
        </w:rPr>
        <w:t>Regulation (EU) 2021/1119 of the European Parliament and of the Council of 30 June 2021 establishing the framework for achieving climate neutrality and amending Regulations (EC) No 401/2009 and (EU) 2018/1999 (‘European Climate Law’)</w:t>
      </w:r>
      <w:r>
        <w:rPr>
          <w:lang w:val="en-IE"/>
        </w:rPr>
        <w:t xml:space="preserve"> (</w:t>
      </w:r>
      <w:r w:rsidRPr="00BF2928">
        <w:rPr>
          <w:lang w:val="en-IE"/>
        </w:rPr>
        <w:t>OJ L 243, 9.7.2021, p. 1</w:t>
      </w:r>
      <w:r>
        <w:rPr>
          <w:lang w:val="en-IE"/>
        </w:rPr>
        <w:t>).</w:t>
      </w:r>
    </w:p>
  </w:footnote>
  <w:footnote w:id="13">
    <w:p w:rsidR="002011A7" w:rsidRDefault="002011A7" w:rsidP="001E6058">
      <w:pPr>
        <w:pStyle w:val="FootnoteText"/>
        <w:rPr>
          <w:lang w:val="en-IE"/>
        </w:rPr>
      </w:pPr>
      <w:r w:rsidRPr="00C9020F">
        <w:rPr>
          <w:rStyle w:val="FootnoteReference"/>
        </w:rPr>
        <w:footnoteRef/>
      </w:r>
      <w:r w:rsidRPr="002F29B2">
        <w:rPr>
          <w:lang w:val="en-IE"/>
        </w:rPr>
        <w:tab/>
      </w:r>
      <w:r w:rsidRPr="008E5D2E">
        <w:rPr>
          <w:lang w:val="en-IE"/>
        </w:rPr>
        <w:t>Regulation (EU) 2019/</w:t>
      </w:r>
      <w:r>
        <w:rPr>
          <w:lang w:val="en-IE"/>
        </w:rPr>
        <w:t>1242</w:t>
      </w:r>
      <w:r w:rsidRPr="008E5D2E">
        <w:rPr>
          <w:lang w:val="en-IE"/>
        </w:rPr>
        <w:t xml:space="preserve"> of the European Parliament and of the Council of </w:t>
      </w:r>
      <w:r>
        <w:rPr>
          <w:lang w:val="en-IE"/>
        </w:rPr>
        <w:t>20 June</w:t>
      </w:r>
      <w:r w:rsidRPr="008E5D2E">
        <w:rPr>
          <w:lang w:val="en-IE"/>
        </w:rPr>
        <w:t xml:space="preserve"> 2019 setting CO2 emission performance standards for new </w:t>
      </w:r>
      <w:r>
        <w:rPr>
          <w:lang w:val="en-IE"/>
        </w:rPr>
        <w:t>heavy-duty</w:t>
      </w:r>
      <w:r w:rsidRPr="008E5D2E">
        <w:rPr>
          <w:lang w:val="en-IE"/>
        </w:rPr>
        <w:t xml:space="preserve"> vehicles and </w:t>
      </w:r>
      <w:r>
        <w:rPr>
          <w:lang w:val="en-IE"/>
        </w:rPr>
        <w:t xml:space="preserve">amending </w:t>
      </w:r>
      <w:r w:rsidRPr="008E5D2E">
        <w:rPr>
          <w:lang w:val="en-IE"/>
        </w:rPr>
        <w:t xml:space="preserve">Regulations (EC) No </w:t>
      </w:r>
      <w:r>
        <w:rPr>
          <w:lang w:val="en-IE"/>
        </w:rPr>
        <w:t xml:space="preserve">595/2009 and (EU) 2018/956 of the European Parliament and of the Council and Council Directive 96/53/EC </w:t>
      </w:r>
      <w:r w:rsidRPr="008E5D2E">
        <w:rPr>
          <w:lang w:val="en-IE"/>
        </w:rPr>
        <w:t>(OJ L 1</w:t>
      </w:r>
      <w:r>
        <w:rPr>
          <w:lang w:val="en-IE"/>
        </w:rPr>
        <w:t>98</w:t>
      </w:r>
      <w:r w:rsidRPr="008E5D2E">
        <w:rPr>
          <w:lang w:val="en-IE"/>
        </w:rPr>
        <w:t>, 25.</w:t>
      </w:r>
      <w:r>
        <w:rPr>
          <w:lang w:val="en-IE"/>
        </w:rPr>
        <w:t>7</w:t>
      </w:r>
      <w:r w:rsidRPr="008E5D2E">
        <w:rPr>
          <w:lang w:val="en-IE"/>
        </w:rPr>
        <w:t xml:space="preserve">.2019, p. </w:t>
      </w:r>
      <w:r>
        <w:rPr>
          <w:lang w:val="en-IE"/>
        </w:rPr>
        <w:t>202</w:t>
      </w:r>
      <w:r w:rsidRPr="008E5D2E">
        <w:rPr>
          <w:lang w:val="en-IE"/>
        </w:rPr>
        <w:t>).</w:t>
      </w:r>
    </w:p>
  </w:footnote>
  <w:footnote w:id="14">
    <w:p w:rsidR="002011A7" w:rsidRPr="00E41C8E" w:rsidRDefault="002011A7">
      <w:pPr>
        <w:pStyle w:val="FootnoteText"/>
        <w:rPr>
          <w:lang w:val="en-IE"/>
        </w:rPr>
      </w:pPr>
      <w:r w:rsidRPr="00EC499C">
        <w:rPr>
          <w:rStyle w:val="FootnoteReference"/>
        </w:rPr>
        <w:footnoteRef/>
      </w:r>
      <w:r>
        <w:tab/>
      </w:r>
      <w:r>
        <w:rPr>
          <w:lang w:val="en-IE"/>
        </w:rPr>
        <w:t>Communication from the Commission to the European Parliament, the European Council, the Council, the European Economic and Social Committee and the Committee of the Regions, REPowerEU Plan, COM(2022)230 final of 18.5.2022.</w:t>
      </w:r>
    </w:p>
  </w:footnote>
  <w:footnote w:id="15">
    <w:p w:rsidR="002011A7" w:rsidRPr="00BF7F07" w:rsidRDefault="002011A7" w:rsidP="0034744A">
      <w:pPr>
        <w:pStyle w:val="FootnoteText"/>
        <w:rPr>
          <w:lang w:val="en-IE"/>
        </w:rPr>
      </w:pPr>
      <w:r w:rsidRPr="00C9020F">
        <w:rPr>
          <w:rStyle w:val="FootnoteReference"/>
        </w:rPr>
        <w:footnoteRef/>
      </w:r>
      <w:r w:rsidRPr="00BF7F07">
        <w:rPr>
          <w:lang w:val="en-IE"/>
        </w:rPr>
        <w:tab/>
        <w:t xml:space="preserve">Commission Communication </w:t>
      </w:r>
      <w:r>
        <w:rPr>
          <w:lang w:val="en-IE"/>
        </w:rPr>
        <w:t>on</w:t>
      </w:r>
      <w:r w:rsidRPr="00BF7F07">
        <w:rPr>
          <w:lang w:val="en-IE"/>
        </w:rPr>
        <w:t xml:space="preserve"> Updating the 2020 New Industrial Strategy: Building a stronger Single Market for Europe’s recovery, COM(2021) 350 final of 5 May 2021</w:t>
      </w:r>
      <w:r>
        <w:rPr>
          <w:lang w:val="en-IE"/>
        </w:rPr>
        <w:t>.</w:t>
      </w:r>
    </w:p>
  </w:footnote>
  <w:footnote w:id="16">
    <w:p w:rsidR="00014BCE" w:rsidRPr="00FF32EE" w:rsidRDefault="00014BCE" w:rsidP="00014BCE">
      <w:pPr>
        <w:pStyle w:val="FootnoteText"/>
        <w:rPr>
          <w:lang w:val="en-IE"/>
        </w:rPr>
      </w:pPr>
      <w:r w:rsidRPr="00F221E9">
        <w:rPr>
          <w:rStyle w:val="FootnoteReference"/>
        </w:rPr>
        <w:footnoteRef/>
      </w:r>
      <w:r w:rsidR="00F221E9">
        <w:tab/>
      </w:r>
      <w:r w:rsidRPr="00FF32EE">
        <w:rPr>
          <w:lang w:val="en-IE"/>
        </w:rPr>
        <w:t>COM(2023) 62 final</w:t>
      </w:r>
    </w:p>
  </w:footnote>
  <w:footnote w:id="17">
    <w:p w:rsidR="002011A7" w:rsidRPr="00E62EDD" w:rsidRDefault="002011A7" w:rsidP="00E62EDD">
      <w:pPr>
        <w:pStyle w:val="FootnoteText"/>
        <w:rPr>
          <w:lang w:val="en-IE"/>
        </w:rPr>
      </w:pPr>
      <w:r w:rsidRPr="00C9020F">
        <w:rPr>
          <w:rStyle w:val="FootnoteReference"/>
        </w:rPr>
        <w:footnoteRef/>
      </w:r>
      <w:r>
        <w:rPr>
          <w:lang w:val="en-IE"/>
        </w:rPr>
        <w:tab/>
      </w:r>
      <w:r w:rsidRPr="00E62EDD">
        <w:rPr>
          <w:lang w:val="en-IE"/>
        </w:rPr>
        <w:t xml:space="preserve">Proposal for a Regulation </w:t>
      </w:r>
      <w:r>
        <w:rPr>
          <w:lang w:val="en-IE"/>
        </w:rPr>
        <w:t>o</w:t>
      </w:r>
      <w:r w:rsidRPr="00E62EDD">
        <w:rPr>
          <w:lang w:val="en-IE"/>
        </w:rPr>
        <w:t xml:space="preserve">f </w:t>
      </w:r>
      <w:r>
        <w:rPr>
          <w:lang w:val="en-IE"/>
        </w:rPr>
        <w:t>t</w:t>
      </w:r>
      <w:r w:rsidRPr="00E62EDD">
        <w:rPr>
          <w:lang w:val="en-IE"/>
        </w:rPr>
        <w:t xml:space="preserve">he European Parliament </w:t>
      </w:r>
      <w:r>
        <w:rPr>
          <w:lang w:val="en-IE"/>
        </w:rPr>
        <w:t>a</w:t>
      </w:r>
      <w:r w:rsidRPr="00E62EDD">
        <w:rPr>
          <w:lang w:val="en-IE"/>
        </w:rPr>
        <w:t xml:space="preserve">nd </w:t>
      </w:r>
      <w:r>
        <w:rPr>
          <w:lang w:val="en-IE"/>
        </w:rPr>
        <w:t>o</w:t>
      </w:r>
      <w:r w:rsidRPr="00E62EDD">
        <w:rPr>
          <w:lang w:val="en-IE"/>
        </w:rPr>
        <w:t xml:space="preserve">f </w:t>
      </w:r>
      <w:r>
        <w:rPr>
          <w:lang w:val="en-IE"/>
        </w:rPr>
        <w:t>t</w:t>
      </w:r>
      <w:r w:rsidRPr="00E62EDD">
        <w:rPr>
          <w:lang w:val="en-IE"/>
        </w:rPr>
        <w:t xml:space="preserve">he Council on the deployment of alternative fuels infrastructure, and repealing Directive 2014/94/EU of the European Parliament and of the </w:t>
      </w:r>
      <w:r>
        <w:rPr>
          <w:lang w:val="en-IE"/>
        </w:rPr>
        <w:t>Council</w:t>
      </w:r>
      <w:r w:rsidRPr="00E62EDD">
        <w:rPr>
          <w:lang w:val="en-IE"/>
        </w:rPr>
        <w:t>, 14.7.2021, COM/2021/559 final.</w:t>
      </w:r>
    </w:p>
  </w:footnote>
  <w:footnote w:id="18">
    <w:p w:rsidR="002011A7" w:rsidRPr="003A2DA8" w:rsidRDefault="002011A7" w:rsidP="00456585">
      <w:pPr>
        <w:pStyle w:val="FootnoteText"/>
      </w:pPr>
      <w:r w:rsidRPr="00C9020F">
        <w:rPr>
          <w:rStyle w:val="FootnoteReference"/>
        </w:rPr>
        <w:footnoteRef/>
      </w:r>
      <w:r>
        <w:tab/>
        <w:t>Regulation (EU) 2018/956 of the European Parliament and of the Council of 28 June 2018 on the monitoring and reporting of CO2 emissions from and fuel consumption of new heavy-duty vehicles (OJ L 173, 9.7.2018, p.1).</w:t>
      </w:r>
    </w:p>
  </w:footnote>
  <w:footnote w:id="19">
    <w:p w:rsidR="002011A7" w:rsidRPr="009A5217" w:rsidRDefault="002011A7" w:rsidP="00346921">
      <w:pPr>
        <w:pStyle w:val="FootnoteText"/>
        <w:rPr>
          <w:lang w:val="en-IE"/>
        </w:rPr>
      </w:pPr>
      <w:r w:rsidRPr="00C9020F">
        <w:rPr>
          <w:rStyle w:val="FootnoteReference"/>
        </w:rPr>
        <w:footnoteRef/>
      </w:r>
      <w:r>
        <w:rPr>
          <w:lang w:val="en-IE"/>
        </w:rPr>
        <w:tab/>
      </w:r>
      <w:r w:rsidRPr="009A5217">
        <w:rPr>
          <w:lang w:val="en-IE"/>
        </w:rPr>
        <w:t xml:space="preserve">Regulation (EU) 2018/858 of the European </w:t>
      </w:r>
      <w:r>
        <w:rPr>
          <w:lang w:val="en-IE"/>
        </w:rPr>
        <w:t>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w:t>
      </w:r>
    </w:p>
  </w:footnote>
  <w:footnote w:id="20">
    <w:p w:rsidR="002011A7" w:rsidRPr="00E41C8E" w:rsidRDefault="002011A7">
      <w:pPr>
        <w:pStyle w:val="FootnoteText"/>
        <w:rPr>
          <w:lang w:val="en-IE"/>
        </w:rPr>
      </w:pPr>
      <w:r w:rsidRPr="00EC499C">
        <w:rPr>
          <w:rStyle w:val="FootnoteReference"/>
        </w:rPr>
        <w:footnoteRef/>
      </w:r>
      <w:r>
        <w:tab/>
      </w:r>
      <w:r w:rsidRPr="008A7717">
        <w:t>Commission Regulation (EU) 2017/2400 of 12 December 2017 implementing Regulation (EC) No 595/2009 of the European Parliament and of the Council as regards the determination of the CO2 emissions and fuel consumption of heavy-duty vehicles and amending Directive 2007/46/EC of the European Parliament and of the Council and Commission Regulation (EU) No 582/2011</w:t>
      </w:r>
      <w:r>
        <w:t xml:space="preserve"> (</w:t>
      </w:r>
      <w:r w:rsidRPr="008A7717">
        <w:t>OJ L 349, 29.12.2017, p. 1</w:t>
      </w:r>
      <w:r>
        <w:t>).</w:t>
      </w:r>
    </w:p>
  </w:footnote>
  <w:footnote w:id="21">
    <w:p w:rsidR="002011A7" w:rsidRPr="008A7717" w:rsidRDefault="002011A7">
      <w:pPr>
        <w:pStyle w:val="FootnoteText"/>
      </w:pPr>
      <w:r w:rsidRPr="00EC499C">
        <w:rPr>
          <w:rStyle w:val="FootnoteReference"/>
        </w:rPr>
        <w:footnoteRef/>
      </w:r>
      <w:r>
        <w:tab/>
      </w:r>
      <w:r w:rsidRPr="008A7717">
        <w:t>Regulation (EU) 2019/631 of the European Parliament and of the Council of 17 April 2019 setting CO2 emission performance standards for new passenger cars and for new light commercial vehicles, and repealing Regulations (EC) No 443/2009 and (EU) No 510/2011</w:t>
      </w:r>
      <w:r>
        <w:t xml:space="preserve"> (</w:t>
      </w:r>
      <w:r w:rsidRPr="008A7717">
        <w:t>OJ L 111, 25.4.2019, p. 13</w:t>
      </w:r>
      <w:r>
        <w:t>).</w:t>
      </w:r>
    </w:p>
  </w:footnote>
  <w:footnote w:id="22">
    <w:p w:rsidR="00BB571E" w:rsidRPr="00BB571E" w:rsidRDefault="00BB571E">
      <w:pPr>
        <w:pStyle w:val="FootnoteText"/>
        <w:rPr>
          <w:lang w:val="en-IE"/>
        </w:rPr>
      </w:pPr>
      <w:r w:rsidRPr="00F221E9">
        <w:rPr>
          <w:rStyle w:val="FootnoteReference"/>
        </w:rPr>
        <w:footnoteRef/>
      </w:r>
      <w:r w:rsidR="00F221E9">
        <w:tab/>
      </w:r>
      <w:r w:rsidRPr="00BB571E">
        <w:rPr>
          <w:lang w:val="en-IE"/>
        </w:rPr>
        <w:t>In line with the d</w:t>
      </w:r>
      <w:r>
        <w:rPr>
          <w:lang w:val="en-IE"/>
        </w:rPr>
        <w:t>efinition in the Social Climate Fund regulation, article 2(2a)</w:t>
      </w:r>
    </w:p>
  </w:footnote>
  <w:footnote w:id="23">
    <w:p w:rsidR="002011A7" w:rsidRPr="00E41C8E" w:rsidRDefault="002011A7">
      <w:pPr>
        <w:pStyle w:val="FootnoteText"/>
        <w:rPr>
          <w:lang w:val="en-IE"/>
        </w:rPr>
      </w:pPr>
      <w:r w:rsidRPr="00EC499C">
        <w:rPr>
          <w:rStyle w:val="FootnoteReference"/>
        </w:rPr>
        <w:footnoteRef/>
      </w:r>
      <w:r>
        <w:tab/>
      </w:r>
      <w:r w:rsidRPr="00E41C8E">
        <w:rPr>
          <w:lang w:val="en-IE"/>
        </w:rPr>
        <w:t>Commission Implementing Regulation (EU) 2022/1362 of 1 August 2022 implementing Regulation (EC) No 595/2009 of the European Parliament and of the Council as regards the performance of heavy-duty trailers with regard to their influence on the CO2 emissions, fuel consumption, energy consumption and zero emission driving range of motor vehicles and amending Implementing Regulation (EU) 2020/683</w:t>
      </w:r>
      <w:r>
        <w:rPr>
          <w:lang w:val="en-IE"/>
        </w:rPr>
        <w:t xml:space="preserve"> (</w:t>
      </w:r>
      <w:r w:rsidRPr="00553EBC">
        <w:rPr>
          <w:lang w:val="en-IE"/>
        </w:rPr>
        <w:t>OJ L 205, 5.8.2022, p. 145</w:t>
      </w:r>
      <w:r>
        <w:rPr>
          <w:lang w:val="en-IE"/>
        </w:rPr>
        <w:t>).</w:t>
      </w:r>
    </w:p>
  </w:footnote>
  <w:footnote w:id="24">
    <w:p w:rsidR="002011A7" w:rsidRPr="00484807" w:rsidRDefault="002011A7">
      <w:pPr>
        <w:pStyle w:val="FootnoteText"/>
        <w:rPr>
          <w:lang w:val="en-IE"/>
        </w:rPr>
      </w:pPr>
      <w:r w:rsidRPr="00EC499C">
        <w:rPr>
          <w:rStyle w:val="FootnoteReference"/>
        </w:rPr>
        <w:footnoteRef/>
      </w:r>
      <w:r>
        <w:rPr>
          <w:lang w:val="en-IE"/>
        </w:rPr>
        <w:tab/>
      </w:r>
      <w:r w:rsidRPr="00484807">
        <w:rPr>
          <w:lang w:val="en-IE"/>
        </w:rPr>
        <w:t>Regulation (EU) 2018/842 of the European Parl</w:t>
      </w:r>
      <w:r>
        <w:rPr>
          <w:lang w:val="en-IE"/>
        </w:rPr>
        <w:t>iament and of the Council of 30 May 2018 on binding annual greenhouse gas emission reductions by Member States from 2021 to 2030 contributing to climate action to meet commitments under the Paris Agreement and amending Regulation (EU) No 525/2013 (OJ L 16, 19.6.2018, p. 26.</w:t>
      </w:r>
    </w:p>
  </w:footnote>
  <w:footnote w:id="25">
    <w:p w:rsidR="002011A7" w:rsidRPr="00E41C8E" w:rsidRDefault="002011A7">
      <w:pPr>
        <w:pStyle w:val="FootnoteText"/>
        <w:rPr>
          <w:lang w:val="en-IE"/>
        </w:rPr>
      </w:pPr>
      <w:r w:rsidRPr="00EC499C">
        <w:rPr>
          <w:rStyle w:val="FootnoteReference"/>
        </w:rPr>
        <w:footnoteRef/>
      </w:r>
      <w:r>
        <w:tab/>
      </w:r>
      <w:r w:rsidRPr="00E41C8E">
        <w:rPr>
          <w:lang w:val="en-IE"/>
        </w:rPr>
        <w:t>OJ L 282, 19.10.2016, p.4.</w:t>
      </w:r>
    </w:p>
  </w:footnote>
  <w:footnote w:id="26">
    <w:p w:rsidR="002011A7" w:rsidRDefault="002011A7" w:rsidP="004755EE">
      <w:pPr>
        <w:pStyle w:val="FootnoteText"/>
        <w:rPr>
          <w:szCs w:val="24"/>
        </w:rPr>
      </w:pPr>
      <w:r w:rsidRPr="00C9020F">
        <w:rPr>
          <w:rStyle w:val="FootnoteReference"/>
        </w:rPr>
        <w:footnoteRef/>
      </w:r>
      <w:r>
        <w:tab/>
        <w:t>As referred to in Article 58(2)(a) or (b) of the Financial Regulation.</w:t>
      </w:r>
    </w:p>
  </w:footnote>
  <w:footnote w:id="27">
    <w:p w:rsidR="002011A7" w:rsidRPr="00215939" w:rsidRDefault="002011A7" w:rsidP="004755EE">
      <w:pPr>
        <w:pStyle w:val="FootnoteText"/>
      </w:pPr>
      <w:r w:rsidRPr="00C9020F">
        <w:rPr>
          <w:rStyle w:val="FootnoteReference"/>
        </w:rPr>
        <w:footnoteRef/>
      </w:r>
      <w:r>
        <w:tab/>
      </w:r>
      <w:hyperlink r:id="rId1" w:history="1">
        <w:r w:rsidRPr="00E03DDA">
          <w:rPr>
            <w:rStyle w:val="Hyperlink"/>
          </w:rPr>
          <w:t>https://ec.europa.eu/info/strategy/eu-budget/long-term-eu-budget/2021-2027/documents_en</w:t>
        </w:r>
      </w:hyperlink>
      <w:r w:rsidRPr="00E03DDA">
        <w:t xml:space="preserve"> </w:t>
      </w:r>
    </w:p>
  </w:footnote>
  <w:footnote w:id="28">
    <w:p w:rsidR="002011A7" w:rsidRDefault="002011A7" w:rsidP="004755EE">
      <w:pPr>
        <w:pStyle w:val="FootnoteText"/>
        <w:ind w:left="0" w:firstLine="0"/>
        <w:jc w:val="left"/>
        <w:rPr>
          <w:szCs w:val="24"/>
        </w:rPr>
      </w:pPr>
      <w:r w:rsidRPr="00C9020F">
        <w:rPr>
          <w:rStyle w:val="FootnoteReference"/>
        </w:rPr>
        <w:footnoteRef/>
      </w:r>
      <w:r>
        <w:tab/>
        <w:t xml:space="preserve">Details of management modes and references to the Financial Regulation may be found on the BudgWeb site: </w:t>
      </w:r>
      <w:hyperlink r:id="rId2" w:history="1">
        <w:r>
          <w:rPr>
            <w:rStyle w:val="Hyperlink"/>
            <w:szCs w:val="24"/>
          </w:rPr>
          <w:t>https://myintracomm.ec.europa.eu/budgweb/EN/man/budgmanag/Pages/budgmanag.aspx</w:t>
        </w:r>
      </w:hyperlink>
      <w:r>
        <w:rPr>
          <w:szCs w:val="24"/>
        </w:rPr>
        <w:t xml:space="preserve"> </w:t>
      </w:r>
    </w:p>
  </w:footnote>
  <w:footnote w:id="29">
    <w:p w:rsidR="002011A7" w:rsidRDefault="002011A7" w:rsidP="004755EE">
      <w:pPr>
        <w:pStyle w:val="FootnoteText"/>
        <w:rPr>
          <w:szCs w:val="24"/>
        </w:rPr>
      </w:pPr>
      <w:r w:rsidRPr="00C9020F">
        <w:rPr>
          <w:rStyle w:val="FootnoteReference"/>
        </w:rPr>
        <w:footnoteRef/>
      </w:r>
      <w:r>
        <w:tab/>
        <w:t>Diff. = Differentiated appropriations / Non-diff. = Non-differentiated appropriations.</w:t>
      </w:r>
    </w:p>
  </w:footnote>
  <w:footnote w:id="30">
    <w:p w:rsidR="002011A7" w:rsidRDefault="002011A7" w:rsidP="004755EE">
      <w:pPr>
        <w:pStyle w:val="FootnoteText"/>
        <w:rPr>
          <w:szCs w:val="24"/>
        </w:rPr>
      </w:pPr>
      <w:r w:rsidRPr="00C9020F">
        <w:rPr>
          <w:rStyle w:val="FootnoteReference"/>
        </w:rPr>
        <w:footnoteRef/>
      </w:r>
      <w:r>
        <w:tab/>
        <w:t xml:space="preserve">EFTA: European Free Trade Association. </w:t>
      </w:r>
    </w:p>
  </w:footnote>
  <w:footnote w:id="31">
    <w:p w:rsidR="002011A7" w:rsidRDefault="002011A7" w:rsidP="004755EE">
      <w:pPr>
        <w:pStyle w:val="FootnoteText"/>
        <w:rPr>
          <w:szCs w:val="24"/>
        </w:rPr>
      </w:pPr>
      <w:r w:rsidRPr="00C9020F">
        <w:rPr>
          <w:rStyle w:val="FootnoteReference"/>
        </w:rPr>
        <w:footnoteRef/>
      </w:r>
      <w:r>
        <w:tab/>
        <w:t>Candidate countries and, where applicable, potential candidates from the Western Balkans.</w:t>
      </w:r>
    </w:p>
  </w:footnote>
  <w:footnote w:id="32">
    <w:p w:rsidR="002011A7" w:rsidRDefault="002011A7" w:rsidP="004755EE">
      <w:pPr>
        <w:pStyle w:val="FootnoteText"/>
        <w:rPr>
          <w:szCs w:val="24"/>
        </w:rPr>
      </w:pPr>
      <w:r w:rsidRPr="00C9020F">
        <w:rPr>
          <w:rStyle w:val="FootnoteReference"/>
        </w:rPr>
        <w:footnoteRef/>
      </w:r>
      <w:r>
        <w:tab/>
        <w:t>Outputs are products and services to be supplied (e.g.: number of student exchanges financed, number of km of roads built, etc.).</w:t>
      </w:r>
    </w:p>
  </w:footnote>
  <w:footnote w:id="33">
    <w:p w:rsidR="002011A7" w:rsidRDefault="002011A7" w:rsidP="004755EE">
      <w:pPr>
        <w:pStyle w:val="FootnoteText"/>
        <w:rPr>
          <w:szCs w:val="24"/>
        </w:rPr>
      </w:pPr>
      <w:r w:rsidRPr="00C9020F">
        <w:rPr>
          <w:rStyle w:val="FootnoteReference"/>
        </w:rPr>
        <w:footnoteRef/>
      </w:r>
      <w:r>
        <w:tab/>
        <w:t xml:space="preserve">As described in point 1.4.2. ‘Specific objective(s)…’ </w:t>
      </w:r>
    </w:p>
  </w:footnote>
  <w:footnote w:id="34">
    <w:p w:rsidR="002011A7" w:rsidRDefault="002011A7" w:rsidP="004755EE">
      <w:pPr>
        <w:pStyle w:val="FootnoteText"/>
        <w:rPr>
          <w:szCs w:val="24"/>
        </w:rPr>
      </w:pPr>
      <w:r w:rsidRPr="00C9020F">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35">
    <w:p w:rsidR="002011A7" w:rsidRDefault="002011A7" w:rsidP="004755EE">
      <w:pPr>
        <w:pStyle w:val="FootnoteText"/>
        <w:rPr>
          <w:szCs w:val="24"/>
        </w:rPr>
      </w:pPr>
      <w:r w:rsidRPr="00C9020F">
        <w:rPr>
          <w:rStyle w:val="FootnoteReference"/>
        </w:rPr>
        <w:footnoteRef/>
      </w:r>
      <w:r>
        <w:tab/>
        <w:t xml:space="preserve">AC= Contract Staff; AL = Local Staff; END= Seconded National Expert; INT = agency staff; JPD= Junior Professionals in Delegations. </w:t>
      </w:r>
    </w:p>
  </w:footnote>
  <w:footnote w:id="36">
    <w:p w:rsidR="002011A7" w:rsidRDefault="002011A7" w:rsidP="004755EE">
      <w:pPr>
        <w:pStyle w:val="FootnoteText"/>
        <w:rPr>
          <w:szCs w:val="24"/>
        </w:rPr>
      </w:pPr>
      <w:r w:rsidRPr="00C9020F">
        <w:rPr>
          <w:rStyle w:val="FootnoteReference"/>
        </w:rPr>
        <w:footnoteRef/>
      </w:r>
      <w:r>
        <w:tab/>
        <w:t>Sub-ceiling for external staff covered by operational appropriations (former ‘BA’ lines).</w:t>
      </w:r>
    </w:p>
  </w:footnote>
  <w:footnote w:id="37">
    <w:p w:rsidR="002011A7" w:rsidRDefault="002011A7" w:rsidP="004755EE">
      <w:pPr>
        <w:pStyle w:val="FootnoteText"/>
        <w:rPr>
          <w:szCs w:val="24"/>
        </w:rPr>
      </w:pPr>
      <w:r w:rsidRPr="00C9020F">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2E" w:rsidRPr="00B71D2E" w:rsidRDefault="00B71D2E" w:rsidP="00F221E9">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B71D2E" w:rsidRDefault="00F221E9" w:rsidP="00F221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E9" w:rsidRPr="00F221E9" w:rsidRDefault="00F221E9" w:rsidP="00F22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A62A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2775D15"/>
    <w:multiLevelType w:val="hybridMultilevel"/>
    <w:tmpl w:val="5A5CF98C"/>
    <w:lvl w:ilvl="0" w:tplc="F476F410">
      <w:start w:val="1"/>
      <w:numFmt w:val="lowerLetter"/>
      <w:pStyle w:val="ListParagraph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21"/>
  </w:num>
  <w:num w:numId="3">
    <w:abstractNumId w:val="8"/>
  </w:num>
  <w:num w:numId="4">
    <w:abstractNumId w:val="17"/>
  </w:num>
  <w:num w:numId="5">
    <w:abstractNumId w:val="16"/>
  </w:num>
  <w:num w:numId="6">
    <w:abstractNumId w:val="28"/>
  </w:num>
  <w:num w:numId="7">
    <w:abstractNumId w:val="25"/>
  </w:num>
  <w:num w:numId="8">
    <w:abstractNumId w:val="29"/>
  </w:num>
  <w:num w:numId="9">
    <w:abstractNumId w:val="30"/>
  </w:num>
  <w:num w:numId="10">
    <w:abstractNumId w:val="2"/>
  </w:num>
  <w:num w:numId="11">
    <w:abstractNumId w:val="10"/>
  </w:num>
  <w:num w:numId="12">
    <w:abstractNumId w:val="3"/>
  </w:num>
  <w:num w:numId="13">
    <w:abstractNumId w:val="11"/>
  </w:num>
  <w:num w:numId="14">
    <w:abstractNumId w:val="9"/>
  </w:num>
  <w:num w:numId="15">
    <w:abstractNumId w:val="19"/>
  </w:num>
  <w:num w:numId="16">
    <w:abstractNumId w:val="18"/>
  </w:num>
  <w:num w:numId="17">
    <w:abstractNumId w:val="0"/>
  </w:num>
  <w:num w:numId="18">
    <w:abstractNumId w:val="22"/>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24"/>
  </w:num>
  <w:num w:numId="22">
    <w:abstractNumId w:val="12"/>
  </w:num>
  <w:num w:numId="23">
    <w:abstractNumId w:val="27"/>
  </w:num>
  <w:num w:numId="24">
    <w:abstractNumId w:val="7"/>
  </w:num>
  <w:num w:numId="25">
    <w:abstractNumId w:val="13"/>
  </w:num>
  <w:num w:numId="26">
    <w:abstractNumId w:val="14"/>
  </w:num>
  <w:num w:numId="27">
    <w:abstractNumId w:val="5"/>
  </w:num>
  <w:num w:numId="28">
    <w:abstractNumId w:val="26"/>
  </w:num>
  <w:num w:numId="29">
    <w:abstractNumId w:val="4"/>
  </w:num>
  <w:num w:numId="30">
    <w:abstractNumId w:val="15"/>
  </w:num>
  <w:num w:numId="31">
    <w:abstractNumId w:val="22"/>
  </w:num>
  <w:num w:numId="32">
    <w:abstractNumId w:val="23"/>
  </w:num>
  <w:num w:numId="33">
    <w:abstractNumId w:val="6"/>
  </w:num>
  <w:num w:numId="34">
    <w:abstractNumId w:val="20"/>
  </w:num>
  <w:num w:numId="35">
    <w:abstractNumId w:val="31"/>
  </w:num>
  <w:num w:numId="36">
    <w:abstractNumId w:val="24"/>
  </w:num>
  <w:num w:numId="37">
    <w:abstractNumId w:val="12"/>
  </w:num>
  <w:num w:numId="38">
    <w:abstractNumId w:val="27"/>
  </w:num>
  <w:num w:numId="39">
    <w:abstractNumId w:val="7"/>
  </w:num>
  <w:num w:numId="40">
    <w:abstractNumId w:val="13"/>
  </w:num>
  <w:num w:numId="41">
    <w:abstractNumId w:val="14"/>
  </w:num>
  <w:num w:numId="42">
    <w:abstractNumId w:val="5"/>
  </w:num>
  <w:num w:numId="43">
    <w:abstractNumId w:val="26"/>
  </w:num>
  <w:num w:numId="44">
    <w:abstractNumId w:val="4"/>
  </w:num>
  <w:num w:numId="45">
    <w:abstractNumId w:val="15"/>
  </w:num>
  <w:num w:numId="46">
    <w:abstractNumId w:val="22"/>
  </w:num>
  <w:num w:numId="47">
    <w:abstractNumId w:val="23"/>
  </w:num>
  <w:num w:numId="48">
    <w:abstractNumId w:val="6"/>
  </w:num>
  <w:num w:numId="49">
    <w:abstractNumId w:val="20"/>
  </w:num>
  <w:num w:numId="50">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removePersonalInformation/>
  <w:removeDateAndTime/>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de-DE" w:vendorID="64" w:dllVersion="6" w:nlCheck="1" w:checkStyle="0"/>
  <w:activeWritingStyle w:appName="MSWord" w:lang="es-ES"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defaultTabStop w:val="720"/>
  <w:hyphenationZone w:val="425"/>
  <w:characterSpacingControl w:val="doNotCompress"/>
  <w:hdrShapeDefaults>
    <o:shapedefaults v:ext="edit" spidmax="400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14 14:43:41"/>
    <w:docVar w:name="DQCNUMB_1" w:val="212"/>
    <w:docVar w:name="DQCNUMB_2" w:val="214"/>
    <w:docVar w:name="DQCNUMB_3" w:val="211"/>
    <w:docVar w:name="DQCNUMB_4" w:val="1026"/>
    <w:docVar w:name="DQCNUMB_5" w:val="1110"/>
    <w:docVar w:name="DQCNUMB_6" w:val="1111"/>
    <w:docVar w:name="DQCNUMB_7" w:val="119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0E9DEB0-D07F-4E52-B052-8E948FF29F39"/>
    <w:docVar w:name="LW_COVERPAGE_TYPE" w:val="1"/>
    <w:docVar w:name="LW_CROSSREFERENCE" w:val="{SEC(2023) 100 final} - {SWD(2023) 88 final} - {SWD(2023) 89 final}"/>
    <w:docVar w:name="LW_DocType" w:val="COM"/>
    <w:docVar w:name="LW_EMISSION" w:val="14.2.2023"/>
    <w:docVar w:name="LW_EMISSION_ISODATE" w:val="2023-02-14"/>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42"/>
    <w:docVar w:name="LW_REF.II.NEW.CP_YEAR" w:val="2023"/>
    <w:docVar w:name="LW_REF.INST.NEW" w:val="COM"/>
    <w:docVar w:name="LW_REF.INST.NEW_ADOPTED" w:val="final"/>
    <w:docVar w:name="LW_REF.INST.NEW_TEXT" w:val="(2023) 8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9/1242 as regards strengthening the CO₂ emission performance standards for new heavy-duty vehicles and integrating reporting obligations, and repealing Regulation (EU) 2018/956_x000b__x000b_"/>
    <w:docVar w:name="LW_TYPE.DOC.CP" w:val="REGULATION OF THE EUROPEAN PARLIAMENT AND OF THE COUNCIL"/>
    <w:docVar w:name="LwApiVersions" w:val="LW4CoDe 1.23.2.0; LW 8.0, Build 20211117"/>
  </w:docVars>
  <w:rsids>
    <w:rsidRoot w:val="00571BD5"/>
    <w:rsid w:val="00001484"/>
    <w:rsid w:val="00001759"/>
    <w:rsid w:val="000024CC"/>
    <w:rsid w:val="000055C5"/>
    <w:rsid w:val="00006ABB"/>
    <w:rsid w:val="00006C9D"/>
    <w:rsid w:val="0001297B"/>
    <w:rsid w:val="00014BCE"/>
    <w:rsid w:val="00014D96"/>
    <w:rsid w:val="000206B0"/>
    <w:rsid w:val="000231EF"/>
    <w:rsid w:val="00023B4C"/>
    <w:rsid w:val="00033CC1"/>
    <w:rsid w:val="0003546C"/>
    <w:rsid w:val="00037680"/>
    <w:rsid w:val="00037EB4"/>
    <w:rsid w:val="00037FAD"/>
    <w:rsid w:val="000418C5"/>
    <w:rsid w:val="000468AC"/>
    <w:rsid w:val="0005000E"/>
    <w:rsid w:val="00050091"/>
    <w:rsid w:val="00053BB7"/>
    <w:rsid w:val="00054521"/>
    <w:rsid w:val="000555CF"/>
    <w:rsid w:val="00056485"/>
    <w:rsid w:val="00066812"/>
    <w:rsid w:val="0007074E"/>
    <w:rsid w:val="00073658"/>
    <w:rsid w:val="00073B39"/>
    <w:rsid w:val="000740B0"/>
    <w:rsid w:val="00075C6D"/>
    <w:rsid w:val="00081F15"/>
    <w:rsid w:val="00086005"/>
    <w:rsid w:val="00086281"/>
    <w:rsid w:val="000919F0"/>
    <w:rsid w:val="000921C8"/>
    <w:rsid w:val="00092540"/>
    <w:rsid w:val="00095185"/>
    <w:rsid w:val="000951CF"/>
    <w:rsid w:val="00095888"/>
    <w:rsid w:val="00096CD8"/>
    <w:rsid w:val="000A0C5E"/>
    <w:rsid w:val="000A1D1F"/>
    <w:rsid w:val="000A3990"/>
    <w:rsid w:val="000A6AA5"/>
    <w:rsid w:val="000A6CA3"/>
    <w:rsid w:val="000B42B2"/>
    <w:rsid w:val="000B45E9"/>
    <w:rsid w:val="000B6D27"/>
    <w:rsid w:val="000B7A7D"/>
    <w:rsid w:val="000C14C1"/>
    <w:rsid w:val="000C32E1"/>
    <w:rsid w:val="000C553E"/>
    <w:rsid w:val="000D46BC"/>
    <w:rsid w:val="000D5629"/>
    <w:rsid w:val="000D588D"/>
    <w:rsid w:val="000E12F4"/>
    <w:rsid w:val="000E16CE"/>
    <w:rsid w:val="000E560B"/>
    <w:rsid w:val="000F02BD"/>
    <w:rsid w:val="000F2045"/>
    <w:rsid w:val="000F5E3B"/>
    <w:rsid w:val="000F6234"/>
    <w:rsid w:val="0010553E"/>
    <w:rsid w:val="00105AB8"/>
    <w:rsid w:val="00111A45"/>
    <w:rsid w:val="001154D6"/>
    <w:rsid w:val="001162AC"/>
    <w:rsid w:val="00116EB8"/>
    <w:rsid w:val="00117233"/>
    <w:rsid w:val="00117763"/>
    <w:rsid w:val="00124B70"/>
    <w:rsid w:val="001254AE"/>
    <w:rsid w:val="00130464"/>
    <w:rsid w:val="001330D7"/>
    <w:rsid w:val="001362AE"/>
    <w:rsid w:val="00144F5A"/>
    <w:rsid w:val="00147694"/>
    <w:rsid w:val="00152679"/>
    <w:rsid w:val="00152894"/>
    <w:rsid w:val="001569C2"/>
    <w:rsid w:val="0016062B"/>
    <w:rsid w:val="00163FC5"/>
    <w:rsid w:val="00166A12"/>
    <w:rsid w:val="00167B44"/>
    <w:rsid w:val="00171913"/>
    <w:rsid w:val="00172193"/>
    <w:rsid w:val="00175631"/>
    <w:rsid w:val="00183816"/>
    <w:rsid w:val="00183966"/>
    <w:rsid w:val="001904D6"/>
    <w:rsid w:val="001932EC"/>
    <w:rsid w:val="00196F4B"/>
    <w:rsid w:val="001A057C"/>
    <w:rsid w:val="001A233D"/>
    <w:rsid w:val="001A409E"/>
    <w:rsid w:val="001A4EF3"/>
    <w:rsid w:val="001B2E48"/>
    <w:rsid w:val="001B3EE2"/>
    <w:rsid w:val="001B48F6"/>
    <w:rsid w:val="001B6729"/>
    <w:rsid w:val="001C1740"/>
    <w:rsid w:val="001C2CF4"/>
    <w:rsid w:val="001C56EF"/>
    <w:rsid w:val="001C63E3"/>
    <w:rsid w:val="001C7855"/>
    <w:rsid w:val="001C79DC"/>
    <w:rsid w:val="001D18D6"/>
    <w:rsid w:val="001D4CA2"/>
    <w:rsid w:val="001D5B6B"/>
    <w:rsid w:val="001E1119"/>
    <w:rsid w:val="001E6058"/>
    <w:rsid w:val="001F13E7"/>
    <w:rsid w:val="001F2D24"/>
    <w:rsid w:val="001F4344"/>
    <w:rsid w:val="001F69C6"/>
    <w:rsid w:val="001F7E88"/>
    <w:rsid w:val="002005E2"/>
    <w:rsid w:val="002011A7"/>
    <w:rsid w:val="002015B8"/>
    <w:rsid w:val="00201ABB"/>
    <w:rsid w:val="00201B60"/>
    <w:rsid w:val="00204446"/>
    <w:rsid w:val="0020468E"/>
    <w:rsid w:val="002061F3"/>
    <w:rsid w:val="00206543"/>
    <w:rsid w:val="00210F5C"/>
    <w:rsid w:val="002143FF"/>
    <w:rsid w:val="00214D0E"/>
    <w:rsid w:val="00214FA7"/>
    <w:rsid w:val="0022672A"/>
    <w:rsid w:val="00230216"/>
    <w:rsid w:val="002329CC"/>
    <w:rsid w:val="00233CE3"/>
    <w:rsid w:val="002372C8"/>
    <w:rsid w:val="002410C8"/>
    <w:rsid w:val="00241F0C"/>
    <w:rsid w:val="00242087"/>
    <w:rsid w:val="00242286"/>
    <w:rsid w:val="00245C7F"/>
    <w:rsid w:val="00246348"/>
    <w:rsid w:val="0025056A"/>
    <w:rsid w:val="00251EDC"/>
    <w:rsid w:val="002560EB"/>
    <w:rsid w:val="00260718"/>
    <w:rsid w:val="002701E1"/>
    <w:rsid w:val="002736F4"/>
    <w:rsid w:val="002738F0"/>
    <w:rsid w:val="0027511E"/>
    <w:rsid w:val="0027645D"/>
    <w:rsid w:val="00276C58"/>
    <w:rsid w:val="00281208"/>
    <w:rsid w:val="002819AF"/>
    <w:rsid w:val="00282A58"/>
    <w:rsid w:val="0028506C"/>
    <w:rsid w:val="0028705F"/>
    <w:rsid w:val="00294071"/>
    <w:rsid w:val="002960D3"/>
    <w:rsid w:val="00296E5F"/>
    <w:rsid w:val="00297F6E"/>
    <w:rsid w:val="00297F9E"/>
    <w:rsid w:val="002A19AF"/>
    <w:rsid w:val="002A35E8"/>
    <w:rsid w:val="002A613F"/>
    <w:rsid w:val="002A6AF3"/>
    <w:rsid w:val="002B16B9"/>
    <w:rsid w:val="002B3D87"/>
    <w:rsid w:val="002C10D5"/>
    <w:rsid w:val="002C30B0"/>
    <w:rsid w:val="002D18B2"/>
    <w:rsid w:val="002D3BCD"/>
    <w:rsid w:val="002D7806"/>
    <w:rsid w:val="002E5022"/>
    <w:rsid w:val="002E5D92"/>
    <w:rsid w:val="002F431B"/>
    <w:rsid w:val="00303F07"/>
    <w:rsid w:val="003078FC"/>
    <w:rsid w:val="00307E6A"/>
    <w:rsid w:val="0031003A"/>
    <w:rsid w:val="003100A2"/>
    <w:rsid w:val="0031217B"/>
    <w:rsid w:val="0031231B"/>
    <w:rsid w:val="00312E16"/>
    <w:rsid w:val="003135A0"/>
    <w:rsid w:val="003138F7"/>
    <w:rsid w:val="003141B8"/>
    <w:rsid w:val="0031602E"/>
    <w:rsid w:val="00320EB9"/>
    <w:rsid w:val="00322807"/>
    <w:rsid w:val="00322AAB"/>
    <w:rsid w:val="003234F4"/>
    <w:rsid w:val="00323F7D"/>
    <w:rsid w:val="00324284"/>
    <w:rsid w:val="00324BC8"/>
    <w:rsid w:val="00331B26"/>
    <w:rsid w:val="0033356D"/>
    <w:rsid w:val="003369EB"/>
    <w:rsid w:val="003417CD"/>
    <w:rsid w:val="00346070"/>
    <w:rsid w:val="003468A0"/>
    <w:rsid w:val="00346921"/>
    <w:rsid w:val="0034744A"/>
    <w:rsid w:val="003501A2"/>
    <w:rsid w:val="0035107A"/>
    <w:rsid w:val="00351A4D"/>
    <w:rsid w:val="00352681"/>
    <w:rsid w:val="00353FEC"/>
    <w:rsid w:val="00357C86"/>
    <w:rsid w:val="00360F0F"/>
    <w:rsid w:val="00362887"/>
    <w:rsid w:val="00363680"/>
    <w:rsid w:val="0036545C"/>
    <w:rsid w:val="00365E44"/>
    <w:rsid w:val="00366076"/>
    <w:rsid w:val="00371262"/>
    <w:rsid w:val="00375A58"/>
    <w:rsid w:val="00381F58"/>
    <w:rsid w:val="003821A6"/>
    <w:rsid w:val="00383869"/>
    <w:rsid w:val="003842F9"/>
    <w:rsid w:val="00384F6F"/>
    <w:rsid w:val="00387F16"/>
    <w:rsid w:val="00392933"/>
    <w:rsid w:val="00392CFD"/>
    <w:rsid w:val="00396ACD"/>
    <w:rsid w:val="003A2DA8"/>
    <w:rsid w:val="003A58BD"/>
    <w:rsid w:val="003A7649"/>
    <w:rsid w:val="003B2A53"/>
    <w:rsid w:val="003B3FA9"/>
    <w:rsid w:val="003B424B"/>
    <w:rsid w:val="003B6C38"/>
    <w:rsid w:val="003C1B2F"/>
    <w:rsid w:val="003C236B"/>
    <w:rsid w:val="003C2B84"/>
    <w:rsid w:val="003C6DCA"/>
    <w:rsid w:val="003D316F"/>
    <w:rsid w:val="003D5E1F"/>
    <w:rsid w:val="003D754B"/>
    <w:rsid w:val="003D75B4"/>
    <w:rsid w:val="003E0F10"/>
    <w:rsid w:val="003E20E5"/>
    <w:rsid w:val="003E4158"/>
    <w:rsid w:val="003E5C91"/>
    <w:rsid w:val="003E7B24"/>
    <w:rsid w:val="003F3E61"/>
    <w:rsid w:val="003F5F3A"/>
    <w:rsid w:val="003F6891"/>
    <w:rsid w:val="003F77A2"/>
    <w:rsid w:val="00400BD4"/>
    <w:rsid w:val="00400E7A"/>
    <w:rsid w:val="00401A87"/>
    <w:rsid w:val="0040299D"/>
    <w:rsid w:val="0040431F"/>
    <w:rsid w:val="0041147C"/>
    <w:rsid w:val="0041152A"/>
    <w:rsid w:val="0041394D"/>
    <w:rsid w:val="0041457E"/>
    <w:rsid w:val="00415DD5"/>
    <w:rsid w:val="00416B50"/>
    <w:rsid w:val="00416CA8"/>
    <w:rsid w:val="00427437"/>
    <w:rsid w:val="00427779"/>
    <w:rsid w:val="00430B17"/>
    <w:rsid w:val="004315E4"/>
    <w:rsid w:val="00431963"/>
    <w:rsid w:val="00432477"/>
    <w:rsid w:val="0043322E"/>
    <w:rsid w:val="004344BD"/>
    <w:rsid w:val="00437AA5"/>
    <w:rsid w:val="00441007"/>
    <w:rsid w:val="004431C1"/>
    <w:rsid w:val="00445681"/>
    <w:rsid w:val="00445C0F"/>
    <w:rsid w:val="00447824"/>
    <w:rsid w:val="00452C24"/>
    <w:rsid w:val="00453EEC"/>
    <w:rsid w:val="0045499D"/>
    <w:rsid w:val="00456585"/>
    <w:rsid w:val="0045713B"/>
    <w:rsid w:val="004571D1"/>
    <w:rsid w:val="00457209"/>
    <w:rsid w:val="00457425"/>
    <w:rsid w:val="0046114B"/>
    <w:rsid w:val="004637B1"/>
    <w:rsid w:val="00465709"/>
    <w:rsid w:val="00472A3A"/>
    <w:rsid w:val="004755EE"/>
    <w:rsid w:val="00475CFB"/>
    <w:rsid w:val="00482549"/>
    <w:rsid w:val="00484807"/>
    <w:rsid w:val="00490A1A"/>
    <w:rsid w:val="00492396"/>
    <w:rsid w:val="0049245B"/>
    <w:rsid w:val="00492CF0"/>
    <w:rsid w:val="0049466A"/>
    <w:rsid w:val="0049466D"/>
    <w:rsid w:val="00494DE8"/>
    <w:rsid w:val="0049517F"/>
    <w:rsid w:val="00496F25"/>
    <w:rsid w:val="004A2643"/>
    <w:rsid w:val="004A35EB"/>
    <w:rsid w:val="004A5B41"/>
    <w:rsid w:val="004B3C0A"/>
    <w:rsid w:val="004B7251"/>
    <w:rsid w:val="004C0B34"/>
    <w:rsid w:val="004C57AB"/>
    <w:rsid w:val="004C67E1"/>
    <w:rsid w:val="004C70D8"/>
    <w:rsid w:val="004D1CB8"/>
    <w:rsid w:val="004D3669"/>
    <w:rsid w:val="004D4778"/>
    <w:rsid w:val="004E0C09"/>
    <w:rsid w:val="004E19F9"/>
    <w:rsid w:val="004E45A9"/>
    <w:rsid w:val="004F4841"/>
    <w:rsid w:val="004F78F2"/>
    <w:rsid w:val="004F7A88"/>
    <w:rsid w:val="0050101B"/>
    <w:rsid w:val="00503D2A"/>
    <w:rsid w:val="005041A2"/>
    <w:rsid w:val="0051068F"/>
    <w:rsid w:val="005107CE"/>
    <w:rsid w:val="00517205"/>
    <w:rsid w:val="00517625"/>
    <w:rsid w:val="00517CDD"/>
    <w:rsid w:val="00521762"/>
    <w:rsid w:val="00524A44"/>
    <w:rsid w:val="00525B0E"/>
    <w:rsid w:val="005307DD"/>
    <w:rsid w:val="005352F2"/>
    <w:rsid w:val="00542487"/>
    <w:rsid w:val="00543A36"/>
    <w:rsid w:val="00543EF5"/>
    <w:rsid w:val="00547D77"/>
    <w:rsid w:val="005507C1"/>
    <w:rsid w:val="0055149E"/>
    <w:rsid w:val="00551715"/>
    <w:rsid w:val="00552C9C"/>
    <w:rsid w:val="00553367"/>
    <w:rsid w:val="00553EBC"/>
    <w:rsid w:val="00557BE1"/>
    <w:rsid w:val="00557E7B"/>
    <w:rsid w:val="00562B73"/>
    <w:rsid w:val="005662D8"/>
    <w:rsid w:val="00570B8A"/>
    <w:rsid w:val="00571BD5"/>
    <w:rsid w:val="005739E7"/>
    <w:rsid w:val="00574B8F"/>
    <w:rsid w:val="00575783"/>
    <w:rsid w:val="005759F4"/>
    <w:rsid w:val="0057617C"/>
    <w:rsid w:val="00577B57"/>
    <w:rsid w:val="00582810"/>
    <w:rsid w:val="005834E5"/>
    <w:rsid w:val="0058379B"/>
    <w:rsid w:val="0058775A"/>
    <w:rsid w:val="00590752"/>
    <w:rsid w:val="00592D5B"/>
    <w:rsid w:val="00595540"/>
    <w:rsid w:val="005A35A8"/>
    <w:rsid w:val="005A4D31"/>
    <w:rsid w:val="005A52DC"/>
    <w:rsid w:val="005A6506"/>
    <w:rsid w:val="005B31E3"/>
    <w:rsid w:val="005B4A90"/>
    <w:rsid w:val="005B5FA6"/>
    <w:rsid w:val="005B6134"/>
    <w:rsid w:val="005B69A5"/>
    <w:rsid w:val="005B759D"/>
    <w:rsid w:val="005D081C"/>
    <w:rsid w:val="005D4D52"/>
    <w:rsid w:val="005D6230"/>
    <w:rsid w:val="005D683A"/>
    <w:rsid w:val="005E06BB"/>
    <w:rsid w:val="005E2010"/>
    <w:rsid w:val="005E2E23"/>
    <w:rsid w:val="005E52B2"/>
    <w:rsid w:val="005E6B5B"/>
    <w:rsid w:val="005E6BB2"/>
    <w:rsid w:val="005F411E"/>
    <w:rsid w:val="005F4382"/>
    <w:rsid w:val="005F4A92"/>
    <w:rsid w:val="005F59ED"/>
    <w:rsid w:val="00604BE6"/>
    <w:rsid w:val="006074C3"/>
    <w:rsid w:val="006077A0"/>
    <w:rsid w:val="00613082"/>
    <w:rsid w:val="00613FEE"/>
    <w:rsid w:val="00614AA7"/>
    <w:rsid w:val="006178F9"/>
    <w:rsid w:val="00621647"/>
    <w:rsid w:val="00622E29"/>
    <w:rsid w:val="0062440C"/>
    <w:rsid w:val="006244B3"/>
    <w:rsid w:val="006258B0"/>
    <w:rsid w:val="00631FCD"/>
    <w:rsid w:val="006320CF"/>
    <w:rsid w:val="0063461E"/>
    <w:rsid w:val="00635E54"/>
    <w:rsid w:val="0064226A"/>
    <w:rsid w:val="00642539"/>
    <w:rsid w:val="00642F85"/>
    <w:rsid w:val="006439AD"/>
    <w:rsid w:val="00646061"/>
    <w:rsid w:val="00647902"/>
    <w:rsid w:val="00647FE4"/>
    <w:rsid w:val="00651D7F"/>
    <w:rsid w:val="00653119"/>
    <w:rsid w:val="00653597"/>
    <w:rsid w:val="006537B0"/>
    <w:rsid w:val="006542E0"/>
    <w:rsid w:val="00660F52"/>
    <w:rsid w:val="006615AC"/>
    <w:rsid w:val="00663B65"/>
    <w:rsid w:val="006641A1"/>
    <w:rsid w:val="006648AA"/>
    <w:rsid w:val="006654AB"/>
    <w:rsid w:val="00670DEC"/>
    <w:rsid w:val="00671AB7"/>
    <w:rsid w:val="00671B74"/>
    <w:rsid w:val="006725DE"/>
    <w:rsid w:val="00674BD0"/>
    <w:rsid w:val="006756CD"/>
    <w:rsid w:val="00675B13"/>
    <w:rsid w:val="00675EAB"/>
    <w:rsid w:val="006764CB"/>
    <w:rsid w:val="00676C64"/>
    <w:rsid w:val="0068013E"/>
    <w:rsid w:val="00680441"/>
    <w:rsid w:val="00681AE2"/>
    <w:rsid w:val="00681E81"/>
    <w:rsid w:val="00683836"/>
    <w:rsid w:val="006858CF"/>
    <w:rsid w:val="00685D53"/>
    <w:rsid w:val="006868E1"/>
    <w:rsid w:val="006959CD"/>
    <w:rsid w:val="0069693A"/>
    <w:rsid w:val="00697F0B"/>
    <w:rsid w:val="006A0082"/>
    <w:rsid w:val="006A2C3D"/>
    <w:rsid w:val="006A33DC"/>
    <w:rsid w:val="006A54BC"/>
    <w:rsid w:val="006A640E"/>
    <w:rsid w:val="006A66CC"/>
    <w:rsid w:val="006A7204"/>
    <w:rsid w:val="006B2BC7"/>
    <w:rsid w:val="006C0379"/>
    <w:rsid w:val="006C78F9"/>
    <w:rsid w:val="006D0CD8"/>
    <w:rsid w:val="006D1C25"/>
    <w:rsid w:val="006D5BDB"/>
    <w:rsid w:val="006D7AE6"/>
    <w:rsid w:val="006E1EEF"/>
    <w:rsid w:val="006E4B37"/>
    <w:rsid w:val="006E6772"/>
    <w:rsid w:val="006F07B1"/>
    <w:rsid w:val="006F1103"/>
    <w:rsid w:val="006F23CF"/>
    <w:rsid w:val="006F4691"/>
    <w:rsid w:val="006F4865"/>
    <w:rsid w:val="006F62F1"/>
    <w:rsid w:val="006F7C31"/>
    <w:rsid w:val="006F7EFE"/>
    <w:rsid w:val="00700989"/>
    <w:rsid w:val="0070219A"/>
    <w:rsid w:val="007032D2"/>
    <w:rsid w:val="00703F0E"/>
    <w:rsid w:val="0070471F"/>
    <w:rsid w:val="007106F6"/>
    <w:rsid w:val="007111FA"/>
    <w:rsid w:val="00712742"/>
    <w:rsid w:val="00715D5E"/>
    <w:rsid w:val="00721FEE"/>
    <w:rsid w:val="00722325"/>
    <w:rsid w:val="0072246A"/>
    <w:rsid w:val="00723888"/>
    <w:rsid w:val="00727A6B"/>
    <w:rsid w:val="00731CDA"/>
    <w:rsid w:val="00734393"/>
    <w:rsid w:val="00734B4F"/>
    <w:rsid w:val="007365F4"/>
    <w:rsid w:val="00744A37"/>
    <w:rsid w:val="00745A85"/>
    <w:rsid w:val="0074741A"/>
    <w:rsid w:val="00753177"/>
    <w:rsid w:val="00753CD4"/>
    <w:rsid w:val="00755323"/>
    <w:rsid w:val="0075613D"/>
    <w:rsid w:val="0076231C"/>
    <w:rsid w:val="00764890"/>
    <w:rsid w:val="007665B7"/>
    <w:rsid w:val="00766DC0"/>
    <w:rsid w:val="00770CF7"/>
    <w:rsid w:val="00771A24"/>
    <w:rsid w:val="00776316"/>
    <w:rsid w:val="00777D80"/>
    <w:rsid w:val="00780ED9"/>
    <w:rsid w:val="00783B98"/>
    <w:rsid w:val="00783ECE"/>
    <w:rsid w:val="00784470"/>
    <w:rsid w:val="00785F48"/>
    <w:rsid w:val="00786230"/>
    <w:rsid w:val="007864B9"/>
    <w:rsid w:val="007906BF"/>
    <w:rsid w:val="00791CA8"/>
    <w:rsid w:val="00792FEB"/>
    <w:rsid w:val="007943F1"/>
    <w:rsid w:val="007A2399"/>
    <w:rsid w:val="007A50C8"/>
    <w:rsid w:val="007A6943"/>
    <w:rsid w:val="007B08B7"/>
    <w:rsid w:val="007B0F35"/>
    <w:rsid w:val="007B7335"/>
    <w:rsid w:val="007B7E95"/>
    <w:rsid w:val="007C08F4"/>
    <w:rsid w:val="007C0FF3"/>
    <w:rsid w:val="007C1086"/>
    <w:rsid w:val="007C3D5B"/>
    <w:rsid w:val="007C3DF0"/>
    <w:rsid w:val="007C761E"/>
    <w:rsid w:val="007D0861"/>
    <w:rsid w:val="007D0972"/>
    <w:rsid w:val="007D1D2A"/>
    <w:rsid w:val="007D3D8E"/>
    <w:rsid w:val="007D4250"/>
    <w:rsid w:val="007D7149"/>
    <w:rsid w:val="007E010B"/>
    <w:rsid w:val="007E23B9"/>
    <w:rsid w:val="007E595C"/>
    <w:rsid w:val="007F22AE"/>
    <w:rsid w:val="007F238A"/>
    <w:rsid w:val="007F56DA"/>
    <w:rsid w:val="00800FA5"/>
    <w:rsid w:val="0080130D"/>
    <w:rsid w:val="00802CC3"/>
    <w:rsid w:val="00802FC2"/>
    <w:rsid w:val="008128BB"/>
    <w:rsid w:val="008129BD"/>
    <w:rsid w:val="00813729"/>
    <w:rsid w:val="0081626A"/>
    <w:rsid w:val="008218B9"/>
    <w:rsid w:val="00821FB1"/>
    <w:rsid w:val="00822382"/>
    <w:rsid w:val="008228C5"/>
    <w:rsid w:val="00826866"/>
    <w:rsid w:val="00826887"/>
    <w:rsid w:val="00826AA5"/>
    <w:rsid w:val="00832A18"/>
    <w:rsid w:val="008331DF"/>
    <w:rsid w:val="00833ADD"/>
    <w:rsid w:val="00835A33"/>
    <w:rsid w:val="00835EA6"/>
    <w:rsid w:val="00837E1D"/>
    <w:rsid w:val="00843FC9"/>
    <w:rsid w:val="00847473"/>
    <w:rsid w:val="0085173A"/>
    <w:rsid w:val="00851B3B"/>
    <w:rsid w:val="00852CF2"/>
    <w:rsid w:val="00852EA9"/>
    <w:rsid w:val="0085382F"/>
    <w:rsid w:val="0085551C"/>
    <w:rsid w:val="00861F31"/>
    <w:rsid w:val="008621CA"/>
    <w:rsid w:val="0086284B"/>
    <w:rsid w:val="008670C1"/>
    <w:rsid w:val="00867114"/>
    <w:rsid w:val="008676B8"/>
    <w:rsid w:val="00871945"/>
    <w:rsid w:val="008734DD"/>
    <w:rsid w:val="008745B2"/>
    <w:rsid w:val="00876F71"/>
    <w:rsid w:val="00882AD8"/>
    <w:rsid w:val="00882EE1"/>
    <w:rsid w:val="00885597"/>
    <w:rsid w:val="0088653E"/>
    <w:rsid w:val="008A1F61"/>
    <w:rsid w:val="008A21A5"/>
    <w:rsid w:val="008A2A37"/>
    <w:rsid w:val="008A4EA2"/>
    <w:rsid w:val="008A7717"/>
    <w:rsid w:val="008B03AD"/>
    <w:rsid w:val="008B101D"/>
    <w:rsid w:val="008B21A2"/>
    <w:rsid w:val="008B2B85"/>
    <w:rsid w:val="008B300A"/>
    <w:rsid w:val="008C16F7"/>
    <w:rsid w:val="008D17EF"/>
    <w:rsid w:val="008D20CC"/>
    <w:rsid w:val="008E1DEF"/>
    <w:rsid w:val="008E2694"/>
    <w:rsid w:val="008E425B"/>
    <w:rsid w:val="008E5104"/>
    <w:rsid w:val="008E5A6F"/>
    <w:rsid w:val="008E7ED1"/>
    <w:rsid w:val="008F2670"/>
    <w:rsid w:val="008F2B7C"/>
    <w:rsid w:val="008F3CE7"/>
    <w:rsid w:val="008F6567"/>
    <w:rsid w:val="008F6B51"/>
    <w:rsid w:val="008F72B4"/>
    <w:rsid w:val="009005EE"/>
    <w:rsid w:val="00902C92"/>
    <w:rsid w:val="0090333B"/>
    <w:rsid w:val="00906D3F"/>
    <w:rsid w:val="0091022A"/>
    <w:rsid w:val="00910B04"/>
    <w:rsid w:val="009110AA"/>
    <w:rsid w:val="009130FF"/>
    <w:rsid w:val="00917D4E"/>
    <w:rsid w:val="00920B00"/>
    <w:rsid w:val="00920E6A"/>
    <w:rsid w:val="00925028"/>
    <w:rsid w:val="00930677"/>
    <w:rsid w:val="0093229B"/>
    <w:rsid w:val="009339E0"/>
    <w:rsid w:val="00935B13"/>
    <w:rsid w:val="00940731"/>
    <w:rsid w:val="00944AEA"/>
    <w:rsid w:val="0094571F"/>
    <w:rsid w:val="009501F4"/>
    <w:rsid w:val="00953253"/>
    <w:rsid w:val="0095555F"/>
    <w:rsid w:val="0096113E"/>
    <w:rsid w:val="0096476F"/>
    <w:rsid w:val="00964D15"/>
    <w:rsid w:val="009660B1"/>
    <w:rsid w:val="009669A6"/>
    <w:rsid w:val="0097314C"/>
    <w:rsid w:val="009747F9"/>
    <w:rsid w:val="00982A34"/>
    <w:rsid w:val="0098464D"/>
    <w:rsid w:val="00992482"/>
    <w:rsid w:val="00992694"/>
    <w:rsid w:val="009957C5"/>
    <w:rsid w:val="00996068"/>
    <w:rsid w:val="009971B9"/>
    <w:rsid w:val="00997FE4"/>
    <w:rsid w:val="009A0BBE"/>
    <w:rsid w:val="009A5AA2"/>
    <w:rsid w:val="009A6B67"/>
    <w:rsid w:val="009A72F9"/>
    <w:rsid w:val="009B3DC6"/>
    <w:rsid w:val="009B5129"/>
    <w:rsid w:val="009B5367"/>
    <w:rsid w:val="009C2995"/>
    <w:rsid w:val="009C7C75"/>
    <w:rsid w:val="009D2452"/>
    <w:rsid w:val="009D4E73"/>
    <w:rsid w:val="009D6541"/>
    <w:rsid w:val="009D78FB"/>
    <w:rsid w:val="009E168D"/>
    <w:rsid w:val="009E1854"/>
    <w:rsid w:val="009E2439"/>
    <w:rsid w:val="009E5C23"/>
    <w:rsid w:val="009F28E2"/>
    <w:rsid w:val="009F450D"/>
    <w:rsid w:val="009F7642"/>
    <w:rsid w:val="00A000B7"/>
    <w:rsid w:val="00A00F09"/>
    <w:rsid w:val="00A04343"/>
    <w:rsid w:val="00A05C1A"/>
    <w:rsid w:val="00A06952"/>
    <w:rsid w:val="00A10DAF"/>
    <w:rsid w:val="00A12C97"/>
    <w:rsid w:val="00A17A15"/>
    <w:rsid w:val="00A220CF"/>
    <w:rsid w:val="00A268D0"/>
    <w:rsid w:val="00A26954"/>
    <w:rsid w:val="00A31834"/>
    <w:rsid w:val="00A32F42"/>
    <w:rsid w:val="00A35840"/>
    <w:rsid w:val="00A35C5F"/>
    <w:rsid w:val="00A35CAF"/>
    <w:rsid w:val="00A378EC"/>
    <w:rsid w:val="00A37A30"/>
    <w:rsid w:val="00A40227"/>
    <w:rsid w:val="00A43482"/>
    <w:rsid w:val="00A43BE2"/>
    <w:rsid w:val="00A47223"/>
    <w:rsid w:val="00A50BBC"/>
    <w:rsid w:val="00A5181C"/>
    <w:rsid w:val="00A52B2F"/>
    <w:rsid w:val="00A54484"/>
    <w:rsid w:val="00A54493"/>
    <w:rsid w:val="00A565C7"/>
    <w:rsid w:val="00A56800"/>
    <w:rsid w:val="00A56E1C"/>
    <w:rsid w:val="00A57A43"/>
    <w:rsid w:val="00A62A52"/>
    <w:rsid w:val="00A64B32"/>
    <w:rsid w:val="00A668F1"/>
    <w:rsid w:val="00A72341"/>
    <w:rsid w:val="00A74E8D"/>
    <w:rsid w:val="00A9219C"/>
    <w:rsid w:val="00A94093"/>
    <w:rsid w:val="00A97566"/>
    <w:rsid w:val="00AA55FC"/>
    <w:rsid w:val="00AA7E5E"/>
    <w:rsid w:val="00AB2C65"/>
    <w:rsid w:val="00AB3A3B"/>
    <w:rsid w:val="00AB4650"/>
    <w:rsid w:val="00AB5820"/>
    <w:rsid w:val="00AB5CB7"/>
    <w:rsid w:val="00AB7E80"/>
    <w:rsid w:val="00AC2B5C"/>
    <w:rsid w:val="00AC4EA4"/>
    <w:rsid w:val="00AC7DCB"/>
    <w:rsid w:val="00AD2237"/>
    <w:rsid w:val="00AD3A7F"/>
    <w:rsid w:val="00AD64F6"/>
    <w:rsid w:val="00AE208F"/>
    <w:rsid w:val="00AE4352"/>
    <w:rsid w:val="00AE5735"/>
    <w:rsid w:val="00AF0221"/>
    <w:rsid w:val="00AF55E2"/>
    <w:rsid w:val="00AF6F64"/>
    <w:rsid w:val="00B01002"/>
    <w:rsid w:val="00B01386"/>
    <w:rsid w:val="00B0149C"/>
    <w:rsid w:val="00B105FC"/>
    <w:rsid w:val="00B124E0"/>
    <w:rsid w:val="00B12BD9"/>
    <w:rsid w:val="00B16E99"/>
    <w:rsid w:val="00B177D8"/>
    <w:rsid w:val="00B21159"/>
    <w:rsid w:val="00B21245"/>
    <w:rsid w:val="00B21722"/>
    <w:rsid w:val="00B22357"/>
    <w:rsid w:val="00B22FC6"/>
    <w:rsid w:val="00B23A74"/>
    <w:rsid w:val="00B25CFC"/>
    <w:rsid w:val="00B2666D"/>
    <w:rsid w:val="00B26AD0"/>
    <w:rsid w:val="00B318DC"/>
    <w:rsid w:val="00B329BB"/>
    <w:rsid w:val="00B33803"/>
    <w:rsid w:val="00B34F20"/>
    <w:rsid w:val="00B36BE7"/>
    <w:rsid w:val="00B36DE2"/>
    <w:rsid w:val="00B43DAF"/>
    <w:rsid w:val="00B44F01"/>
    <w:rsid w:val="00B4594A"/>
    <w:rsid w:val="00B45A38"/>
    <w:rsid w:val="00B477B2"/>
    <w:rsid w:val="00B47C23"/>
    <w:rsid w:val="00B50BC7"/>
    <w:rsid w:val="00B53991"/>
    <w:rsid w:val="00B5471C"/>
    <w:rsid w:val="00B548F2"/>
    <w:rsid w:val="00B54C29"/>
    <w:rsid w:val="00B54C8F"/>
    <w:rsid w:val="00B55DF0"/>
    <w:rsid w:val="00B573EA"/>
    <w:rsid w:val="00B57A21"/>
    <w:rsid w:val="00B62011"/>
    <w:rsid w:val="00B63D0D"/>
    <w:rsid w:val="00B64107"/>
    <w:rsid w:val="00B71D2E"/>
    <w:rsid w:val="00B71E97"/>
    <w:rsid w:val="00B72152"/>
    <w:rsid w:val="00B72A95"/>
    <w:rsid w:val="00B76ACE"/>
    <w:rsid w:val="00B80890"/>
    <w:rsid w:val="00B81E82"/>
    <w:rsid w:val="00B84A34"/>
    <w:rsid w:val="00B85F35"/>
    <w:rsid w:val="00B87047"/>
    <w:rsid w:val="00B87A62"/>
    <w:rsid w:val="00B92E99"/>
    <w:rsid w:val="00B93042"/>
    <w:rsid w:val="00B932C1"/>
    <w:rsid w:val="00B9706C"/>
    <w:rsid w:val="00B97168"/>
    <w:rsid w:val="00BA00D7"/>
    <w:rsid w:val="00BA2AE0"/>
    <w:rsid w:val="00BA35D0"/>
    <w:rsid w:val="00BA59B8"/>
    <w:rsid w:val="00BA6B34"/>
    <w:rsid w:val="00BB51FD"/>
    <w:rsid w:val="00BB571E"/>
    <w:rsid w:val="00BB7752"/>
    <w:rsid w:val="00BC1605"/>
    <w:rsid w:val="00BC2129"/>
    <w:rsid w:val="00BD0266"/>
    <w:rsid w:val="00BE0E65"/>
    <w:rsid w:val="00BE2A51"/>
    <w:rsid w:val="00BE4094"/>
    <w:rsid w:val="00BE4476"/>
    <w:rsid w:val="00BE4F85"/>
    <w:rsid w:val="00BF02C9"/>
    <w:rsid w:val="00BF2928"/>
    <w:rsid w:val="00BF4BAF"/>
    <w:rsid w:val="00BF5A62"/>
    <w:rsid w:val="00C000F2"/>
    <w:rsid w:val="00C0327A"/>
    <w:rsid w:val="00C041D7"/>
    <w:rsid w:val="00C21654"/>
    <w:rsid w:val="00C22612"/>
    <w:rsid w:val="00C22F43"/>
    <w:rsid w:val="00C23376"/>
    <w:rsid w:val="00C2381E"/>
    <w:rsid w:val="00C23CC7"/>
    <w:rsid w:val="00C24510"/>
    <w:rsid w:val="00C30448"/>
    <w:rsid w:val="00C33685"/>
    <w:rsid w:val="00C345B9"/>
    <w:rsid w:val="00C36FB2"/>
    <w:rsid w:val="00C3731F"/>
    <w:rsid w:val="00C4156F"/>
    <w:rsid w:val="00C42784"/>
    <w:rsid w:val="00C455C8"/>
    <w:rsid w:val="00C45C9A"/>
    <w:rsid w:val="00C50AF4"/>
    <w:rsid w:val="00C52C9F"/>
    <w:rsid w:val="00C54695"/>
    <w:rsid w:val="00C560B5"/>
    <w:rsid w:val="00C56EC2"/>
    <w:rsid w:val="00C615A7"/>
    <w:rsid w:val="00C70AC2"/>
    <w:rsid w:val="00C70C0B"/>
    <w:rsid w:val="00C8067A"/>
    <w:rsid w:val="00C85547"/>
    <w:rsid w:val="00C8594B"/>
    <w:rsid w:val="00C863E7"/>
    <w:rsid w:val="00C87B2F"/>
    <w:rsid w:val="00C9020F"/>
    <w:rsid w:val="00C90333"/>
    <w:rsid w:val="00C90D58"/>
    <w:rsid w:val="00C936A9"/>
    <w:rsid w:val="00C975B8"/>
    <w:rsid w:val="00CA1253"/>
    <w:rsid w:val="00CA2B2B"/>
    <w:rsid w:val="00CA7DF2"/>
    <w:rsid w:val="00CB27D0"/>
    <w:rsid w:val="00CB3010"/>
    <w:rsid w:val="00CB31BE"/>
    <w:rsid w:val="00CB4E79"/>
    <w:rsid w:val="00CB775C"/>
    <w:rsid w:val="00CC15B2"/>
    <w:rsid w:val="00CC1ABE"/>
    <w:rsid w:val="00CC764D"/>
    <w:rsid w:val="00CC797B"/>
    <w:rsid w:val="00CD04D9"/>
    <w:rsid w:val="00CD3E4A"/>
    <w:rsid w:val="00CD46A4"/>
    <w:rsid w:val="00CE291B"/>
    <w:rsid w:val="00CE34CB"/>
    <w:rsid w:val="00CE5C47"/>
    <w:rsid w:val="00CF0FCD"/>
    <w:rsid w:val="00CF2D98"/>
    <w:rsid w:val="00CF4D2B"/>
    <w:rsid w:val="00CF662D"/>
    <w:rsid w:val="00CF6CBB"/>
    <w:rsid w:val="00CF794D"/>
    <w:rsid w:val="00D009C7"/>
    <w:rsid w:val="00D0476F"/>
    <w:rsid w:val="00D072AA"/>
    <w:rsid w:val="00D076E2"/>
    <w:rsid w:val="00D07E60"/>
    <w:rsid w:val="00D13CC0"/>
    <w:rsid w:val="00D14ED4"/>
    <w:rsid w:val="00D1566E"/>
    <w:rsid w:val="00D2444C"/>
    <w:rsid w:val="00D26DC6"/>
    <w:rsid w:val="00D30B28"/>
    <w:rsid w:val="00D30D83"/>
    <w:rsid w:val="00D3141F"/>
    <w:rsid w:val="00D33640"/>
    <w:rsid w:val="00D34AD8"/>
    <w:rsid w:val="00D357B8"/>
    <w:rsid w:val="00D35C0C"/>
    <w:rsid w:val="00D4405B"/>
    <w:rsid w:val="00D456A3"/>
    <w:rsid w:val="00D4645A"/>
    <w:rsid w:val="00D46C0E"/>
    <w:rsid w:val="00D526AE"/>
    <w:rsid w:val="00D53D65"/>
    <w:rsid w:val="00D54A1B"/>
    <w:rsid w:val="00D577CF"/>
    <w:rsid w:val="00D6041B"/>
    <w:rsid w:val="00D629C0"/>
    <w:rsid w:val="00D63426"/>
    <w:rsid w:val="00D64904"/>
    <w:rsid w:val="00D64A94"/>
    <w:rsid w:val="00D65EE3"/>
    <w:rsid w:val="00D70201"/>
    <w:rsid w:val="00D70D16"/>
    <w:rsid w:val="00D74A5B"/>
    <w:rsid w:val="00D76B54"/>
    <w:rsid w:val="00D77882"/>
    <w:rsid w:val="00D96741"/>
    <w:rsid w:val="00DA01A4"/>
    <w:rsid w:val="00DA4835"/>
    <w:rsid w:val="00DA57E7"/>
    <w:rsid w:val="00DA580C"/>
    <w:rsid w:val="00DB0916"/>
    <w:rsid w:val="00DB0A1E"/>
    <w:rsid w:val="00DB4B20"/>
    <w:rsid w:val="00DB672C"/>
    <w:rsid w:val="00DC0915"/>
    <w:rsid w:val="00DC1493"/>
    <w:rsid w:val="00DC3CFA"/>
    <w:rsid w:val="00DC4B4B"/>
    <w:rsid w:val="00DC679B"/>
    <w:rsid w:val="00DD0D05"/>
    <w:rsid w:val="00DD3780"/>
    <w:rsid w:val="00DD3A0D"/>
    <w:rsid w:val="00DD50A6"/>
    <w:rsid w:val="00DD5136"/>
    <w:rsid w:val="00DD5ACA"/>
    <w:rsid w:val="00DD74BC"/>
    <w:rsid w:val="00DE0A8E"/>
    <w:rsid w:val="00DE1EA8"/>
    <w:rsid w:val="00DE39FD"/>
    <w:rsid w:val="00DF0743"/>
    <w:rsid w:val="00DF0A38"/>
    <w:rsid w:val="00DF379C"/>
    <w:rsid w:val="00DF380B"/>
    <w:rsid w:val="00DF4547"/>
    <w:rsid w:val="00E05BE1"/>
    <w:rsid w:val="00E068FE"/>
    <w:rsid w:val="00E07235"/>
    <w:rsid w:val="00E100FF"/>
    <w:rsid w:val="00E13C3E"/>
    <w:rsid w:val="00E142BC"/>
    <w:rsid w:val="00E15D64"/>
    <w:rsid w:val="00E22DF8"/>
    <w:rsid w:val="00E25DCE"/>
    <w:rsid w:val="00E27E4F"/>
    <w:rsid w:val="00E30D93"/>
    <w:rsid w:val="00E337BF"/>
    <w:rsid w:val="00E33C9F"/>
    <w:rsid w:val="00E3609E"/>
    <w:rsid w:val="00E41C8E"/>
    <w:rsid w:val="00E43308"/>
    <w:rsid w:val="00E43B73"/>
    <w:rsid w:val="00E44085"/>
    <w:rsid w:val="00E518B3"/>
    <w:rsid w:val="00E54BBF"/>
    <w:rsid w:val="00E56828"/>
    <w:rsid w:val="00E62A75"/>
    <w:rsid w:val="00E62AF5"/>
    <w:rsid w:val="00E62EDD"/>
    <w:rsid w:val="00E67EF9"/>
    <w:rsid w:val="00E71910"/>
    <w:rsid w:val="00E73A10"/>
    <w:rsid w:val="00E7575E"/>
    <w:rsid w:val="00E75861"/>
    <w:rsid w:val="00E77639"/>
    <w:rsid w:val="00E77D87"/>
    <w:rsid w:val="00E86001"/>
    <w:rsid w:val="00E863E4"/>
    <w:rsid w:val="00E87632"/>
    <w:rsid w:val="00E8784E"/>
    <w:rsid w:val="00E87C42"/>
    <w:rsid w:val="00E90E9A"/>
    <w:rsid w:val="00E95190"/>
    <w:rsid w:val="00E96B6B"/>
    <w:rsid w:val="00E979AB"/>
    <w:rsid w:val="00EA238A"/>
    <w:rsid w:val="00EA265F"/>
    <w:rsid w:val="00EA3A37"/>
    <w:rsid w:val="00EA3BE7"/>
    <w:rsid w:val="00EA7537"/>
    <w:rsid w:val="00EB0359"/>
    <w:rsid w:val="00EB21B0"/>
    <w:rsid w:val="00EB36B4"/>
    <w:rsid w:val="00EB45AE"/>
    <w:rsid w:val="00EB743D"/>
    <w:rsid w:val="00EC0E17"/>
    <w:rsid w:val="00EC39BC"/>
    <w:rsid w:val="00EC499C"/>
    <w:rsid w:val="00EC7336"/>
    <w:rsid w:val="00ED1879"/>
    <w:rsid w:val="00ED4C1B"/>
    <w:rsid w:val="00ED7E7A"/>
    <w:rsid w:val="00EE140B"/>
    <w:rsid w:val="00EE1549"/>
    <w:rsid w:val="00EE1C7F"/>
    <w:rsid w:val="00EE2DDF"/>
    <w:rsid w:val="00EE6214"/>
    <w:rsid w:val="00EF12EA"/>
    <w:rsid w:val="00EF3E02"/>
    <w:rsid w:val="00EF613A"/>
    <w:rsid w:val="00EF7862"/>
    <w:rsid w:val="00F04BCD"/>
    <w:rsid w:val="00F07D0D"/>
    <w:rsid w:val="00F10D9A"/>
    <w:rsid w:val="00F12616"/>
    <w:rsid w:val="00F15879"/>
    <w:rsid w:val="00F20E5E"/>
    <w:rsid w:val="00F21B8E"/>
    <w:rsid w:val="00F221E9"/>
    <w:rsid w:val="00F22F9F"/>
    <w:rsid w:val="00F24DDB"/>
    <w:rsid w:val="00F270CA"/>
    <w:rsid w:val="00F30C38"/>
    <w:rsid w:val="00F31D6A"/>
    <w:rsid w:val="00F41107"/>
    <w:rsid w:val="00F42945"/>
    <w:rsid w:val="00F5152C"/>
    <w:rsid w:val="00F541A4"/>
    <w:rsid w:val="00F576F7"/>
    <w:rsid w:val="00F61FFF"/>
    <w:rsid w:val="00F63833"/>
    <w:rsid w:val="00F64622"/>
    <w:rsid w:val="00F64996"/>
    <w:rsid w:val="00F67B58"/>
    <w:rsid w:val="00F716F5"/>
    <w:rsid w:val="00F72F44"/>
    <w:rsid w:val="00F73D97"/>
    <w:rsid w:val="00F76852"/>
    <w:rsid w:val="00F77987"/>
    <w:rsid w:val="00F80370"/>
    <w:rsid w:val="00F81CB7"/>
    <w:rsid w:val="00F8471A"/>
    <w:rsid w:val="00F867C9"/>
    <w:rsid w:val="00F86C1F"/>
    <w:rsid w:val="00F93784"/>
    <w:rsid w:val="00F94673"/>
    <w:rsid w:val="00F9604D"/>
    <w:rsid w:val="00FA04F2"/>
    <w:rsid w:val="00FA1159"/>
    <w:rsid w:val="00FA24C4"/>
    <w:rsid w:val="00FA2631"/>
    <w:rsid w:val="00FA4D6E"/>
    <w:rsid w:val="00FA6923"/>
    <w:rsid w:val="00FA750E"/>
    <w:rsid w:val="00FB09FF"/>
    <w:rsid w:val="00FB140C"/>
    <w:rsid w:val="00FB177B"/>
    <w:rsid w:val="00FB3AAE"/>
    <w:rsid w:val="00FB4A2A"/>
    <w:rsid w:val="00FB554C"/>
    <w:rsid w:val="00FB7B57"/>
    <w:rsid w:val="00FC04DE"/>
    <w:rsid w:val="00FC1B26"/>
    <w:rsid w:val="00FC1F27"/>
    <w:rsid w:val="00FC2396"/>
    <w:rsid w:val="00FC47E0"/>
    <w:rsid w:val="00FD0804"/>
    <w:rsid w:val="00FD144E"/>
    <w:rsid w:val="00FD2B9F"/>
    <w:rsid w:val="00FE11D7"/>
    <w:rsid w:val="00FE2466"/>
    <w:rsid w:val="00FE44B1"/>
    <w:rsid w:val="00FF04D7"/>
    <w:rsid w:val="00FF1AFF"/>
    <w:rsid w:val="00FF1EF5"/>
    <w:rsid w:val="00FF32EE"/>
    <w:rsid w:val="00FF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0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0">
    <w:name w:val="Text 1"/>
    <w:basedOn w:val="Normal"/>
    <w:rsid w:val="00517205"/>
    <w:pPr>
      <w:ind w:left="850"/>
    </w:pPr>
  </w:style>
  <w:style w:type="paragraph" w:customStyle="1" w:styleId="Text20">
    <w:name w:val="Text 2"/>
    <w:basedOn w:val="Normal"/>
    <w:rsid w:val="00517205"/>
    <w:pPr>
      <w:ind w:left="1417"/>
    </w:pPr>
  </w:style>
  <w:style w:type="paragraph" w:styleId="ListBullet4">
    <w:name w:val="List Bullet 4"/>
    <w:basedOn w:val="Normal"/>
    <w:uiPriority w:val="99"/>
    <w:rsid w:val="00571BD5"/>
    <w:pPr>
      <w:numPr>
        <w:numId w:val="2"/>
      </w:numPr>
    </w:pPr>
    <w:rPr>
      <w:rFonts w:eastAsia="Times New Roman"/>
      <w:lang w:eastAsia="de-DE"/>
    </w:rPr>
  </w:style>
  <w:style w:type="paragraph" w:styleId="ListNumber">
    <w:name w:val="List Number"/>
    <w:basedOn w:val="Normal"/>
    <w:uiPriority w:val="99"/>
    <w:rsid w:val="00571BD5"/>
    <w:pPr>
      <w:numPr>
        <w:numId w:val="6"/>
      </w:numPr>
    </w:pPr>
    <w:rPr>
      <w:rFonts w:eastAsia="Times New Roman"/>
      <w:lang w:eastAsia="de-DE"/>
    </w:rPr>
  </w:style>
  <w:style w:type="paragraph" w:customStyle="1" w:styleId="ListBullet1">
    <w:name w:val="List Bullet 1"/>
    <w:basedOn w:val="Normal"/>
    <w:rsid w:val="00571BD5"/>
    <w:pPr>
      <w:numPr>
        <w:numId w:val="1"/>
      </w:numPr>
    </w:pPr>
    <w:rPr>
      <w:rFonts w:eastAsia="Times New Roman"/>
      <w:lang w:eastAsia="de-DE"/>
    </w:rPr>
  </w:style>
  <w:style w:type="paragraph" w:customStyle="1" w:styleId="ListDash">
    <w:name w:val="List Dash"/>
    <w:basedOn w:val="Normal"/>
    <w:rsid w:val="00571BD5"/>
    <w:pPr>
      <w:numPr>
        <w:numId w:val="3"/>
      </w:numPr>
    </w:pPr>
    <w:rPr>
      <w:rFonts w:eastAsia="Times New Roman"/>
      <w:lang w:eastAsia="de-DE"/>
    </w:rPr>
  </w:style>
  <w:style w:type="paragraph" w:customStyle="1" w:styleId="ListDash1">
    <w:name w:val="List Dash 1"/>
    <w:basedOn w:val="Normal"/>
    <w:rsid w:val="00571BD5"/>
    <w:pPr>
      <w:numPr>
        <w:numId w:val="4"/>
      </w:numPr>
    </w:pPr>
    <w:rPr>
      <w:rFonts w:eastAsia="Times New Roman"/>
      <w:lang w:eastAsia="de-DE"/>
    </w:rPr>
  </w:style>
  <w:style w:type="paragraph" w:customStyle="1" w:styleId="ListDash2">
    <w:name w:val="List Dash 2"/>
    <w:basedOn w:val="Normal"/>
    <w:rsid w:val="00571BD5"/>
    <w:pPr>
      <w:numPr>
        <w:numId w:val="5"/>
      </w:numPr>
    </w:pPr>
    <w:rPr>
      <w:rFonts w:eastAsia="Times New Roman"/>
      <w:lang w:eastAsia="de-DE"/>
    </w:rPr>
  </w:style>
  <w:style w:type="paragraph" w:customStyle="1" w:styleId="ListNumberLevel2">
    <w:name w:val="List Number (Level 2)"/>
    <w:basedOn w:val="Normal"/>
    <w:rsid w:val="00571BD5"/>
    <w:pPr>
      <w:numPr>
        <w:ilvl w:val="1"/>
        <w:numId w:val="6"/>
      </w:numPr>
    </w:pPr>
    <w:rPr>
      <w:rFonts w:eastAsia="Times New Roman"/>
      <w:lang w:eastAsia="de-DE"/>
    </w:rPr>
  </w:style>
  <w:style w:type="paragraph" w:customStyle="1" w:styleId="ListNumberLevel3">
    <w:name w:val="List Number (Level 3)"/>
    <w:basedOn w:val="Normal"/>
    <w:rsid w:val="00571BD5"/>
    <w:pPr>
      <w:numPr>
        <w:ilvl w:val="2"/>
        <w:numId w:val="6"/>
      </w:numPr>
    </w:pPr>
    <w:rPr>
      <w:rFonts w:eastAsia="Times New Roman"/>
      <w:lang w:eastAsia="de-DE"/>
    </w:rPr>
  </w:style>
  <w:style w:type="paragraph" w:customStyle="1" w:styleId="ListNumberLevel4">
    <w:name w:val="List Number (Level 4)"/>
    <w:basedOn w:val="Normal"/>
    <w:rsid w:val="00571BD5"/>
    <w:pPr>
      <w:numPr>
        <w:ilvl w:val="3"/>
        <w:numId w:val="6"/>
      </w:numPr>
    </w:pPr>
    <w:rPr>
      <w:rFonts w:eastAsia="Times New Roman"/>
      <w:lang w:eastAsia="de-DE"/>
    </w:rPr>
  </w:style>
  <w:style w:type="table" w:styleId="TableGrid">
    <w:name w:val="Table Grid"/>
    <w:basedOn w:val="TableNormal"/>
    <w:rsid w:val="00571BD5"/>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1BD5"/>
    <w:rPr>
      <w:color w:val="0000FF"/>
      <w:u w:val="single"/>
    </w:rPr>
  </w:style>
  <w:style w:type="paragraph" w:styleId="ListBullet">
    <w:name w:val="List Bullet"/>
    <w:basedOn w:val="Normal"/>
    <w:uiPriority w:val="99"/>
    <w:rsid w:val="00571BD5"/>
    <w:pPr>
      <w:numPr>
        <w:numId w:val="7"/>
      </w:numPr>
    </w:pPr>
    <w:rPr>
      <w:rFonts w:eastAsia="Times New Roman"/>
      <w:lang w:val="fr-FR" w:eastAsia="en-GB"/>
    </w:rPr>
  </w:style>
  <w:style w:type="paragraph" w:styleId="ListBullet2">
    <w:name w:val="List Bullet 2"/>
    <w:basedOn w:val="Normal"/>
    <w:uiPriority w:val="99"/>
    <w:rsid w:val="00571BD5"/>
    <w:pPr>
      <w:numPr>
        <w:numId w:val="8"/>
      </w:numPr>
    </w:pPr>
    <w:rPr>
      <w:rFonts w:eastAsia="Times New Roman"/>
      <w:lang w:val="fr-FR" w:eastAsia="en-GB"/>
    </w:rPr>
  </w:style>
  <w:style w:type="paragraph" w:styleId="ListBullet3">
    <w:name w:val="List Bullet 3"/>
    <w:basedOn w:val="Normal"/>
    <w:uiPriority w:val="99"/>
    <w:rsid w:val="00571BD5"/>
    <w:pPr>
      <w:numPr>
        <w:numId w:val="9"/>
      </w:numPr>
    </w:pPr>
    <w:rPr>
      <w:rFonts w:eastAsia="Times New Roman"/>
      <w:lang w:val="fr-FR" w:eastAsia="en-GB"/>
    </w:rPr>
  </w:style>
  <w:style w:type="paragraph" w:styleId="ListNumber2">
    <w:name w:val="List Number 2"/>
    <w:basedOn w:val="Normal"/>
    <w:uiPriority w:val="99"/>
    <w:rsid w:val="00571BD5"/>
    <w:pPr>
      <w:numPr>
        <w:numId w:val="13"/>
      </w:numPr>
    </w:pPr>
    <w:rPr>
      <w:rFonts w:eastAsia="Times New Roman"/>
      <w:lang w:val="fr-FR" w:eastAsia="en-GB"/>
    </w:rPr>
  </w:style>
  <w:style w:type="paragraph" w:styleId="ListNumber3">
    <w:name w:val="List Number 3"/>
    <w:basedOn w:val="Normal"/>
    <w:uiPriority w:val="99"/>
    <w:rsid w:val="00571BD5"/>
    <w:pPr>
      <w:numPr>
        <w:numId w:val="14"/>
      </w:numPr>
    </w:pPr>
    <w:rPr>
      <w:rFonts w:eastAsia="Times New Roman"/>
      <w:lang w:val="fr-FR" w:eastAsia="en-GB"/>
    </w:rPr>
  </w:style>
  <w:style w:type="paragraph" w:styleId="ListNumber4">
    <w:name w:val="List Number 4"/>
    <w:basedOn w:val="Normal"/>
    <w:uiPriority w:val="99"/>
    <w:rsid w:val="00571BD5"/>
    <w:pPr>
      <w:numPr>
        <w:numId w:val="15"/>
      </w:numPr>
    </w:pPr>
    <w:rPr>
      <w:rFonts w:eastAsia="Times New Roman"/>
      <w:lang w:val="fr-FR" w:eastAsia="en-GB"/>
    </w:rPr>
  </w:style>
  <w:style w:type="paragraph" w:customStyle="1" w:styleId="ListDash3">
    <w:name w:val="List Dash 3"/>
    <w:basedOn w:val="Normal"/>
    <w:rsid w:val="00571BD5"/>
    <w:pPr>
      <w:numPr>
        <w:numId w:val="10"/>
      </w:numPr>
    </w:pPr>
    <w:rPr>
      <w:rFonts w:eastAsia="Times New Roman"/>
      <w:lang w:val="fr-FR" w:eastAsia="en-GB"/>
    </w:rPr>
  </w:style>
  <w:style w:type="paragraph" w:customStyle="1" w:styleId="ListDash4">
    <w:name w:val="List Dash 4"/>
    <w:basedOn w:val="Normal"/>
    <w:rsid w:val="00571BD5"/>
    <w:pPr>
      <w:numPr>
        <w:numId w:val="11"/>
      </w:numPr>
    </w:pPr>
    <w:rPr>
      <w:rFonts w:eastAsia="Times New Roman"/>
      <w:lang w:val="fr-FR" w:eastAsia="en-GB"/>
    </w:rPr>
  </w:style>
  <w:style w:type="paragraph" w:customStyle="1" w:styleId="ListNumber1">
    <w:name w:val="List Number 1"/>
    <w:basedOn w:val="Text10"/>
    <w:rsid w:val="00571BD5"/>
    <w:pPr>
      <w:numPr>
        <w:numId w:val="12"/>
      </w:numPr>
    </w:pPr>
    <w:rPr>
      <w:rFonts w:eastAsia="Times New Roman"/>
      <w:lang w:val="fr-FR" w:eastAsia="en-GB"/>
    </w:rPr>
  </w:style>
  <w:style w:type="paragraph" w:customStyle="1" w:styleId="ListNumber1Level2">
    <w:name w:val="List Number 1 (Level 2)"/>
    <w:basedOn w:val="Text10"/>
    <w:rsid w:val="00571BD5"/>
    <w:pPr>
      <w:numPr>
        <w:ilvl w:val="1"/>
        <w:numId w:val="12"/>
      </w:numPr>
    </w:pPr>
    <w:rPr>
      <w:rFonts w:eastAsia="Times New Roman"/>
      <w:lang w:val="fr-FR" w:eastAsia="en-GB"/>
    </w:rPr>
  </w:style>
  <w:style w:type="paragraph" w:customStyle="1" w:styleId="ListNumber2Level2">
    <w:name w:val="List Number 2 (Level 2)"/>
    <w:basedOn w:val="Text20"/>
    <w:rsid w:val="00571BD5"/>
    <w:pPr>
      <w:numPr>
        <w:ilvl w:val="1"/>
        <w:numId w:val="13"/>
      </w:numPr>
    </w:pPr>
    <w:rPr>
      <w:rFonts w:eastAsia="Times New Roman"/>
      <w:lang w:val="fr-FR" w:eastAsia="en-GB"/>
    </w:rPr>
  </w:style>
  <w:style w:type="paragraph" w:customStyle="1" w:styleId="ListNumber3Level2">
    <w:name w:val="List Number 3 (Level 2)"/>
    <w:basedOn w:val="Text3"/>
    <w:rsid w:val="00571BD5"/>
    <w:pPr>
      <w:numPr>
        <w:ilvl w:val="1"/>
        <w:numId w:val="14"/>
      </w:numPr>
    </w:pPr>
    <w:rPr>
      <w:rFonts w:eastAsia="Times New Roman"/>
      <w:lang w:val="fr-FR" w:eastAsia="en-GB"/>
    </w:rPr>
  </w:style>
  <w:style w:type="paragraph" w:customStyle="1" w:styleId="ListNumber4Level2">
    <w:name w:val="List Number 4 (Level 2)"/>
    <w:basedOn w:val="Text4"/>
    <w:rsid w:val="00571BD5"/>
    <w:pPr>
      <w:numPr>
        <w:ilvl w:val="1"/>
        <w:numId w:val="15"/>
      </w:numPr>
    </w:pPr>
    <w:rPr>
      <w:rFonts w:eastAsia="Times New Roman"/>
      <w:lang w:val="fr-FR" w:eastAsia="en-GB"/>
    </w:rPr>
  </w:style>
  <w:style w:type="paragraph" w:customStyle="1" w:styleId="ListNumber1Level3">
    <w:name w:val="List Number 1 (Level 3)"/>
    <w:basedOn w:val="Text10"/>
    <w:rsid w:val="00571BD5"/>
    <w:pPr>
      <w:numPr>
        <w:ilvl w:val="2"/>
        <w:numId w:val="12"/>
      </w:numPr>
    </w:pPr>
    <w:rPr>
      <w:rFonts w:eastAsia="Times New Roman"/>
      <w:lang w:val="fr-FR" w:eastAsia="en-GB"/>
    </w:rPr>
  </w:style>
  <w:style w:type="paragraph" w:customStyle="1" w:styleId="ListNumber2Level3">
    <w:name w:val="List Number 2 (Level 3)"/>
    <w:basedOn w:val="Text20"/>
    <w:rsid w:val="00571BD5"/>
    <w:pPr>
      <w:numPr>
        <w:ilvl w:val="2"/>
        <w:numId w:val="13"/>
      </w:numPr>
    </w:pPr>
    <w:rPr>
      <w:rFonts w:eastAsia="Times New Roman"/>
      <w:lang w:val="fr-FR" w:eastAsia="en-GB"/>
    </w:rPr>
  </w:style>
  <w:style w:type="paragraph" w:customStyle="1" w:styleId="ListNumber3Level3">
    <w:name w:val="List Number 3 (Level 3)"/>
    <w:basedOn w:val="Text3"/>
    <w:rsid w:val="00571BD5"/>
    <w:pPr>
      <w:numPr>
        <w:ilvl w:val="2"/>
        <w:numId w:val="14"/>
      </w:numPr>
    </w:pPr>
    <w:rPr>
      <w:rFonts w:eastAsia="Times New Roman"/>
      <w:lang w:val="fr-FR" w:eastAsia="en-GB"/>
    </w:rPr>
  </w:style>
  <w:style w:type="paragraph" w:customStyle="1" w:styleId="ListNumber4Level3">
    <w:name w:val="List Number 4 (Level 3)"/>
    <w:basedOn w:val="Text4"/>
    <w:rsid w:val="00571BD5"/>
    <w:pPr>
      <w:numPr>
        <w:ilvl w:val="2"/>
        <w:numId w:val="15"/>
      </w:numPr>
    </w:pPr>
    <w:rPr>
      <w:rFonts w:eastAsia="Times New Roman"/>
      <w:lang w:val="fr-FR" w:eastAsia="en-GB"/>
    </w:rPr>
  </w:style>
  <w:style w:type="paragraph" w:customStyle="1" w:styleId="ListNumber1Level4">
    <w:name w:val="List Number 1 (Level 4)"/>
    <w:basedOn w:val="Text10"/>
    <w:rsid w:val="00571BD5"/>
    <w:pPr>
      <w:numPr>
        <w:ilvl w:val="3"/>
        <w:numId w:val="12"/>
      </w:numPr>
    </w:pPr>
    <w:rPr>
      <w:rFonts w:eastAsia="Times New Roman"/>
      <w:lang w:val="fr-FR" w:eastAsia="en-GB"/>
    </w:rPr>
  </w:style>
  <w:style w:type="paragraph" w:customStyle="1" w:styleId="ListNumber2Level4">
    <w:name w:val="List Number 2 (Level 4)"/>
    <w:basedOn w:val="Text20"/>
    <w:rsid w:val="00571BD5"/>
    <w:pPr>
      <w:numPr>
        <w:ilvl w:val="3"/>
        <w:numId w:val="13"/>
      </w:numPr>
    </w:pPr>
    <w:rPr>
      <w:rFonts w:eastAsia="Times New Roman"/>
      <w:lang w:val="fr-FR" w:eastAsia="en-GB"/>
    </w:rPr>
  </w:style>
  <w:style w:type="paragraph" w:customStyle="1" w:styleId="ListNumber3Level4">
    <w:name w:val="List Number 3 (Level 4)"/>
    <w:basedOn w:val="Text3"/>
    <w:rsid w:val="00571BD5"/>
    <w:pPr>
      <w:numPr>
        <w:ilvl w:val="3"/>
        <w:numId w:val="14"/>
      </w:numPr>
    </w:pPr>
    <w:rPr>
      <w:rFonts w:eastAsia="Times New Roman"/>
      <w:lang w:val="fr-FR" w:eastAsia="en-GB"/>
    </w:rPr>
  </w:style>
  <w:style w:type="paragraph" w:customStyle="1" w:styleId="ListNumber4Level4">
    <w:name w:val="List Number 4 (Level 4)"/>
    <w:basedOn w:val="Text4"/>
    <w:rsid w:val="00571BD5"/>
    <w:pPr>
      <w:numPr>
        <w:ilvl w:val="3"/>
        <w:numId w:val="15"/>
      </w:numPr>
    </w:pPr>
    <w:rPr>
      <w:rFonts w:eastAsia="Times New Roman"/>
      <w:lang w:val="fr-FR" w:eastAsia="en-GB"/>
    </w:rPr>
  </w:style>
  <w:style w:type="paragraph" w:customStyle="1" w:styleId="Annexetitreacte">
    <w:name w:val="Annexe titre (acte)"/>
    <w:basedOn w:val="Normal"/>
    <w:next w:val="Normal"/>
    <w:rsid w:val="00571BD5"/>
    <w:pPr>
      <w:jc w:val="center"/>
    </w:pPr>
    <w:rPr>
      <w:rFonts w:eastAsia="Times New Roman"/>
      <w:b/>
      <w:u w:val="single"/>
      <w:lang w:val="fr-FR" w:eastAsia="en-GB"/>
    </w:rPr>
  </w:style>
  <w:style w:type="paragraph" w:customStyle="1" w:styleId="Annexetitreexposglobal">
    <w:name w:val="Annexe titre (exposé global)"/>
    <w:basedOn w:val="Normal"/>
    <w:next w:val="Normal"/>
    <w:rsid w:val="00571BD5"/>
    <w:pPr>
      <w:jc w:val="center"/>
    </w:pPr>
    <w:rPr>
      <w:rFonts w:eastAsia="Times New Roman"/>
      <w:b/>
      <w:u w:val="single"/>
      <w:lang w:val="fr-FR" w:eastAsia="en-GB"/>
    </w:rPr>
  </w:style>
  <w:style w:type="paragraph" w:customStyle="1" w:styleId="Annexetitrefichefinacte">
    <w:name w:val="Annexe titre (fiche fin. acte)"/>
    <w:basedOn w:val="Normal"/>
    <w:next w:val="Normal"/>
    <w:rsid w:val="00571BD5"/>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571BD5"/>
    <w:pPr>
      <w:jc w:val="center"/>
    </w:pPr>
    <w:rPr>
      <w:rFonts w:eastAsia="Times New Roman"/>
      <w:b/>
      <w:u w:val="single"/>
      <w:lang w:val="fr-FR" w:eastAsia="en-GB"/>
    </w:rPr>
  </w:style>
  <w:style w:type="paragraph" w:customStyle="1" w:styleId="Annexetitreglobale">
    <w:name w:val="Annexe titre (globale)"/>
    <w:basedOn w:val="Normal"/>
    <w:next w:val="Normal"/>
    <w:rsid w:val="00571BD5"/>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571BD5"/>
    <w:pPr>
      <w:jc w:val="center"/>
    </w:pPr>
    <w:rPr>
      <w:rFonts w:eastAsia="Times New Roman"/>
      <w:b/>
      <w:u w:val="single"/>
      <w:lang w:val="fr-FR" w:eastAsia="en-GB"/>
    </w:rPr>
  </w:style>
  <w:style w:type="paragraph" w:customStyle="1" w:styleId="Langueoriginale">
    <w:name w:val="Langue originale"/>
    <w:basedOn w:val="Normal"/>
    <w:rsid w:val="00571BD5"/>
    <w:pPr>
      <w:spacing w:before="360"/>
      <w:jc w:val="center"/>
    </w:pPr>
    <w:rPr>
      <w:rFonts w:eastAsia="Times New Roman"/>
      <w:caps/>
      <w:lang w:val="fr-FR" w:eastAsia="en-GB"/>
    </w:rPr>
  </w:style>
  <w:style w:type="paragraph" w:customStyle="1" w:styleId="Phrasefinale">
    <w:name w:val="Phrase finale"/>
    <w:basedOn w:val="Normal"/>
    <w:next w:val="Normal"/>
    <w:rsid w:val="00571BD5"/>
    <w:pPr>
      <w:spacing w:before="360" w:after="0"/>
      <w:jc w:val="center"/>
    </w:pPr>
    <w:rPr>
      <w:rFonts w:eastAsia="Times New Roman"/>
      <w:lang w:val="fr-FR" w:eastAsia="en-GB"/>
    </w:rPr>
  </w:style>
  <w:style w:type="paragraph" w:customStyle="1" w:styleId="Prliminairetitre">
    <w:name w:val="Préliminaire titre"/>
    <w:basedOn w:val="Normal"/>
    <w:next w:val="Normal"/>
    <w:rsid w:val="00571BD5"/>
    <w:pPr>
      <w:spacing w:before="360" w:after="360"/>
      <w:jc w:val="center"/>
    </w:pPr>
    <w:rPr>
      <w:rFonts w:eastAsia="Times New Roman"/>
      <w:b/>
      <w:lang w:val="fr-FR" w:eastAsia="en-GB"/>
    </w:rPr>
  </w:style>
  <w:style w:type="paragraph" w:customStyle="1" w:styleId="Prliminairetype">
    <w:name w:val="Préliminaire type"/>
    <w:basedOn w:val="Normal"/>
    <w:next w:val="Normal"/>
    <w:rsid w:val="00571BD5"/>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571BD5"/>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571BD5"/>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571BD5"/>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571BD5"/>
    <w:pPr>
      <w:spacing w:before="0" w:after="0"/>
      <w:jc w:val="center"/>
    </w:pPr>
    <w:rPr>
      <w:rFonts w:eastAsia="Times New Roman"/>
      <w:b/>
      <w:lang w:val="fr-FR" w:eastAsia="en-GB"/>
    </w:rPr>
  </w:style>
  <w:style w:type="paragraph" w:customStyle="1" w:styleId="Statutprliminaire">
    <w:name w:val="Statut (préliminaire)"/>
    <w:basedOn w:val="Normal"/>
    <w:next w:val="Normal"/>
    <w:rsid w:val="00571BD5"/>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571BD5"/>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571BD5"/>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571BD5"/>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571BD5"/>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571BD5"/>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571BD5"/>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571BD5"/>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571BD5"/>
    <w:pPr>
      <w:jc w:val="center"/>
    </w:pPr>
    <w:rPr>
      <w:rFonts w:eastAsia="Times New Roman"/>
      <w:b/>
      <w:u w:val="single"/>
      <w:lang w:val="fr-FR" w:eastAsia="en-GB"/>
    </w:rPr>
  </w:style>
  <w:style w:type="character" w:styleId="CommentReference">
    <w:name w:val="annotation reference"/>
    <w:uiPriority w:val="99"/>
    <w:rsid w:val="00571BD5"/>
    <w:rPr>
      <w:rFonts w:cs="Times New Roman"/>
      <w:sz w:val="16"/>
      <w:szCs w:val="16"/>
    </w:rPr>
  </w:style>
  <w:style w:type="paragraph" w:styleId="CommentText">
    <w:name w:val="annotation text"/>
    <w:basedOn w:val="Normal"/>
    <w:link w:val="CommentTextChar"/>
    <w:uiPriority w:val="99"/>
    <w:rsid w:val="00571BD5"/>
    <w:rPr>
      <w:rFonts w:eastAsia="Times New Roman"/>
      <w:sz w:val="20"/>
      <w:szCs w:val="20"/>
      <w:lang w:val="fr-FR" w:eastAsia="en-GB"/>
    </w:rPr>
  </w:style>
  <w:style w:type="character" w:customStyle="1" w:styleId="CommentTextChar">
    <w:name w:val="Comment Text Char"/>
    <w:basedOn w:val="DefaultParagraphFont"/>
    <w:link w:val="CommentText"/>
    <w:uiPriority w:val="99"/>
    <w:rsid w:val="00571BD5"/>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rsid w:val="00571BD5"/>
    <w:rPr>
      <w:b/>
      <w:bCs/>
    </w:rPr>
  </w:style>
  <w:style w:type="character" w:customStyle="1" w:styleId="CommentSubjectChar">
    <w:name w:val="Comment Subject Char"/>
    <w:basedOn w:val="CommentTextChar"/>
    <w:link w:val="CommentSubject"/>
    <w:uiPriority w:val="99"/>
    <w:rsid w:val="00571BD5"/>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rsid w:val="00571BD5"/>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uiPriority w:val="99"/>
    <w:rsid w:val="00571BD5"/>
    <w:rPr>
      <w:rFonts w:ascii="Tahoma" w:eastAsia="Times New Roman" w:hAnsi="Tahoma" w:cs="Tahoma"/>
      <w:sz w:val="16"/>
      <w:szCs w:val="16"/>
      <w:lang w:val="fr-FR" w:eastAsia="en-GB"/>
    </w:rPr>
  </w:style>
  <w:style w:type="paragraph" w:styleId="Caption">
    <w:name w:val="caption"/>
    <w:basedOn w:val="Normal"/>
    <w:next w:val="Normal"/>
    <w:uiPriority w:val="35"/>
    <w:qFormat/>
    <w:rsid w:val="00571BD5"/>
    <w:rPr>
      <w:rFonts w:eastAsia="Times New Roman"/>
      <w:b/>
      <w:bCs/>
      <w:sz w:val="20"/>
      <w:szCs w:val="20"/>
      <w:lang w:val="fr-FR" w:eastAsia="en-GB"/>
    </w:rPr>
  </w:style>
  <w:style w:type="paragraph" w:styleId="TableofFigures">
    <w:name w:val="table of figures"/>
    <w:basedOn w:val="Normal"/>
    <w:next w:val="Normal"/>
    <w:uiPriority w:val="99"/>
    <w:rsid w:val="00571BD5"/>
    <w:rPr>
      <w:rFonts w:eastAsia="Times New Roman"/>
      <w:lang w:val="fr-FR" w:eastAsia="en-GB"/>
    </w:rPr>
  </w:style>
  <w:style w:type="character" w:styleId="PageNumber">
    <w:name w:val="page number"/>
    <w:rsid w:val="00571BD5"/>
  </w:style>
  <w:style w:type="character" w:customStyle="1" w:styleId="tw4winMark">
    <w:name w:val="tw4winMark"/>
    <w:rsid w:val="00571BD5"/>
    <w:rPr>
      <w:vanish/>
      <w:color w:val="800080"/>
      <w:vertAlign w:val="subscript"/>
    </w:rPr>
  </w:style>
  <w:style w:type="character" w:styleId="FollowedHyperlink">
    <w:name w:val="FollowedHyperlink"/>
    <w:uiPriority w:val="99"/>
    <w:rsid w:val="00571BD5"/>
    <w:rPr>
      <w:color w:val="800080"/>
      <w:u w:val="single"/>
    </w:rPr>
  </w:style>
  <w:style w:type="paragraph" w:customStyle="1" w:styleId="Sous-titreobjet">
    <w:name w:val="Sous-titre objet"/>
    <w:basedOn w:val="Normal"/>
    <w:rsid w:val="00571BD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571BD5"/>
  </w:style>
  <w:style w:type="paragraph" w:styleId="Revision">
    <w:name w:val="Revision"/>
    <w:hidden/>
    <w:uiPriority w:val="99"/>
    <w:semiHidden/>
    <w:rsid w:val="00571BD5"/>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571BD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571BD5"/>
    <w:rPr>
      <w:rFonts w:ascii="Times New Roman" w:hAnsi="Times New Roman" w:cs="Times New Roman"/>
      <w:b/>
      <w:sz w:val="28"/>
      <w:lang w:val="en-GB"/>
    </w:rPr>
  </w:style>
  <w:style w:type="character" w:customStyle="1" w:styleId="FooterCoverPageChar">
    <w:name w:val="Footer Cover Page Char"/>
    <w:link w:val="FooterCoverPage"/>
    <w:rsid w:val="00571BD5"/>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571BD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571BD5"/>
    <w:rPr>
      <w:rFonts w:ascii="Times New Roman" w:eastAsia="Calibri" w:hAnsi="Times New Roman" w:cs="Times New Roman"/>
      <w:sz w:val="24"/>
      <w:lang w:val="en-GB" w:eastAsia="en-GB"/>
    </w:rPr>
  </w:style>
  <w:style w:type="paragraph" w:styleId="ListParagraph">
    <w:name w:val="List Paragraph"/>
    <w:aliases w:val="heading ONTENT,List Paragraph12,F5 List Paragraph,Heading 2_sj,1st level - Bullet List Paragraph,Lettre d'introduction,Numbered Para 1,Dot pt,No Spacing1,List Paragraph Char Char Char,Indicator Text,List Paragraph1,Bullet Points"/>
    <w:basedOn w:val="Normal"/>
    <w:link w:val="ListParagraphChar"/>
    <w:uiPriority w:val="34"/>
    <w:qFormat/>
    <w:rsid w:val="006537B0"/>
    <w:pPr>
      <w:ind w:left="720"/>
      <w:contextualSpacing/>
    </w:pPr>
  </w:style>
  <w:style w:type="paragraph" w:customStyle="1" w:styleId="Default">
    <w:name w:val="Default"/>
    <w:link w:val="DefaultChar"/>
    <w:qFormat/>
    <w:rsid w:val="0034744A"/>
    <w:pPr>
      <w:autoSpaceDE w:val="0"/>
      <w:autoSpaceDN w:val="0"/>
      <w:adjustRightInd w:val="0"/>
      <w:spacing w:after="0" w:line="240" w:lineRule="auto"/>
    </w:pPr>
    <w:rPr>
      <w:rFonts w:ascii="EUAlbertina" w:hAnsi="EUAlbertina" w:cs="EUAlbertina"/>
      <w:color w:val="000000"/>
      <w:sz w:val="24"/>
      <w:szCs w:val="24"/>
      <w:lang w:val="de-DE"/>
    </w:rPr>
  </w:style>
  <w:style w:type="paragraph" w:customStyle="1" w:styleId="Considerant">
    <w:name w:val="Considerant"/>
    <w:basedOn w:val="Normal"/>
    <w:rsid w:val="00B87047"/>
    <w:pPr>
      <w:spacing w:before="100" w:beforeAutospacing="1" w:after="100" w:afterAutospacing="1"/>
    </w:pPr>
    <w:rPr>
      <w:rFonts w:eastAsia="Times New Roman"/>
      <w:szCs w:val="24"/>
      <w:lang w:val="en-IE" w:eastAsia="de-DE"/>
    </w:rPr>
  </w:style>
  <w:style w:type="paragraph" w:customStyle="1" w:styleId="ListParagraph2">
    <w:name w:val="List Paragraph 2"/>
    <w:basedOn w:val="ListParagraph"/>
    <w:rsid w:val="00867114"/>
    <w:pPr>
      <w:numPr>
        <w:numId w:val="16"/>
      </w:numPr>
      <w:pBdr>
        <w:top w:val="nil"/>
        <w:left w:val="nil"/>
        <w:bottom w:val="nil"/>
        <w:right w:val="nil"/>
        <w:between w:val="nil"/>
        <w:bar w:val="nil"/>
      </w:pBdr>
      <w:spacing w:before="100" w:beforeAutospacing="1" w:after="100" w:afterAutospacing="1"/>
      <w:contextualSpacing w:val="0"/>
      <w:jc w:val="left"/>
    </w:pPr>
    <w:rPr>
      <w:rFonts w:eastAsia="Times New Roman"/>
      <w:szCs w:val="24"/>
      <w:lang w:val="en-IE" w:eastAsia="de-DE"/>
    </w:rPr>
  </w:style>
  <w:style w:type="paragraph" w:customStyle="1" w:styleId="ListParagraph3">
    <w:name w:val="List Paragraph 3"/>
    <w:basedOn w:val="ListParagraph2"/>
    <w:rsid w:val="00867114"/>
  </w:style>
  <w:style w:type="paragraph" w:customStyle="1" w:styleId="tbl-num">
    <w:name w:val="tbl-num"/>
    <w:basedOn w:val="Normal"/>
    <w:rsid w:val="00F72F44"/>
    <w:pPr>
      <w:spacing w:before="100" w:beforeAutospacing="1" w:after="100" w:afterAutospacing="1"/>
      <w:jc w:val="left"/>
    </w:pPr>
    <w:rPr>
      <w:rFonts w:eastAsia="Times New Roman"/>
      <w:szCs w:val="24"/>
      <w:lang w:val="de-DE" w:eastAsia="de-DE"/>
    </w:rPr>
  </w:style>
  <w:style w:type="paragraph" w:customStyle="1" w:styleId="numpar10">
    <w:name w:val="numpar 1"/>
    <w:basedOn w:val="ListParagraph"/>
    <w:rsid w:val="0070471F"/>
    <w:pPr>
      <w:pBdr>
        <w:top w:val="nil"/>
        <w:left w:val="nil"/>
        <w:bottom w:val="nil"/>
        <w:right w:val="nil"/>
        <w:between w:val="nil"/>
        <w:bar w:val="nil"/>
      </w:pBdr>
      <w:spacing w:before="0" w:after="200" w:line="276" w:lineRule="auto"/>
      <w:contextualSpacing w:val="0"/>
      <w:jc w:val="left"/>
    </w:pPr>
    <w:rPr>
      <w:rFonts w:ascii="Calibri" w:eastAsia="Arial Unicode MS" w:hAnsi="Calibri" w:cs="Arial Unicode MS"/>
      <w:color w:val="000000"/>
      <w:sz w:val="22"/>
      <w:u w:color="000000"/>
      <w:bdr w:val="nil"/>
      <w:lang w:val="en-US" w:eastAsia="en-GB"/>
    </w:rPr>
  </w:style>
  <w:style w:type="character" w:customStyle="1" w:styleId="sp-normal">
    <w:name w:val="sp-normal"/>
    <w:basedOn w:val="DefaultParagraphFont"/>
    <w:rsid w:val="008A4EA2"/>
  </w:style>
  <w:style w:type="paragraph" w:customStyle="1" w:styleId="Point1letter0">
    <w:name w:val="Point1 (letter)"/>
    <w:basedOn w:val="Point0letter"/>
    <w:rsid w:val="00494DE8"/>
  </w:style>
  <w:style w:type="paragraph" w:customStyle="1" w:styleId="Trext1">
    <w:name w:val="Trext1"/>
    <w:basedOn w:val="Normal"/>
    <w:rsid w:val="00C615A7"/>
    <w:pPr>
      <w:spacing w:after="0"/>
    </w:pPr>
    <w:rPr>
      <w:rFonts w:eastAsia="Times New Roman"/>
      <w:szCs w:val="24"/>
      <w:lang w:val="en-IE" w:eastAsia="de-DE"/>
    </w:rPr>
  </w:style>
  <w:style w:type="character" w:customStyle="1" w:styleId="UnresolvedMention1">
    <w:name w:val="Unresolved Mention1"/>
    <w:basedOn w:val="DefaultParagraphFont"/>
    <w:uiPriority w:val="99"/>
    <w:semiHidden/>
    <w:unhideWhenUsed/>
    <w:rsid w:val="007F238A"/>
    <w:rPr>
      <w:color w:val="605E5C"/>
      <w:shd w:val="clear" w:color="auto" w:fill="E1DFDD"/>
    </w:rPr>
  </w:style>
  <w:style w:type="paragraph" w:customStyle="1" w:styleId="title-bold">
    <w:name w:val="title-bold"/>
    <w:basedOn w:val="Normal"/>
    <w:rsid w:val="00E62EDD"/>
    <w:pPr>
      <w:spacing w:before="100" w:beforeAutospacing="1" w:after="100" w:afterAutospacing="1"/>
      <w:jc w:val="left"/>
    </w:pPr>
    <w:rPr>
      <w:rFonts w:eastAsia="Times New Roman"/>
      <w:szCs w:val="24"/>
      <w:lang w:val="de-DE" w:eastAsia="de-DE"/>
    </w:rPr>
  </w:style>
  <w:style w:type="paragraph" w:styleId="NormalWeb">
    <w:name w:val="Normal (Web)"/>
    <w:basedOn w:val="Normal"/>
    <w:uiPriority w:val="99"/>
    <w:unhideWhenUsed/>
    <w:rsid w:val="00E62EDD"/>
    <w:pPr>
      <w:spacing w:before="100" w:beforeAutospacing="1" w:after="100" w:afterAutospacing="1"/>
      <w:jc w:val="left"/>
    </w:pPr>
    <w:rPr>
      <w:rFonts w:eastAsia="Times New Roman"/>
      <w:szCs w:val="24"/>
      <w:lang w:val="de-DE" w:eastAsia="de-DE"/>
    </w:rPr>
  </w:style>
  <w:style w:type="character" w:customStyle="1" w:styleId="Hyperlink8">
    <w:name w:val="Hyperlink.8"/>
    <w:basedOn w:val="DefaultParagraphFont"/>
    <w:rsid w:val="001C7855"/>
  </w:style>
  <w:style w:type="character" w:customStyle="1" w:styleId="None">
    <w:name w:val="None"/>
    <w:rsid w:val="001C7855"/>
  </w:style>
  <w:style w:type="character" w:customStyle="1" w:styleId="ListParagraphChar">
    <w:name w:val="List Paragraph Char"/>
    <w:aliases w:val="heading ONTENT Char,List Paragraph12 Char,F5 List Paragraph Char,Heading 2_sj Char,1st level - Bullet List Paragraph Char,Lettre d'introduction Char,Numbered Para 1 Char,Dot pt Char,No Spacing1 Char,List Paragraph Char Char Char Char"/>
    <w:basedOn w:val="DefaultParagraphFont"/>
    <w:link w:val="ListParagraph"/>
    <w:uiPriority w:val="34"/>
    <w:qFormat/>
    <w:rsid w:val="004755EE"/>
    <w:rPr>
      <w:rFonts w:ascii="Times New Roman" w:hAnsi="Times New Roman" w:cs="Times New Roman"/>
      <w:sz w:val="24"/>
      <w:lang w:val="en-GB"/>
    </w:rPr>
  </w:style>
  <w:style w:type="paragraph" w:customStyle="1" w:styleId="Body">
    <w:name w:val="Body"/>
    <w:aliases w:val="AFW Body"/>
    <w:basedOn w:val="Normal"/>
    <w:link w:val="BodyChar"/>
    <w:qFormat/>
    <w:rsid w:val="004755EE"/>
    <w:pPr>
      <w:suppressAutoHyphens/>
      <w:spacing w:before="0" w:after="0" w:line="260" w:lineRule="atLeast"/>
      <w:jc w:val="left"/>
    </w:pPr>
    <w:rPr>
      <w:rFonts w:ascii="Arial" w:eastAsia="Arial Unicode MS" w:hAnsi="Arial"/>
      <w:sz w:val="20"/>
      <w:szCs w:val="20"/>
    </w:rPr>
  </w:style>
  <w:style w:type="character" w:customStyle="1" w:styleId="Hyperlink1">
    <w:name w:val="Hyperlink.1"/>
    <w:basedOn w:val="DefaultParagraphFont"/>
    <w:rsid w:val="004755EE"/>
    <w:rPr>
      <w:rFonts w:ascii="Times New Roman" w:eastAsia="Times New Roman" w:hAnsi="Times New Roman" w:cs="Times New Roman"/>
      <w:color w:val="0000FF"/>
      <w:u w:val="single" w:color="0000FF"/>
      <w14:textOutline w14:w="0" w14:cap="rnd" w14:cmpd="sng" w14:algn="ctr">
        <w14:noFill/>
        <w14:prstDash w14:val="solid"/>
        <w14:bevel/>
      </w14:textOutline>
    </w:rPr>
  </w:style>
  <w:style w:type="paragraph" w:customStyle="1" w:styleId="Normal1">
    <w:name w:val="Normal1"/>
    <w:basedOn w:val="Normal"/>
    <w:rsid w:val="004755EE"/>
    <w:pPr>
      <w:spacing w:before="100" w:beforeAutospacing="1" w:after="100" w:afterAutospacing="1"/>
      <w:jc w:val="left"/>
    </w:pPr>
    <w:rPr>
      <w:rFonts w:eastAsia="Times New Roman"/>
      <w:szCs w:val="24"/>
      <w:lang w:val="en-IE" w:eastAsia="en-IE"/>
    </w:rPr>
  </w:style>
  <w:style w:type="character" w:styleId="Emphasis">
    <w:name w:val="Emphasis"/>
    <w:basedOn w:val="DefaultParagraphFont"/>
    <w:uiPriority w:val="20"/>
    <w:qFormat/>
    <w:rsid w:val="004755EE"/>
    <w:rPr>
      <w:i/>
      <w:iCs/>
    </w:rPr>
  </w:style>
  <w:style w:type="character" w:customStyle="1" w:styleId="DefaultChar">
    <w:name w:val="Default Char"/>
    <w:basedOn w:val="DefaultParagraphFont"/>
    <w:link w:val="Default"/>
    <w:rsid w:val="004755EE"/>
    <w:rPr>
      <w:rFonts w:ascii="EUAlbertina" w:hAnsi="EUAlbertina" w:cs="EUAlbertina"/>
      <w:color w:val="000000"/>
      <w:sz w:val="24"/>
      <w:szCs w:val="24"/>
      <w:lang w:val="de-DE"/>
    </w:rPr>
  </w:style>
  <w:style w:type="character" w:customStyle="1" w:styleId="BodyChar">
    <w:name w:val="Body Char"/>
    <w:link w:val="Body"/>
    <w:rsid w:val="004755EE"/>
    <w:rPr>
      <w:rFonts w:ascii="Arial" w:eastAsia="Arial Unicode MS" w:hAnsi="Arial" w:cs="Times New Roman"/>
      <w:sz w:val="20"/>
      <w:szCs w:val="20"/>
      <w:lang w:val="en-GB"/>
    </w:rPr>
  </w:style>
  <w:style w:type="character" w:customStyle="1" w:styleId="sub">
    <w:name w:val="sub"/>
    <w:basedOn w:val="DefaultParagraphFont"/>
    <w:rsid w:val="0031217B"/>
  </w:style>
  <w:style w:type="character" w:customStyle="1" w:styleId="UnresolvedMention2">
    <w:name w:val="Unresolved Mention2"/>
    <w:basedOn w:val="DefaultParagraphFont"/>
    <w:uiPriority w:val="99"/>
    <w:semiHidden/>
    <w:unhideWhenUsed/>
    <w:rsid w:val="005F411E"/>
    <w:rPr>
      <w:color w:val="605E5C"/>
      <w:shd w:val="clear" w:color="auto" w:fill="E1DFDD"/>
    </w:rPr>
  </w:style>
  <w:style w:type="character" w:customStyle="1" w:styleId="UnresolvedMention3">
    <w:name w:val="Unresolved Mention3"/>
    <w:basedOn w:val="DefaultParagraphFont"/>
    <w:uiPriority w:val="99"/>
    <w:semiHidden/>
    <w:unhideWhenUsed/>
    <w:rsid w:val="00FC47E0"/>
    <w:rPr>
      <w:color w:val="605E5C"/>
      <w:shd w:val="clear" w:color="auto" w:fill="E1DFDD"/>
    </w:rPr>
  </w:style>
  <w:style w:type="character" w:customStyle="1" w:styleId="Mention1">
    <w:name w:val="Mention1"/>
    <w:basedOn w:val="DefaultParagraphFont"/>
    <w:uiPriority w:val="99"/>
    <w:unhideWhenUsed/>
    <w:rsid w:val="008F2B7C"/>
    <w:rPr>
      <w:color w:val="2B579A"/>
      <w:shd w:val="clear" w:color="auto" w:fill="E1DFDD"/>
    </w:rPr>
  </w:style>
  <w:style w:type="character" w:customStyle="1" w:styleId="normaltextrun">
    <w:name w:val="normaltextrun"/>
    <w:basedOn w:val="DefaultParagraphFont"/>
    <w:rsid w:val="00AF6F64"/>
  </w:style>
  <w:style w:type="paragraph" w:customStyle="1" w:styleId="text11">
    <w:name w:val="text1"/>
    <w:basedOn w:val="Normal"/>
    <w:rsid w:val="0085551C"/>
    <w:pPr>
      <w:ind w:left="850"/>
    </w:pPr>
    <w:rPr>
      <w:szCs w:val="24"/>
      <w:lang w:val="en-IE" w:eastAsia="en-IE"/>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010">
      <w:bodyDiv w:val="1"/>
      <w:marLeft w:val="0"/>
      <w:marRight w:val="0"/>
      <w:marTop w:val="0"/>
      <w:marBottom w:val="0"/>
      <w:divBdr>
        <w:top w:val="none" w:sz="0" w:space="0" w:color="auto"/>
        <w:left w:val="none" w:sz="0" w:space="0" w:color="auto"/>
        <w:bottom w:val="none" w:sz="0" w:space="0" w:color="auto"/>
        <w:right w:val="none" w:sz="0" w:space="0" w:color="auto"/>
      </w:divBdr>
    </w:div>
    <w:div w:id="40636160">
      <w:bodyDiv w:val="1"/>
      <w:marLeft w:val="0"/>
      <w:marRight w:val="0"/>
      <w:marTop w:val="0"/>
      <w:marBottom w:val="0"/>
      <w:divBdr>
        <w:top w:val="none" w:sz="0" w:space="0" w:color="auto"/>
        <w:left w:val="none" w:sz="0" w:space="0" w:color="auto"/>
        <w:bottom w:val="none" w:sz="0" w:space="0" w:color="auto"/>
        <w:right w:val="none" w:sz="0" w:space="0" w:color="auto"/>
      </w:divBdr>
    </w:div>
    <w:div w:id="52000715">
      <w:bodyDiv w:val="1"/>
      <w:marLeft w:val="0"/>
      <w:marRight w:val="0"/>
      <w:marTop w:val="0"/>
      <w:marBottom w:val="0"/>
      <w:divBdr>
        <w:top w:val="none" w:sz="0" w:space="0" w:color="auto"/>
        <w:left w:val="none" w:sz="0" w:space="0" w:color="auto"/>
        <w:bottom w:val="none" w:sz="0" w:space="0" w:color="auto"/>
        <w:right w:val="none" w:sz="0" w:space="0" w:color="auto"/>
      </w:divBdr>
    </w:div>
    <w:div w:id="59987445">
      <w:bodyDiv w:val="1"/>
      <w:marLeft w:val="0"/>
      <w:marRight w:val="0"/>
      <w:marTop w:val="0"/>
      <w:marBottom w:val="0"/>
      <w:divBdr>
        <w:top w:val="none" w:sz="0" w:space="0" w:color="auto"/>
        <w:left w:val="none" w:sz="0" w:space="0" w:color="auto"/>
        <w:bottom w:val="none" w:sz="0" w:space="0" w:color="auto"/>
        <w:right w:val="none" w:sz="0" w:space="0" w:color="auto"/>
      </w:divBdr>
    </w:div>
    <w:div w:id="168104601">
      <w:bodyDiv w:val="1"/>
      <w:marLeft w:val="0"/>
      <w:marRight w:val="0"/>
      <w:marTop w:val="0"/>
      <w:marBottom w:val="0"/>
      <w:divBdr>
        <w:top w:val="none" w:sz="0" w:space="0" w:color="auto"/>
        <w:left w:val="none" w:sz="0" w:space="0" w:color="auto"/>
        <w:bottom w:val="none" w:sz="0" w:space="0" w:color="auto"/>
        <w:right w:val="none" w:sz="0" w:space="0" w:color="auto"/>
      </w:divBdr>
    </w:div>
    <w:div w:id="285357432">
      <w:bodyDiv w:val="1"/>
      <w:marLeft w:val="0"/>
      <w:marRight w:val="0"/>
      <w:marTop w:val="0"/>
      <w:marBottom w:val="0"/>
      <w:divBdr>
        <w:top w:val="none" w:sz="0" w:space="0" w:color="auto"/>
        <w:left w:val="none" w:sz="0" w:space="0" w:color="auto"/>
        <w:bottom w:val="none" w:sz="0" w:space="0" w:color="auto"/>
        <w:right w:val="none" w:sz="0" w:space="0" w:color="auto"/>
      </w:divBdr>
    </w:div>
    <w:div w:id="368073367">
      <w:bodyDiv w:val="1"/>
      <w:marLeft w:val="0"/>
      <w:marRight w:val="0"/>
      <w:marTop w:val="0"/>
      <w:marBottom w:val="0"/>
      <w:divBdr>
        <w:top w:val="none" w:sz="0" w:space="0" w:color="auto"/>
        <w:left w:val="none" w:sz="0" w:space="0" w:color="auto"/>
        <w:bottom w:val="none" w:sz="0" w:space="0" w:color="auto"/>
        <w:right w:val="none" w:sz="0" w:space="0" w:color="auto"/>
      </w:divBdr>
    </w:div>
    <w:div w:id="493300252">
      <w:bodyDiv w:val="1"/>
      <w:marLeft w:val="0"/>
      <w:marRight w:val="0"/>
      <w:marTop w:val="0"/>
      <w:marBottom w:val="0"/>
      <w:divBdr>
        <w:top w:val="none" w:sz="0" w:space="0" w:color="auto"/>
        <w:left w:val="none" w:sz="0" w:space="0" w:color="auto"/>
        <w:bottom w:val="none" w:sz="0" w:space="0" w:color="auto"/>
        <w:right w:val="none" w:sz="0" w:space="0" w:color="auto"/>
      </w:divBdr>
    </w:div>
    <w:div w:id="584143911">
      <w:bodyDiv w:val="1"/>
      <w:marLeft w:val="0"/>
      <w:marRight w:val="0"/>
      <w:marTop w:val="0"/>
      <w:marBottom w:val="0"/>
      <w:divBdr>
        <w:top w:val="none" w:sz="0" w:space="0" w:color="auto"/>
        <w:left w:val="none" w:sz="0" w:space="0" w:color="auto"/>
        <w:bottom w:val="none" w:sz="0" w:space="0" w:color="auto"/>
        <w:right w:val="none" w:sz="0" w:space="0" w:color="auto"/>
      </w:divBdr>
    </w:div>
    <w:div w:id="727459131">
      <w:bodyDiv w:val="1"/>
      <w:marLeft w:val="0"/>
      <w:marRight w:val="0"/>
      <w:marTop w:val="0"/>
      <w:marBottom w:val="0"/>
      <w:divBdr>
        <w:top w:val="none" w:sz="0" w:space="0" w:color="auto"/>
        <w:left w:val="none" w:sz="0" w:space="0" w:color="auto"/>
        <w:bottom w:val="none" w:sz="0" w:space="0" w:color="auto"/>
        <w:right w:val="none" w:sz="0" w:space="0" w:color="auto"/>
      </w:divBdr>
    </w:div>
    <w:div w:id="904753519">
      <w:bodyDiv w:val="1"/>
      <w:marLeft w:val="0"/>
      <w:marRight w:val="0"/>
      <w:marTop w:val="0"/>
      <w:marBottom w:val="0"/>
      <w:divBdr>
        <w:top w:val="none" w:sz="0" w:space="0" w:color="auto"/>
        <w:left w:val="none" w:sz="0" w:space="0" w:color="auto"/>
        <w:bottom w:val="none" w:sz="0" w:space="0" w:color="auto"/>
        <w:right w:val="none" w:sz="0" w:space="0" w:color="auto"/>
      </w:divBdr>
    </w:div>
    <w:div w:id="982661261">
      <w:bodyDiv w:val="1"/>
      <w:marLeft w:val="0"/>
      <w:marRight w:val="0"/>
      <w:marTop w:val="0"/>
      <w:marBottom w:val="0"/>
      <w:divBdr>
        <w:top w:val="none" w:sz="0" w:space="0" w:color="auto"/>
        <w:left w:val="none" w:sz="0" w:space="0" w:color="auto"/>
        <w:bottom w:val="none" w:sz="0" w:space="0" w:color="auto"/>
        <w:right w:val="none" w:sz="0" w:space="0" w:color="auto"/>
      </w:divBdr>
    </w:div>
    <w:div w:id="1122502928">
      <w:bodyDiv w:val="1"/>
      <w:marLeft w:val="0"/>
      <w:marRight w:val="0"/>
      <w:marTop w:val="0"/>
      <w:marBottom w:val="0"/>
      <w:divBdr>
        <w:top w:val="none" w:sz="0" w:space="0" w:color="auto"/>
        <w:left w:val="none" w:sz="0" w:space="0" w:color="auto"/>
        <w:bottom w:val="none" w:sz="0" w:space="0" w:color="auto"/>
        <w:right w:val="none" w:sz="0" w:space="0" w:color="auto"/>
      </w:divBdr>
    </w:div>
    <w:div w:id="1149401465">
      <w:bodyDiv w:val="1"/>
      <w:marLeft w:val="0"/>
      <w:marRight w:val="0"/>
      <w:marTop w:val="0"/>
      <w:marBottom w:val="0"/>
      <w:divBdr>
        <w:top w:val="none" w:sz="0" w:space="0" w:color="auto"/>
        <w:left w:val="none" w:sz="0" w:space="0" w:color="auto"/>
        <w:bottom w:val="none" w:sz="0" w:space="0" w:color="auto"/>
        <w:right w:val="none" w:sz="0" w:space="0" w:color="auto"/>
      </w:divBdr>
    </w:div>
    <w:div w:id="1178739060">
      <w:bodyDiv w:val="1"/>
      <w:marLeft w:val="0"/>
      <w:marRight w:val="0"/>
      <w:marTop w:val="0"/>
      <w:marBottom w:val="0"/>
      <w:divBdr>
        <w:top w:val="none" w:sz="0" w:space="0" w:color="auto"/>
        <w:left w:val="none" w:sz="0" w:space="0" w:color="auto"/>
        <w:bottom w:val="none" w:sz="0" w:space="0" w:color="auto"/>
        <w:right w:val="none" w:sz="0" w:space="0" w:color="auto"/>
      </w:divBdr>
    </w:div>
    <w:div w:id="1207916544">
      <w:bodyDiv w:val="1"/>
      <w:marLeft w:val="0"/>
      <w:marRight w:val="0"/>
      <w:marTop w:val="0"/>
      <w:marBottom w:val="0"/>
      <w:divBdr>
        <w:top w:val="none" w:sz="0" w:space="0" w:color="auto"/>
        <w:left w:val="none" w:sz="0" w:space="0" w:color="auto"/>
        <w:bottom w:val="none" w:sz="0" w:space="0" w:color="auto"/>
        <w:right w:val="none" w:sz="0" w:space="0" w:color="auto"/>
      </w:divBdr>
    </w:div>
    <w:div w:id="1211190838">
      <w:bodyDiv w:val="1"/>
      <w:marLeft w:val="0"/>
      <w:marRight w:val="0"/>
      <w:marTop w:val="0"/>
      <w:marBottom w:val="0"/>
      <w:divBdr>
        <w:top w:val="none" w:sz="0" w:space="0" w:color="auto"/>
        <w:left w:val="none" w:sz="0" w:space="0" w:color="auto"/>
        <w:bottom w:val="none" w:sz="0" w:space="0" w:color="auto"/>
        <w:right w:val="none" w:sz="0" w:space="0" w:color="auto"/>
      </w:divBdr>
    </w:div>
    <w:div w:id="1233662502">
      <w:bodyDiv w:val="1"/>
      <w:marLeft w:val="0"/>
      <w:marRight w:val="0"/>
      <w:marTop w:val="0"/>
      <w:marBottom w:val="0"/>
      <w:divBdr>
        <w:top w:val="none" w:sz="0" w:space="0" w:color="auto"/>
        <w:left w:val="none" w:sz="0" w:space="0" w:color="auto"/>
        <w:bottom w:val="none" w:sz="0" w:space="0" w:color="auto"/>
        <w:right w:val="none" w:sz="0" w:space="0" w:color="auto"/>
      </w:divBdr>
    </w:div>
    <w:div w:id="1381250774">
      <w:bodyDiv w:val="1"/>
      <w:marLeft w:val="0"/>
      <w:marRight w:val="0"/>
      <w:marTop w:val="0"/>
      <w:marBottom w:val="0"/>
      <w:divBdr>
        <w:top w:val="none" w:sz="0" w:space="0" w:color="auto"/>
        <w:left w:val="none" w:sz="0" w:space="0" w:color="auto"/>
        <w:bottom w:val="none" w:sz="0" w:space="0" w:color="auto"/>
        <w:right w:val="none" w:sz="0" w:space="0" w:color="auto"/>
      </w:divBdr>
    </w:div>
    <w:div w:id="1408840771">
      <w:bodyDiv w:val="1"/>
      <w:marLeft w:val="0"/>
      <w:marRight w:val="0"/>
      <w:marTop w:val="0"/>
      <w:marBottom w:val="0"/>
      <w:divBdr>
        <w:top w:val="none" w:sz="0" w:space="0" w:color="auto"/>
        <w:left w:val="none" w:sz="0" w:space="0" w:color="auto"/>
        <w:bottom w:val="none" w:sz="0" w:space="0" w:color="auto"/>
        <w:right w:val="none" w:sz="0" w:space="0" w:color="auto"/>
      </w:divBdr>
    </w:div>
    <w:div w:id="1526139109">
      <w:bodyDiv w:val="1"/>
      <w:marLeft w:val="0"/>
      <w:marRight w:val="0"/>
      <w:marTop w:val="0"/>
      <w:marBottom w:val="0"/>
      <w:divBdr>
        <w:top w:val="none" w:sz="0" w:space="0" w:color="auto"/>
        <w:left w:val="none" w:sz="0" w:space="0" w:color="auto"/>
        <w:bottom w:val="none" w:sz="0" w:space="0" w:color="auto"/>
        <w:right w:val="none" w:sz="0" w:space="0" w:color="auto"/>
      </w:divBdr>
    </w:div>
    <w:div w:id="1545368106">
      <w:bodyDiv w:val="1"/>
      <w:marLeft w:val="0"/>
      <w:marRight w:val="0"/>
      <w:marTop w:val="0"/>
      <w:marBottom w:val="0"/>
      <w:divBdr>
        <w:top w:val="none" w:sz="0" w:space="0" w:color="auto"/>
        <w:left w:val="none" w:sz="0" w:space="0" w:color="auto"/>
        <w:bottom w:val="none" w:sz="0" w:space="0" w:color="auto"/>
        <w:right w:val="none" w:sz="0" w:space="0" w:color="auto"/>
      </w:divBdr>
    </w:div>
    <w:div w:id="1550990252">
      <w:bodyDiv w:val="1"/>
      <w:marLeft w:val="0"/>
      <w:marRight w:val="0"/>
      <w:marTop w:val="0"/>
      <w:marBottom w:val="0"/>
      <w:divBdr>
        <w:top w:val="none" w:sz="0" w:space="0" w:color="auto"/>
        <w:left w:val="none" w:sz="0" w:space="0" w:color="auto"/>
        <w:bottom w:val="none" w:sz="0" w:space="0" w:color="auto"/>
        <w:right w:val="none" w:sz="0" w:space="0" w:color="auto"/>
      </w:divBdr>
    </w:div>
    <w:div w:id="160113962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701009422">
      <w:bodyDiv w:val="1"/>
      <w:marLeft w:val="0"/>
      <w:marRight w:val="0"/>
      <w:marTop w:val="0"/>
      <w:marBottom w:val="0"/>
      <w:divBdr>
        <w:top w:val="none" w:sz="0" w:space="0" w:color="auto"/>
        <w:left w:val="none" w:sz="0" w:space="0" w:color="auto"/>
        <w:bottom w:val="none" w:sz="0" w:space="0" w:color="auto"/>
        <w:right w:val="none" w:sz="0" w:space="0" w:color="auto"/>
      </w:divBdr>
    </w:div>
    <w:div w:id="1749186786">
      <w:bodyDiv w:val="1"/>
      <w:marLeft w:val="0"/>
      <w:marRight w:val="0"/>
      <w:marTop w:val="0"/>
      <w:marBottom w:val="0"/>
      <w:divBdr>
        <w:top w:val="none" w:sz="0" w:space="0" w:color="auto"/>
        <w:left w:val="none" w:sz="0" w:space="0" w:color="auto"/>
        <w:bottom w:val="none" w:sz="0" w:space="0" w:color="auto"/>
        <w:right w:val="none" w:sz="0" w:space="0" w:color="auto"/>
      </w:divBdr>
    </w:div>
    <w:div w:id="1806117381">
      <w:bodyDiv w:val="1"/>
      <w:marLeft w:val="0"/>
      <w:marRight w:val="0"/>
      <w:marTop w:val="0"/>
      <w:marBottom w:val="0"/>
      <w:divBdr>
        <w:top w:val="none" w:sz="0" w:space="0" w:color="auto"/>
        <w:left w:val="none" w:sz="0" w:space="0" w:color="auto"/>
        <w:bottom w:val="none" w:sz="0" w:space="0" w:color="auto"/>
        <w:right w:val="none" w:sz="0" w:space="0" w:color="auto"/>
      </w:divBdr>
    </w:div>
    <w:div w:id="2070883323">
      <w:bodyDiv w:val="1"/>
      <w:marLeft w:val="0"/>
      <w:marRight w:val="0"/>
      <w:marTop w:val="0"/>
      <w:marBottom w:val="0"/>
      <w:divBdr>
        <w:top w:val="none" w:sz="0" w:space="0" w:color="auto"/>
        <w:left w:val="none" w:sz="0" w:space="0" w:color="auto"/>
        <w:bottom w:val="none" w:sz="0" w:space="0" w:color="auto"/>
        <w:right w:val="none" w:sz="0" w:space="0" w:color="auto"/>
      </w:divBdr>
    </w:div>
    <w:div w:id="2092921171">
      <w:bodyDiv w:val="1"/>
      <w:marLeft w:val="0"/>
      <w:marRight w:val="0"/>
      <w:marTop w:val="0"/>
      <w:marBottom w:val="0"/>
      <w:divBdr>
        <w:top w:val="none" w:sz="0" w:space="0" w:color="auto"/>
        <w:left w:val="none" w:sz="0" w:space="0" w:color="auto"/>
        <w:bottom w:val="none" w:sz="0" w:space="0" w:color="auto"/>
        <w:right w:val="none" w:sz="0" w:space="0" w:color="auto"/>
      </w:divBdr>
    </w:div>
    <w:div w:id="21302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eur-lex.europa.eu/legal-content/EN/TXT/?uri=CELEX%3A52020DC0789"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legal-content/EN/TXT/?uri=CELEX%3A52022DC0230&amp;qid=1653466353078"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ur-lex.europa.eu/legal-content/EN/ALL/?uri=COM:2020:80:FIN" TargetMode="External"/><Relationship Id="rId20" Type="http://schemas.openxmlformats.org/officeDocument/2006/relationships/hyperlink" Target="https://eur-lex.europa.eu/legal-content/EN/ALL/?uri=COM:2021:550:FIN"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EN/TXT/?uri=COM%3A2019%3A640%3AFIN" TargetMode="Externa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s://ec.europa.eu/info/strategy/priorities-2019-2024/european-green-deal/delivering-european-green-deal_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ec.europa.eu/info/strategy/eu-budget/long-term-eu-budget/2021-2027/document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4F18F20-C000-4F61-B359-DB06F861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18108</Words>
  <Characters>99415</Characters>
  <Application>Microsoft Office Word</Application>
  <DocSecurity>4</DocSecurity>
  <Lines>2485</Lines>
  <Paragraphs>1199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2023-02-14T13:52:00Z</dcterms:created>
  <dcterms:modified xsi:type="dcterms:W3CDTF">2023-02-14T13:52:00Z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2023-02-14T09:01:52Z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bcdf6c7a-4661-496f-bb45-95bbced24a72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8.1, Build 20230124</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