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BE5E0" w14:textId="7F36178E" w:rsidR="008B6253" w:rsidRPr="00D3648A" w:rsidRDefault="00723DCE" w:rsidP="00723DCE">
      <w:pPr>
        <w:pStyle w:val="Pagedecouverture"/>
        <w:rPr>
          <w:noProof/>
        </w:rPr>
      </w:pPr>
      <w:bookmarkStart w:id="0" w:name="LW_BM_COVERPAGE"/>
      <w:r>
        <w:rPr>
          <w:noProof/>
        </w:rPr>
        <w:pict w14:anchorId="44FEF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32B4D043-D74C-42C0-9BDF-2D233896538E" style="width:455.25pt;height:433.5pt">
            <v:imagedata r:id="rId8" o:title=""/>
          </v:shape>
        </w:pict>
      </w:r>
    </w:p>
    <w:bookmarkEnd w:id="0"/>
    <w:p w14:paraId="01AEB2FF" w14:textId="77777777" w:rsidR="008B6253" w:rsidRPr="00D3648A" w:rsidRDefault="008B6253" w:rsidP="008B6253">
      <w:pPr>
        <w:rPr>
          <w:noProof/>
        </w:rPr>
        <w:sectPr w:rsidR="008B6253" w:rsidRPr="00D3648A" w:rsidSect="00723DCE">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26159457" w14:textId="77777777" w:rsidR="008B6253" w:rsidRPr="00D3648A" w:rsidRDefault="008B6253" w:rsidP="008B6253">
      <w:pPr>
        <w:pStyle w:val="TOCHeading"/>
        <w:rPr>
          <w:rFonts w:eastAsiaTheme="minorHAnsi"/>
          <w:b w:val="0"/>
          <w:noProof/>
          <w:sz w:val="24"/>
          <w:lang w:val="en-IE"/>
        </w:rPr>
      </w:pPr>
      <w:bookmarkStart w:id="1" w:name="_GoBack"/>
      <w:bookmarkEnd w:id="1"/>
    </w:p>
    <w:sdt>
      <w:sdtPr>
        <w:rPr>
          <w:rFonts w:eastAsiaTheme="minorHAnsi"/>
          <w:b w:val="0"/>
          <w:noProof/>
          <w:sz w:val="24"/>
        </w:rPr>
        <w:id w:val="-874687748"/>
        <w:docPartObj>
          <w:docPartGallery w:val="Table of Contents"/>
          <w:docPartUnique/>
        </w:docPartObj>
      </w:sdtPr>
      <w:sdtEndPr>
        <w:rPr>
          <w:bCs/>
          <w:sz w:val="22"/>
        </w:rPr>
      </w:sdtEndPr>
      <w:sdtContent>
        <w:p w14:paraId="24E88DD3" w14:textId="037208C6" w:rsidR="008B6253" w:rsidRPr="000A38FB" w:rsidRDefault="008B6253" w:rsidP="008B6253">
          <w:pPr>
            <w:pStyle w:val="TOCHeading"/>
            <w:rPr>
              <w:noProof/>
              <w:color w:val="034EA2"/>
            </w:rPr>
          </w:pPr>
          <w:r>
            <w:rPr>
              <w:noProof/>
              <w:color w:val="034EA2"/>
            </w:rPr>
            <w:t>Sisällysluettelo</w:t>
          </w:r>
        </w:p>
        <w:p w14:paraId="4AFCDCCD" w14:textId="1DDA75CF" w:rsidR="00126F39" w:rsidRDefault="008B6253">
          <w:pPr>
            <w:pStyle w:val="TOC1"/>
            <w:rPr>
              <w:rFonts w:asciiTheme="minorHAnsi" w:eastAsiaTheme="minorEastAsia" w:hAnsiTheme="minorHAnsi" w:cstheme="minorBidi"/>
              <w:noProof/>
              <w:szCs w:val="22"/>
              <w:lang w:val="en-US"/>
            </w:rPr>
          </w:pPr>
          <w:r>
            <w:rPr>
              <w:noProof/>
            </w:rPr>
            <w:fldChar w:fldCharType="begin"/>
          </w:r>
          <w:r>
            <w:rPr>
              <w:noProof/>
            </w:rPr>
            <w:instrText xml:space="preserve"> TOC \o "1-3" \h \z \u </w:instrText>
          </w:r>
          <w:r>
            <w:rPr>
              <w:noProof/>
            </w:rPr>
            <w:fldChar w:fldCharType="separate"/>
          </w:r>
          <w:hyperlink w:anchor="_Toc127532727" w:history="1">
            <w:r w:rsidR="00126F39" w:rsidRPr="00D91139">
              <w:rPr>
                <w:rStyle w:val="Hyperlink"/>
                <w:noProof/>
              </w:rPr>
              <w:t>1.</w:t>
            </w:r>
            <w:r w:rsidR="00126F39">
              <w:rPr>
                <w:rFonts w:asciiTheme="minorHAnsi" w:eastAsiaTheme="minorEastAsia" w:hAnsiTheme="minorHAnsi" w:cstheme="minorBidi"/>
                <w:noProof/>
                <w:szCs w:val="22"/>
                <w:lang w:val="en-US"/>
              </w:rPr>
              <w:tab/>
            </w:r>
            <w:r w:rsidR="00126F39" w:rsidRPr="00D91139">
              <w:rPr>
                <w:rStyle w:val="Hyperlink"/>
                <w:noProof/>
              </w:rPr>
              <w:t>Johdanto</w:t>
            </w:r>
            <w:r w:rsidR="00126F39">
              <w:rPr>
                <w:noProof/>
                <w:webHidden/>
              </w:rPr>
              <w:tab/>
            </w:r>
            <w:r w:rsidR="00126F39">
              <w:rPr>
                <w:noProof/>
                <w:webHidden/>
              </w:rPr>
              <w:fldChar w:fldCharType="begin"/>
            </w:r>
            <w:r w:rsidR="00126F39">
              <w:rPr>
                <w:noProof/>
                <w:webHidden/>
              </w:rPr>
              <w:instrText xml:space="preserve"> PAGEREF _Toc127532727 \h </w:instrText>
            </w:r>
            <w:r w:rsidR="00126F39">
              <w:rPr>
                <w:noProof/>
                <w:webHidden/>
              </w:rPr>
            </w:r>
            <w:r w:rsidR="00126F39">
              <w:rPr>
                <w:noProof/>
                <w:webHidden/>
              </w:rPr>
              <w:fldChar w:fldCharType="separate"/>
            </w:r>
            <w:r w:rsidR="00D02090">
              <w:rPr>
                <w:noProof/>
                <w:webHidden/>
              </w:rPr>
              <w:t>2</w:t>
            </w:r>
            <w:r w:rsidR="00126F39">
              <w:rPr>
                <w:noProof/>
                <w:webHidden/>
              </w:rPr>
              <w:fldChar w:fldCharType="end"/>
            </w:r>
          </w:hyperlink>
        </w:p>
        <w:p w14:paraId="61AF947D" w14:textId="7CF45FDC" w:rsidR="00126F39" w:rsidRDefault="00723DCE">
          <w:pPr>
            <w:pStyle w:val="TOC1"/>
            <w:rPr>
              <w:rFonts w:asciiTheme="minorHAnsi" w:eastAsiaTheme="minorEastAsia" w:hAnsiTheme="minorHAnsi" w:cstheme="minorBidi"/>
              <w:noProof/>
              <w:szCs w:val="22"/>
              <w:lang w:val="en-US"/>
            </w:rPr>
          </w:pPr>
          <w:hyperlink w:anchor="_Toc127532728" w:history="1">
            <w:r w:rsidR="00126F39" w:rsidRPr="00D91139">
              <w:rPr>
                <w:rStyle w:val="Hyperlink"/>
                <w:noProof/>
              </w:rPr>
              <w:t>2.</w:t>
            </w:r>
            <w:r w:rsidR="00126F39">
              <w:rPr>
                <w:rFonts w:asciiTheme="minorHAnsi" w:eastAsiaTheme="minorEastAsia" w:hAnsiTheme="minorHAnsi" w:cstheme="minorBidi"/>
                <w:noProof/>
                <w:szCs w:val="22"/>
                <w:lang w:val="en-US"/>
              </w:rPr>
              <w:tab/>
            </w:r>
            <w:r w:rsidR="00126F39" w:rsidRPr="00D91139">
              <w:rPr>
                <w:rStyle w:val="Hyperlink"/>
                <w:noProof/>
              </w:rPr>
              <w:t>NextGenerationEU-välineen lainanottotoimien toteuttaminen vuoden 2022 toisella puoliskolla</w:t>
            </w:r>
            <w:r w:rsidR="00126F39">
              <w:rPr>
                <w:noProof/>
                <w:webHidden/>
              </w:rPr>
              <w:tab/>
            </w:r>
            <w:r w:rsidR="00126F39">
              <w:rPr>
                <w:noProof/>
                <w:webHidden/>
              </w:rPr>
              <w:fldChar w:fldCharType="begin"/>
            </w:r>
            <w:r w:rsidR="00126F39">
              <w:rPr>
                <w:noProof/>
                <w:webHidden/>
              </w:rPr>
              <w:instrText xml:space="preserve"> PAGEREF _Toc127532728 \h </w:instrText>
            </w:r>
            <w:r w:rsidR="00126F39">
              <w:rPr>
                <w:noProof/>
                <w:webHidden/>
              </w:rPr>
            </w:r>
            <w:r w:rsidR="00126F39">
              <w:rPr>
                <w:noProof/>
                <w:webHidden/>
              </w:rPr>
              <w:fldChar w:fldCharType="separate"/>
            </w:r>
            <w:r w:rsidR="00D02090">
              <w:rPr>
                <w:noProof/>
                <w:webHidden/>
              </w:rPr>
              <w:t>3</w:t>
            </w:r>
            <w:r w:rsidR="00126F39">
              <w:rPr>
                <w:noProof/>
                <w:webHidden/>
              </w:rPr>
              <w:fldChar w:fldCharType="end"/>
            </w:r>
          </w:hyperlink>
        </w:p>
        <w:p w14:paraId="1865A33C" w14:textId="32A222E0" w:rsidR="00126F39" w:rsidRDefault="00723DCE">
          <w:pPr>
            <w:pStyle w:val="TOC1"/>
            <w:rPr>
              <w:rFonts w:asciiTheme="minorHAnsi" w:eastAsiaTheme="minorEastAsia" w:hAnsiTheme="minorHAnsi" w:cstheme="minorBidi"/>
              <w:noProof/>
              <w:szCs w:val="22"/>
              <w:lang w:val="en-US"/>
            </w:rPr>
          </w:pPr>
          <w:hyperlink w:anchor="_Toc127532732" w:history="1">
            <w:r w:rsidR="00126F39" w:rsidRPr="00D91139">
              <w:rPr>
                <w:rStyle w:val="Hyperlink"/>
                <w:noProof/>
              </w:rPr>
              <w:t>3.</w:t>
            </w:r>
            <w:r w:rsidR="00126F39">
              <w:rPr>
                <w:rFonts w:asciiTheme="minorHAnsi" w:eastAsiaTheme="minorEastAsia" w:hAnsiTheme="minorHAnsi" w:cstheme="minorBidi"/>
                <w:noProof/>
                <w:szCs w:val="22"/>
                <w:lang w:val="en-US"/>
              </w:rPr>
              <w:tab/>
            </w:r>
            <w:r w:rsidR="00126F39" w:rsidRPr="00D91139">
              <w:rPr>
                <w:rStyle w:val="Hyperlink"/>
                <w:noProof/>
              </w:rPr>
              <w:t>Varainhankintakustannukset ja likviditeettisaldot</w:t>
            </w:r>
            <w:r w:rsidR="00126F39">
              <w:rPr>
                <w:noProof/>
                <w:webHidden/>
              </w:rPr>
              <w:tab/>
            </w:r>
            <w:r w:rsidR="00126F39">
              <w:rPr>
                <w:noProof/>
                <w:webHidden/>
              </w:rPr>
              <w:fldChar w:fldCharType="begin"/>
            </w:r>
            <w:r w:rsidR="00126F39">
              <w:rPr>
                <w:noProof/>
                <w:webHidden/>
              </w:rPr>
              <w:instrText xml:space="preserve"> PAGEREF _Toc127532732 \h </w:instrText>
            </w:r>
            <w:r w:rsidR="00126F39">
              <w:rPr>
                <w:noProof/>
                <w:webHidden/>
              </w:rPr>
            </w:r>
            <w:r w:rsidR="00126F39">
              <w:rPr>
                <w:noProof/>
                <w:webHidden/>
              </w:rPr>
              <w:fldChar w:fldCharType="separate"/>
            </w:r>
            <w:r w:rsidR="00D02090">
              <w:rPr>
                <w:noProof/>
                <w:webHidden/>
              </w:rPr>
              <w:t>5</w:t>
            </w:r>
            <w:r w:rsidR="00126F39">
              <w:rPr>
                <w:noProof/>
                <w:webHidden/>
              </w:rPr>
              <w:fldChar w:fldCharType="end"/>
            </w:r>
          </w:hyperlink>
        </w:p>
        <w:p w14:paraId="353668E5" w14:textId="306E89D6" w:rsidR="00126F39" w:rsidRDefault="00723DCE">
          <w:pPr>
            <w:pStyle w:val="TOC1"/>
            <w:rPr>
              <w:rFonts w:asciiTheme="minorHAnsi" w:eastAsiaTheme="minorEastAsia" w:hAnsiTheme="minorHAnsi" w:cstheme="minorBidi"/>
              <w:noProof/>
              <w:szCs w:val="22"/>
              <w:lang w:val="en-US"/>
            </w:rPr>
          </w:pPr>
          <w:hyperlink w:anchor="_Toc127532736" w:history="1">
            <w:r w:rsidR="00126F39" w:rsidRPr="00D91139">
              <w:rPr>
                <w:rStyle w:val="Hyperlink"/>
                <w:noProof/>
              </w:rPr>
              <w:t>4.</w:t>
            </w:r>
            <w:r w:rsidR="00126F39">
              <w:rPr>
                <w:rFonts w:asciiTheme="minorHAnsi" w:eastAsiaTheme="minorEastAsia" w:hAnsiTheme="minorHAnsi" w:cstheme="minorBidi"/>
                <w:noProof/>
                <w:szCs w:val="22"/>
                <w:lang w:val="en-US"/>
              </w:rPr>
              <w:tab/>
            </w:r>
            <w:r w:rsidR="00126F39" w:rsidRPr="00D91139">
              <w:rPr>
                <w:rStyle w:val="Hyperlink"/>
                <w:noProof/>
              </w:rPr>
              <w:t>Muut vuoden 2022 toisella puoliskolla saavutetut välitavoitteet</w:t>
            </w:r>
            <w:r w:rsidR="00126F39">
              <w:rPr>
                <w:noProof/>
                <w:webHidden/>
              </w:rPr>
              <w:tab/>
            </w:r>
            <w:r w:rsidR="00126F39">
              <w:rPr>
                <w:noProof/>
                <w:webHidden/>
              </w:rPr>
              <w:fldChar w:fldCharType="begin"/>
            </w:r>
            <w:r w:rsidR="00126F39">
              <w:rPr>
                <w:noProof/>
                <w:webHidden/>
              </w:rPr>
              <w:instrText xml:space="preserve"> PAGEREF _Toc127532736 \h </w:instrText>
            </w:r>
            <w:r w:rsidR="00126F39">
              <w:rPr>
                <w:noProof/>
                <w:webHidden/>
              </w:rPr>
            </w:r>
            <w:r w:rsidR="00126F39">
              <w:rPr>
                <w:noProof/>
                <w:webHidden/>
              </w:rPr>
              <w:fldChar w:fldCharType="separate"/>
            </w:r>
            <w:r w:rsidR="00D02090">
              <w:rPr>
                <w:noProof/>
                <w:webHidden/>
              </w:rPr>
              <w:t>6</w:t>
            </w:r>
            <w:r w:rsidR="00126F39">
              <w:rPr>
                <w:noProof/>
                <w:webHidden/>
              </w:rPr>
              <w:fldChar w:fldCharType="end"/>
            </w:r>
          </w:hyperlink>
        </w:p>
        <w:p w14:paraId="40230AD3" w14:textId="7C0ECF46" w:rsidR="00126F39" w:rsidRDefault="00723DCE">
          <w:pPr>
            <w:pStyle w:val="TOC1"/>
            <w:rPr>
              <w:rFonts w:asciiTheme="minorHAnsi" w:eastAsiaTheme="minorEastAsia" w:hAnsiTheme="minorHAnsi" w:cstheme="minorBidi"/>
              <w:noProof/>
              <w:szCs w:val="22"/>
              <w:lang w:val="en-US"/>
            </w:rPr>
          </w:pPr>
          <w:hyperlink w:anchor="_Toc127532739" w:history="1">
            <w:r w:rsidR="00126F39" w:rsidRPr="00D91139">
              <w:rPr>
                <w:rStyle w:val="Hyperlink"/>
                <w:noProof/>
              </w:rPr>
              <w:t>5.</w:t>
            </w:r>
            <w:r w:rsidR="00126F39">
              <w:rPr>
                <w:rFonts w:asciiTheme="minorHAnsi" w:eastAsiaTheme="minorEastAsia" w:hAnsiTheme="minorHAnsi" w:cstheme="minorBidi"/>
                <w:noProof/>
                <w:szCs w:val="22"/>
                <w:lang w:val="en-US"/>
              </w:rPr>
              <w:tab/>
            </w:r>
            <w:r w:rsidR="00126F39" w:rsidRPr="00D91139">
              <w:rPr>
                <w:rStyle w:val="Hyperlink"/>
                <w:noProof/>
              </w:rPr>
              <w:t>Yhdistetyn varainhankintamenetelmän toteuttaminen</w:t>
            </w:r>
            <w:r w:rsidR="00126F39">
              <w:rPr>
                <w:noProof/>
                <w:webHidden/>
              </w:rPr>
              <w:tab/>
            </w:r>
            <w:r w:rsidR="00126F39">
              <w:rPr>
                <w:noProof/>
                <w:webHidden/>
              </w:rPr>
              <w:fldChar w:fldCharType="begin"/>
            </w:r>
            <w:r w:rsidR="00126F39">
              <w:rPr>
                <w:noProof/>
                <w:webHidden/>
              </w:rPr>
              <w:instrText xml:space="preserve"> PAGEREF _Toc127532739 \h </w:instrText>
            </w:r>
            <w:r w:rsidR="00126F39">
              <w:rPr>
                <w:noProof/>
                <w:webHidden/>
              </w:rPr>
            </w:r>
            <w:r w:rsidR="00126F39">
              <w:rPr>
                <w:noProof/>
                <w:webHidden/>
              </w:rPr>
              <w:fldChar w:fldCharType="separate"/>
            </w:r>
            <w:r w:rsidR="00D02090">
              <w:rPr>
                <w:noProof/>
                <w:webHidden/>
              </w:rPr>
              <w:t>8</w:t>
            </w:r>
            <w:r w:rsidR="00126F39">
              <w:rPr>
                <w:noProof/>
                <w:webHidden/>
              </w:rPr>
              <w:fldChar w:fldCharType="end"/>
            </w:r>
          </w:hyperlink>
        </w:p>
        <w:p w14:paraId="1B631E64" w14:textId="53F62F11" w:rsidR="00126F39" w:rsidRDefault="00723DCE">
          <w:pPr>
            <w:pStyle w:val="TOC1"/>
            <w:rPr>
              <w:rFonts w:asciiTheme="minorHAnsi" w:eastAsiaTheme="minorEastAsia" w:hAnsiTheme="minorHAnsi" w:cstheme="minorBidi"/>
              <w:noProof/>
              <w:szCs w:val="22"/>
              <w:lang w:val="en-US"/>
            </w:rPr>
          </w:pPr>
          <w:hyperlink w:anchor="_Toc127532740" w:history="1">
            <w:r w:rsidR="00126F39" w:rsidRPr="00D91139">
              <w:rPr>
                <w:rStyle w:val="Hyperlink"/>
                <w:noProof/>
              </w:rPr>
              <w:t>6.</w:t>
            </w:r>
            <w:r w:rsidR="00126F39">
              <w:rPr>
                <w:rFonts w:asciiTheme="minorHAnsi" w:eastAsiaTheme="minorEastAsia" w:hAnsiTheme="minorHAnsi" w:cstheme="minorBidi"/>
                <w:noProof/>
                <w:szCs w:val="22"/>
                <w:lang w:val="en-US"/>
              </w:rPr>
              <w:tab/>
            </w:r>
            <w:r w:rsidR="00126F39" w:rsidRPr="00D91139">
              <w:rPr>
                <w:rStyle w:val="Hyperlink"/>
                <w:noProof/>
              </w:rPr>
              <w:t>Muut toimenpiteet, joilla parannetaan EU:n joukkolainojen houkuttelevuutta sijoittajien kannalta</w:t>
            </w:r>
            <w:r w:rsidR="00126F39">
              <w:rPr>
                <w:noProof/>
                <w:webHidden/>
              </w:rPr>
              <w:tab/>
            </w:r>
            <w:r w:rsidR="00126F39">
              <w:rPr>
                <w:noProof/>
                <w:webHidden/>
              </w:rPr>
              <w:fldChar w:fldCharType="begin"/>
            </w:r>
            <w:r w:rsidR="00126F39">
              <w:rPr>
                <w:noProof/>
                <w:webHidden/>
              </w:rPr>
              <w:instrText xml:space="preserve"> PAGEREF _Toc127532740 \h </w:instrText>
            </w:r>
            <w:r w:rsidR="00126F39">
              <w:rPr>
                <w:noProof/>
                <w:webHidden/>
              </w:rPr>
            </w:r>
            <w:r w:rsidR="00126F39">
              <w:rPr>
                <w:noProof/>
                <w:webHidden/>
              </w:rPr>
              <w:fldChar w:fldCharType="separate"/>
            </w:r>
            <w:r w:rsidR="00D02090">
              <w:rPr>
                <w:noProof/>
                <w:webHidden/>
              </w:rPr>
              <w:t>9</w:t>
            </w:r>
            <w:r w:rsidR="00126F39">
              <w:rPr>
                <w:noProof/>
                <w:webHidden/>
              </w:rPr>
              <w:fldChar w:fldCharType="end"/>
            </w:r>
          </w:hyperlink>
        </w:p>
        <w:p w14:paraId="44919EB8" w14:textId="77A35E60" w:rsidR="00126F39" w:rsidRDefault="00723DCE">
          <w:pPr>
            <w:pStyle w:val="TOC1"/>
            <w:rPr>
              <w:rFonts w:asciiTheme="minorHAnsi" w:eastAsiaTheme="minorEastAsia" w:hAnsiTheme="minorHAnsi" w:cstheme="minorBidi"/>
              <w:noProof/>
              <w:szCs w:val="22"/>
              <w:lang w:val="en-US"/>
            </w:rPr>
          </w:pPr>
          <w:hyperlink w:anchor="_Toc127532741" w:history="1">
            <w:r w:rsidR="00126F39" w:rsidRPr="00D91139">
              <w:rPr>
                <w:rStyle w:val="Hyperlink"/>
                <w:noProof/>
              </w:rPr>
              <w:t>7.</w:t>
            </w:r>
            <w:r w:rsidR="00126F39">
              <w:rPr>
                <w:rFonts w:asciiTheme="minorHAnsi" w:eastAsiaTheme="minorEastAsia" w:hAnsiTheme="minorHAnsi" w:cstheme="minorBidi"/>
                <w:noProof/>
                <w:szCs w:val="22"/>
                <w:lang w:val="en-US"/>
              </w:rPr>
              <w:tab/>
            </w:r>
            <w:r w:rsidR="00126F39" w:rsidRPr="00D91139">
              <w:rPr>
                <w:rStyle w:val="Hyperlink"/>
                <w:noProof/>
              </w:rPr>
              <w:t>Liikkeeseenlaskunäkymät vuodelle 2023</w:t>
            </w:r>
            <w:r w:rsidR="00126F39">
              <w:rPr>
                <w:noProof/>
                <w:webHidden/>
              </w:rPr>
              <w:tab/>
            </w:r>
            <w:r w:rsidR="00126F39">
              <w:rPr>
                <w:noProof/>
                <w:webHidden/>
              </w:rPr>
              <w:fldChar w:fldCharType="begin"/>
            </w:r>
            <w:r w:rsidR="00126F39">
              <w:rPr>
                <w:noProof/>
                <w:webHidden/>
              </w:rPr>
              <w:instrText xml:space="preserve"> PAGEREF _Toc127532741 \h </w:instrText>
            </w:r>
            <w:r w:rsidR="00126F39">
              <w:rPr>
                <w:noProof/>
                <w:webHidden/>
              </w:rPr>
            </w:r>
            <w:r w:rsidR="00126F39">
              <w:rPr>
                <w:noProof/>
                <w:webHidden/>
              </w:rPr>
              <w:fldChar w:fldCharType="separate"/>
            </w:r>
            <w:r w:rsidR="00D02090">
              <w:rPr>
                <w:noProof/>
                <w:webHidden/>
              </w:rPr>
              <w:t>10</w:t>
            </w:r>
            <w:r w:rsidR="00126F39">
              <w:rPr>
                <w:noProof/>
                <w:webHidden/>
              </w:rPr>
              <w:fldChar w:fldCharType="end"/>
            </w:r>
          </w:hyperlink>
        </w:p>
        <w:p w14:paraId="2182E21F" w14:textId="2FDE92C7" w:rsidR="00126F39" w:rsidRDefault="00723DCE">
          <w:pPr>
            <w:pStyle w:val="TOC1"/>
            <w:rPr>
              <w:rFonts w:asciiTheme="minorHAnsi" w:eastAsiaTheme="minorEastAsia" w:hAnsiTheme="minorHAnsi" w:cstheme="minorBidi"/>
              <w:noProof/>
              <w:szCs w:val="22"/>
              <w:lang w:val="en-US"/>
            </w:rPr>
          </w:pPr>
          <w:hyperlink w:anchor="_Toc127532742" w:history="1">
            <w:r w:rsidR="00126F39" w:rsidRPr="00D91139">
              <w:rPr>
                <w:rStyle w:val="Hyperlink"/>
                <w:noProof/>
              </w:rPr>
              <w:t>8.</w:t>
            </w:r>
            <w:r w:rsidR="00126F39">
              <w:rPr>
                <w:rFonts w:asciiTheme="minorHAnsi" w:eastAsiaTheme="minorEastAsia" w:hAnsiTheme="minorHAnsi" w:cstheme="minorBidi"/>
                <w:noProof/>
                <w:szCs w:val="22"/>
                <w:lang w:val="en-US"/>
              </w:rPr>
              <w:tab/>
            </w:r>
            <w:r w:rsidR="00126F39" w:rsidRPr="00D91139">
              <w:rPr>
                <w:rStyle w:val="Hyperlink"/>
                <w:noProof/>
              </w:rPr>
              <w:t>Päätelmät</w:t>
            </w:r>
            <w:r w:rsidR="00126F39">
              <w:rPr>
                <w:noProof/>
                <w:webHidden/>
              </w:rPr>
              <w:tab/>
            </w:r>
            <w:r w:rsidR="00126F39">
              <w:rPr>
                <w:noProof/>
                <w:webHidden/>
              </w:rPr>
              <w:fldChar w:fldCharType="begin"/>
            </w:r>
            <w:r w:rsidR="00126F39">
              <w:rPr>
                <w:noProof/>
                <w:webHidden/>
              </w:rPr>
              <w:instrText xml:space="preserve"> PAGEREF _Toc127532742 \h </w:instrText>
            </w:r>
            <w:r w:rsidR="00126F39">
              <w:rPr>
                <w:noProof/>
                <w:webHidden/>
              </w:rPr>
            </w:r>
            <w:r w:rsidR="00126F39">
              <w:rPr>
                <w:noProof/>
                <w:webHidden/>
              </w:rPr>
              <w:fldChar w:fldCharType="separate"/>
            </w:r>
            <w:r w:rsidR="00D02090">
              <w:rPr>
                <w:noProof/>
                <w:webHidden/>
              </w:rPr>
              <w:t>11</w:t>
            </w:r>
            <w:r w:rsidR="00126F39">
              <w:rPr>
                <w:noProof/>
                <w:webHidden/>
              </w:rPr>
              <w:fldChar w:fldCharType="end"/>
            </w:r>
          </w:hyperlink>
        </w:p>
        <w:p w14:paraId="33097789" w14:textId="6DA76C91" w:rsidR="008B6253" w:rsidRPr="00D3648A" w:rsidRDefault="008B6253" w:rsidP="00275E77">
          <w:pPr>
            <w:ind w:left="284" w:hanging="284"/>
            <w:rPr>
              <w:noProof/>
            </w:rPr>
          </w:pPr>
          <w:r>
            <w:rPr>
              <w:b/>
              <w:noProof/>
            </w:rPr>
            <w:fldChar w:fldCharType="end"/>
          </w:r>
        </w:p>
      </w:sdtContent>
    </w:sdt>
    <w:p w14:paraId="0D3B81B7" w14:textId="77777777" w:rsidR="008B6253" w:rsidRPr="00D3648A" w:rsidRDefault="008B6253" w:rsidP="008B6253">
      <w:pPr>
        <w:rPr>
          <w:noProof/>
        </w:rPr>
      </w:pPr>
    </w:p>
    <w:p w14:paraId="3EEBF846" w14:textId="77777777" w:rsidR="008B6253" w:rsidRPr="00D3648A" w:rsidRDefault="008B6253" w:rsidP="008B6253">
      <w:pPr>
        <w:rPr>
          <w:noProof/>
          <w:u w:val="single"/>
        </w:rPr>
        <w:sectPr w:rsidR="008B6253" w:rsidRPr="00D3648A" w:rsidSect="008B6253">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60"/>
        </w:sectPr>
      </w:pPr>
    </w:p>
    <w:p w14:paraId="04BC25EE" w14:textId="619DEBC6" w:rsidR="00536BA7" w:rsidRDefault="00536BA7" w:rsidP="00536BA7">
      <w:pPr>
        <w:spacing w:after="0" w:line="259" w:lineRule="auto"/>
        <w:rPr>
          <w:rFonts w:eastAsia="Calibri"/>
          <w:b/>
          <w:noProof/>
          <w:color w:val="F68A4C"/>
          <w:sz w:val="28"/>
          <w:szCs w:val="40"/>
        </w:rPr>
      </w:pPr>
      <w:r>
        <w:rPr>
          <w:noProof/>
          <w:color w:val="F68A4C"/>
          <w:sz w:val="28"/>
        </w:rPr>
        <w:t>NextGenerationEU-välineen varainhankintatilanne 31. joulukuuta 2022</w:t>
      </w:r>
      <w:r>
        <w:rPr>
          <w:b/>
          <w:noProof/>
          <w:color w:val="F68A4C"/>
          <w:sz w:val="28"/>
        </w:rPr>
        <w:t xml:space="preserve"> </w:t>
      </w:r>
    </w:p>
    <w:p w14:paraId="026AE5BF" w14:textId="77777777" w:rsidR="00536BA7" w:rsidRPr="00536BA7" w:rsidRDefault="00536BA7" w:rsidP="00536BA7">
      <w:pPr>
        <w:spacing w:after="0" w:line="259" w:lineRule="auto"/>
        <w:rPr>
          <w:rFonts w:eastAsia="Calibri"/>
          <w:b/>
          <w:noProof/>
          <w:color w:val="F68A4C"/>
          <w:sz w:val="16"/>
          <w:szCs w:val="22"/>
          <w:lang w:val="en-GB"/>
        </w:rPr>
      </w:pPr>
    </w:p>
    <w:p w14:paraId="4107BBAE" w14:textId="0035F724" w:rsidR="00536BA7" w:rsidRPr="00536BA7" w:rsidRDefault="00536BA7" w:rsidP="00536BA7">
      <w:pPr>
        <w:spacing w:after="0" w:line="259" w:lineRule="auto"/>
        <w:rPr>
          <w:rFonts w:eastAsia="Calibri"/>
          <w:noProof/>
          <w:color w:val="F68A4C"/>
          <w:szCs w:val="22"/>
        </w:rPr>
      </w:pPr>
      <w:r>
        <w:rPr>
          <w:noProof/>
          <w:color w:val="F68A4C"/>
          <w:sz w:val="16"/>
          <w:lang w:val="en-GB" w:eastAsia="en-GB"/>
        </w:rPr>
        <mc:AlternateContent>
          <mc:Choice Requires="wps">
            <w:drawing>
              <wp:anchor distT="0" distB="0" distL="114300" distR="114300" simplePos="0" relativeHeight="251653120" behindDoc="0" locked="0" layoutInCell="1" allowOverlap="1" wp14:anchorId="2BB238F9" wp14:editId="62C95E57">
                <wp:simplePos x="0" y="0"/>
                <wp:positionH relativeFrom="page">
                  <wp:posOffset>1001572</wp:posOffset>
                </wp:positionH>
                <wp:positionV relativeFrom="page">
                  <wp:posOffset>5246296</wp:posOffset>
                </wp:positionV>
                <wp:extent cx="5729605" cy="11430"/>
                <wp:effectExtent l="0" t="0" r="23495" b="26670"/>
                <wp:wrapNone/>
                <wp:docPr id="169" name="Straight Connector 169"/>
                <wp:cNvGraphicFramePr/>
                <a:graphic xmlns:a="http://schemas.openxmlformats.org/drawingml/2006/main">
                  <a:graphicData uri="http://schemas.microsoft.com/office/word/2010/wordprocessingShape">
                    <wps:wsp>
                      <wps:cNvCnPr/>
                      <wps:spPr>
                        <a:xfrm>
                          <a:off x="0" y="0"/>
                          <a:ext cx="5729605" cy="11430"/>
                        </a:xfrm>
                        <a:prstGeom prst="line">
                          <a:avLst/>
                        </a:prstGeom>
                        <a:noFill/>
                        <a:ln w="6350"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9E6FAE" id="Straight Connector 16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8.85pt,413.1pt" to="530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" strokecolor="#d9d9d9" strokeweight=".5pt">
                <v:stroke joinstyle="miter"/>
                <w10:wrap anchorx="page" anchory="page"/>
              </v:line>
            </w:pict>
          </mc:Fallback>
        </mc:AlternateContent>
      </w:r>
      <w:r w:rsidR="00126F39">
        <w:rPr>
          <w:noProof/>
          <w:lang w:val="en-GB" w:eastAsia="en-GB"/>
        </w:rPr>
        <w:drawing>
          <wp:inline distT="0" distB="0" distL="0" distR="0" wp14:anchorId="6ECEBC05" wp14:editId="266D3996">
            <wp:extent cx="5060315" cy="4073599"/>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76371" cy="4086524"/>
                    </a:xfrm>
                    <a:prstGeom prst="rect">
                      <a:avLst/>
                    </a:prstGeom>
                  </pic:spPr>
                </pic:pic>
              </a:graphicData>
            </a:graphic>
          </wp:inline>
        </w:drawing>
      </w:r>
    </w:p>
    <w:tbl>
      <w:tblPr>
        <w:tblStyle w:val="TableGrid111"/>
        <w:tblW w:w="919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4394"/>
        <w:gridCol w:w="195"/>
        <w:gridCol w:w="103"/>
        <w:gridCol w:w="4499"/>
      </w:tblGrid>
      <w:tr w:rsidR="00536BA7" w:rsidRPr="00536BA7" w14:paraId="25B39DDC" w14:textId="77777777" w:rsidTr="00CF3A43">
        <w:trPr>
          <w:trHeight w:val="622"/>
        </w:trPr>
        <w:tc>
          <w:tcPr>
            <w:tcW w:w="4394" w:type="dxa"/>
            <w:shd w:val="clear" w:color="auto" w:fill="FFFFFF"/>
            <w:vAlign w:val="center"/>
          </w:tcPr>
          <w:p w14:paraId="60B7E018" w14:textId="77777777" w:rsidR="00536BA7" w:rsidRPr="00536BA7" w:rsidRDefault="00536BA7" w:rsidP="00536BA7">
            <w:pPr>
              <w:spacing w:after="60"/>
              <w:jc w:val="center"/>
              <w:rPr>
                <w:rFonts w:eastAsia="Calibri"/>
                <w:b/>
                <w:noProof/>
                <w:color w:val="4C4B9A"/>
                <w:szCs w:val="22"/>
              </w:rPr>
            </w:pPr>
            <w:r>
              <w:rPr>
                <w:b/>
                <w:noProof/>
                <w:color w:val="4C4B9A"/>
              </w:rPr>
              <w:t xml:space="preserve">Pitkäaikainen lainanotto </w:t>
            </w:r>
          </w:p>
          <w:p w14:paraId="091CE96A" w14:textId="77777777" w:rsidR="00536BA7" w:rsidRPr="00536BA7" w:rsidRDefault="00536BA7" w:rsidP="00536BA7">
            <w:pPr>
              <w:spacing w:after="60"/>
              <w:jc w:val="center"/>
              <w:rPr>
                <w:rFonts w:eastAsia="Calibri"/>
                <w:noProof/>
                <w:color w:val="4C4B9A"/>
                <w:szCs w:val="22"/>
              </w:rPr>
            </w:pPr>
            <w:r>
              <w:rPr>
                <w:noProof/>
                <w:color w:val="4C4B9A"/>
              </w:rPr>
              <w:t>171 mrd. euroa EU:n joukkolainoja,</w:t>
            </w:r>
            <w:r>
              <w:rPr>
                <w:noProof/>
              </w:rPr>
              <w:t xml:space="preserve"> </w:t>
            </w:r>
            <w:r>
              <w:rPr>
                <w:noProof/>
              </w:rPr>
              <w:br/>
            </w:r>
            <w:r>
              <w:rPr>
                <w:noProof/>
                <w:color w:val="4C4B9A"/>
              </w:rPr>
              <w:t>joista 36,5 mrd. euroa vihreitä joukkolainoja</w:t>
            </w:r>
          </w:p>
        </w:tc>
        <w:tc>
          <w:tcPr>
            <w:tcW w:w="195" w:type="dxa"/>
            <w:shd w:val="clear" w:color="auto" w:fill="FFFFFF"/>
            <w:vAlign w:val="center"/>
          </w:tcPr>
          <w:p w14:paraId="3533422D" w14:textId="77777777" w:rsidR="00536BA7" w:rsidRPr="0068458A" w:rsidRDefault="00536BA7" w:rsidP="00536BA7">
            <w:pPr>
              <w:spacing w:after="60"/>
              <w:rPr>
                <w:rFonts w:eastAsia="Calibri"/>
                <w:b/>
                <w:noProof/>
                <w:color w:val="F68A4C"/>
                <w:szCs w:val="22"/>
              </w:rPr>
            </w:pPr>
          </w:p>
        </w:tc>
        <w:tc>
          <w:tcPr>
            <w:tcW w:w="4602" w:type="dxa"/>
            <w:gridSpan w:val="2"/>
            <w:shd w:val="clear" w:color="auto" w:fill="FFFFFF"/>
            <w:vAlign w:val="center"/>
          </w:tcPr>
          <w:p w14:paraId="0A7E9ACF" w14:textId="77777777" w:rsidR="00536BA7" w:rsidRPr="00536BA7" w:rsidRDefault="00536BA7" w:rsidP="00536BA7">
            <w:pPr>
              <w:spacing w:after="60"/>
              <w:jc w:val="center"/>
              <w:rPr>
                <w:rFonts w:eastAsia="Calibri"/>
                <w:b/>
                <w:noProof/>
                <w:color w:val="4C4B9A"/>
                <w:szCs w:val="22"/>
              </w:rPr>
            </w:pPr>
            <w:r>
              <w:rPr>
                <w:b/>
                <w:noProof/>
                <w:color w:val="4C4B9A"/>
              </w:rPr>
              <w:t xml:space="preserve">           Lyhytaikainen lainanotto </w:t>
            </w:r>
          </w:p>
          <w:p w14:paraId="36059E3D" w14:textId="77777777" w:rsidR="00536BA7" w:rsidRPr="00536BA7" w:rsidRDefault="00536BA7" w:rsidP="00536BA7">
            <w:pPr>
              <w:spacing w:after="60"/>
              <w:jc w:val="center"/>
              <w:rPr>
                <w:rFonts w:eastAsia="Calibri"/>
                <w:noProof/>
                <w:color w:val="4C4B9A"/>
                <w:spacing w:val="-6"/>
                <w:szCs w:val="22"/>
                <w:lang w:val="en-GB"/>
              </w:rPr>
            </w:pPr>
          </w:p>
          <w:p w14:paraId="109455FE" w14:textId="77777777" w:rsidR="00536BA7" w:rsidRPr="00536BA7" w:rsidRDefault="00536BA7" w:rsidP="00536BA7">
            <w:pPr>
              <w:spacing w:after="60"/>
              <w:jc w:val="center"/>
              <w:rPr>
                <w:rFonts w:eastAsia="Calibri"/>
                <w:noProof/>
                <w:color w:val="4C4B9A"/>
                <w:spacing w:val="-6"/>
                <w:szCs w:val="22"/>
                <w:lang w:val="en-GB"/>
              </w:rPr>
            </w:pPr>
          </w:p>
        </w:tc>
      </w:tr>
      <w:tr w:rsidR="00536BA7" w:rsidRPr="00536BA7" w14:paraId="457C895F" w14:textId="77777777" w:rsidTr="00CF3A43">
        <w:trPr>
          <w:trHeight w:val="77"/>
        </w:trPr>
        <w:tc>
          <w:tcPr>
            <w:tcW w:w="4394" w:type="dxa"/>
            <w:shd w:val="clear" w:color="auto" w:fill="F2F2F2"/>
            <w:vAlign w:val="center"/>
          </w:tcPr>
          <w:p w14:paraId="76BBB751" w14:textId="52DB5357" w:rsidR="00536BA7" w:rsidRPr="00536BA7" w:rsidRDefault="00536BA7" w:rsidP="00536BA7">
            <w:pPr>
              <w:rPr>
                <w:rFonts w:eastAsia="Calibri"/>
                <w:b/>
                <w:noProof/>
                <w:color w:val="4C4B9A"/>
                <w:spacing w:val="-4"/>
                <w:szCs w:val="22"/>
              </w:rPr>
            </w:pPr>
            <w:r>
              <w:rPr>
                <w:b/>
                <w:noProof/>
                <w:color w:val="4C4B9A"/>
                <w:sz w:val="20"/>
              </w:rPr>
              <w:t>KESKEISET TIEDOT vuoden 2022 toisesta puoliskosta</w:t>
            </w:r>
          </w:p>
        </w:tc>
        <w:tc>
          <w:tcPr>
            <w:tcW w:w="298" w:type="dxa"/>
            <w:gridSpan w:val="2"/>
            <w:vAlign w:val="center"/>
          </w:tcPr>
          <w:p w14:paraId="1A7499AF" w14:textId="77777777" w:rsidR="00536BA7" w:rsidRPr="0068458A" w:rsidRDefault="00536BA7" w:rsidP="00536BA7">
            <w:pPr>
              <w:rPr>
                <w:rFonts w:eastAsia="Calibri"/>
                <w:b/>
                <w:noProof/>
                <w:color w:val="F68A4C"/>
                <w:szCs w:val="22"/>
              </w:rPr>
            </w:pPr>
          </w:p>
        </w:tc>
        <w:tc>
          <w:tcPr>
            <w:tcW w:w="4499" w:type="dxa"/>
            <w:shd w:val="clear" w:color="auto" w:fill="F2F2F2"/>
            <w:vAlign w:val="center"/>
          </w:tcPr>
          <w:p w14:paraId="0638A0C6" w14:textId="34C9664D" w:rsidR="00536BA7" w:rsidRPr="00536BA7" w:rsidRDefault="00536BA7" w:rsidP="00536BA7">
            <w:pPr>
              <w:rPr>
                <w:rFonts w:eastAsia="Calibri"/>
                <w:b/>
                <w:noProof/>
                <w:color w:val="F68A4C"/>
                <w:spacing w:val="-4"/>
                <w:szCs w:val="22"/>
              </w:rPr>
            </w:pPr>
            <w:r>
              <w:rPr>
                <w:b/>
                <w:noProof/>
                <w:color w:val="4C4B9A"/>
                <w:sz w:val="20"/>
              </w:rPr>
              <w:t>KESKEISET TIEDOT vuoden 2022 toisesta puoliskosta</w:t>
            </w:r>
          </w:p>
        </w:tc>
      </w:tr>
      <w:tr w:rsidR="00536BA7" w:rsidRPr="00536BA7" w14:paraId="384207F1" w14:textId="77777777" w:rsidTr="00CF3A43">
        <w:trPr>
          <w:trHeight w:val="704"/>
        </w:trPr>
        <w:tc>
          <w:tcPr>
            <w:tcW w:w="4394" w:type="dxa"/>
            <w:shd w:val="clear" w:color="auto" w:fill="F2F2F2"/>
            <w:vAlign w:val="center"/>
          </w:tcPr>
          <w:p w14:paraId="55AED940" w14:textId="0F1CBDC0" w:rsidR="00536BA7" w:rsidRPr="00536BA7" w:rsidRDefault="00536BA7" w:rsidP="00536BA7">
            <w:pPr>
              <w:numPr>
                <w:ilvl w:val="0"/>
                <w:numId w:val="4"/>
              </w:numPr>
              <w:ind w:left="170" w:hanging="170"/>
              <w:contextualSpacing/>
              <w:rPr>
                <w:rFonts w:eastAsia="Calibri"/>
                <w:noProof/>
                <w:color w:val="4C4B9A"/>
                <w:sz w:val="20"/>
                <w:szCs w:val="22"/>
              </w:rPr>
            </w:pPr>
            <w:r>
              <w:rPr>
                <w:noProof/>
                <w:color w:val="4C4B9A"/>
                <w:sz w:val="20"/>
              </w:rPr>
              <w:t>4 syndikointia, 4 huutokauppaa, hankittu 50 miljardia euroa</w:t>
            </w:r>
          </w:p>
          <w:p w14:paraId="2FD160FD" w14:textId="77777777" w:rsidR="00536BA7" w:rsidRPr="00536BA7" w:rsidRDefault="00536BA7" w:rsidP="00536BA7">
            <w:pPr>
              <w:numPr>
                <w:ilvl w:val="0"/>
                <w:numId w:val="4"/>
              </w:numPr>
              <w:ind w:left="170" w:hanging="170"/>
              <w:contextualSpacing/>
              <w:rPr>
                <w:rFonts w:eastAsia="Calibri"/>
                <w:noProof/>
                <w:color w:val="4C4B9A"/>
                <w:sz w:val="20"/>
                <w:szCs w:val="22"/>
              </w:rPr>
            </w:pPr>
            <w:r>
              <w:rPr>
                <w:noProof/>
                <w:color w:val="4C4B9A"/>
                <w:sz w:val="20"/>
              </w:rPr>
              <w:t>Keskim. varainhankintakustannukset 2,6 %</w:t>
            </w:r>
          </w:p>
          <w:p w14:paraId="0E82A39A" w14:textId="77777777" w:rsidR="00536BA7" w:rsidRPr="00536BA7" w:rsidRDefault="00536BA7" w:rsidP="00536BA7">
            <w:pPr>
              <w:numPr>
                <w:ilvl w:val="0"/>
                <w:numId w:val="4"/>
              </w:numPr>
              <w:ind w:left="170" w:hanging="170"/>
              <w:contextualSpacing/>
              <w:rPr>
                <w:rFonts w:eastAsia="Calibri"/>
                <w:b/>
                <w:noProof/>
                <w:color w:val="F68A4C"/>
                <w:szCs w:val="22"/>
              </w:rPr>
            </w:pPr>
            <w:r>
              <w:rPr>
                <w:noProof/>
                <w:color w:val="4C4B9A"/>
                <w:sz w:val="20"/>
              </w:rPr>
              <w:t>Syndikoinnit 2,8–10,9-kertaisesti ylimerkittyjä</w:t>
            </w:r>
          </w:p>
        </w:tc>
        <w:tc>
          <w:tcPr>
            <w:tcW w:w="298" w:type="dxa"/>
            <w:gridSpan w:val="2"/>
            <w:vAlign w:val="center"/>
          </w:tcPr>
          <w:p w14:paraId="44CB0EAE" w14:textId="77777777" w:rsidR="00536BA7" w:rsidRPr="00536BA7" w:rsidRDefault="00536BA7" w:rsidP="00536BA7">
            <w:pPr>
              <w:rPr>
                <w:rFonts w:eastAsia="Calibri"/>
                <w:b/>
                <w:noProof/>
                <w:color w:val="F68A4C"/>
                <w:szCs w:val="22"/>
                <w:lang w:val="en-GB"/>
              </w:rPr>
            </w:pPr>
          </w:p>
        </w:tc>
        <w:tc>
          <w:tcPr>
            <w:tcW w:w="4499" w:type="dxa"/>
            <w:shd w:val="clear" w:color="auto" w:fill="F2F2F2"/>
            <w:vAlign w:val="center"/>
          </w:tcPr>
          <w:p w14:paraId="3CFF0AD8" w14:textId="77777777" w:rsidR="00536BA7" w:rsidRPr="00536BA7" w:rsidRDefault="00536BA7" w:rsidP="00536BA7">
            <w:pPr>
              <w:numPr>
                <w:ilvl w:val="0"/>
                <w:numId w:val="5"/>
              </w:numPr>
              <w:ind w:left="170" w:hanging="170"/>
              <w:contextualSpacing/>
              <w:rPr>
                <w:rFonts w:eastAsia="Calibri"/>
                <w:noProof/>
                <w:color w:val="4C4B9A"/>
                <w:sz w:val="20"/>
                <w:szCs w:val="22"/>
              </w:rPr>
            </w:pPr>
            <w:r>
              <w:rPr>
                <w:noProof/>
                <w:color w:val="4C4B9A"/>
                <w:sz w:val="20"/>
              </w:rPr>
              <w:t>10 huutokauppaa</w:t>
            </w:r>
          </w:p>
          <w:p w14:paraId="1F4FCDF2" w14:textId="3721E207" w:rsidR="00536BA7" w:rsidRPr="00536BA7" w:rsidRDefault="006847E6" w:rsidP="00536BA7">
            <w:pPr>
              <w:numPr>
                <w:ilvl w:val="0"/>
                <w:numId w:val="5"/>
              </w:numPr>
              <w:ind w:left="170" w:hanging="170"/>
              <w:contextualSpacing/>
              <w:rPr>
                <w:rFonts w:eastAsia="Calibri"/>
                <w:noProof/>
                <w:color w:val="4C4B9A"/>
                <w:sz w:val="20"/>
                <w:szCs w:val="22"/>
              </w:rPr>
            </w:pPr>
            <w:r>
              <w:rPr>
                <w:noProof/>
                <w:color w:val="4C4B9A"/>
                <w:sz w:val="20"/>
              </w:rPr>
              <w:t>Keskimääräinen tuotto 0,93 %</w:t>
            </w:r>
          </w:p>
          <w:p w14:paraId="539C8FB5" w14:textId="2F41BB93" w:rsidR="00536BA7" w:rsidRPr="00536BA7" w:rsidRDefault="00536BA7" w:rsidP="00536BA7">
            <w:pPr>
              <w:numPr>
                <w:ilvl w:val="0"/>
                <w:numId w:val="5"/>
              </w:numPr>
              <w:ind w:left="170" w:hanging="170"/>
              <w:contextualSpacing/>
              <w:rPr>
                <w:rFonts w:eastAsia="Calibri"/>
                <w:b/>
                <w:noProof/>
                <w:color w:val="F68A4C"/>
                <w:sz w:val="20"/>
                <w:szCs w:val="22"/>
              </w:rPr>
            </w:pPr>
            <w:r>
              <w:rPr>
                <w:noProof/>
                <w:color w:val="4C4B9A"/>
                <w:sz w:val="20"/>
              </w:rPr>
              <w:t>Tarjous–allokointi-suhde 2,23x</w:t>
            </w:r>
          </w:p>
        </w:tc>
      </w:tr>
    </w:tbl>
    <w:p w14:paraId="6510824F" w14:textId="77777777" w:rsidR="00536BA7" w:rsidRPr="00536BA7" w:rsidRDefault="00536BA7" w:rsidP="00536BA7">
      <w:pPr>
        <w:spacing w:before="120" w:after="0" w:line="259" w:lineRule="auto"/>
        <w:rPr>
          <w:rFonts w:eastAsia="Calibri"/>
          <w:noProof/>
          <w:color w:val="F68A4C"/>
          <w:sz w:val="28"/>
          <w:szCs w:val="40"/>
        </w:rPr>
      </w:pPr>
      <w:r>
        <w:rPr>
          <w:noProof/>
          <w:color w:val="F68A4C"/>
          <w:sz w:val="28"/>
        </w:rPr>
        <w:t xml:space="preserve">Tuottojen käyttö 31. joulukuuta 2022 </w:t>
      </w:r>
    </w:p>
    <w:tbl>
      <w:tblPr>
        <w:tblStyle w:val="TableGrid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9464"/>
      </w:tblGrid>
      <w:tr w:rsidR="00536BA7" w:rsidRPr="00536BA7" w14:paraId="7D410292" w14:textId="77777777" w:rsidTr="00CF3A43">
        <w:trPr>
          <w:trHeight w:val="202"/>
        </w:trPr>
        <w:tc>
          <w:tcPr>
            <w:tcW w:w="9464" w:type="dxa"/>
            <w:shd w:val="clear" w:color="auto" w:fill="F2F2F2"/>
            <w:vAlign w:val="center"/>
          </w:tcPr>
          <w:p w14:paraId="26AAB07A" w14:textId="25658C21" w:rsidR="00536BA7" w:rsidRPr="00536BA7" w:rsidRDefault="00735952" w:rsidP="00536BA7">
            <w:pPr>
              <w:rPr>
                <w:rFonts w:eastAsia="Calibri"/>
                <w:b/>
                <w:noProof/>
                <w:color w:val="4C4B9A"/>
              </w:rPr>
            </w:pPr>
            <w:r>
              <w:rPr>
                <w:noProof/>
                <w:lang w:val="en-GB" w:eastAsia="en-GB"/>
              </w:rPr>
              <w:drawing>
                <wp:inline distT="0" distB="0" distL="0" distR="0" wp14:anchorId="43BD8A9B" wp14:editId="5187BC72">
                  <wp:extent cx="5515536" cy="130911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77526" cy="1323824"/>
                          </a:xfrm>
                          <a:prstGeom prst="rect">
                            <a:avLst/>
                          </a:prstGeom>
                        </pic:spPr>
                      </pic:pic>
                    </a:graphicData>
                  </a:graphic>
                </wp:inline>
              </w:drawing>
            </w:r>
            <w:r w:rsidR="00536BA7">
              <w:rPr>
                <w:b/>
                <w:noProof/>
                <w:color w:val="4C4B9A"/>
                <w:sz w:val="20"/>
              </w:rPr>
              <w:t>KESKEISET TIEDOT</w:t>
            </w:r>
          </w:p>
        </w:tc>
      </w:tr>
      <w:tr w:rsidR="00536BA7" w:rsidRPr="00536BA7" w14:paraId="547233F7" w14:textId="77777777" w:rsidTr="00CF3A43">
        <w:tc>
          <w:tcPr>
            <w:tcW w:w="9464" w:type="dxa"/>
            <w:shd w:val="clear" w:color="auto" w:fill="F2F2F2"/>
            <w:vAlign w:val="center"/>
          </w:tcPr>
          <w:p w14:paraId="420C9B77" w14:textId="77777777" w:rsidR="00536BA7" w:rsidRPr="00536BA7" w:rsidRDefault="00536BA7" w:rsidP="00536BA7">
            <w:pPr>
              <w:numPr>
                <w:ilvl w:val="0"/>
                <w:numId w:val="4"/>
              </w:numPr>
              <w:ind w:left="170" w:hanging="170"/>
              <w:contextualSpacing/>
              <w:rPr>
                <w:rFonts w:eastAsia="Calibri"/>
                <w:noProof/>
                <w:color w:val="4C4B9A"/>
                <w:sz w:val="20"/>
                <w:szCs w:val="22"/>
              </w:rPr>
            </w:pPr>
            <w:r>
              <w:rPr>
                <w:noProof/>
                <w:color w:val="4C4B9A"/>
                <w:sz w:val="20"/>
              </w:rPr>
              <w:t>Yhteensä 22 jäsenvaltiota sai avustuksia ja lainoja elpymis- ja palautumistukivälineestä.</w:t>
            </w:r>
            <w:r>
              <w:rPr>
                <w:noProof/>
                <w:color w:val="4C4B9A"/>
                <w:sz w:val="20"/>
                <w:vertAlign w:val="superscript"/>
              </w:rPr>
              <w:t>(2)</w:t>
            </w:r>
          </w:p>
          <w:p w14:paraId="78B50AF4" w14:textId="51BE3750" w:rsidR="00536BA7" w:rsidRPr="00536BA7" w:rsidRDefault="00536BA7" w:rsidP="001212AD">
            <w:pPr>
              <w:numPr>
                <w:ilvl w:val="0"/>
                <w:numId w:val="4"/>
              </w:numPr>
              <w:ind w:left="170" w:hanging="170"/>
              <w:contextualSpacing/>
              <w:rPr>
                <w:rFonts w:eastAsia="Calibri"/>
                <w:b/>
                <w:noProof/>
                <w:color w:val="F68A4C"/>
              </w:rPr>
            </w:pPr>
            <w:r>
              <w:rPr>
                <w:noProof/>
                <w:color w:val="4C4B9A"/>
                <w:sz w:val="20"/>
              </w:rPr>
              <w:t>Lisäksi 11 jäsenvaltiolle on maksettu tukea välitavoitteiden ja tavoitteiden saavuttamisen perusteella.</w:t>
            </w:r>
          </w:p>
        </w:tc>
      </w:tr>
    </w:tbl>
    <w:p w14:paraId="3C40785A" w14:textId="7B03EB50" w:rsidR="00536BA7" w:rsidRPr="00536BA7" w:rsidRDefault="00536BA7" w:rsidP="008F1173">
      <w:pPr>
        <w:spacing w:before="240" w:after="0" w:line="259" w:lineRule="auto"/>
        <w:jc w:val="left"/>
        <w:rPr>
          <w:rFonts w:eastAsia="Calibri"/>
          <w:noProof/>
          <w:color w:val="595959"/>
          <w:sz w:val="18"/>
          <w:szCs w:val="22"/>
        </w:rPr>
      </w:pPr>
      <w:r>
        <w:rPr>
          <w:noProof/>
          <w:color w:val="595959"/>
          <w:sz w:val="18"/>
          <w:vertAlign w:val="superscript"/>
        </w:rPr>
        <w:t>(1)</w:t>
      </w:r>
      <w:r>
        <w:rPr>
          <w:noProof/>
          <w:color w:val="595959"/>
          <w:sz w:val="18"/>
        </w:rPr>
        <w:t xml:space="preserve"> Seuraavien välineiden käytettävissä olevat määrärahat: Horisontti Eurooppa -puiteohjelma, InvestEU-rahasto, ReactEU, unionin pelastuspalvelumekanismi (rescEU), Euroopan maaseudun kehittämisen maatalousrahasto (maaseuturahasto) ja oikeudenmukaisen siirtymän rahasto. Lopullisille tuensaajille on voitu maksaa tässä ilmoitettua vähemmän määrärahoja maksuaikatauluun liittyvien erojen vuoksi.</w:t>
      </w:r>
      <w:r>
        <w:rPr>
          <w:noProof/>
        </w:rPr>
        <w:t xml:space="preserve"> </w:t>
      </w:r>
      <w:r>
        <w:rPr>
          <w:noProof/>
        </w:rPr>
        <w:br/>
      </w:r>
      <w:r>
        <w:rPr>
          <w:noProof/>
          <w:color w:val="595959"/>
          <w:sz w:val="18"/>
          <w:vertAlign w:val="superscript"/>
        </w:rPr>
        <w:t>(2)</w:t>
      </w:r>
      <w:r>
        <w:rPr>
          <w:noProof/>
          <w:color w:val="595959"/>
          <w:sz w:val="18"/>
        </w:rPr>
        <w:t xml:space="preserve"> Kaikkien jäsenvaltioiden elpymis- ja palautumissuunnitelmat on hyväksytty. </w:t>
      </w:r>
    </w:p>
    <w:p w14:paraId="5CF499ED" w14:textId="3626E788" w:rsidR="008B6253" w:rsidRPr="008F1173" w:rsidRDefault="008B6253" w:rsidP="008F1173">
      <w:pPr>
        <w:pStyle w:val="Heading1"/>
        <w:rPr>
          <w:noProof/>
        </w:rPr>
      </w:pPr>
      <w:bookmarkStart w:id="2" w:name="_Toc127532727"/>
      <w:r>
        <w:rPr>
          <w:noProof/>
        </w:rPr>
        <w:t>Johdanto</w:t>
      </w:r>
      <w:bookmarkEnd w:id="2"/>
      <w:r>
        <w:rPr>
          <w:noProof/>
        </w:rPr>
        <w:t xml:space="preserve"> </w:t>
      </w:r>
    </w:p>
    <w:p w14:paraId="48CCACE0" w14:textId="7F7A078D" w:rsidR="006502DB" w:rsidRPr="004F3C70" w:rsidRDefault="002C59A6" w:rsidP="008F1173">
      <w:pPr>
        <w:rPr>
          <w:noProof/>
        </w:rPr>
      </w:pPr>
      <w:r>
        <w:rPr>
          <w:noProof/>
        </w:rPr>
        <w:t>Komissiolle on annettu valtuudet ottaa lainaa unionin lukuun. Komissio on velkapaperimarkkinoilla vakiintunut nimi, jolla on vankkaa näyttöä joukkolainojen onnistuneesta liikkeeseenlaskusta viimeisten 40 vuoden ajalta. Tällä hetkellä sillä on 350 miljardia euroa liikkeessä olevia joukkolainoja, joista yli 300 miljardia euroa on laskettu liikkeeseen vuonna 2020 tai sen jälkeen (loput on laskettu liikkeeseen edellisen vuosikymmenen aikana). Komissio käyttää EU:n joukkolainojen liikkeeseenlaskusta saatuja varoja useiden EU:n meno-ohjelmien ja välineiden rahoittamiseen. EU:n joukkolainojen turvin rahoitetaan seuraavia keskeisiä ohjelmia ja välineitä: i)</w:t>
      </w:r>
      <w:r w:rsidR="0068458A">
        <w:rPr>
          <w:rFonts w:ascii="Calibri" w:hAnsi="Calibri" w:cs="Calibri"/>
          <w:noProof/>
        </w:rPr>
        <w:t> </w:t>
      </w:r>
      <w:r>
        <w:rPr>
          <w:noProof/>
        </w:rPr>
        <w:t>SURE-väline, josta rahoitetaan työajan lyhentämisjärjestelyjä EU:n alueella ja jolla autetaan ihmisiä säilyttämään työpaikkansa koronaviruspandemian aikana; ii) NextGenerationEU-elpymisväline, josta rahoitetaan yhdessä pandemiasta selviämistä; ja iii) rahoitustuki Ukrainalle makrotaloudellisen rahoitusavun</w:t>
      </w:r>
      <w:r>
        <w:rPr>
          <w:rStyle w:val="FootnoteReference"/>
          <w:noProof/>
          <w:spacing w:val="-6"/>
          <w:lang w:val="en-GB"/>
        </w:rPr>
        <w:footnoteReference w:id="2"/>
      </w:r>
      <w:r>
        <w:rPr>
          <w:noProof/>
        </w:rPr>
        <w:t xml:space="preserve"> välineestä.</w:t>
      </w:r>
    </w:p>
    <w:p w14:paraId="3E3898D5" w14:textId="41B80DD8" w:rsidR="00D3648A" w:rsidRDefault="002C59A6" w:rsidP="008F1173">
      <w:pPr>
        <w:rPr>
          <w:noProof/>
          <w:spacing w:val="-6"/>
        </w:rPr>
      </w:pPr>
      <w:r>
        <w:rPr>
          <w:noProof/>
        </w:rPr>
        <w:t>NextGenerationEU on väliaikainen väline, jonka avulla komissio voi hankkia enintään 806,9 miljardia euroa vuoden 2021 puolivälin ja vuoden 2026 välisenä aikana laskemalla liikkeeseen EU:n joukkolainoja. Samalla EU:sta tulee yksi suurimpia euromääräisen velan liikkeeseenlaskijoita tulevina vuosina. Enintään 250 miljardia euroa hankitaan laskemalla liikkeeseen vihreitä joukkolainoja. Joukkolainojen liikkeeseenlaskusta saatavien tuottojen avulla EU pystyy selviämään elpymiseen liittyvistä välittömistä haasteista sekä vauhdittamaan EU:n talouden vihreää siirtymää ja digitalisaatiota. Tähän mennessä elpymis- ja palautumistukivälineestä on kohdennettu jäsenvaltioille jo yli 138 miljardia euroa, ja elpymis- ja palautumissuunnitelmien käytännön toteutus on pääsemässä vauhtiin.</w:t>
      </w:r>
      <w:r>
        <w:rPr>
          <w:rStyle w:val="FootnoteReference"/>
          <w:noProof/>
          <w:spacing w:val="-6"/>
          <w:lang w:val="en-GB"/>
        </w:rPr>
        <w:footnoteReference w:id="3"/>
      </w:r>
    </w:p>
    <w:p w14:paraId="64BC1C34" w14:textId="033E0752" w:rsidR="00D3648A" w:rsidRPr="00003760" w:rsidRDefault="00E21E50" w:rsidP="008F1173">
      <w:pPr>
        <w:rPr>
          <w:noProof/>
          <w:spacing w:val="-6"/>
          <w:highlight w:val="yellow"/>
        </w:rPr>
      </w:pPr>
      <w:r>
        <w:rPr>
          <w:noProof/>
        </w:rPr>
        <w:t xml:space="preserve">Vuonna 2022 EU toteutti myös 8,7 miljardin euron liikkeeseenlaskun, jolla rahoitettiin SURE-välineestä lainoja 10 jäsenvaltiolle, ja 7,5 miljardin euron liikkeeseenlaskun, jolla rahoitettiin makrotaloudellisena rahoitusavun lainoja kolmelle EU:n naapurimaalle, mukaan lukien 7,2 miljardia euroa Ukrainalle. Vuonna 2023 EU myöntää Ukrainalle erittäin edullisin ehdoin vielä enintään 18 miljardia euroa makrotaloudellisen rahoitusavun lainoina (makrotaloudellinen rahoitusapu plus </w:t>
      </w:r>
      <w:r w:rsidR="0068458A">
        <w:rPr>
          <w:noProof/>
        </w:rPr>
        <w:noBreakHyphen/>
      </w:r>
      <w:r>
        <w:rPr>
          <w:noProof/>
        </w:rPr>
        <w:t xml:space="preserve">väline). Ne maksetaan säännöllisinä erinä, jotka kattavat noin puolet Ukrainan viranomaisten ja Kansainvälisen valuuttarahaston arvioimista Ukrainan lyhytaikaisista rahoitustarpeista vuonna 2023. </w:t>
      </w:r>
    </w:p>
    <w:p w14:paraId="4F074D1C" w14:textId="53035022" w:rsidR="00203B8E" w:rsidRDefault="00203B8E" w:rsidP="008F1173">
      <w:pPr>
        <w:rPr>
          <w:noProof/>
        </w:rPr>
      </w:pPr>
      <w:r>
        <w:rPr>
          <w:noProof/>
        </w:rPr>
        <w:t>Koska sekä NextGenerationEU-välineen että myös muiden ohjelmien osalta on turvauduttu joukkolainojen laajamittaiseen liikkeeseenlaskuun, oli ryhdyttävä toimiin, jotta komission valmiuksia laskea joukkolainoja liikkeeseen voitiin vahvistaa. Parlamentti ja neuvosto päättivät joulukuussa 2022 muuttaa EU:n varainhoitoasetusta siten, että eri toimintalinjoja voidaan rahoittaa monipuolisen varainhankintastrategian avulla. Tämä päätös on ratkaisevan tärkeä, sillä sen ansiosta komissio voi hankkia varoja menestyksekkäästi kahdelle tai useammalle toimintalinjalle pysyvältä pohjalta. Näin komissio voi ulottaa tämän NextGenerationEU-välineen toteuttamista varten kehitetyn joustavamman ja kustannustehokkaamman velanhallintamenetelmän hyödyt myös Ukrainalle suunnattuun makrotaloudellinen rahoitusapu plus -välineeseen ja muihin mahdollisiin tuleviin lainanotto- ja lainananto-ohjelmiin. Näiden varojen hankkimiseksi komissio laskee vastedes liikkeeseen EU:n joukkolainoja sen sijasta, että sillä olisi erikseen kohdennettuja liikkeeseenlaskuohjelmia (esim. SURE-välinettä, makrotaloudellista rahoitusapua, Euroopan rahoituksenvakautusmekanismia ja NextGenerationEU-välinettä varten), kuten tähän asti.</w:t>
      </w:r>
    </w:p>
    <w:p w14:paraId="44663551" w14:textId="27EB937F" w:rsidR="001137FB" w:rsidRPr="00203B8E" w:rsidRDefault="008805AC" w:rsidP="008F1173">
      <w:pPr>
        <w:rPr>
          <w:noProof/>
        </w:rPr>
      </w:pPr>
      <w:r>
        <w:rPr>
          <w:noProof/>
        </w:rPr>
        <w:t>Tässä kertomuksessa, joka on kolmas komission täytäntöönpanopäätöksen C(2022)9700</w:t>
      </w:r>
      <w:r>
        <w:rPr>
          <w:rStyle w:val="FootnoteReference"/>
          <w:noProof/>
          <w:spacing w:val="-6"/>
          <w:lang w:val="en-GB"/>
        </w:rPr>
        <w:footnoteReference w:id="4"/>
      </w:r>
      <w:r>
        <w:rPr>
          <w:noProof/>
        </w:rPr>
        <w:t xml:space="preserve"> 12 artiklan nojalla annettu puolivuotiskertomus, tarkastellaan komission vuonna</w:t>
      </w:r>
      <w:r w:rsidR="0068458A">
        <w:rPr>
          <w:noProof/>
        </w:rPr>
        <w:t xml:space="preserve"> </w:t>
      </w:r>
      <w:r>
        <w:rPr>
          <w:noProof/>
        </w:rPr>
        <w:t xml:space="preserve">2021 NextGenerationEU-välineen varainhankintaa varten laatiman monipuolisen varainhankintastrategian toteuttamista. Joulukuussa 2022 päätöstä muutettiin siten, että monipuolisen varainhankintastrategian soveltaminen ulotettiin myös muihin ohjelmiin tarkistetun varainhankinta-asetuksen mukaisesti. </w:t>
      </w:r>
    </w:p>
    <w:p w14:paraId="00EC9818" w14:textId="385A667F" w:rsidR="0045484D" w:rsidRDefault="00E445DE" w:rsidP="008F1173">
      <w:pPr>
        <w:rPr>
          <w:noProof/>
        </w:rPr>
      </w:pPr>
      <w:r>
        <w:rPr>
          <w:noProof/>
        </w:rPr>
        <w:t xml:space="preserve">Tämä kolmas puolivuotiskertomus koskee ajanjaksoa 1.7.2022–31.12.2022, jolloin monipuolista varainhankintastrategiaa käytettiin vain NextGenerationEU-välineen varainhankintaan. Näin ollen tässä kertomuksessa keskitytään yksinomaan prosessiin, jossa on kerätty NextGenerationEU-välineeseen varoja ja suoritettu siitä maksuja. </w:t>
      </w:r>
    </w:p>
    <w:p w14:paraId="6C547C51" w14:textId="38BB34FD" w:rsidR="00203B8E" w:rsidRDefault="008805AC" w:rsidP="008F1173">
      <w:pPr>
        <w:rPr>
          <w:noProof/>
        </w:rPr>
      </w:pPr>
      <w:r>
        <w:rPr>
          <w:noProof/>
        </w:rPr>
        <w:t xml:space="preserve">Kertomuksessa ei arvioida, miten varainhankinnan tuottoja on käytetty esimerkiksi vihreisiin menoihin. Siitä raportoidaan erikseen kutakin NextGenerationEU-välineestä rahoitettua välinettä koskevien asetusten mukaisesti. </w:t>
      </w:r>
    </w:p>
    <w:p w14:paraId="6E9965E3" w14:textId="54A755C3" w:rsidR="00342348" w:rsidRDefault="007B375A" w:rsidP="008F1173">
      <w:pPr>
        <w:rPr>
          <w:noProof/>
        </w:rPr>
      </w:pPr>
      <w:r>
        <w:rPr>
          <w:noProof/>
        </w:rPr>
        <w:t xml:space="preserve">Tässä puolivuotiskertomuksessa kuvataan myös muita parannuksia, joita vuoden 2022 toisella puoliskolla toteutettuihin rahoitustoimiin on tehty. Niitä ovat esimerkiksi EU:n liikkeeseenlaskupalvelun perustamisen käynnistäminen ja ensimmäisen vihreitä joukkolainoja koskevan kohdentamisraportin julkaiseminen. Kertomuksessa mainitaan myös lainsäädäntötoimet, jotka on toteutettu monipuolisen varainhankintastrategian ulottamiseksi muihinkin ohjelmiin. Lisäksi kertomuksessa luodaan katsaus EU:n joukkolainojen liikkeeseenlaskunäkymiin vuonna 2023.  </w:t>
      </w:r>
    </w:p>
    <w:p w14:paraId="121B3807" w14:textId="128A89C6" w:rsidR="00342348" w:rsidRPr="008F1173" w:rsidRDefault="000025FB" w:rsidP="00D3648A">
      <w:pPr>
        <w:rPr>
          <w:noProof/>
        </w:rPr>
      </w:pPr>
      <w:r>
        <w:rPr>
          <w:noProof/>
        </w:rPr>
        <w:t>Tämä puolivuotiskertomus on osa säännöllistä tiedottamista Euroopan parlamentille ja neuvostolle, ja sen avulla varmistetaan yhdistetyn varainhankintamenetelmän toteuttamisen läpinäkyvyys ja sitä koskevan vastuuvelvollisuuden noudattaminen. Koska tästä varainhankintamenetelmästä tulee varainhoitoasetuksen nojalla keskeinen toimintamalli EU:n lainanotto- ja lainanantotoimissa, tämä kertomus ja kaikki tulevat kertomukset laaditaan varainhoitoasetuksen 220 a artiklan mukaisesti.</w:t>
      </w:r>
    </w:p>
    <w:p w14:paraId="4FD8F240" w14:textId="42D2BCD8" w:rsidR="008B6253" w:rsidRPr="008F1173" w:rsidRDefault="00BD5F9F" w:rsidP="008F1173">
      <w:pPr>
        <w:pStyle w:val="Heading1"/>
        <w:rPr>
          <w:noProof/>
        </w:rPr>
      </w:pPr>
      <w:bookmarkStart w:id="3" w:name="_Toc127532728"/>
      <w:r>
        <w:rPr>
          <w:noProof/>
        </w:rPr>
        <w:t>NextGenerationEU-välineen lainanottotoimien toteuttaminen vuoden</w:t>
      </w:r>
      <w:r w:rsidR="0068458A">
        <w:rPr>
          <w:noProof/>
        </w:rPr>
        <w:t xml:space="preserve"> </w:t>
      </w:r>
      <w:r>
        <w:rPr>
          <w:noProof/>
        </w:rPr>
        <w:t>2022 toisella puoliskolla</w:t>
      </w:r>
      <w:bookmarkEnd w:id="3"/>
    </w:p>
    <w:p w14:paraId="5D62BFE6" w14:textId="78796334" w:rsidR="00D8271C" w:rsidRPr="008F1173" w:rsidRDefault="003926DF" w:rsidP="008F1173">
      <w:pPr>
        <w:pStyle w:val="Heading2"/>
        <w:rPr>
          <w:noProof/>
        </w:rPr>
      </w:pPr>
      <w:bookmarkStart w:id="4" w:name="_Toc127532729"/>
      <w:r>
        <w:rPr>
          <w:noProof/>
        </w:rPr>
        <w:t>Varainhankintasuunnitelmien toteuttaminen</w:t>
      </w:r>
      <w:bookmarkEnd w:id="4"/>
    </w:p>
    <w:p w14:paraId="1EAAF376" w14:textId="660527EF" w:rsidR="002E4FA7" w:rsidRDefault="007662F6" w:rsidP="008F1173">
      <w:pPr>
        <w:rPr>
          <w:noProof/>
        </w:rPr>
      </w:pPr>
      <w:r>
        <w:rPr>
          <w:noProof/>
        </w:rPr>
        <w:t xml:space="preserve">Kesäkuussa 2022 komissio julkaisi vuoden 2022 heinäkuun ja joulukuun välistä ajanjaksoa koskevan varainhankintasuunnitelmansa, jonka mukaan laskettaisiin liikkeeseen 50 miljardin euron pitkäaikaiset joukkolainat ja niitä täydennettäisiin laskemalla liikkeeseen lyhytaikaisia EU:n velkasitoumuksia. Tämän varainhankintasuunnitelman mukaisesti komissio keräsi NextGenerationEU-välineeseen vuoden 2022 toisella puoliskolla 50 miljardia euroa lisää pitkäaikaista rahoitusta syndikoitujen transaktioiden (70 prosenttia) ja huutokauppojen (30 prosenttia) avulla. Näiden transaktioiden ansiosta NextGenerationEU-välineen joukkolainojen liikkeessä oleva kokonaismäärä on 171 miljardia euroa, ja tästä summasta 36,5 miljardia euroa kerättiin laskemalla liikkeeseen vihreitä joukkolainoja. </w:t>
      </w:r>
    </w:p>
    <w:p w14:paraId="0A410B12" w14:textId="6BF8973A" w:rsidR="008C687B" w:rsidRDefault="002E4FA7" w:rsidP="008F1173">
      <w:pPr>
        <w:rPr>
          <w:noProof/>
        </w:rPr>
      </w:pPr>
      <w:r>
        <w:rPr>
          <w:noProof/>
        </w:rPr>
        <w:t xml:space="preserve">Kahden olemassa olevan vihreän joukkolainan liikkeeseenlaskua jatkettiin. Sen lisäksi komissio laski marraskuussa 2022 liikkeeseen neljännen vihreiden joukkolainojen osto-ohjelman (10 vuoden joukkolaina, joka erääntyy 4. helmikuuta 2033). Sen avulla kerättiin varoja 6 miljardia euroa. Nämä kolme vihreisiin joukkolainoihin liittyvää transaktiota edistävät erittäin likvidin tuottokäyrän luomista NextGenerationEU-välineen vihreille joukkolainoille, joista on tarkoitus rakentaa maailman suurin vihreä joukkolainaohjelma. </w:t>
      </w:r>
    </w:p>
    <w:p w14:paraId="667B55B3" w14:textId="47D19365" w:rsidR="00E71805" w:rsidRPr="008F1173" w:rsidRDefault="002E4FA7" w:rsidP="00E71805">
      <w:pPr>
        <w:rPr>
          <w:noProof/>
        </w:rPr>
      </w:pPr>
      <w:r>
        <w:rPr>
          <w:noProof/>
        </w:rPr>
        <w:t>Vuoden 2022 toisella puoliskolla komissio laski liikkeeseen myös kolmen ja kuuden kuukauden pituisia EU:n velkasitoumuksia lyhytaikaisten varainhankintatarpeiden täyttämiseksi. Joulukuun 2022 lopussa EU:n velkasitoumusten liikkeessä oleva kokonaismäärä oli 17,0 miljardia euroa.</w:t>
      </w:r>
    </w:p>
    <w:p w14:paraId="47E6219E" w14:textId="33A46925" w:rsidR="00352DCC" w:rsidRPr="008F1173" w:rsidRDefault="003926DF" w:rsidP="008F1173">
      <w:pPr>
        <w:pStyle w:val="Heading2"/>
        <w:rPr>
          <w:noProof/>
        </w:rPr>
      </w:pPr>
      <w:bookmarkStart w:id="5" w:name="_Toc127532730"/>
      <w:r>
        <w:rPr>
          <w:noProof/>
        </w:rPr>
        <w:t>Suoritetut maksut</w:t>
      </w:r>
      <w:bookmarkEnd w:id="5"/>
    </w:p>
    <w:p w14:paraId="567F71F1" w14:textId="61E9FD08" w:rsidR="00E71805" w:rsidRDefault="00E71805" w:rsidP="008F1173">
      <w:pPr>
        <w:rPr>
          <w:noProof/>
        </w:rPr>
      </w:pPr>
      <w:r>
        <w:rPr>
          <w:noProof/>
        </w:rPr>
        <w:t>Näiden hyvin tuloksin toteutettujen transaktioiden turvin EU on pystynyt jatkamaan jäsenvaltioiden elpymissuunnitelmien rahoittamista tasaisesti maksamalla tuotoista kertyneitä varoja oikea-aikaisesti. Komissio on suorittanut jäsenvaltioille kaikki maksut elpymis- ja palautumistukivälineestä heti niiden eräännyttyä, keskimäärin kuuden työpäivän kuluessa maksusuorituksen hyväksymisestä. Viivästyksiä ei ollut.</w:t>
      </w:r>
    </w:p>
    <w:p w14:paraId="573B8BB0" w14:textId="59E07E5F" w:rsidR="008F1173" w:rsidRDefault="00103A63" w:rsidP="008F1173">
      <w:pPr>
        <w:rPr>
          <w:noProof/>
        </w:rPr>
      </w:pPr>
      <w:r>
        <w:rPr>
          <w:noProof/>
        </w:rPr>
        <w:t>Vuoden 2022 toisella puoliskolla komissio maksoi elpymis- ja palautumistukivälineestä jäsenvaltioille 38,3 miljardia euroa. Tästä summasta 26,5 miljardia euroa maksettiin avustuksina ja 11,8 miljardia euroa lainoina. Kesän 2021 (NextGenerationEU-välineen käyttöönotto) ja 31.</w:t>
      </w:r>
      <w:r w:rsidR="0068458A">
        <w:rPr>
          <w:rFonts w:ascii="Calibri" w:hAnsi="Calibri" w:cs="Calibri"/>
          <w:noProof/>
        </w:rPr>
        <w:t> </w:t>
      </w:r>
      <w:r>
        <w:rPr>
          <w:noProof/>
        </w:rPr>
        <w:t xml:space="preserve">joulukuuta 2022 välisenä aikana komissio maksoi elpymis- ja palautumistukivälineestä jäsenvaltioille yhteensä 138,7 miljardia euroa (93,5 miljardia euroa avustuksina ja 45,2 miljardia euroa lainoina). </w:t>
      </w:r>
    </w:p>
    <w:p w14:paraId="44AC41D8" w14:textId="27A3F004" w:rsidR="00845ED1" w:rsidRDefault="00147FFC" w:rsidP="008F1173">
      <w:pPr>
        <w:rPr>
          <w:noProof/>
        </w:rPr>
      </w:pPr>
      <w:r>
        <w:rPr>
          <w:noProof/>
        </w:rPr>
        <w:t>Vuoden 2022 toisella puoliskolla komissio siirsi</w:t>
      </w:r>
      <w:r>
        <w:rPr>
          <w:noProof/>
          <w:vertAlign w:val="superscript"/>
          <w:lang w:val="en-GB"/>
        </w:rPr>
        <w:footnoteReference w:id="5"/>
      </w:r>
      <w:r>
        <w:rPr>
          <w:noProof/>
        </w:rPr>
        <w:t xml:space="preserve"> EU:n talousarvioon 8,4 miljardia euroa, jotka osoitetaan NextGenerationEU-välineestä rahoitettaviin meno-ohjelmiin (esim. Horisontti Eurooppa, InvestEU-rahasto, ReactEU, unionin pelastuspalvelumekanismi (rescEU), Euroopan maaseudun kehittämisen maatalousrahasto (maaseuturahasto) ja oikeudenmukaisen siirtymän rahasto). NextGenerationEU-välineen käyttöönotosta alkaen komissio on siirtänyt EU:n talousarvioon yhteensä yli 23,9 miljardia euroa.</w:t>
      </w:r>
    </w:p>
    <w:p w14:paraId="759CC97C" w14:textId="07C11149" w:rsidR="00763ACD" w:rsidRPr="008F1173" w:rsidRDefault="00C4575A" w:rsidP="008F1173">
      <w:pPr>
        <w:rPr>
          <w:noProof/>
        </w:rPr>
      </w:pPr>
      <w:r>
        <w:rPr>
          <w:noProof/>
        </w:rPr>
        <w:t>NextGenerationEU-välineen käyttöönotosta (vuonna 2021) alkaen komissio on asettanut saataville yhteensä 162,6 miljardia euroa, josta 138,7 miljardia euroa on myönnetty jäsenvaltioille lainoina ja avustuksina ja 23,9 miljardia euroa on siirretty EU:n talousarvioon NextGenerationEU-välineestä rahoitettavia meno-ohjelmia varten.</w:t>
      </w:r>
    </w:p>
    <w:p w14:paraId="4EA8B1A7" w14:textId="367A5F82" w:rsidR="00352DCC" w:rsidRPr="008F1173" w:rsidRDefault="00352DCC" w:rsidP="008F1173">
      <w:pPr>
        <w:pStyle w:val="Heading2"/>
        <w:rPr>
          <w:noProof/>
        </w:rPr>
      </w:pPr>
      <w:bookmarkStart w:id="6" w:name="_Toc127532731"/>
      <w:r>
        <w:rPr>
          <w:noProof/>
        </w:rPr>
        <w:t>Sijoittajien kysyntä ja jälkimarkkinoiden likviditeetti</w:t>
      </w:r>
      <w:bookmarkEnd w:id="6"/>
    </w:p>
    <w:p w14:paraId="603AE4A6" w14:textId="12703144" w:rsidR="002E4FA7" w:rsidRDefault="00F255CC" w:rsidP="008F1173">
      <w:pPr>
        <w:rPr>
          <w:noProof/>
        </w:rPr>
      </w:pPr>
      <w:r>
        <w:rPr>
          <w:noProof/>
        </w:rPr>
        <w:t>Haastavista markkinaolosuhteista huolimatta markkinat tukivat NextGenerationEU-välineen transaktioita edelleen voimakkaasti, ja syndikoituja transaktioita ylimerkittiin vuoden 2022 toisella puoliskolla 2,8–10,9-kertaisesti. EU hyötyy tasapainoisesta ja hajautetusta sijoittajapohjasta, jossa erityyppiset sijoittajat kaikkialta maailmasta ovat hyvin edustettuina.</w:t>
      </w:r>
      <w:r>
        <w:rPr>
          <w:noProof/>
          <w:vertAlign w:val="superscript"/>
          <w:lang w:val="en-GB"/>
        </w:rPr>
        <w:footnoteReference w:id="6"/>
      </w:r>
    </w:p>
    <w:p w14:paraId="7AFFD0F5" w14:textId="13A01361" w:rsidR="002E4FA7" w:rsidRDefault="002E4FA7" w:rsidP="008F1173">
      <w:pPr>
        <w:rPr>
          <w:noProof/>
        </w:rPr>
      </w:pPr>
      <w:r>
        <w:rPr>
          <w:noProof/>
        </w:rPr>
        <w:t>Markkinoiden laajemman dynamiikan mukaisesti uusien joukkolainojen emissiovoitot kasvoivat vuoden 2022 toisella puoliskolla marginaalisesti, noin kolmeen peruspisteeseen, kun ne vuoden ensimmäisellä puoliskolla olivat noin kaksi peruspistettä. Tämä melko vaatimaton hintahuojennus liikkeeseenlaskun yhteydessä kuvastaa sitä, että EU on ollut säännöllisesti ja ennakoitavasti toimiva liikkeeseenlaskija tällä ajanjaksolla. Tämän ohella kysynnän jatkuminen vahvana sijoittajien keskuudessa on osoitus markkinoiden luottamuksesta, mikä osaltaan varmistaa, että EU voi laskea joukkolainojaan jatkossakin liikkeeseen tuloksellisesti.</w:t>
      </w:r>
    </w:p>
    <w:p w14:paraId="1629E208" w14:textId="322C7504" w:rsidR="008F1173" w:rsidRPr="001E0A5D" w:rsidRDefault="008F1173" w:rsidP="008F1173">
      <w:pPr>
        <w:spacing w:before="120"/>
        <w:contextualSpacing/>
        <w:rPr>
          <w:noProof/>
          <w:color w:val="034EA2"/>
          <w:spacing w:val="-6"/>
        </w:rPr>
      </w:pPr>
      <w:r>
        <w:rPr>
          <w:noProof/>
          <w:color w:val="034EA2"/>
        </w:rPr>
        <w:t xml:space="preserve">EU:n joukkolainojen ja eurooppalaisten valtion joukkolainojen jälkimarkkinoiden neljännesvuosittainen kokonaisvaihto </w:t>
      </w:r>
    </w:p>
    <w:p w14:paraId="2AB1CB24" w14:textId="05825294" w:rsidR="008F1173" w:rsidRDefault="008F1173" w:rsidP="008F1173">
      <w:pPr>
        <w:spacing w:before="120"/>
        <w:contextualSpacing/>
        <w:rPr>
          <w:noProof/>
          <w:color w:val="034EA2"/>
          <w:spacing w:val="-6"/>
        </w:rPr>
      </w:pPr>
      <w:r>
        <w:rPr>
          <w:noProof/>
          <w:color w:val="034EA2"/>
        </w:rPr>
        <w:t>(prosenttiosuus liikkeessä olevasta määrästä)</w:t>
      </w:r>
    </w:p>
    <w:p w14:paraId="1BBFFD19" w14:textId="16463D12" w:rsidR="00F255CC" w:rsidRPr="008F1173" w:rsidRDefault="008F1173" w:rsidP="008F1173">
      <w:pPr>
        <w:spacing w:before="120"/>
        <w:contextualSpacing/>
        <w:rPr>
          <w:noProof/>
          <w:color w:val="034EA2"/>
          <w:spacing w:val="-6"/>
        </w:rPr>
      </w:pPr>
      <w:r>
        <w:rPr>
          <w:noProof/>
          <w:lang w:val="en-GB" w:eastAsia="en-GB"/>
        </w:rPr>
        <w:drawing>
          <wp:inline distT="0" distB="0" distL="0" distR="0" wp14:anchorId="11933E07" wp14:editId="1970FCB9">
            <wp:extent cx="5760085" cy="215074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60085" cy="2150745"/>
                    </a:xfrm>
                    <a:prstGeom prst="rect">
                      <a:avLst/>
                    </a:prstGeom>
                  </pic:spPr>
                </pic:pic>
              </a:graphicData>
            </a:graphic>
          </wp:inline>
        </w:drawing>
      </w:r>
    </w:p>
    <w:p w14:paraId="44C71E8A" w14:textId="711AA426" w:rsidR="00F255CC" w:rsidRDefault="008F1173" w:rsidP="008F1173">
      <w:pPr>
        <w:contextualSpacing/>
        <w:jc w:val="center"/>
        <w:rPr>
          <w:noProof/>
          <w:spacing w:val="-6"/>
        </w:rPr>
      </w:pPr>
      <w:r>
        <w:rPr>
          <w:noProof/>
          <w:lang w:val="en-GB" w:eastAsia="en-GB"/>
        </w:rPr>
        <mc:AlternateContent>
          <mc:Choice Requires="wpg">
            <w:drawing>
              <wp:inline distT="0" distB="0" distL="0" distR="0" wp14:anchorId="3C10B8A2" wp14:editId="5E3E1C41">
                <wp:extent cx="4572000" cy="396240"/>
                <wp:effectExtent l="0" t="0" r="0" b="0"/>
                <wp:docPr id="51" name="Group 51"/>
                <wp:cNvGraphicFramePr/>
                <a:graphic xmlns:a="http://schemas.openxmlformats.org/drawingml/2006/main">
                  <a:graphicData uri="http://schemas.microsoft.com/office/word/2010/wordprocessingGroup">
                    <wpg:wgp>
                      <wpg:cNvGrpSpPr/>
                      <wpg:grpSpPr>
                        <a:xfrm>
                          <a:off x="0" y="0"/>
                          <a:ext cx="4572000" cy="396240"/>
                          <a:chOff x="0" y="0"/>
                          <a:chExt cx="4572000" cy="396240"/>
                        </a:xfrm>
                      </wpg:grpSpPr>
                      <wps:wsp>
                        <wps:cNvPr id="44" name="TextBox 7"/>
                        <wps:cNvSpPr txBox="1"/>
                        <wps:spPr>
                          <a:xfrm>
                            <a:off x="190500" y="0"/>
                            <a:ext cx="1320800" cy="396240"/>
                          </a:xfrm>
                          <a:prstGeom prst="rect">
                            <a:avLst/>
                          </a:prstGeom>
                          <a:noFill/>
                        </wps:spPr>
                        <wps:txbx>
                          <w:txbxContent>
                            <w:p w14:paraId="57B2C295" w14:textId="77777777" w:rsidR="008F1173" w:rsidRPr="008F1173" w:rsidRDefault="008F1173" w:rsidP="008F1173">
                              <w:pPr>
                                <w:pStyle w:val="NormalWeb"/>
                                <w:spacing w:before="0" w:beforeAutospacing="0" w:after="0" w:afterAutospacing="0"/>
                                <w:rPr>
                                  <w:sz w:val="18"/>
                                </w:rPr>
                              </w:pPr>
                              <w:r>
                                <w:rPr>
                                  <w:color w:val="000000" w:themeColor="text1"/>
                                  <w:sz w:val="20"/>
                                </w:rPr>
                                <w:t>EU:n joukkolainojen markkinat</w:t>
                              </w:r>
                            </w:p>
                          </w:txbxContent>
                        </wps:txbx>
                        <wps:bodyPr wrap="square" rtlCol="0">
                          <a:spAutoFit/>
                        </wps:bodyPr>
                      </wps:wsp>
                      <wps:wsp>
                        <wps:cNvPr id="45" name="TextBox 11"/>
                        <wps:cNvSpPr txBox="1"/>
                        <wps:spPr>
                          <a:xfrm>
                            <a:off x="1905000" y="0"/>
                            <a:ext cx="2667000" cy="396240"/>
                          </a:xfrm>
                          <a:prstGeom prst="rect">
                            <a:avLst/>
                          </a:prstGeom>
                          <a:noFill/>
                        </wps:spPr>
                        <wps:txbx>
                          <w:txbxContent>
                            <w:p w14:paraId="7FDFBDEB" w14:textId="77777777" w:rsidR="008F1173" w:rsidRPr="008F1173" w:rsidRDefault="008F1173" w:rsidP="008F1173">
                              <w:pPr>
                                <w:pStyle w:val="NormalWeb"/>
                                <w:spacing w:before="0" w:beforeAutospacing="0" w:after="0" w:afterAutospacing="0"/>
                                <w:rPr>
                                  <w:sz w:val="18"/>
                                </w:rPr>
                              </w:pPr>
                              <w:r>
                                <w:rPr>
                                  <w:color w:val="000000" w:themeColor="text1"/>
                                  <w:sz w:val="20"/>
                                </w:rPr>
                                <w:t>Eurooppalaisten valtion joukkolainojen markkinat EU:ssa* (keskiarvo 2020–2022)</w:t>
                              </w:r>
                            </w:p>
                          </w:txbxContent>
                        </wps:txbx>
                        <wps:bodyPr wrap="square" rtlCol="0">
                          <a:spAutoFit/>
                        </wps:bodyPr>
                      </wps:wsp>
                      <wps:wsp>
                        <wps:cNvPr id="47" name="Rectangle 47"/>
                        <wps:cNvSpPr/>
                        <wps:spPr>
                          <a:xfrm>
                            <a:off x="0" y="76200"/>
                            <a:ext cx="213360" cy="72000"/>
                          </a:xfrm>
                          <a:prstGeom prst="rect">
                            <a:avLst/>
                          </a:prstGeom>
                          <a:solidFill>
                            <a:srgbClr val="034EA2"/>
                          </a:solidFill>
                          <a:ln w="12700" cap="flat" cmpd="sng" algn="ctr">
                            <a:noFill/>
                            <a:prstDash val="solid"/>
                            <a:miter lim="800000"/>
                          </a:ln>
                          <a:effectLst/>
                        </wps:spPr>
                        <wps:bodyPr rtlCol="0" anchor="ctr"/>
                      </wps:wsp>
                      <wps:wsp>
                        <wps:cNvPr id="50" name="Rounded Rectangle 50"/>
                        <wps:cNvSpPr/>
                        <wps:spPr>
                          <a:xfrm>
                            <a:off x="1514475" y="95250"/>
                            <a:ext cx="324000" cy="45719"/>
                          </a:xfrm>
                          <a:prstGeom prst="roundRect">
                            <a:avLst>
                              <a:gd name="adj" fmla="val 50000"/>
                            </a:avLst>
                          </a:prstGeom>
                          <a:solidFill>
                            <a:srgbClr val="FFC000"/>
                          </a:solidFill>
                          <a:ln w="12700" cap="flat" cmpd="sng" algn="ctr">
                            <a:noFill/>
                            <a:prstDash val="solid"/>
                            <a:miter lim="800000"/>
                          </a:ln>
                          <a:effectLst/>
                        </wps:spPr>
                        <wps:bodyPr rtlCol="0" anchor="ctr"/>
                      </wps:wsp>
                    </wpg:wgp>
                  </a:graphicData>
                </a:graphic>
              </wp:inline>
            </w:drawing>
          </mc:Choice>
          <mc:Fallback>
            <w:pict>
              <v:group w14:anchorId="3C10B8A2" id="Group 51" o:spid="_x0000_s1026" style="width:5in;height:31.2pt;mso-position-horizontal-relative:char;mso-position-vertical-relative:line" coordsize="45720,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">
                <v:shapetype id="_x0000_t202" coordsize="21600,21600" o:spt="202" path="m,l,21600r21600,l21600,xe">
                  <v:stroke joinstyle="miter"/>
                  <v:path gradientshapeok="t" o:connecttype="rect"/>
                </v:shapetype>
                <v:shape id="TextBox 7" o:spid="_x0000_s1027" type="#_x0000_t202" style="position:absolute;left:1905;width:1320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04mwQAAANsAAAAPAAAAZHJzL2Rvd25yZXYueG1sRI9Ba8JA&#10;FITvBf/D8gre6kax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KYLTibBAAAA2wAAAA8AAAAA&#10;AAAAAAAAAAAABwIAAGRycy9kb3ducmV2LnhtbFBLBQYAAAAAAwADALcAAAD1AgAAAAA=&#10;" filled="f" stroked="f">
                  <v:textbox style="mso-fit-shape-to-text:t">
                    <w:txbxContent>
                      <w:p w14:paraId="57B2C295" w14:textId="77777777" w:rsidR="008F1173" w:rsidRPr="008F1173" w:rsidRDefault="008F1173" w:rsidP="008F1173">
                        <w:pPr>
                          <w:pStyle w:val="NormalWeb"/>
                          <w:spacing w:before="0" w:beforeAutospacing="0" w:after="0" w:afterAutospacing="0"/>
                          <w:rPr>
                            <w:sz w:val="18"/>
                          </w:rPr>
                        </w:pPr>
                        <w:r>
                          <w:rPr>
                            <w:color w:val="000000" w:themeColor="text1"/>
                            <w:sz w:val="20"/>
                          </w:rPr>
                          <w:t>EU:n joukkolainojen markkinat</w:t>
                        </w:r>
                      </w:p>
                    </w:txbxContent>
                  </v:textbox>
                </v:shape>
                <v:shape id="TextBox 11" o:spid="_x0000_s1028" type="#_x0000_t202" style="position:absolute;left:19050;width:26670;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9wQAAANsAAAAPAAAAZHJzL2Rvd25yZXYueG1sRI9Ba8JA&#10;FITvBf/D8gq91Y2i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MlH673BAAAA2wAAAA8AAAAA&#10;AAAAAAAAAAAABwIAAGRycy9kb3ducmV2LnhtbFBLBQYAAAAAAwADALcAAAD1AgAAAAA=&#10;" filled="f" stroked="f">
                  <v:textbox style="mso-fit-shape-to-text:t">
                    <w:txbxContent>
                      <w:p w14:paraId="7FDFBDEB" w14:textId="77777777" w:rsidR="008F1173" w:rsidRPr="008F1173" w:rsidRDefault="008F1173" w:rsidP="008F1173">
                        <w:pPr>
                          <w:pStyle w:val="NormalWeb"/>
                          <w:spacing w:before="0" w:beforeAutospacing="0" w:after="0" w:afterAutospacing="0"/>
                          <w:rPr>
                            <w:sz w:val="18"/>
                          </w:rPr>
                        </w:pPr>
                        <w:r>
                          <w:rPr>
                            <w:color w:val="000000" w:themeColor="text1"/>
                            <w:sz w:val="20"/>
                          </w:rPr>
                          <w:t>Eurooppalaisten valtion joukkolainojen markkinat EU:ssa* (keskiarvo 2020–2022)</w:t>
                        </w:r>
                      </w:p>
                    </w:txbxContent>
                  </v:textbox>
                </v:shape>
                <v:rect id="Rectangle 47" o:spid="_x0000_s1029" style="position:absolute;top:762;width:213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" fillcolor="#034ea2" stroked="f" strokeweight="1pt"/>
                <v:roundrect id="Rounded Rectangle 50" o:spid="_x0000_s1030" style="position:absolute;left:15144;top:952;width:3240;height:45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" fillcolor="#ffc000" stroked="f" strokeweight="1pt">
                  <v:stroke joinstyle="miter"/>
                </v:roundrect>
                <w10:anchorlock/>
              </v:group>
            </w:pict>
          </mc:Fallback>
        </mc:AlternateContent>
      </w:r>
    </w:p>
    <w:p w14:paraId="26183A9F" w14:textId="77777777" w:rsidR="008F1173" w:rsidRDefault="008F1173" w:rsidP="008F1173">
      <w:pPr>
        <w:contextualSpacing/>
        <w:jc w:val="center"/>
        <w:rPr>
          <w:noProof/>
          <w:spacing w:val="-6"/>
          <w:lang w:val="en-GB"/>
        </w:rPr>
      </w:pPr>
    </w:p>
    <w:p w14:paraId="1860495C" w14:textId="77777777" w:rsidR="008F1173" w:rsidRPr="008F1173" w:rsidRDefault="008F1173" w:rsidP="008F1173">
      <w:pPr>
        <w:contextualSpacing/>
        <w:jc w:val="left"/>
        <w:rPr>
          <w:noProof/>
          <w:color w:val="595959" w:themeColor="text1" w:themeTint="A6"/>
          <w:spacing w:val="-6"/>
          <w:sz w:val="18"/>
        </w:rPr>
      </w:pPr>
      <w:r>
        <w:rPr>
          <w:i/>
          <w:noProof/>
          <w:color w:val="595959" w:themeColor="text1" w:themeTint="A6"/>
          <w:sz w:val="18"/>
        </w:rPr>
        <w:t>Lähde:</w:t>
      </w:r>
      <w:r>
        <w:rPr>
          <w:noProof/>
          <w:color w:val="595959" w:themeColor="text1" w:themeTint="A6"/>
          <w:sz w:val="18"/>
        </w:rPr>
        <w:t xml:space="preserve"> Euroopan komissio Bloombergin datan pohjalta. </w:t>
      </w:r>
    </w:p>
    <w:p w14:paraId="4086FFD3" w14:textId="0CEC79A7" w:rsidR="00DD0DB2" w:rsidRDefault="008F1173" w:rsidP="008F1173">
      <w:pPr>
        <w:contextualSpacing/>
        <w:jc w:val="left"/>
        <w:rPr>
          <w:rFonts w:ascii="Calibri" w:hAnsi="Calibri"/>
          <w:noProof/>
          <w:color w:val="595959" w:themeColor="text1" w:themeTint="A6"/>
          <w:sz w:val="18"/>
        </w:rPr>
      </w:pPr>
      <w:r>
        <w:rPr>
          <w:noProof/>
          <w:color w:val="595959" w:themeColor="text1" w:themeTint="A6"/>
          <w:sz w:val="18"/>
        </w:rPr>
        <w:t xml:space="preserve">Huom. Tässä yhteydessä eurooppalaisten valtion joukkolainojen markkinat koostuvat euroalueen valtioista, Euroopan rahoitusvakausvälineestä ja Euroopan vakausmekanismista. </w:t>
      </w:r>
      <w:r>
        <w:rPr>
          <w:noProof/>
        </w:rPr>
        <w:t xml:space="preserve"> </w:t>
      </w:r>
      <w:r>
        <w:rPr>
          <w:noProof/>
        </w:rPr>
        <w:br/>
      </w:r>
      <w:r>
        <w:rPr>
          <w:noProof/>
          <w:color w:val="595959" w:themeColor="text1" w:themeTint="A6"/>
          <w:sz w:val="18"/>
        </w:rPr>
        <w:t>Näistä markkinoista ei ollut saatavilla tietoja vuoden 2022 kolmannelta neljännekseltä.</w:t>
      </w:r>
      <w:r>
        <w:rPr>
          <w:rFonts w:ascii="Calibri" w:hAnsi="Calibri"/>
          <w:noProof/>
          <w:color w:val="595959" w:themeColor="text1" w:themeTint="A6"/>
          <w:sz w:val="18"/>
        </w:rPr>
        <w:t xml:space="preserve"> </w:t>
      </w:r>
    </w:p>
    <w:p w14:paraId="6703A28E" w14:textId="77777777" w:rsidR="00D02090" w:rsidRPr="008F1173" w:rsidRDefault="00D02090" w:rsidP="008F1173">
      <w:pPr>
        <w:contextualSpacing/>
        <w:jc w:val="left"/>
        <w:rPr>
          <w:noProof/>
          <w:color w:val="595959" w:themeColor="text1" w:themeTint="A6"/>
          <w:spacing w:val="-6"/>
          <w:sz w:val="18"/>
        </w:rPr>
      </w:pPr>
    </w:p>
    <w:p w14:paraId="4808DA51" w14:textId="66FD7EDD" w:rsidR="001D0900" w:rsidRPr="008F1173" w:rsidRDefault="001D0900" w:rsidP="00D3648A">
      <w:pPr>
        <w:rPr>
          <w:noProof/>
        </w:rPr>
      </w:pPr>
      <w:r>
        <w:rPr>
          <w:noProof/>
        </w:rPr>
        <w:t>EU:n joukkolainojen jälkimarkkinoiden likviditeetti on samalla tasolla kuin eurooppalaisten valtion joukkolainojen markkinoiden, liikkeessä oleviin määriin suhteutettuna. Komissio aikoo ryhtyä toimiin, joiden tavoitteena on parantaa likviditeettiä entisestään, kuten jäljempänä 5 ja 6 kohdassa kerrotaan. EU:n joukkolainojen likviditeetin on todettu parantuneen NextGenerationEU-välineen ja SURE-ohjelmien käyttöönoton jälkeen. Tämän vuoksi Euroopan keskuspankki (EKP) ilmoitti joulukuussa 2022, että se kohtelee EU:n joukkolainoja samalla tavalla kuin niitä joukkolainoja, joita sen riskinhallintajärjestelmään kuuluvat keskushallinnot ja keskuspankit ovat laskeneet liikkeeseen.</w:t>
      </w:r>
      <w:r>
        <w:rPr>
          <w:rStyle w:val="FootnoteReference"/>
          <w:noProof/>
        </w:rPr>
        <w:footnoteReference w:id="7"/>
      </w:r>
      <w:r>
        <w:rPr>
          <w:noProof/>
        </w:rPr>
        <w:t xml:space="preserve"> Tämä vahvistaa, että EU:n liikkeeseenlaskujen asema markkinoilla lujittuu entisestään.</w:t>
      </w:r>
    </w:p>
    <w:p w14:paraId="0260D5D1" w14:textId="1D8DEE60" w:rsidR="00E81087" w:rsidRPr="008F1173" w:rsidRDefault="00DB3549" w:rsidP="008F1173">
      <w:pPr>
        <w:pStyle w:val="Heading1"/>
        <w:rPr>
          <w:noProof/>
        </w:rPr>
      </w:pPr>
      <w:bookmarkStart w:id="7" w:name="_Toc127532732"/>
      <w:r>
        <w:rPr>
          <w:noProof/>
        </w:rPr>
        <w:t>Varainhankintakustannukset ja likviditeettisaldot</w:t>
      </w:r>
      <w:bookmarkEnd w:id="7"/>
    </w:p>
    <w:p w14:paraId="1D8B633D" w14:textId="57B881CD" w:rsidR="00352DCC" w:rsidRPr="008F1173" w:rsidRDefault="001D0900" w:rsidP="008F1173">
      <w:pPr>
        <w:pStyle w:val="Heading2"/>
        <w:rPr>
          <w:noProof/>
        </w:rPr>
      </w:pPr>
      <w:bookmarkStart w:id="8" w:name="_Toc127532733"/>
      <w:r>
        <w:rPr>
          <w:noProof/>
        </w:rPr>
        <w:t>Varainhankintakustannukset</w:t>
      </w:r>
      <w:bookmarkEnd w:id="8"/>
    </w:p>
    <w:p w14:paraId="030D6F49" w14:textId="207092F3" w:rsidR="00D3648A" w:rsidRPr="00D3648A" w:rsidRDefault="002E4FA7" w:rsidP="008F1173">
      <w:pPr>
        <w:rPr>
          <w:noProof/>
        </w:rPr>
      </w:pPr>
      <w:r>
        <w:rPr>
          <w:noProof/>
        </w:rPr>
        <w:t>Korko- ja velanhallintakustannukset nousivat vuoden 2022 toisella puoliskolla merkittävästi yleisiä markkinaolosuhteita vastaavasti. Vuoden 2022 heinä- ja joulukuun välisellä ajanjaksolla varainhankintakustannukset</w:t>
      </w:r>
      <w:r>
        <w:rPr>
          <w:noProof/>
          <w:vertAlign w:val="superscript"/>
        </w:rPr>
        <w:footnoteReference w:id="8"/>
      </w:r>
      <w:r>
        <w:rPr>
          <w:noProof/>
        </w:rPr>
        <w:t xml:space="preserve"> olivat arviolta lähes 2,6 prosenttia ja pitkäaikaisten varainhankintaoperaatioiden keskimääräinen maturiteetti noin 13 vuotta.</w:t>
      </w:r>
    </w:p>
    <w:p w14:paraId="013F1F9E" w14:textId="71067C5C" w:rsidR="007E5C6F" w:rsidRPr="008F1173" w:rsidRDefault="002F7560" w:rsidP="007E5C6F">
      <w:pPr>
        <w:rPr>
          <w:noProof/>
        </w:rPr>
      </w:pPr>
      <w:r>
        <w:rPr>
          <w:noProof/>
        </w:rPr>
        <w:t xml:space="preserve">Rahoitusmarkkinoilla on nähty viime vuosikymmeninä vain harvoin yhtä jyrkkää kaikkien liikkeeseenlaskijoiden korkojen nousua, EU mukaan lukien. EU:n 10 vuoden joukkolainojen korot ovat nousseet siten, että kun ensimmäisen 10 vuoden NextGenerationEU-joukkolainan korko oli 0,09 prosenttia kesäkuussa 2021, toukokuussa 2022 se oli 1,53 prosenttia ja viimeisimmässä liikkeeseenlaskussa marraskuussa 2022 se oli 2,82 prosenttia. Vastaava nousu on havaittu myös arvostetuilla euromääräisten valtionlainojen liikkeeseenlaskijoilla. Esimerkiksi Saksan 10 vuoden valtionlainojen korot olivat kesäkuussa 2021 noin -0,20 prosenttia, toukokuussa 2022 lähes 1,0 prosenttia ja joulukuun 2022 lopussa yli 2,56 prosenttia. </w:t>
      </w:r>
    </w:p>
    <w:p w14:paraId="6CC382CE" w14:textId="04EEA98A" w:rsidR="00254D4D" w:rsidRPr="008F1173" w:rsidRDefault="001D0900" w:rsidP="008F1173">
      <w:pPr>
        <w:pStyle w:val="Heading2"/>
        <w:rPr>
          <w:noProof/>
        </w:rPr>
      </w:pPr>
      <w:bookmarkStart w:id="9" w:name="_Toc127532734"/>
      <w:r>
        <w:rPr>
          <w:noProof/>
        </w:rPr>
        <w:t>EU:n joukkolainojen ja vertailukelpoisten liikkeeseenlaskijoiden joukkolainojen tuottoerot</w:t>
      </w:r>
      <w:bookmarkEnd w:id="9"/>
    </w:p>
    <w:p w14:paraId="14FB5094" w14:textId="602A9EB4" w:rsidR="00D3648A" w:rsidRPr="008F1173" w:rsidRDefault="007E5C6F" w:rsidP="008F1173">
      <w:pPr>
        <w:rPr>
          <w:noProof/>
        </w:rPr>
      </w:pPr>
      <w:r>
        <w:rPr>
          <w:noProof/>
        </w:rPr>
        <w:t xml:space="preserve">Kun tarkastellaan hinnoittelua vertailukelpoisiin liikkeeseenlaskijoihin nähden, voidaan havaita, että vaikka EU:n ja eurooppalaisten valtion joukkolainojen välinen tuottoero kasvoi kolmannella vuosineljänneksellä, tämä ero supistui huomattavasti viimeisellä vuosineljänneksellä. Koska korkealaatuisista vakuuksista on pulaa, markkinaosapuolet suosivat aluksi eurooppalaisia valtion joukkolainoja valtiotasoa alemman tason joukkolainojen tai ylikansallisten laitosten liikkeeseen laskemien joukkolainojen sijasta, jolloin jälkimmäisten korot nousivat edellisiä jyrkemmin. Vakuuspula on kuitenkin helpottunut, mikä johtuu osittain Saksan valtion joukkolainojen tarjonnan ja saatavuuden lisääntymisestä, ja niinpä myös EU:n joukkolainojen ja eurooppalaisten valtion joukkolainojen tuottoero on pienentynyt. Joulukuun 31. päivänä 2022 tuottoero oli 64 peruspistettä oltuaan suurimmillaan lokakuussa 86 peruspistettä, mutta kuitenkin kasvanut vuoden takaisesta arvostaan, joka oli 21 peruspistettä. </w:t>
      </w:r>
    </w:p>
    <w:p w14:paraId="2054B5FB" w14:textId="38CAAA5D" w:rsidR="00254D4D" w:rsidRPr="008F1173" w:rsidRDefault="001D0900" w:rsidP="008F1173">
      <w:pPr>
        <w:pStyle w:val="Heading2"/>
        <w:rPr>
          <w:noProof/>
        </w:rPr>
      </w:pPr>
      <w:bookmarkStart w:id="10" w:name="_Toc127532735"/>
      <w:r>
        <w:rPr>
          <w:noProof/>
        </w:rPr>
        <w:t>Likviditeetin hallinta</w:t>
      </w:r>
      <w:bookmarkEnd w:id="10"/>
    </w:p>
    <w:p w14:paraId="76DA501E" w14:textId="32910012" w:rsidR="0094078E" w:rsidRDefault="00937C85" w:rsidP="008F1173">
      <w:pPr>
        <w:rPr>
          <w:noProof/>
        </w:rPr>
      </w:pPr>
      <w:r>
        <w:rPr>
          <w:noProof/>
        </w:rPr>
        <w:t>Komissio jatkoi myös lyhytaikaisten käteisvarojensa huolellista hallintaa varmistaakseen etteivät ne ylitä määrää, joka on tarpeen maksujen sujuvaa suorittamista varten. Vuoden 2022 toisella puoliskolla lyhytaikaisten käteisvarojen määrä oli keskimäärin 25,1 miljardia euroa eli hieman suurempi kuin vuoden 2022 ensimmäisellä puoliskolla, jolloin määrä oli keskimäärin 19,7 miljardia euroa. Lyhytaikaisia käteisvaroja tarvittiin keskimäärin enemmän, jotta vuoden 2022 toisella puoliskolla voitiin tehdä suuria maksusuorituksia (esimerkiksi kaksi erittäin suurta maksuerää, 12 ja 21 miljardia euroa). Myös likviditeettivarannot olivat keskimäärin suunniteltua suuremmat, mikä johtui maksujen suorituksiin liittyvistä muutoksista. Vaikka likviditeettivarannot olivat suurempia ja vaikka EU:n velkasitoumusten tuotot kehittyivät siten, että negatiiviset korot muuttuivat positiivisiksi, likviditeetin hallinta on tuottanut NextGenerationEU-välineen käteisvaroihin vuoden 2022 tammikuun ja joulukuun lopun välisenä aikana 43,2 miljoonan euron ylijäämän (positiivinen tuottoero). Tämä ylijäämä jaetaan oikeassa suhteessa EU:n talousarvion ja elpymis- ja palautumistukivälineen lainoja saaneiden jäsenvaltioiden kesken, kuten kustannustenjakomenetelmässä on määritetty.</w:t>
      </w:r>
    </w:p>
    <w:p w14:paraId="58BDF305" w14:textId="66D670E8" w:rsidR="00810743" w:rsidRPr="008F1173" w:rsidRDefault="0094078E" w:rsidP="00D3648A">
      <w:pPr>
        <w:rPr>
          <w:noProof/>
        </w:rPr>
      </w:pPr>
      <w:r>
        <w:rPr>
          <w:noProof/>
        </w:rPr>
        <w:t>Positiivinen tuottoero vuonna 2022 johtuu pääasiassa kahdesta seikasta: ensiksikin vuoden 2022 ensimmäisellä puoliskolla lyhytaikaisen varainhankinnan välineitä laskettiin liikkeeseen negatiivisella korolla. Näin kertyi suuria ylijäämiä, ja tämä vaikutus pysyi siihen saakka, kunnes nämä välineet erääntyivät vuoden 2022 toisella puoliskolla. Toiseksi EKP:n tilin talletuskorko nousi vähitellen, samalla kun EU:n velkasitoumusten korot nousivat vuoden 2022 toisella puoliskolla. Huolimatta siitä, että korot ovat nousseet ennätyksellisen nopeasti, kaikkien salkussa olevien velkasitoumusten marginaalikorko oli tällä ajanjaksolla edelleen talletuskorkoa pienempi. Ellei koroissa tapahdu vastaavia muutoksia vuonna 2023, odotettavissa on, että likviditeetin kasvattamisen kustannukset ylittävät pian likviditeetin hallussapidosta kertyvät korot, ja likviditeetin hallinta tuottaa tulevaisuudessa negatiivisen tuottoeron.</w:t>
      </w:r>
    </w:p>
    <w:p w14:paraId="6188E4EC" w14:textId="1AE44845" w:rsidR="00C44E47" w:rsidRPr="008F1173" w:rsidRDefault="002F7560" w:rsidP="00003760">
      <w:pPr>
        <w:pStyle w:val="Heading1"/>
        <w:rPr>
          <w:noProof/>
        </w:rPr>
      </w:pPr>
      <w:bookmarkStart w:id="11" w:name="_Toc127532736"/>
      <w:r>
        <w:rPr>
          <w:noProof/>
        </w:rPr>
        <w:t>Muut vuoden 2022 toisella puoliskolla saavutetut välitavoitteet</w:t>
      </w:r>
      <w:bookmarkEnd w:id="11"/>
    </w:p>
    <w:p w14:paraId="0A830093" w14:textId="753416D2" w:rsidR="00937C85" w:rsidRPr="008F1173" w:rsidRDefault="002F7560" w:rsidP="008F1173">
      <w:pPr>
        <w:pStyle w:val="Heading2"/>
        <w:rPr>
          <w:noProof/>
        </w:rPr>
      </w:pPr>
      <w:bookmarkStart w:id="12" w:name="_Toc127532737"/>
      <w:r>
        <w:rPr>
          <w:noProof/>
        </w:rPr>
        <w:t>EU:n liikkeeseenlaskupalvelu</w:t>
      </w:r>
      <w:bookmarkEnd w:id="12"/>
    </w:p>
    <w:p w14:paraId="73D65F5B" w14:textId="75E437DD" w:rsidR="005E77E4" w:rsidRDefault="00E922DF" w:rsidP="008F1173">
      <w:pPr>
        <w:rPr>
          <w:noProof/>
        </w:rPr>
      </w:pPr>
      <w:r>
        <w:rPr>
          <w:noProof/>
        </w:rPr>
        <w:t>Heinäkuussa 2022 komissio aloitti EKP:n ja Belgian keskuspankin kanssa EU:n liikkeeseenlaskupalvelun perustamiseen tähtäävän prosessin. EU:n liikkeeseenlaskupalvelun toimintarakennetta muotoillaan paraikaa, ja toteuttamisen on määrä alkaa vuoden 2023 toisella puoliskolla.</w:t>
      </w:r>
    </w:p>
    <w:p w14:paraId="3470A7A8" w14:textId="24BB603B" w:rsidR="005E77E4" w:rsidRPr="005D04B7" w:rsidRDefault="005E77E4" w:rsidP="008F1173">
      <w:pPr>
        <w:rPr>
          <w:noProof/>
        </w:rPr>
      </w:pPr>
      <w:r>
        <w:rPr>
          <w:noProof/>
        </w:rPr>
        <w:t>Liikkeeseenlaskupalvelun myötä komissio siirtyy käyttämään kaupallisista selvityspalvelujen tarjoajista muodostuvan selvitysjärjestelmän sijasta eurojärjestelmään perustuvaa selvitysinfrastruktuuria. EU:n joukkolainoille on etua siitä, että ne ovat suoraan osa eurojärjestelmän maksu- ja selvitysinfrastruktuuria (Target/Target2S), ja eurojärjestelmässä niitä voidaan käyttää aiempaa helpommin vakuutena. Tällä tavalla EU:n joukkolainojen liikkeeseenlasku tulee muistuttamaan sellaisten EU:n valtionlainan liikkeeseenlaskijoiden käyttämiä järjestelyjä, joiden joukkolainatransaktiot selvitetään keskuspankkirahalla.</w:t>
      </w:r>
    </w:p>
    <w:p w14:paraId="7920F739" w14:textId="7915AE41" w:rsidR="005E77E4" w:rsidRDefault="005E77E4" w:rsidP="008F1173">
      <w:pPr>
        <w:rPr>
          <w:noProof/>
        </w:rPr>
      </w:pPr>
      <w:r>
        <w:rPr>
          <w:noProof/>
        </w:rPr>
        <w:t>EU:n liikkeeseenlaskupalvelulla luodaan tasapuoliset toimintaedellytykset kaikille arvopaperikeskuksille ja sijoittajille, jotka käyvät kauppaa EU:n liikkeeseen laskemilla joukkolainoilla. EU:n liikkeeseenlaskupalvelun myötä komissio saa käyttöönsä selvitysprosessin, joka kuvastaa sen uutta roolia yhtenä euromääräisen velan suurimmista liikkeeseenlaskijoista.</w:t>
      </w:r>
    </w:p>
    <w:p w14:paraId="60631002" w14:textId="19BA55CB" w:rsidR="00751AE1" w:rsidRPr="00D3648A" w:rsidRDefault="00751AE1" w:rsidP="008F1173">
      <w:pPr>
        <w:rPr>
          <w:noProof/>
        </w:rPr>
      </w:pPr>
      <w:r>
        <w:rPr>
          <w:noProof/>
        </w:rPr>
        <w:t>EKP toimii maksuasiamiehenä ja Belgian keskuspankki selvityskeskuksena kaikille EU:n velkapapereille, kun EU:n liikkeeseenlaskupalvelu on toiminnassa.</w:t>
      </w:r>
    </w:p>
    <w:p w14:paraId="4545216D" w14:textId="7475256D" w:rsidR="00937C85" w:rsidRPr="008F1173" w:rsidRDefault="002F7560" w:rsidP="008F1173">
      <w:pPr>
        <w:pStyle w:val="Heading2"/>
        <w:rPr>
          <w:noProof/>
        </w:rPr>
      </w:pPr>
      <w:bookmarkStart w:id="13" w:name="_Toc127532738"/>
      <w:r>
        <w:rPr>
          <w:noProof/>
        </w:rPr>
        <w:t>Vihreiden joukkolainojen kohdentamisraportti</w:t>
      </w:r>
      <w:bookmarkEnd w:id="13"/>
    </w:p>
    <w:p w14:paraId="3EA55782" w14:textId="1B7EC703" w:rsidR="00F33393" w:rsidRDefault="005B4C56" w:rsidP="008F1173">
      <w:pPr>
        <w:rPr>
          <w:noProof/>
        </w:rPr>
      </w:pPr>
      <w:r>
        <w:rPr>
          <w:noProof/>
        </w:rPr>
        <w:t>Komissio antaa mahdollisimman avointa tietoa siitä, mihin sen liikkeeseen laskemilla vihreillä joukkolainoilla kerätyt varat investoidaan. Joulukuussa 2022 komissio julkaisi ensimmäisen NextGenerationEU-välineen vihreiden joukkolainojen kohdentamisraportin</w:t>
      </w:r>
      <w:r>
        <w:rPr>
          <w:noProof/>
          <w:vertAlign w:val="superscript"/>
          <w:lang w:val="en-GB"/>
        </w:rPr>
        <w:footnoteReference w:id="9"/>
      </w:r>
      <w:r>
        <w:rPr>
          <w:noProof/>
        </w:rPr>
        <w:t xml:space="preserve">. Raportista ilmenee, että NextGenerationEU-välineen vihreillä joukkolainoilla kerätyt varat käytetään kestäviin investointeihin, ja niissä noudatetaan NextGenerationEU-välineen vihreitä joukkolainoja koskevan kehyksen myötä tehtyjä sitoumuksia kaikilta osin. </w:t>
      </w:r>
    </w:p>
    <w:p w14:paraId="7A6C9AA6" w14:textId="7DE902A7" w:rsidR="00F006D1" w:rsidRPr="00AB311E" w:rsidRDefault="002F7768" w:rsidP="008F1173">
      <w:pPr>
        <w:rPr>
          <w:noProof/>
        </w:rPr>
      </w:pPr>
      <w:r>
        <w:rPr>
          <w:noProof/>
        </w:rPr>
        <w:t>Koontipäivänä 19. lokakuuta 2022 – täsmälleen vuoden kuluttua NextGenerationEU-välineen ensimmäisen vihreän joukkolainan liikkeeseenlaskusta – tilanne on se, että NextGenerationEU-välineen vihreillä joukkolainoilla rahoitetaan yhteensä 823 tukikelpoisesta toimenpiteestä koostuvaa poolia. Tämä vastaa lähes 185:tä miljardia euroa tai yli 30:tä prosenttia NextGenerationEU-välineen tähän mennessä sidotuista varoista. Tähän mennessä suurin osa varoista on kohdennettu jäsenvaltioiden toimenpiteisiin, jotka liittyvät puhtaaseen liikenteeseen ja infrastruktuuriin (55,6 prosenttia), ja seuraavalla sijalla ovat energiatehokkuuteen liittyvät menot (33,4 prosenttia). Maantieteellisesti tarkasteltuna tähän mennessä eniten vihreitä menoja on ollut Italiassa (50,7 prosenttia) ja seuraavaksi eniten Ranskassa (37,5 prosenttia). Raportissa kuvataan myös, miten vahvasti NextGenerationEU-välineen vihreillä joukkolainoilla rahoitetut toimenpiteet on sovitettu yhteen EU:n kestävyysluokitusjärjestelmässä määritettyjen toimien kanssa. Toimenpiteitä tuettavilla toimialoilla, joiden voidaan katsoa olevan täysin yhdenmukaisia kestävyysluokitusjärjestelmän tärkeimpien ehtojen kanssa ja jotka täyttävät kestävyysluokitusjärjestelmän ”ei merkittävää haittaa” -periaatteen mukaiset ehdot ainakin osittain, on rahoitettu noin 107,1 miljardia euroa eli niiden osuus vihreillä joukkolainoilla rahoitettavien tukikelpoisten toimenpiteiden kokonaispoolista on 57,9 prosenttia</w:t>
      </w:r>
      <w:r>
        <w:rPr>
          <w:rStyle w:val="FootnoteReference"/>
          <w:noProof/>
        </w:rPr>
        <w:footnoteReference w:id="10"/>
      </w:r>
      <w:r>
        <w:rPr>
          <w:noProof/>
        </w:rPr>
        <w:t>.</w:t>
      </w:r>
    </w:p>
    <w:p w14:paraId="16EA5149" w14:textId="2891B05D" w:rsidR="00D3648A" w:rsidRDefault="0075167C" w:rsidP="008F1173">
      <w:pPr>
        <w:rPr>
          <w:noProof/>
        </w:rPr>
      </w:pPr>
      <w:r>
        <w:rPr>
          <w:noProof/>
        </w:rPr>
        <w:t xml:space="preserve">Komissio julkaisee kohdentamisraportteja kerran vuodessa siihen saakka, kunnes kaikki varat on kohdennettu vihreisiin ja kestäviin toimenpiteisiin. Lisäksi komissio julkaisee vuoden 2023 lopussa ensimmäisen NextGenerationEU-välineen vihreitä joukkolainoja koskevan vaikutusraportin, jossa se kuvaa, miten kerätyillä varoilla edistetään asianmukaisten ilmastosiirtymää koskevien tavoitteiden saavuttamista. </w:t>
      </w:r>
    </w:p>
    <w:p w14:paraId="0057A7FA" w14:textId="69EEC678" w:rsidR="002F7768" w:rsidRPr="00D3648A" w:rsidRDefault="0075167C" w:rsidP="008F1173">
      <w:pPr>
        <w:rPr>
          <w:noProof/>
        </w:rPr>
      </w:pPr>
      <w:r>
        <w:rPr>
          <w:noProof/>
        </w:rPr>
        <w:t>Reaaliaikaista tietoa NextGenerationEU-välineen vihreillä joukkolainoilla kerättyjen varojen kohdentamisesta on edelleen tarjolla NextGenerationEU-välineen vihreiden joukkolainojen tulostaulussa</w:t>
      </w:r>
      <w:r>
        <w:rPr>
          <w:noProof/>
          <w:vertAlign w:val="superscript"/>
        </w:rPr>
        <w:footnoteReference w:id="11"/>
      </w:r>
      <w:r>
        <w:rPr>
          <w:noProof/>
        </w:rPr>
        <w:t>. Sen avulla sijoittajilla on käytössään poikkeuksellisen läpinäkyvää tietoa siitä, mihin NextGenerationEU-välineen vihreillä joukkolainoilla kerätyt varat investoidaan.</w:t>
      </w:r>
    </w:p>
    <w:p w14:paraId="3DD3C2B7" w14:textId="68A3B49C" w:rsidR="00C44E47" w:rsidRPr="0068458A" w:rsidRDefault="00C44E47" w:rsidP="006D6C0E">
      <w:pPr>
        <w:contextualSpacing/>
        <w:rPr>
          <w:noProof/>
          <w:spacing w:val="-6"/>
        </w:rPr>
      </w:pPr>
    </w:p>
    <w:p w14:paraId="265582DF" w14:textId="6C76397C" w:rsidR="008F1173" w:rsidRPr="008F1173" w:rsidRDefault="006C2DAA" w:rsidP="008F1173">
      <w:pPr>
        <w:contextualSpacing/>
        <w:rPr>
          <w:noProof/>
        </w:rPr>
      </w:pPr>
      <w:r>
        <w:rPr>
          <w:noProof/>
          <w:lang w:val="en-GB" w:eastAsia="en-GB"/>
        </w:rPr>
        <w:drawing>
          <wp:inline distT="0" distB="0" distL="0" distR="0" wp14:anchorId="0E884D40" wp14:editId="47E6A3E9">
            <wp:extent cx="5760085" cy="19373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085" cy="1937385"/>
                    </a:xfrm>
                    <a:prstGeom prst="rect">
                      <a:avLst/>
                    </a:prstGeom>
                  </pic:spPr>
                </pic:pic>
              </a:graphicData>
            </a:graphic>
          </wp:inline>
        </w:drawing>
      </w:r>
    </w:p>
    <w:p w14:paraId="45432422" w14:textId="07AFEAC7" w:rsidR="00232130" w:rsidRDefault="00232130" w:rsidP="00D3648A">
      <w:pPr>
        <w:contextualSpacing/>
        <w:rPr>
          <w:noProof/>
          <w:lang w:val="en-GB"/>
        </w:rPr>
      </w:pPr>
    </w:p>
    <w:p w14:paraId="06D5CB35" w14:textId="77777777" w:rsidR="008F1173" w:rsidRPr="008F1173" w:rsidRDefault="008F1173" w:rsidP="008F1173">
      <w:pPr>
        <w:contextualSpacing/>
        <w:rPr>
          <w:noProof/>
          <w:color w:val="595959" w:themeColor="text1" w:themeTint="A6"/>
          <w:sz w:val="18"/>
        </w:rPr>
      </w:pPr>
      <w:r>
        <w:rPr>
          <w:i/>
          <w:noProof/>
          <w:color w:val="595959" w:themeColor="text1" w:themeTint="A6"/>
          <w:sz w:val="18"/>
        </w:rPr>
        <w:t>Lähde:</w:t>
      </w:r>
      <w:r>
        <w:rPr>
          <w:noProof/>
          <w:color w:val="595959" w:themeColor="text1" w:themeTint="A6"/>
          <w:sz w:val="18"/>
        </w:rPr>
        <w:t xml:space="preserve"> Vihreiden joukkolainojen kohdentamisraportti</w:t>
      </w:r>
    </w:p>
    <w:p w14:paraId="7DEC3DEA" w14:textId="60024465" w:rsidR="005B4C56" w:rsidRPr="0045484D" w:rsidRDefault="008F1173" w:rsidP="00D3648A">
      <w:pPr>
        <w:contextualSpacing/>
        <w:rPr>
          <w:noProof/>
          <w:color w:val="595959" w:themeColor="text1" w:themeTint="A6"/>
          <w:sz w:val="18"/>
        </w:rPr>
      </w:pPr>
      <w:r>
        <w:rPr>
          <w:noProof/>
          <w:color w:val="595959" w:themeColor="text1" w:themeTint="A6"/>
          <w:sz w:val="18"/>
        </w:rPr>
        <w:t>*Perustuu vihreiden joukkolainojen tuotoista koostuvaan 13,5 miljardin euron summaan, joka on kohdennettu jäsenvaltioille tukikelpoisiin menoihin.</w:t>
      </w:r>
    </w:p>
    <w:p w14:paraId="774AF1B2" w14:textId="6D8D7903" w:rsidR="00232130" w:rsidRPr="0045484D" w:rsidRDefault="006D6C0E" w:rsidP="0045484D">
      <w:pPr>
        <w:pStyle w:val="Heading1"/>
        <w:rPr>
          <w:noProof/>
        </w:rPr>
      </w:pPr>
      <w:bookmarkStart w:id="14" w:name="_Toc127532739"/>
      <w:r>
        <w:rPr>
          <w:noProof/>
        </w:rPr>
        <w:t>Yhdistetyn varainhankintamenetelmän toteuttaminen</w:t>
      </w:r>
      <w:bookmarkEnd w:id="14"/>
    </w:p>
    <w:p w14:paraId="1CFCC66D" w14:textId="43DC555B" w:rsidR="00270C15" w:rsidRDefault="008A6BA6" w:rsidP="0045484D">
      <w:pPr>
        <w:rPr>
          <w:noProof/>
        </w:rPr>
      </w:pPr>
      <w:r>
        <w:rPr>
          <w:noProof/>
        </w:rPr>
        <w:t xml:space="preserve">Joulukuussa 2022 parlamentti ja neuvosto muuttivat varainhoitoasetuksen 220 a artiklaa, minkä ansiosta komissio pystyi ulottamaan monipuolisen varainhankintastrategian soveltamisen muihin EU:n lainanotto-ohjelmiin. Tätä uutta yhdistettyä varainhankintamenetelmää noudattaen komissio toteuttaa liikkeeseenlaskut ”EU:n joukkolainojen” nimellä, sen sijaan, että se laskisi liikkeeseen erikseen nimettyjä joukkolainoja esimerkiksi NextGenerationEU-välineen, SURE-välineen ja makrotaloudellisen rahoitusavun kaltaisia yksittäisiä ohjelmia varten. </w:t>
      </w:r>
    </w:p>
    <w:p w14:paraId="46369C67" w14:textId="45533E08" w:rsidR="00270C15" w:rsidRDefault="00270C15" w:rsidP="0045484D">
      <w:pPr>
        <w:rPr>
          <w:noProof/>
        </w:rPr>
      </w:pPr>
      <w:r>
        <w:rPr>
          <w:noProof/>
        </w:rPr>
        <w:t>Tällaisen kokoavan EU:n joukkolainat -nimikkeen ansiosta komissio voi hoitaa kaikkien liikkeeseenlaskujen suunnittelun, toteutuksen ja tiedotuksen joustavasti ja johdonmukaisesti. Varainhankintasuunnitelma ja vuotuinen lainanottopäätös koskevat kaikkia yhdistetyn varainhankintamenetelmän kautta rahoitettuja ohjelmia, joten Euroopan parlamentti ja neuvosto sekä sijoittajat saavat kattavan yleiskuvan EU:n tulevasta lainanotosta. Tämän puolivuotiskertomuksen tulevissa versioissa raportoidaan siis EU:n kaikista lainanotto- ja lainananto-ohjelmista, jotka rahoitetaan yhdistetyn varainhankintamenetelmän avulla.</w:t>
      </w:r>
    </w:p>
    <w:p w14:paraId="6CAD5411" w14:textId="2424D8EE" w:rsidR="00A9084E" w:rsidRDefault="00547DE9" w:rsidP="0045484D">
      <w:pPr>
        <w:rPr>
          <w:noProof/>
        </w:rPr>
      </w:pPr>
      <w:r>
        <w:rPr>
          <w:noProof/>
        </w:rPr>
        <w:t>Komissio kerää kaikki EU:n joukkolainoilla saadut varat keskitettyyn varainhankintapooliin ja kohdentaa ne sisäisesti eri ohjelmiin, joita rahoitetaan liikkeeseen lasketuilla joukkolainoilla. Näin vältetään EU:n liikkeeseenlaskujen hajanaisuus ja parannetaan EU:n joukkolainojen jälkimarkkinoiden homogeenisuutta, kun yhden nimikkeen alla olevien EU:n joukkolainojen osto, myynti ja vaihto on sijoittajille aiempaa helpompaa. Tällä tavalla EU:n arvopapereista voidaan tehdä aiempaa likvidimpiä, ja myös niiden hinnoittelua ja niillä käytävää kauppaa jälkimarkkinoilla voidaan parantaa.</w:t>
      </w:r>
    </w:p>
    <w:p w14:paraId="212CFB55" w14:textId="57F31E2E" w:rsidR="00B512D0" w:rsidRDefault="00547DE9" w:rsidP="0045484D">
      <w:pPr>
        <w:rPr>
          <w:noProof/>
        </w:rPr>
      </w:pPr>
      <w:r>
        <w:rPr>
          <w:noProof/>
        </w:rPr>
        <w:t>Yhdistetyn varainhankintamenetelmän avulla komissio voi käyttää kaikkia NextGenerationEU-välinettä varten kehitettyjä varainhankintavälineitään (EU:n joukkolainoja ja EU:n velkasitoumuksia) ja varainhankintatekniikoitaan (syndikointeja ja huutokauppoja) täyttääkseen muita lainananto-ohjelmia koskevat varainhankintatarpeensa. Näin komissio pystyy saamaan rahoitukselle tavallista paremmat ehdot, jotka siirretään sen rahoitusohjelmien tuensaajille. Komissiolla on myös enemmän joustovaraa maksusuoritusten ajoituksessa, joten se voi vastata tuensaajien tarpeisiin paremmin.</w:t>
      </w:r>
    </w:p>
    <w:p w14:paraId="046BD90E" w14:textId="15226008" w:rsidR="00B512D0" w:rsidRDefault="00254D4D" w:rsidP="0045484D">
      <w:pPr>
        <w:rPr>
          <w:noProof/>
        </w:rPr>
      </w:pPr>
      <w:r>
        <w:rPr>
          <w:noProof/>
        </w:rPr>
        <w:t>Lisäksi tästä on se etu, että NextGenerationEU-välineen myötä käyttöönotettua vankkaa riskienhallinta-, vaatimustenmukaisuus- ja hallintokehystä, jota valvoo sitä varten nimitetty riskienhallintajohtaja, aletaan soveltaa kaikkiin lainanotto- ja lainanantotoimiin. Tässä riskienhallintakehyksessä riskienhallintajohtaja määrittää riskejä koskevat komission strategiset tavoitteet, riskinottohalun ja riskirajat sekä tärkeimmät NextGenerationEU-välineen toimista aiheutuvat taloudelliset ja muut kuin taloudelliset riskit. Lisäksi riskienhallintajohtaja suunnittelee prosessit, joilla riskejä hallitaan, seurataan ja lievennetään. Riskienhallintajohtaja laatii myös lausuntoja puolivuosittaisista varainhankintasuunnitelmista ja kuukausittaisista lainanotto-ohjeistuksista ja seuraa riskiparametreja säännöllisesti. Myös EU:n yhdistetyn liikkeeseenlaskumenetelmän perusteena olevia oikeudellisia asiakirjoja (”velan liikkeeseenlaskuohjelma”) tarkistetaan vuoden 2023 ensimmäisellä puoliskolla ohjelman soveltamisalan ja uusien ominaisuuksien osalta.</w:t>
      </w:r>
    </w:p>
    <w:p w14:paraId="37651FFD" w14:textId="65C2C73D" w:rsidR="002055AD" w:rsidRDefault="00547DE9" w:rsidP="0045484D">
      <w:pPr>
        <w:rPr>
          <w:noProof/>
        </w:rPr>
      </w:pPr>
      <w:r>
        <w:rPr>
          <w:noProof/>
        </w:rPr>
        <w:t xml:space="preserve">Komissio jatkaa NextGenerationEU-välineen keskiössä olevan vihreän komponentin rahoittamista laskemalla liikkeeseen siihen tarkoitukseen selkeästi määritettyjä ja kohdennettuja NextGenerationEU-välineen vihreitä joukkolainoja. Näin sijoittajat voivat edelleen varmistaa, että vihreillä joukkolainoilla saadut varat käytetään tukikelpoisiin menoihin, joita voidaan kattaa vihreillä joukkolainoilla NextGenerationEU-välineen vihreitä joukkolainoja koskevan kehyksen mukaisesti. </w:t>
      </w:r>
    </w:p>
    <w:p w14:paraId="3347098C" w14:textId="755F43E5" w:rsidR="00547DE9" w:rsidRDefault="00890C70" w:rsidP="0045484D">
      <w:pPr>
        <w:rPr>
          <w:noProof/>
        </w:rPr>
      </w:pPr>
      <w:r>
        <w:rPr>
          <w:noProof/>
        </w:rPr>
        <w:t>Niiden rahoitusapuohjelmien osalta, joiden perussäädökset tulevat voimaan 9. marraskuuta 2022 tai sen jälkeen, back-to-back-rahoitus pysyy poikkeuksellisesti vaihtoehtona, jos se on tiettyjen transaktiotarpeiden kannalta perusteltua.</w:t>
      </w:r>
    </w:p>
    <w:p w14:paraId="62BC92AA" w14:textId="77777777" w:rsidR="00D767B3" w:rsidRPr="0068458A" w:rsidRDefault="00D767B3" w:rsidP="0045484D">
      <w:pPr>
        <w:rPr>
          <w:noProof/>
        </w:rPr>
      </w:pPr>
    </w:p>
    <w:p w14:paraId="11041264" w14:textId="17BD6E7C" w:rsidR="0045484D" w:rsidRDefault="00D02090" w:rsidP="0045484D">
      <w:pPr>
        <w:rPr>
          <w:noProof/>
        </w:rPr>
      </w:pPr>
      <w:r>
        <w:rPr>
          <w:noProof/>
          <w:lang w:val="en-GB" w:eastAsia="en-GB"/>
        </w:rPr>
        <w:drawing>
          <wp:inline distT="0" distB="0" distL="0" distR="0" wp14:anchorId="59444377" wp14:editId="4F6ACA73">
            <wp:extent cx="5760085" cy="1775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085" cy="1775460"/>
                    </a:xfrm>
                    <a:prstGeom prst="rect">
                      <a:avLst/>
                    </a:prstGeom>
                  </pic:spPr>
                </pic:pic>
              </a:graphicData>
            </a:graphic>
          </wp:inline>
        </w:drawing>
      </w:r>
    </w:p>
    <w:p w14:paraId="0D3359BB" w14:textId="1B577492" w:rsidR="0045484D" w:rsidRPr="00DD34B3" w:rsidRDefault="0045484D" w:rsidP="0045484D">
      <w:pPr>
        <w:spacing w:after="120"/>
        <w:jc w:val="left"/>
        <w:rPr>
          <w:noProof/>
          <w:color w:val="595959" w:themeColor="text1" w:themeTint="A6"/>
          <w:sz w:val="18"/>
        </w:rPr>
      </w:pPr>
      <w:r>
        <w:rPr>
          <w:noProof/>
          <w:color w:val="595959" w:themeColor="text1" w:themeTint="A6"/>
          <w:sz w:val="18"/>
        </w:rPr>
        <w:t xml:space="preserve">Yhdistettyä varainhankintamenetelmää sovelletaan tavanomaisiin joukkolainoihin. </w:t>
      </w:r>
      <w:r>
        <w:rPr>
          <w:noProof/>
        </w:rPr>
        <w:t xml:space="preserve"> </w:t>
      </w:r>
      <w:r>
        <w:rPr>
          <w:noProof/>
        </w:rPr>
        <w:br/>
      </w:r>
      <w:r>
        <w:rPr>
          <w:noProof/>
          <w:color w:val="595959" w:themeColor="text1" w:themeTint="A6"/>
          <w:sz w:val="18"/>
        </w:rPr>
        <w:t xml:space="preserve">NextGenerationEU-välineen vihreiden joukkolainojen liikkeeseenlaskuilla rahoitetaan edelleen vain sellaisia toimenpiteitä, jotka ovat tukikelpoisia NextGenerationEU-välinettä koskevan kehyksen nojalla. </w:t>
      </w:r>
    </w:p>
    <w:p w14:paraId="0606075F" w14:textId="79BB09C7" w:rsidR="0045484D" w:rsidRPr="00DD34B3" w:rsidRDefault="0045484D" w:rsidP="0045484D">
      <w:pPr>
        <w:spacing w:after="120"/>
        <w:jc w:val="left"/>
        <w:rPr>
          <w:noProof/>
          <w:color w:val="595959" w:themeColor="text1" w:themeTint="A6"/>
          <w:sz w:val="18"/>
        </w:rPr>
      </w:pPr>
      <w:r>
        <w:rPr>
          <w:noProof/>
          <w:color w:val="595959" w:themeColor="text1" w:themeTint="A6"/>
          <w:sz w:val="18"/>
        </w:rPr>
        <w:t>Muihin toimintalinjoihin sisältyvät nykyiset tai mahdolliset tulevat ohjelmat, joita rahoitetaan EU:n lainanotolla.</w:t>
      </w:r>
    </w:p>
    <w:p w14:paraId="30556FF9" w14:textId="55A04302" w:rsidR="0045484D" w:rsidRPr="00DD34B3" w:rsidRDefault="0045484D" w:rsidP="0045484D">
      <w:pPr>
        <w:spacing w:after="120"/>
        <w:jc w:val="left"/>
        <w:rPr>
          <w:noProof/>
          <w:color w:val="595959" w:themeColor="text1" w:themeTint="A6"/>
          <w:sz w:val="18"/>
        </w:rPr>
      </w:pPr>
      <w:r>
        <w:rPr>
          <w:noProof/>
          <w:color w:val="595959" w:themeColor="text1" w:themeTint="A6"/>
          <w:sz w:val="18"/>
        </w:rPr>
        <w:t>REPowerEU-suunnitelma rahoitetaan jäljellä olevilla elpymis- ja palautumistukivälineen lainoilla.</w:t>
      </w:r>
    </w:p>
    <w:p w14:paraId="67616543" w14:textId="77777777" w:rsidR="0045484D" w:rsidRPr="0068458A" w:rsidRDefault="0045484D" w:rsidP="0045484D">
      <w:pPr>
        <w:rPr>
          <w:noProof/>
        </w:rPr>
      </w:pPr>
    </w:p>
    <w:p w14:paraId="330E1CF0" w14:textId="13460E83" w:rsidR="00554456" w:rsidRPr="0045484D" w:rsidRDefault="00554456" w:rsidP="0045484D">
      <w:pPr>
        <w:pStyle w:val="Heading1"/>
        <w:rPr>
          <w:noProof/>
        </w:rPr>
      </w:pPr>
      <w:bookmarkStart w:id="15" w:name="_Toc127532740"/>
      <w:r>
        <w:rPr>
          <w:noProof/>
        </w:rPr>
        <w:t xml:space="preserve">Muut toimenpiteet, joilla parannetaan EU:n joukkolainojen </w:t>
      </w:r>
      <w:r>
        <w:rPr>
          <w:noProof/>
        </w:rPr>
        <w:br/>
        <w:t>houkuttelevuutta sijoittajien kannalta</w:t>
      </w:r>
      <w:bookmarkEnd w:id="15"/>
    </w:p>
    <w:p w14:paraId="0E418DAF" w14:textId="49F653AE" w:rsidR="005B4C56" w:rsidRPr="0045484D" w:rsidRDefault="00554456" w:rsidP="0045484D">
      <w:pPr>
        <w:rPr>
          <w:noProof/>
        </w:rPr>
      </w:pPr>
      <w:r>
        <w:rPr>
          <w:noProof/>
        </w:rPr>
        <w:t>Uusi yhdistetty varainhankintamenetelmä EU:n joukkolainojen liikkeeseenlaskua varten, EU:n liikkeeseenlaskupalvelun perustaminen ja EU:n joukkolainojen kohtelu samalla tavoin kuin kohdellaan EKP:n riskinhallintajärjestelmään kuuluvien keskushallintojen ja keskuspankkien liikkeeseen laskemia joukkolainoja, ovat tärkeitä edistysaskelia, kun vahvistetaan EU:n asemaa valtion kaltaisena tai ylikansallisena liikkeeseenlaskijana. Tätä prosessia jatketaan vuonna 2023, kun komissio jatkaa EU:n joukkolainojen likviditeetin parantamista kaikkien joukkolainoista tuottoja saavien eduksi.</w:t>
      </w:r>
    </w:p>
    <w:p w14:paraId="68E905CC" w14:textId="72398377" w:rsidR="00554456" w:rsidRPr="007C4BA8" w:rsidRDefault="00554456" w:rsidP="0045484D">
      <w:pPr>
        <w:rPr>
          <w:noProof/>
          <w:spacing w:val="-6"/>
        </w:rPr>
      </w:pPr>
      <w:r>
        <w:rPr>
          <w:noProof/>
        </w:rPr>
        <w:t>Komissio ryhtyy seuraaviin toimiin EU:n joukkolainojen likviditeetin parantamiseksi:</w:t>
      </w:r>
    </w:p>
    <w:p w14:paraId="6AB4E711" w14:textId="39B3E1D8" w:rsidR="007C4BA8" w:rsidRPr="007C4BA8" w:rsidRDefault="005351A7" w:rsidP="0045484D">
      <w:pPr>
        <w:pStyle w:val="ListParagraph"/>
        <w:numPr>
          <w:ilvl w:val="0"/>
          <w:numId w:val="32"/>
        </w:numPr>
        <w:ind w:left="714" w:hanging="357"/>
        <w:contextualSpacing w:val="0"/>
        <w:rPr>
          <w:noProof/>
        </w:rPr>
      </w:pPr>
      <w:r>
        <w:rPr>
          <w:noProof/>
        </w:rPr>
        <w:t>Komissio laatii päämarkkinatakaajien verkostoonsa kuuluvien pankkien kanssa kehyksen, jonka avulla sijoittajille voidaan antaa EU:n arvopapereiden hintanoteeraukset. Noteeraukset näytetään rahoitusalan ammattilaisten käyttämillä kaupankäyntialustoilla. Kehyksen valmistelu aloitetaan vuoden 2023 alussa, ja tarkoituksena on ottaa nämä uudet noteerausjärjestelyt käyttöön kesällä 2023.</w:t>
      </w:r>
    </w:p>
    <w:p w14:paraId="2CEE6D83" w14:textId="0BB9DBEB" w:rsidR="00303954" w:rsidRPr="00303954" w:rsidRDefault="00554456" w:rsidP="0045484D">
      <w:pPr>
        <w:pStyle w:val="ListParagraph"/>
        <w:numPr>
          <w:ilvl w:val="0"/>
          <w:numId w:val="32"/>
        </w:numPr>
        <w:ind w:left="714" w:hanging="357"/>
        <w:contextualSpacing w:val="0"/>
        <w:rPr>
          <w:noProof/>
        </w:rPr>
      </w:pPr>
      <w:r>
        <w:rPr>
          <w:noProof/>
        </w:rPr>
        <w:t>Lisäksi komissio alkaa kehittää takaisinostovälinettä tukeakseen markkinaosapuolia sen joukkolainoilla toteutettavassa kaupankäynnissä. Takaisinostovälineen avulla komissio asettaa arvopapereitaan saataville tilapäisesti ja auttaa näin EU:n päämarkkinatakaajia parantamaan EU:n joukkolainojen likviditeettiä. Tämä takaisinostoväline on määrä ottaa käyttöön vuoden 2024 alussa.</w:t>
      </w:r>
    </w:p>
    <w:p w14:paraId="53C34C09" w14:textId="5BACDCA7" w:rsidR="007D6C82" w:rsidRPr="0045484D" w:rsidRDefault="007D6C82" w:rsidP="0045484D">
      <w:pPr>
        <w:pStyle w:val="Heading1"/>
        <w:rPr>
          <w:noProof/>
        </w:rPr>
      </w:pPr>
      <w:bookmarkStart w:id="16" w:name="_Toc127532741"/>
      <w:r>
        <w:rPr>
          <w:noProof/>
        </w:rPr>
        <w:t>Liikkeeseenlaskunäkymät vuodelle 2023</w:t>
      </w:r>
      <w:bookmarkEnd w:id="16"/>
    </w:p>
    <w:p w14:paraId="75C83A7C" w14:textId="6781AA84" w:rsidR="00D3648A" w:rsidRPr="00D3648A" w:rsidRDefault="005F7E9D" w:rsidP="0045484D">
      <w:pPr>
        <w:rPr>
          <w:noProof/>
        </w:rPr>
      </w:pPr>
      <w:r>
        <w:rPr>
          <w:noProof/>
        </w:rPr>
        <w:t>Vuoden 2023 vuotuisen lainanottopäätöksen nojalla komissio saa laskea vuonna 2023 liikkeeseen enintään 170 miljardia euroa pitkäaikaisena varainhankintana, ja lyhytaikaisen varainhankinnan maksamatta oleva määrä saa olla enintään 60 miljardia euroa. Kunhan RePowerEU-suunnitelman ennakkorahoitustarpeet vahvistetaan myöhemmin tänä vuonna, vuotuista lainanottopäätöstä voidaan joutua tarkistamaan sen mukaan, onko liikkeeseenlaskua mahdollisesti tarpeen kasvattaa. Näin ollen EU:n joukkolainojen liikkeeseenlaskujen kokonaisvolyymi kasvaa vuonna 2023 merkittävästi vuoteen 2022 verrattuna, jolloin komissio laski liikkeeseen lähes 120 miljardia euroa.</w:t>
      </w:r>
    </w:p>
    <w:p w14:paraId="513F3E70" w14:textId="5A930D48" w:rsidR="00D3648A" w:rsidRDefault="005351A7" w:rsidP="0045484D">
      <w:pPr>
        <w:rPr>
          <w:noProof/>
        </w:rPr>
      </w:pPr>
      <w:r>
        <w:rPr>
          <w:noProof/>
        </w:rPr>
        <w:t>Komissio julkaisi 19. joulukuuta 2022 puolivuotisen varainhankintasuunnitelmansa tammikuusta kesäkuun loppuun 2023 ulottuvalle ajanjaksolle. Suunnitelma on ensimmäinen, joka on laadittu komission uuden yhdistetyn varainhankintamenetelmän mukaisesti. Varainhankintasuunnitelma kattaa siis NextGenerationEU-välineen lisäksi myös muita lainanotto- ja lainananto-ohjelmia, joita komissio aikoo rahoittaa. Liikkeeseenlaskuohjelmaa on joiltakin osin mukautettu, jotta komissio voi lisätä liikkeeseenlaskujen kokonaisvolyymia vuonna 2023 erityisesti lisäämällä transaktioiden tiheyttä ja kasvattamalla volyymia huutokauppojen kautta. Riskienhallintajohtaja on antanut varainhankintasuunnitelmasta myönteisen lausunnon.</w:t>
      </w:r>
    </w:p>
    <w:p w14:paraId="3F89D804" w14:textId="509BA72A" w:rsidR="00D3648A" w:rsidRPr="0045484D" w:rsidRDefault="001A445F" w:rsidP="0045484D">
      <w:pPr>
        <w:rPr>
          <w:noProof/>
        </w:rPr>
      </w:pPr>
      <w:r>
        <w:rPr>
          <w:noProof/>
        </w:rPr>
        <w:t>Vuoden 2023 ensimmäisellä puoliskolla komissio aikoo laskea liikkeeseen 80 miljardin euron arvosta EU:n joukkolainoja, joita täydennetään lyhytaikaisilla EU:n velkasitoumuksilla. Komissio käyttää näitä varoja NextGenerationEU-välineen rahoittamiseen (noin 70 miljardia euroa) ja Ukrainalle suunnatun makrotaloudellinen rahoitusapu plus -välineen rahoittamiseen (noin 10 miljardia euroa). Myös muut liikkeeseenlaskut nykyisistä, mittakaavaltaan paljon pienemmistä makrotaloudellisen rahoitusavun ohjelmista ovat mahdollisia.</w:t>
      </w:r>
    </w:p>
    <w:p w14:paraId="7832F823" w14:textId="09FBB6AE" w:rsidR="00765E3F" w:rsidRDefault="00751D64" w:rsidP="00D3648A">
      <w:pPr>
        <w:rPr>
          <w:noProof/>
        </w:rPr>
      </w:pPr>
      <w:r>
        <w:rPr>
          <w:noProof/>
        </w:rPr>
        <w:t>Joukkolainojen liikkeeseenlaskun tavoite on luotettava ja varovainen arvio, ja se pohjautuu uusimpiin ennusteisiin odotettavissa olevista maksuista, jotka on suoritettava. Tosiasialliset maksut voivat poiketa ennusteista tarkan ajoituksen ja summien osalta, koska kansallisten suunnitelmien toteuttamisessa saattaa ilmetä yllättäviä viivästyksiä. Poikkeamien ei kuitenkaan pitäisi vaikuttaa varainhankintasuunnitelmassa asetettuihin tavoitteisiin kovin paljon, ja tähän mennessä niissä on ollut kyse vain muutoksista yksittäisten maksujen suoritusajankohtaan.</w:t>
      </w:r>
    </w:p>
    <w:p w14:paraId="403FD1F5" w14:textId="079DA58E" w:rsidR="0045484D" w:rsidRDefault="00765E3F" w:rsidP="00D3648A">
      <w:pPr>
        <w:rPr>
          <w:noProof/>
        </w:rPr>
      </w:pPr>
      <w:r>
        <w:rPr>
          <w:noProof/>
        </w:rPr>
        <w:t>Komissio seuraa tiivisti nykyisen varainhankintasuunnitelman toteuttamista ja suuremman liikkeeseenlaskuvolyymin menekkiä markkinoilla.</w:t>
      </w:r>
    </w:p>
    <w:p w14:paraId="72D57FF2" w14:textId="3516F4F0" w:rsidR="003668D8" w:rsidRPr="0045484D" w:rsidRDefault="0068361C" w:rsidP="0045484D">
      <w:pPr>
        <w:pStyle w:val="Heading1"/>
        <w:rPr>
          <w:noProof/>
        </w:rPr>
      </w:pPr>
      <w:bookmarkStart w:id="17" w:name="_Toc127532742"/>
      <w:r>
        <w:rPr>
          <w:noProof/>
        </w:rPr>
        <w:t>Päätelmät</w:t>
      </w:r>
      <w:bookmarkEnd w:id="17"/>
    </w:p>
    <w:p w14:paraId="6195014F" w14:textId="703D8157" w:rsidR="00140C8A" w:rsidRPr="0045484D" w:rsidRDefault="00140C8A" w:rsidP="0045484D">
      <w:pPr>
        <w:rPr>
          <w:noProof/>
        </w:rPr>
      </w:pPr>
      <w:r>
        <w:rPr>
          <w:noProof/>
        </w:rPr>
        <w:t xml:space="preserve">Varainhankintaohjelman toteuttaminen alkoi menestyksekkäästi vuonna 2021, ja kuluneet 12 kuukautta ovat osoittaneet, että komissio pystyy toteuttamaan laaja-alaista varainhankintaohjelmaa myös koko ajan haastavammiksi muuttuvissa markkinaolosuhteissa. Monipuolinen varainhankintastrategia, joka koostuu valtionlainojen liikkeeseenlaskijoiden käyttämistä tekniikoista (syndikaatit ja huutokaupat) ja varainhankintavälineistä (joukkolainat ja velkasitoumukset), on ollut keskeisessä roolissa epävakailla markkinoilla selviämisen kannalta. Liikkeeseenlaskuohjelman vahvuudet eivät ole kuitenkaan pystyneet suojaamaan EU:n liikkeeseenlaskua markkinahintojen jyrkältä nousulta, joka on vaikuttanut kaikkiin liikkeeseenlaskijoihin, kun keskuspankit ovat nostaneet korkoja jatkuvasti kiihtyvän inflaation hillitsemiseksi. NextGenerationEU-välineen varainhankintakustannukset ovat yli kaksinkertaistuneet tällä raportointikaudella, mikä kuvastaa korkojen voimakasta nousua vuonna 2022.  </w:t>
      </w:r>
    </w:p>
    <w:p w14:paraId="0ABB3C54" w14:textId="530559B4" w:rsidR="00CD7C4D" w:rsidRDefault="003668D8" w:rsidP="0045484D">
      <w:pPr>
        <w:rPr>
          <w:noProof/>
        </w:rPr>
      </w:pPr>
      <w:r>
        <w:rPr>
          <w:noProof/>
        </w:rPr>
        <w:t xml:space="preserve">Vuonna 2023 komissio vahvistaa läsnäoloaan velkapaperimarkkinoilla laskemalla liikkeeseen aiempaa suuremman volyymin – enintään 170 miljardia euroa – EU:n joukkolainoja NextGenerationEU-välinettä sekä Ukrainalle suunnattua makrotaloudellinen rahoitusapu plus </w:t>
      </w:r>
      <w:r w:rsidR="00D25308">
        <w:rPr>
          <w:noProof/>
        </w:rPr>
        <w:noBreakHyphen/>
      </w:r>
      <w:r>
        <w:rPr>
          <w:noProof/>
        </w:rPr>
        <w:t>välinettä varten. Se, että monipuolisen varainhankintastrategian käyttöä laajennetaan myös muiden toimintalinjojen tukemiseen, on ratkaisevan tärkeää, jotta komissio pystyy hankkimaan suunnitellun määrän varoja yhä haastavammilta markkinoilta. Komissio jatkaa tältä pohjalta eteenpäin ja ryhtyy vahvistamaan läsnäoloaan markkinoilla luotettavana ja ennakoitavasti toimivana erittäin likvidien joukkolainojen liikkeeseenlaskijana. Näin se lujittaa asemaansa valtion kaltaisena tai ylikansallisena liikkeeseenlaskijana.</w:t>
      </w:r>
    </w:p>
    <w:p w14:paraId="0B692057" w14:textId="57234597" w:rsidR="00CD7C4D" w:rsidRPr="00AB4AF4" w:rsidRDefault="00AB0F9A" w:rsidP="0045484D">
      <w:pPr>
        <w:rPr>
          <w:noProof/>
        </w:rPr>
      </w:pPr>
      <w:r>
        <w:rPr>
          <w:noProof/>
        </w:rPr>
        <w:t>Näiden toimien avulla päästään pois vakiintuneesta markkinakäytännöstä, jossa EU on luokiteltu SSA-liikkeeseenlaskijaksi (supranational, sub-sovereign and agency eli ylikansalliset, valtiotasoa alemman tason ja valtiosidonnaiset liikkeeseenlaskijat). Tämän vuoksi EU maksaa luottoriskinvaihtosopimusten hintaeron preemion (tällä hetkellä 60 peruspistettä) verran korkeampaa korkoa kuin eurooppalaisten valtion joukkolainojen liikkeeseenlaskijat. Tämä EU:n joukkolainojen hinnoittelumenetelmässä oleva ero on pahentanut perustana olevien markkinakorkojen jo muutenkin jyrkkää nousua. Markkinakäytännöissä olisi otettava huomioon se seikka, että EU on nyt suurimpien ja arvostettujen eurooppalaisten valtion joukkolainojen liikkeeseenlaskijoiden kaltainen luotettava toimija, joka laskee liikkeeseen suuria määriä likvidejä EU:n joukkolainoja. Vuonna 2023 komissio jatkaa väsymättä työtään, jonka tavoitteena on luoda edellytykset sille, että markkinat voisivat hinnoitella EU:n joukkolainat suoraan niiden oman yhä vakaampana pysyvän ja likvidin tuottokäyrän perusteella eikä epäsuorasti swap-käyrän perusteella. Tämän avulla EU:n joukkolainat voitaisiin laskea liikkeeseen arvostettujen valtion joukkolainojen tapaan eikä lisäpreemiota tarvitsisi maksaa.</w:t>
      </w:r>
    </w:p>
    <w:sectPr w:rsidR="00CD7C4D" w:rsidRPr="00AB4AF4" w:rsidSect="008F1173">
      <w:headerReference w:type="even" r:id="rId26"/>
      <w:headerReference w:type="default" r:id="rId27"/>
      <w:footerReference w:type="even" r:id="rId28"/>
      <w:footerReference w:type="default" r:id="rId29"/>
      <w:headerReference w:type="first" r:id="rId30"/>
      <w:footerReference w:type="first" r:id="rId31"/>
      <w:pgSz w:w="11907" w:h="1683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EC53F" w14:textId="77777777" w:rsidR="00003760" w:rsidRDefault="00003760" w:rsidP="008B6253">
      <w:pPr>
        <w:spacing w:after="0"/>
      </w:pPr>
      <w:r>
        <w:separator/>
      </w:r>
    </w:p>
  </w:endnote>
  <w:endnote w:type="continuationSeparator" w:id="0">
    <w:p w14:paraId="1DB8AF61" w14:textId="77777777" w:rsidR="00003760" w:rsidRDefault="00003760" w:rsidP="008B6253">
      <w:pPr>
        <w:spacing w:after="0"/>
      </w:pPr>
      <w:r>
        <w:continuationSeparator/>
      </w:r>
    </w:p>
  </w:endnote>
  <w:endnote w:type="continuationNotice" w:id="1">
    <w:p w14:paraId="10321953" w14:textId="77777777" w:rsidR="00003760" w:rsidRDefault="000037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C Square Sans Pro">
    <w:altName w:val="Bahnschrift Light"/>
    <w:charset w:val="00"/>
    <w:family w:val="swiss"/>
    <w:pitch w:val="variable"/>
    <w:sig w:usb0="00000001"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5F02B" w14:textId="77777777" w:rsidR="00723DCE" w:rsidRPr="00723DCE" w:rsidRDefault="00723DCE" w:rsidP="00723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54F67" w14:textId="6793B797" w:rsidR="0068458A" w:rsidRPr="00723DCE" w:rsidRDefault="00723DCE" w:rsidP="00723DCE">
    <w:pPr>
      <w:pStyle w:val="FooterCoverPage"/>
      <w:rPr>
        <w:rFonts w:ascii="Arial" w:hAnsi="Arial" w:cs="Arial"/>
        <w:b/>
        <w:sz w:val="48"/>
      </w:rPr>
    </w:pPr>
    <w:r w:rsidRPr="00723DCE">
      <w:rPr>
        <w:rFonts w:ascii="Arial" w:hAnsi="Arial" w:cs="Arial"/>
        <w:b/>
        <w:sz w:val="48"/>
      </w:rPr>
      <w:t>FI</w:t>
    </w:r>
    <w:r w:rsidRPr="00723DCE">
      <w:rPr>
        <w:rFonts w:ascii="Arial" w:hAnsi="Arial" w:cs="Arial"/>
        <w:b/>
        <w:sz w:val="48"/>
      </w:rPr>
      <w:tab/>
    </w:r>
    <w:r w:rsidRPr="00723DCE">
      <w:rPr>
        <w:rFonts w:ascii="Arial" w:hAnsi="Arial" w:cs="Arial"/>
        <w:b/>
        <w:sz w:val="48"/>
      </w:rPr>
      <w:tab/>
    </w:r>
    <w:r w:rsidRPr="00723DCE">
      <w:tab/>
    </w:r>
    <w:r w:rsidRPr="00723DCE">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59E95" w14:textId="77777777" w:rsidR="00723DCE" w:rsidRPr="00723DCE" w:rsidRDefault="00723DCE" w:rsidP="00723DC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73F5" w14:textId="77777777" w:rsidR="007D6E3C" w:rsidRDefault="007D6E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C523" w14:textId="77777777" w:rsidR="007D6E3C" w:rsidRPr="007352EE" w:rsidRDefault="007D6E3C" w:rsidP="00BD68A5">
    <w:pPr>
      <w:pStyle w:val="FooterCoverPage"/>
      <w:rPr>
        <w:rFonts w:ascii="Arial" w:hAnsi="Arial" w:cs="Arial"/>
        <w:b/>
        <w:sz w:val="48"/>
      </w:rPr>
    </w:pPr>
    <w:r>
      <w:rPr>
        <w:rFonts w:ascii="Arial" w:hAnsi="Arial"/>
        <w:b/>
        <w:sz w:val="48"/>
      </w:rPr>
      <w:t>FI</w:t>
    </w:r>
    <w:r>
      <w:tab/>
    </w:r>
    <w:r>
      <w:tab/>
    </w:r>
    <w:r>
      <w:tab/>
    </w:r>
    <w:r>
      <w:rPr>
        <w:rFonts w:ascii="Arial" w:hAnsi="Arial"/>
        <w:b/>
        <w:sz w:val="48"/>
      </w:rPr>
      <w:t>FI</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E83E4" w14:textId="77777777" w:rsidR="007D6E3C" w:rsidRDefault="007D6E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FFC7" w14:textId="77777777" w:rsidR="007D6E3C" w:rsidRDefault="007D6E3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C1F71" w14:textId="7CEB60D6" w:rsidR="007D6E3C" w:rsidRPr="008F1173" w:rsidRDefault="007D6E3C">
    <w:pPr>
      <w:pStyle w:val="Footer"/>
      <w:jc w:val="center"/>
      <w:rPr>
        <w:noProof/>
        <w:sz w:val="18"/>
      </w:rPr>
    </w:pPr>
    <w:r>
      <w:rPr>
        <w:sz w:val="18"/>
      </w:rPr>
      <w:fldChar w:fldCharType="begin"/>
    </w:r>
    <w:r>
      <w:rPr>
        <w:sz w:val="18"/>
      </w:rPr>
      <w:instrText xml:space="preserve"> PAGE   \* MERGEFORMAT </w:instrText>
    </w:r>
    <w:r>
      <w:rPr>
        <w:sz w:val="18"/>
      </w:rPr>
      <w:fldChar w:fldCharType="separate"/>
    </w:r>
    <w:r w:rsidR="00723DCE">
      <w:rPr>
        <w:noProof/>
        <w:sz w:val="18"/>
      </w:rPr>
      <w:t>12</w:t>
    </w:r>
    <w:r>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856E" w14:textId="77777777" w:rsidR="007D6E3C" w:rsidRDefault="007D6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4A43D" w14:textId="77777777" w:rsidR="00003760" w:rsidRDefault="00003760" w:rsidP="008B6253">
      <w:pPr>
        <w:spacing w:after="0"/>
      </w:pPr>
      <w:r>
        <w:separator/>
      </w:r>
    </w:p>
  </w:footnote>
  <w:footnote w:type="continuationSeparator" w:id="0">
    <w:p w14:paraId="16FB4D8A" w14:textId="77777777" w:rsidR="00003760" w:rsidRDefault="00003760" w:rsidP="008B6253">
      <w:pPr>
        <w:spacing w:after="0"/>
      </w:pPr>
      <w:r>
        <w:continuationSeparator/>
      </w:r>
    </w:p>
  </w:footnote>
  <w:footnote w:type="continuationNotice" w:id="1">
    <w:p w14:paraId="0364E78C" w14:textId="77777777" w:rsidR="00003760" w:rsidRDefault="00003760">
      <w:pPr>
        <w:spacing w:after="0"/>
      </w:pPr>
    </w:p>
  </w:footnote>
  <w:footnote w:id="2">
    <w:p w14:paraId="797CAAAA" w14:textId="20CB2CC5" w:rsidR="002955CD" w:rsidRPr="00D02090" w:rsidRDefault="002955CD" w:rsidP="00025256">
      <w:pPr>
        <w:pStyle w:val="FootnoteText"/>
        <w:ind w:left="113" w:hanging="113"/>
        <w:rPr>
          <w:sz w:val="18"/>
          <w:szCs w:val="18"/>
        </w:rPr>
      </w:pPr>
      <w:r w:rsidRPr="00D02090">
        <w:rPr>
          <w:rStyle w:val="FootnoteReference"/>
          <w:sz w:val="18"/>
          <w:szCs w:val="18"/>
        </w:rPr>
        <w:footnoteRef/>
      </w:r>
      <w:r w:rsidRPr="00D02090">
        <w:rPr>
          <w:sz w:val="18"/>
          <w:szCs w:val="18"/>
        </w:rPr>
        <w:tab/>
        <w:t>Muita lainanoton avulla rahoitettavia EU:n ohjelmia ovat maksutasetuki, muille maille kuin Ukrainalle annettava makrotaloudellinen rahoitusapu ja Euroopan rahoituksenvakautusmekanismi. Näiden ohjelmien osalta lainanottotarve on tulevina vuosina pienempi kuin NextGenerationEU-välineellä ja makrotaloudellinen rahoitusapu plus -välineellä, josta annetaan tukea Ukrainalle.</w:t>
      </w:r>
    </w:p>
  </w:footnote>
  <w:footnote w:id="3">
    <w:p w14:paraId="738F991F" w14:textId="6AA66016" w:rsidR="002955CD" w:rsidRPr="00D02090" w:rsidRDefault="002955CD" w:rsidP="00025256">
      <w:pPr>
        <w:pStyle w:val="FootnoteText"/>
        <w:ind w:left="113" w:hanging="113"/>
        <w:rPr>
          <w:sz w:val="18"/>
          <w:szCs w:val="18"/>
        </w:rPr>
      </w:pPr>
      <w:r w:rsidRPr="00D02090">
        <w:rPr>
          <w:rStyle w:val="FootnoteReference"/>
          <w:sz w:val="18"/>
          <w:szCs w:val="18"/>
        </w:rPr>
        <w:footnoteRef/>
      </w:r>
      <w:r w:rsidRPr="00D02090">
        <w:rPr>
          <w:sz w:val="18"/>
          <w:szCs w:val="18"/>
        </w:rPr>
        <w:tab/>
        <w:t xml:space="preserve">Ks. yksityiskohtainen tiivistelmä: </w:t>
      </w:r>
      <w:hyperlink r:id="rId1" w:history="1">
        <w:r w:rsidRPr="00D02090">
          <w:rPr>
            <w:rStyle w:val="Hyperlink"/>
            <w:sz w:val="18"/>
            <w:szCs w:val="18"/>
          </w:rPr>
          <w:t>Elpymisen ja palautumisen tulostaulu (europa.eu)</w:t>
        </w:r>
      </w:hyperlink>
    </w:p>
  </w:footnote>
  <w:footnote w:id="4">
    <w:p w14:paraId="65497DF6" w14:textId="7D767613" w:rsidR="00342348" w:rsidRPr="00D02090" w:rsidRDefault="00342348" w:rsidP="00025256">
      <w:pPr>
        <w:pStyle w:val="FootnoteText"/>
        <w:ind w:left="113" w:hanging="113"/>
        <w:rPr>
          <w:sz w:val="18"/>
          <w:szCs w:val="18"/>
        </w:rPr>
      </w:pPr>
      <w:r w:rsidRPr="00D02090">
        <w:rPr>
          <w:rStyle w:val="FootnoteReference"/>
          <w:sz w:val="18"/>
          <w:szCs w:val="18"/>
        </w:rPr>
        <w:footnoteRef/>
      </w:r>
      <w:r w:rsidRPr="00D02090">
        <w:rPr>
          <w:sz w:val="18"/>
          <w:szCs w:val="18"/>
        </w:rPr>
        <w:tab/>
        <w:t>Päätös C(2021)2502 on kumottu päätöksellä C(2022)9700. Ensimmäinen ja toinen puolivuotiskertomus perustuivat kumotun päätöksen 12 artiklaan.</w:t>
      </w:r>
    </w:p>
  </w:footnote>
  <w:footnote w:id="5">
    <w:p w14:paraId="219AFE29" w14:textId="317D0EC3" w:rsidR="00103A63" w:rsidRPr="00D02090" w:rsidRDefault="00103A63" w:rsidP="008575E4">
      <w:pPr>
        <w:pStyle w:val="FootnoteText"/>
        <w:ind w:left="113" w:hanging="113"/>
        <w:rPr>
          <w:sz w:val="18"/>
          <w:szCs w:val="18"/>
        </w:rPr>
      </w:pPr>
      <w:r w:rsidRPr="00D02090">
        <w:rPr>
          <w:rStyle w:val="FootnoteReference"/>
          <w:sz w:val="18"/>
          <w:szCs w:val="18"/>
        </w:rPr>
        <w:footnoteRef/>
      </w:r>
      <w:r w:rsidRPr="00D02090">
        <w:rPr>
          <w:sz w:val="18"/>
          <w:szCs w:val="18"/>
        </w:rPr>
        <w:t xml:space="preserve"> </w:t>
      </w:r>
      <w:r w:rsidR="00D02090">
        <w:rPr>
          <w:sz w:val="18"/>
          <w:szCs w:val="18"/>
        </w:rPr>
        <w:tab/>
      </w:r>
      <w:r w:rsidRPr="00D02090">
        <w:rPr>
          <w:sz w:val="18"/>
          <w:szCs w:val="18"/>
        </w:rPr>
        <w:t>Tämä summa vastaa siirtoja, jotka on tehty NextGenerationEU-varainhankintapoolista. Varsinaisissa maksuissa, jotka komissio on suorittanut NextGenerationEU-välineestä rahoitettujen ohjelmien lopullisille tuensaajille, voi olla ajallisia eroja.</w:t>
      </w:r>
    </w:p>
  </w:footnote>
  <w:footnote w:id="6">
    <w:p w14:paraId="6C6DF16B" w14:textId="6649A068" w:rsidR="00F255CC" w:rsidRPr="00D02090" w:rsidRDefault="00F255CC" w:rsidP="008575E4">
      <w:pPr>
        <w:pStyle w:val="FootnoteText"/>
        <w:ind w:left="113" w:hanging="113"/>
        <w:rPr>
          <w:sz w:val="18"/>
          <w:szCs w:val="18"/>
        </w:rPr>
      </w:pPr>
      <w:r w:rsidRPr="00D02090">
        <w:rPr>
          <w:rStyle w:val="FootnoteReference"/>
          <w:sz w:val="18"/>
          <w:szCs w:val="18"/>
        </w:rPr>
        <w:footnoteRef/>
      </w:r>
      <w:r w:rsidRPr="00D02090">
        <w:rPr>
          <w:sz w:val="18"/>
          <w:szCs w:val="18"/>
        </w:rPr>
        <w:t xml:space="preserve"> Tähän mennessä EU:n liikkeeseenlaskuihin on osallistunut yhteensä yli 1 000 sijoittajaa 70 maasta. Yli 65 prosenttia sijoittajista on EU:ssa, ja noin 25 prosenttia on Yhdistyneestä kuningaskunnasta käsin toimivia kansainvälisiä sijoittajia. Loput ovat muita kansainvälisiä sijoittajia, enimmäkseen Aasiasta. Yli 70 prosenttia liikkeeseenlasketuista EU:n joukkolainoista on mennyt osta ja pidä -strategiaa toteuttaville sijoittajille (eli rahastonhoitajille, vakuutusyhtiöille, eläkerahastoille ja keskuspankeille). Myös erilaisia maturiteetteja haluavat sijoittajat ovat hyvin edustettuina: keskuspankkien ja pankkien varainhoitojärjestelmien (jotka yleensä haluavat sijoituksilleen enintään 10 vuoden maturiteetin) osuus EU:n joukkolainojen ostoista ensimarkkinoilla oli yli 45 prosenttia, ja eläkerahastojen ja vakuutusyhtiöiden (jotka suosivat yli 10 vuoden maturiteetteja) osuus oli noin 15 prosenttia.</w:t>
      </w:r>
    </w:p>
  </w:footnote>
  <w:footnote w:id="7">
    <w:p w14:paraId="64E9B8EA" w14:textId="4E6C98A6" w:rsidR="009516E6" w:rsidRPr="00D02090" w:rsidRDefault="001D0900" w:rsidP="008575E4">
      <w:pPr>
        <w:pStyle w:val="FootnoteText"/>
        <w:ind w:left="113" w:hanging="113"/>
        <w:rPr>
          <w:rStyle w:val="Hyperlink"/>
          <w:color w:val="auto"/>
          <w:sz w:val="18"/>
          <w:szCs w:val="18"/>
          <w:u w:val="none"/>
        </w:rPr>
      </w:pPr>
      <w:r w:rsidRPr="00D02090">
        <w:rPr>
          <w:rStyle w:val="FootnoteReference"/>
          <w:sz w:val="18"/>
          <w:szCs w:val="18"/>
        </w:rPr>
        <w:footnoteRef/>
      </w:r>
      <w:r w:rsidRPr="00D02090">
        <w:rPr>
          <w:sz w:val="18"/>
          <w:szCs w:val="18"/>
        </w:rPr>
        <w:t xml:space="preserve"> </w:t>
      </w:r>
      <w:r w:rsidR="00D02090" w:rsidRPr="00D02090">
        <w:rPr>
          <w:sz w:val="18"/>
          <w:szCs w:val="18"/>
        </w:rPr>
        <w:tab/>
      </w:r>
      <w:r w:rsidRPr="00D02090">
        <w:rPr>
          <w:sz w:val="18"/>
          <w:szCs w:val="18"/>
        </w:rPr>
        <w:t xml:space="preserve">Ks. </w:t>
      </w:r>
      <w:r w:rsidRPr="00D02090">
        <w:rPr>
          <w:rStyle w:val="Hyperlink"/>
          <w:color w:val="auto"/>
          <w:sz w:val="18"/>
          <w:szCs w:val="18"/>
          <w:u w:val="none"/>
        </w:rPr>
        <w:t>lisätietoja:</w:t>
      </w:r>
    </w:p>
    <w:p w14:paraId="7EC7F6E2" w14:textId="4A9F8623" w:rsidR="001D0900" w:rsidRPr="00D02090" w:rsidRDefault="00352DCC" w:rsidP="008575E4">
      <w:pPr>
        <w:pStyle w:val="FootnoteText"/>
        <w:ind w:left="113" w:hanging="113"/>
        <w:rPr>
          <w:sz w:val="18"/>
          <w:szCs w:val="18"/>
        </w:rPr>
      </w:pPr>
      <w:r w:rsidRPr="00D02090">
        <w:rPr>
          <w:rStyle w:val="Hyperlink"/>
          <w:sz w:val="18"/>
          <w:szCs w:val="18"/>
        </w:rPr>
        <w:t>https://www.ecb.europa.eu/press/pr/date/2022/html/ecb.pr221220_1~ca6ca2cc09.en.html</w:t>
      </w:r>
    </w:p>
  </w:footnote>
  <w:footnote w:id="8">
    <w:p w14:paraId="3042CB55" w14:textId="2DBB5B55" w:rsidR="00E81087" w:rsidRPr="00D3721F" w:rsidRDefault="00E81087" w:rsidP="008575E4">
      <w:pPr>
        <w:pStyle w:val="FootnoteText"/>
        <w:ind w:left="113" w:hanging="113"/>
        <w:rPr>
          <w:vertAlign w:val="superscript"/>
        </w:rPr>
      </w:pPr>
      <w:r w:rsidRPr="00D02090">
        <w:rPr>
          <w:rStyle w:val="FootnoteReference"/>
          <w:sz w:val="18"/>
          <w:szCs w:val="18"/>
        </w:rPr>
        <w:footnoteRef/>
      </w:r>
      <w:r w:rsidRPr="00D02090">
        <w:rPr>
          <w:rStyle w:val="FootnoteReference"/>
          <w:sz w:val="18"/>
          <w:szCs w:val="18"/>
        </w:rPr>
        <w:t xml:space="preserve"> </w:t>
      </w:r>
      <w:r w:rsidRPr="00D02090">
        <w:rPr>
          <w:sz w:val="18"/>
          <w:szCs w:val="18"/>
        </w:rPr>
        <w:t>NextGenerationEU-välineen puitteissa aiheutuneet korkokulut kohdennetaan talousarvioon ja lainoja saaneille jäsenvaltioille komission täytäntöönpanopäätöksessä (EU) 2021/1095 ja sitä seuranneessa päätöksessä (EU) 2022/9701 määritetyn menetelmän mukaisesti. Tässä menetelmässä erotellaan kolme erilaista kustannusluokkaa: i) varainhankintakustannukset, jotka liittyvät kuuden kuukauden aikaosioille laskettujen avustusten ja lainojen maksusuorituksiin, ii) likviditeetin ylläpito- ja hallintakustannukset sekä iii) hallinnolliset kustannukset.</w:t>
      </w:r>
    </w:p>
  </w:footnote>
  <w:footnote w:id="9">
    <w:p w14:paraId="07C95473" w14:textId="2365F3C4" w:rsidR="00B73527" w:rsidRPr="00D02090" w:rsidRDefault="00B73527" w:rsidP="00B73527">
      <w:pPr>
        <w:pStyle w:val="FootnoteText"/>
        <w:rPr>
          <w:sz w:val="18"/>
          <w:szCs w:val="18"/>
          <w:lang w:val="en-US"/>
        </w:rPr>
      </w:pPr>
      <w:r w:rsidRPr="00D02090">
        <w:rPr>
          <w:rStyle w:val="FootnoteReference"/>
          <w:sz w:val="18"/>
          <w:szCs w:val="18"/>
        </w:rPr>
        <w:footnoteRef/>
      </w:r>
      <w:r w:rsidRPr="00D02090">
        <w:rPr>
          <w:sz w:val="18"/>
          <w:szCs w:val="18"/>
          <w:lang w:val="en-US"/>
        </w:rPr>
        <w:t xml:space="preserve"> </w:t>
      </w:r>
      <w:hyperlink r:id="rId2" w:history="1">
        <w:r w:rsidRPr="00D02090">
          <w:rPr>
            <w:rStyle w:val="Hyperlink"/>
            <w:sz w:val="18"/>
            <w:szCs w:val="18"/>
            <w:lang w:val="en-US"/>
          </w:rPr>
          <w:t>SWD_2022_442_F1_STAFF_WORKING_PAPER_EN_V4_P1_2417689.PDF (europa.eu)</w:t>
        </w:r>
      </w:hyperlink>
    </w:p>
  </w:footnote>
  <w:footnote w:id="10">
    <w:p w14:paraId="230E44DF" w14:textId="56E72914" w:rsidR="00AB311E" w:rsidRPr="00AB311E" w:rsidRDefault="00AB311E" w:rsidP="00C52E6A">
      <w:pPr>
        <w:pStyle w:val="FootnoteText"/>
        <w:ind w:left="113" w:hanging="113"/>
      </w:pPr>
      <w:r w:rsidRPr="00D02090">
        <w:rPr>
          <w:rStyle w:val="FootnoteReference"/>
          <w:sz w:val="18"/>
          <w:szCs w:val="18"/>
        </w:rPr>
        <w:footnoteRef/>
      </w:r>
      <w:r w:rsidRPr="00D02090">
        <w:rPr>
          <w:sz w:val="18"/>
          <w:szCs w:val="18"/>
        </w:rPr>
        <w:t xml:space="preserve"> Sellaisille tukitoimialoille kuuluvien toimenpiteiden osuus, jotka täyttävät ainakin jotkin kestävyysluokitusjärjestelmän ehdoista mutta jotka eivät täytä ”ei merkittävää haittaa” -periaatteen lisäehtoja, on noin 67,7 miljardia euroa eli 36,6 prosenttia vihreillä joukkolainoilla rahoitettavien tukikelpoisten toimenpiteiden kokonaispoolista. Sellaisille tukitoimialoille kuuluvien toimenpiteiden osuus, jotka eivät täytä kestävyysluokitusjärjestelmän ehtoja tai eivät kuulu sen piiriin, on noin 10,2 miljardia euroa eli 5,5 prosenttia kokonaispoolista. Tästä huolimatta näillä toimenpiteillä on usein myönteinen vaikutus ilmastoon. Mikäli tämä on vahvistettu elpymis- ja palautumissuunnitelman arvioinnissa ja NextGenerationEU-välineen vihreitä joukkolainoja koskevassa due diligence -prosessissa, toimenpiteet on sisällytetty NextGenerationEU-välineen vihreillä joukkolainoilla rahoitettavien tukikelpoisten menojen pooliin.</w:t>
      </w:r>
    </w:p>
  </w:footnote>
  <w:footnote w:id="11">
    <w:p w14:paraId="37D1FB0B" w14:textId="38691611" w:rsidR="00C44E47" w:rsidRPr="006C2DAA" w:rsidRDefault="00C44E47" w:rsidP="00C52E6A">
      <w:pPr>
        <w:pStyle w:val="FootnoteText"/>
        <w:ind w:left="113" w:hanging="113"/>
        <w:rPr>
          <w:sz w:val="18"/>
          <w:szCs w:val="18"/>
        </w:rPr>
      </w:pPr>
      <w:r w:rsidRPr="006C2DAA">
        <w:rPr>
          <w:rStyle w:val="FootnoteReference"/>
          <w:sz w:val="18"/>
          <w:szCs w:val="18"/>
        </w:rPr>
        <w:footnoteRef/>
      </w:r>
      <w:r w:rsidRPr="006C2DAA">
        <w:rPr>
          <w:sz w:val="18"/>
          <w:szCs w:val="18"/>
        </w:rPr>
        <w:t xml:space="preserve"> </w:t>
      </w:r>
      <w:hyperlink r:id="rId3" w:history="1">
        <w:r w:rsidRPr="006C2DAA">
          <w:rPr>
            <w:rStyle w:val="Hyperlink"/>
            <w:sz w:val="18"/>
            <w:szCs w:val="18"/>
          </w:rPr>
          <w:t>NextGenerationEU-välineen vihreiden joukkolainojen tulostaulu |</w:t>
        </w:r>
      </w:hyperlink>
      <w:hyperlink r:id="rId4" w:history="1">
        <w:r w:rsidRPr="006C2DAA">
          <w:rPr>
            <w:rStyle w:val="Hyperlink"/>
            <w:sz w:val="18"/>
            <w:szCs w:val="18"/>
          </w:rPr>
          <w:t xml:space="preserve"> Euroopan komissio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D956" w14:textId="77777777" w:rsidR="00723DCE" w:rsidRPr="00723DCE" w:rsidRDefault="00723DCE" w:rsidP="00723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648C0" w14:textId="77777777" w:rsidR="00723DCE" w:rsidRPr="00723DCE" w:rsidRDefault="00723DCE" w:rsidP="00723DC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CE7FA" w14:textId="77777777" w:rsidR="00723DCE" w:rsidRPr="00723DCE" w:rsidRDefault="00723DCE" w:rsidP="00723DC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C2ED0" w14:textId="77777777" w:rsidR="007D6E3C" w:rsidRDefault="007D6E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83EC3" w14:textId="77777777" w:rsidR="007D6E3C" w:rsidRDefault="007D6E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F291" w14:textId="77777777" w:rsidR="007D6E3C" w:rsidRDefault="007D6E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7D7D" w14:textId="77777777" w:rsidR="007D6E3C" w:rsidRDefault="007D6E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654C" w14:textId="77777777" w:rsidR="007D6E3C" w:rsidRDefault="007D6E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6542" w14:textId="77777777" w:rsidR="007D6E3C" w:rsidRDefault="007D6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5F6"/>
    <w:multiLevelType w:val="hybridMultilevel"/>
    <w:tmpl w:val="7F72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4A96"/>
    <w:multiLevelType w:val="hybridMultilevel"/>
    <w:tmpl w:val="B1AA6A68"/>
    <w:lvl w:ilvl="0" w:tplc="5D74A918">
      <w:start w:val="1"/>
      <w:numFmt w:val="decimal"/>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2947769"/>
    <w:multiLevelType w:val="hybridMultilevel"/>
    <w:tmpl w:val="BB9E4810"/>
    <w:lvl w:ilvl="0" w:tplc="ACC0B9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F0EBC"/>
    <w:multiLevelType w:val="hybridMultilevel"/>
    <w:tmpl w:val="841CA07A"/>
    <w:lvl w:ilvl="0" w:tplc="05EEC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B1DF1"/>
    <w:multiLevelType w:val="hybridMultilevel"/>
    <w:tmpl w:val="B1AA6A68"/>
    <w:lvl w:ilvl="0" w:tplc="5D74A918">
      <w:start w:val="1"/>
      <w:numFmt w:val="decimal"/>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1E0E405D"/>
    <w:multiLevelType w:val="hybridMultilevel"/>
    <w:tmpl w:val="5BEA7DDA"/>
    <w:lvl w:ilvl="0" w:tplc="C98ECE3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423A5"/>
    <w:multiLevelType w:val="hybridMultilevel"/>
    <w:tmpl w:val="3A5EA93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94C13C1"/>
    <w:multiLevelType w:val="hybridMultilevel"/>
    <w:tmpl w:val="3B220746"/>
    <w:lvl w:ilvl="0" w:tplc="227C73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76B2A"/>
    <w:multiLevelType w:val="hybridMultilevel"/>
    <w:tmpl w:val="D682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03A90"/>
    <w:multiLevelType w:val="hybridMultilevel"/>
    <w:tmpl w:val="E0ACE6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DF547D"/>
    <w:multiLevelType w:val="hybridMultilevel"/>
    <w:tmpl w:val="559A495C"/>
    <w:lvl w:ilvl="0" w:tplc="DFD462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64626"/>
    <w:multiLevelType w:val="hybridMultilevel"/>
    <w:tmpl w:val="14ECFB70"/>
    <w:lvl w:ilvl="0" w:tplc="EBC2F936">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C1CA2"/>
    <w:multiLevelType w:val="hybridMultilevel"/>
    <w:tmpl w:val="3A763906"/>
    <w:lvl w:ilvl="0" w:tplc="EE6E9498">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E5571"/>
    <w:multiLevelType w:val="hybridMultilevel"/>
    <w:tmpl w:val="B1AA6A68"/>
    <w:lvl w:ilvl="0" w:tplc="5D74A918">
      <w:start w:val="1"/>
      <w:numFmt w:val="decimal"/>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42295ABA"/>
    <w:multiLevelType w:val="hybridMultilevel"/>
    <w:tmpl w:val="3A5406FA"/>
    <w:lvl w:ilvl="0" w:tplc="862608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F7188"/>
    <w:multiLevelType w:val="hybridMultilevel"/>
    <w:tmpl w:val="81FE8A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60561"/>
    <w:multiLevelType w:val="hybridMultilevel"/>
    <w:tmpl w:val="F542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F7A94"/>
    <w:multiLevelType w:val="hybridMultilevel"/>
    <w:tmpl w:val="7FD8063C"/>
    <w:lvl w:ilvl="0" w:tplc="A68CF278">
      <w:numFmt w:val="bullet"/>
      <w:lvlText w:val="•"/>
      <w:lvlJc w:val="left"/>
      <w:pPr>
        <w:ind w:left="720" w:hanging="360"/>
      </w:pPr>
      <w:rPr>
        <w:rFonts w:ascii="EC Square Sans Pro" w:hAnsi="EC Square Sans Pro" w:cs="Times New Roman" w:hint="default"/>
        <w:color w:val="4C4B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D7416"/>
    <w:multiLevelType w:val="hybridMultilevel"/>
    <w:tmpl w:val="8A323E16"/>
    <w:lvl w:ilvl="0" w:tplc="08090001">
      <w:start w:val="1"/>
      <w:numFmt w:val="bullet"/>
      <w:lvlText w:val=""/>
      <w:lvlJc w:val="left"/>
      <w:pPr>
        <w:ind w:left="720" w:hanging="360"/>
      </w:pPr>
      <w:rPr>
        <w:rFonts w:ascii="Symbol" w:hAnsi="Symbol" w:hint="default"/>
        <w:color w:val="4C4B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7121F7"/>
    <w:multiLevelType w:val="hybridMultilevel"/>
    <w:tmpl w:val="58C84688"/>
    <w:lvl w:ilvl="0" w:tplc="A68CF278">
      <w:numFmt w:val="bullet"/>
      <w:lvlText w:val="•"/>
      <w:lvlJc w:val="left"/>
      <w:pPr>
        <w:ind w:left="720" w:hanging="360"/>
      </w:pPr>
      <w:rPr>
        <w:rFonts w:ascii="EC Square Sans Pro" w:hAnsi="EC Square Sans Pro" w:cs="Times New Roman" w:hint="default"/>
        <w:color w:val="4C4B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05736"/>
    <w:multiLevelType w:val="multilevel"/>
    <w:tmpl w:val="FC98DC46"/>
    <w:lvl w:ilvl="0">
      <w:start w:val="1"/>
      <w:numFmt w:val="decimal"/>
      <w:pStyle w:val="Heading1"/>
      <w:lvlText w:val="%1."/>
      <w:lvlJc w:val="left"/>
      <w:pPr>
        <w:ind w:left="502" w:hanging="360"/>
      </w:pPr>
    </w:lvl>
    <w:lvl w:ilvl="1">
      <w:start w:val="2"/>
      <w:numFmt w:val="decimal"/>
      <w:isLgl/>
      <w:lvlText w:val="%1.%2"/>
      <w:lvlJc w:val="left"/>
      <w:pPr>
        <w:ind w:left="720" w:hanging="360"/>
      </w:pPr>
      <w:rPr>
        <w:rFonts w:hint="default"/>
        <w:b/>
      </w:rPr>
    </w:lvl>
    <w:lvl w:ilvl="2">
      <w:start w:val="1"/>
      <w:numFmt w:val="decimalZero"/>
      <w:isLgl/>
      <w:lvlText w:val="%1.%2.%3"/>
      <w:lvlJc w:val="left"/>
      <w:pPr>
        <w:ind w:left="1298" w:hanging="720"/>
      </w:pPr>
      <w:rPr>
        <w:rFonts w:hint="default"/>
        <w:b/>
      </w:rPr>
    </w:lvl>
    <w:lvl w:ilvl="3">
      <w:start w:val="1"/>
      <w:numFmt w:val="decimal"/>
      <w:isLgl/>
      <w:lvlText w:val="%1.%2.%3.%4"/>
      <w:lvlJc w:val="left"/>
      <w:pPr>
        <w:ind w:left="1516" w:hanging="720"/>
      </w:pPr>
      <w:rPr>
        <w:rFonts w:hint="default"/>
        <w:b/>
      </w:rPr>
    </w:lvl>
    <w:lvl w:ilvl="4">
      <w:start w:val="1"/>
      <w:numFmt w:val="decimal"/>
      <w:isLgl/>
      <w:lvlText w:val="%1.%2.%3.%4.%5"/>
      <w:lvlJc w:val="left"/>
      <w:pPr>
        <w:ind w:left="2094" w:hanging="1080"/>
      </w:pPr>
      <w:rPr>
        <w:rFonts w:hint="default"/>
        <w:b/>
      </w:rPr>
    </w:lvl>
    <w:lvl w:ilvl="5">
      <w:start w:val="1"/>
      <w:numFmt w:val="decimal"/>
      <w:isLgl/>
      <w:lvlText w:val="%1.%2.%3.%4.%5.%6"/>
      <w:lvlJc w:val="left"/>
      <w:pPr>
        <w:ind w:left="2312" w:hanging="1080"/>
      </w:pPr>
      <w:rPr>
        <w:rFonts w:hint="default"/>
        <w:b/>
      </w:rPr>
    </w:lvl>
    <w:lvl w:ilvl="6">
      <w:start w:val="1"/>
      <w:numFmt w:val="decimal"/>
      <w:isLgl/>
      <w:lvlText w:val="%1.%2.%3.%4.%5.%6.%7"/>
      <w:lvlJc w:val="left"/>
      <w:pPr>
        <w:ind w:left="2890" w:hanging="1440"/>
      </w:pPr>
      <w:rPr>
        <w:rFonts w:hint="default"/>
        <w:b/>
      </w:rPr>
    </w:lvl>
    <w:lvl w:ilvl="7">
      <w:start w:val="1"/>
      <w:numFmt w:val="decimal"/>
      <w:isLgl/>
      <w:lvlText w:val="%1.%2.%3.%4.%5.%6.%7.%8"/>
      <w:lvlJc w:val="left"/>
      <w:pPr>
        <w:ind w:left="3468" w:hanging="1800"/>
      </w:pPr>
      <w:rPr>
        <w:rFonts w:hint="default"/>
        <w:b/>
      </w:rPr>
    </w:lvl>
    <w:lvl w:ilvl="8">
      <w:start w:val="1"/>
      <w:numFmt w:val="decimal"/>
      <w:isLgl/>
      <w:lvlText w:val="%1.%2.%3.%4.%5.%6.%7.%8.%9"/>
      <w:lvlJc w:val="left"/>
      <w:pPr>
        <w:ind w:left="3686" w:hanging="1800"/>
      </w:pPr>
      <w:rPr>
        <w:rFonts w:hint="default"/>
        <w:b/>
      </w:rPr>
    </w:lvl>
  </w:abstractNum>
  <w:abstractNum w:abstractNumId="21" w15:restartNumberingAfterBreak="0">
    <w:nsid w:val="688E52C2"/>
    <w:multiLevelType w:val="hybridMultilevel"/>
    <w:tmpl w:val="23386914"/>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5707A6"/>
    <w:multiLevelType w:val="hybridMultilevel"/>
    <w:tmpl w:val="344CD7F8"/>
    <w:lvl w:ilvl="0" w:tplc="F51A7858">
      <w:start w:val="1"/>
      <w:numFmt w:val="bullet"/>
      <w:lvlText w:val="•"/>
      <w:lvlJc w:val="left"/>
      <w:pPr>
        <w:tabs>
          <w:tab w:val="num" w:pos="720"/>
        </w:tabs>
        <w:ind w:left="720" w:hanging="360"/>
      </w:pPr>
      <w:rPr>
        <w:rFonts w:ascii="Arial" w:hAnsi="Arial" w:cs="Times New Roman" w:hint="default"/>
      </w:rPr>
    </w:lvl>
    <w:lvl w:ilvl="1" w:tplc="23CE0ACA">
      <w:start w:val="1"/>
      <w:numFmt w:val="bullet"/>
      <w:lvlText w:val="•"/>
      <w:lvlJc w:val="left"/>
      <w:pPr>
        <w:tabs>
          <w:tab w:val="num" w:pos="1440"/>
        </w:tabs>
        <w:ind w:left="1440" w:hanging="360"/>
      </w:pPr>
      <w:rPr>
        <w:rFonts w:ascii="Arial" w:hAnsi="Arial" w:cs="Times New Roman" w:hint="default"/>
      </w:rPr>
    </w:lvl>
    <w:lvl w:ilvl="2" w:tplc="4EB4ABB8">
      <w:start w:val="1"/>
      <w:numFmt w:val="bullet"/>
      <w:lvlText w:val="•"/>
      <w:lvlJc w:val="left"/>
      <w:pPr>
        <w:tabs>
          <w:tab w:val="num" w:pos="2160"/>
        </w:tabs>
        <w:ind w:left="2160" w:hanging="360"/>
      </w:pPr>
      <w:rPr>
        <w:rFonts w:ascii="Arial" w:hAnsi="Arial" w:cs="Times New Roman" w:hint="default"/>
      </w:rPr>
    </w:lvl>
    <w:lvl w:ilvl="3" w:tplc="20220F58">
      <w:start w:val="1"/>
      <w:numFmt w:val="bullet"/>
      <w:lvlText w:val="•"/>
      <w:lvlJc w:val="left"/>
      <w:pPr>
        <w:tabs>
          <w:tab w:val="num" w:pos="2880"/>
        </w:tabs>
        <w:ind w:left="2880" w:hanging="360"/>
      </w:pPr>
      <w:rPr>
        <w:rFonts w:ascii="Arial" w:hAnsi="Arial" w:cs="Times New Roman" w:hint="default"/>
      </w:rPr>
    </w:lvl>
    <w:lvl w:ilvl="4" w:tplc="26E8F24E">
      <w:start w:val="1"/>
      <w:numFmt w:val="bullet"/>
      <w:lvlText w:val="•"/>
      <w:lvlJc w:val="left"/>
      <w:pPr>
        <w:tabs>
          <w:tab w:val="num" w:pos="3600"/>
        </w:tabs>
        <w:ind w:left="3600" w:hanging="360"/>
      </w:pPr>
      <w:rPr>
        <w:rFonts w:ascii="Arial" w:hAnsi="Arial" w:cs="Times New Roman" w:hint="default"/>
      </w:rPr>
    </w:lvl>
    <w:lvl w:ilvl="5" w:tplc="5CB4CCB6">
      <w:start w:val="1"/>
      <w:numFmt w:val="bullet"/>
      <w:lvlText w:val="•"/>
      <w:lvlJc w:val="left"/>
      <w:pPr>
        <w:tabs>
          <w:tab w:val="num" w:pos="4320"/>
        </w:tabs>
        <w:ind w:left="4320" w:hanging="360"/>
      </w:pPr>
      <w:rPr>
        <w:rFonts w:ascii="Arial" w:hAnsi="Arial" w:cs="Times New Roman" w:hint="default"/>
      </w:rPr>
    </w:lvl>
    <w:lvl w:ilvl="6" w:tplc="E3DAD62C">
      <w:start w:val="1"/>
      <w:numFmt w:val="bullet"/>
      <w:lvlText w:val="•"/>
      <w:lvlJc w:val="left"/>
      <w:pPr>
        <w:tabs>
          <w:tab w:val="num" w:pos="5040"/>
        </w:tabs>
        <w:ind w:left="5040" w:hanging="360"/>
      </w:pPr>
      <w:rPr>
        <w:rFonts w:ascii="Arial" w:hAnsi="Arial" w:cs="Times New Roman" w:hint="default"/>
      </w:rPr>
    </w:lvl>
    <w:lvl w:ilvl="7" w:tplc="02A61A02">
      <w:start w:val="1"/>
      <w:numFmt w:val="bullet"/>
      <w:lvlText w:val="•"/>
      <w:lvlJc w:val="left"/>
      <w:pPr>
        <w:tabs>
          <w:tab w:val="num" w:pos="5760"/>
        </w:tabs>
        <w:ind w:left="5760" w:hanging="360"/>
      </w:pPr>
      <w:rPr>
        <w:rFonts w:ascii="Arial" w:hAnsi="Arial" w:cs="Times New Roman" w:hint="default"/>
      </w:rPr>
    </w:lvl>
    <w:lvl w:ilvl="8" w:tplc="41BC2820">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6F59008C"/>
    <w:multiLevelType w:val="hybridMultilevel"/>
    <w:tmpl w:val="30B6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C10D18"/>
    <w:multiLevelType w:val="hybridMultilevel"/>
    <w:tmpl w:val="0B3C5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0"/>
  </w:num>
  <w:num w:numId="4">
    <w:abstractNumId w:val="17"/>
  </w:num>
  <w:num w:numId="5">
    <w:abstractNumId w:val="19"/>
  </w:num>
  <w:num w:numId="6">
    <w:abstractNumId w:val="10"/>
  </w:num>
  <w:num w:numId="7">
    <w:abstractNumId w:val="2"/>
  </w:num>
  <w:num w:numId="8">
    <w:abstractNumId w:val="3"/>
  </w:num>
  <w:num w:numId="9">
    <w:abstractNumId w:val="20"/>
    <w:lvlOverride w:ilvl="0">
      <w:startOverride w:val="4"/>
    </w:lvlOverride>
    <w:lvlOverride w:ilvl="1">
      <w:startOverride w:val="1"/>
    </w:lvlOverride>
  </w:num>
  <w:num w:numId="10">
    <w:abstractNumId w:val="21"/>
  </w:num>
  <w:num w:numId="11">
    <w:abstractNumId w:val="11"/>
  </w:num>
  <w:num w:numId="12">
    <w:abstractNumId w:val="12"/>
  </w:num>
  <w:num w:numId="13">
    <w:abstractNumId w:val="20"/>
  </w:num>
  <w:num w:numId="14">
    <w:abstractNumId w:val="20"/>
  </w:num>
  <w:num w:numId="15">
    <w:abstractNumId w:val="20"/>
  </w:num>
  <w:num w:numId="16">
    <w:abstractNumId w:val="8"/>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
  </w:num>
  <w:num w:numId="20">
    <w:abstractNumId w:val="2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7"/>
  </w:num>
  <w:num w:numId="24">
    <w:abstractNumId w:val="23"/>
  </w:num>
  <w:num w:numId="25">
    <w:abstractNumId w:val="9"/>
  </w:num>
  <w:num w:numId="26">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6"/>
  </w:num>
  <w:num w:numId="29">
    <w:abstractNumId w:val="24"/>
  </w:num>
  <w:num w:numId="30">
    <w:abstractNumId w:val="15"/>
  </w:num>
  <w:num w:numId="31">
    <w:abstractNumId w:val="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2B4D043-D74C-42C0-9BDF-2D233896538E"/>
    <w:docVar w:name="LW_COVERPAGE_TYPE" w:val="1"/>
    <w:docVar w:name="LW_CROSSREFERENCE" w:val="&lt;UNUSED&gt;"/>
    <w:docVar w:name="LW_DocType" w:val="NORMAL"/>
    <w:docVar w:name="LW_EMISSION" w:val="22.2.2023"/>
    <w:docVar w:name="LW_EMISSION_ISODATE" w:val="2023-02-22"/>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3) 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Komission täytäntöönpanopäätöksen C(2022) 9700 12 artiklan nojalla laadittu puolivuotiskertomus lainanotto- ja velanhallintatoimien ja niihin liittyvien lainanantotoimien &lt;/FMT&gt;toteuttamisesta_x000d__x000b__x000d__x000b__x000d__x000d__x000d__x000d__x000d__x000b__x000d__x000d__x000d__x000d__x000d__x000d__x000b__x000d__x000d__x000d__x000d__x000d__x000d__x000d__x000d__x000d__x000d__x000d__x000d__x000d__x000b__x000d__x000d__x000d__x000d__x000d__x000d__x000d__x000d__x000d__x000d__x000d__x000d__x000b__x000d_&lt;FMT:Bold&gt;1. heinäkuuta 2022 – 31. joulukuuta 2022&lt;/FMT&gt;_x000d__x000d__x000d__x000d__x000d__x000d__x000d__x000d__x000d__x000d__x000d__x000d__x000d__x000b__x000d__x000d__x000d__x000d__x000d__x000d__x000d__x000d__x000d__x000d__x000d__x000d__x000b__x000d_"/>
    <w:docVar w:name="LW_TYPE.DOC.CP" w:val="KOMISSION KERTOMUS EUROOPAN PARLAMENTILLE JA NEUVOSTOLLE"/>
    <w:docVar w:name="LwApiVersions" w:val="LW4CoDe 1.23.2.0; LW 8.0, Build 20211117"/>
  </w:docVars>
  <w:rsids>
    <w:rsidRoot w:val="008B6253"/>
    <w:rsid w:val="000025FB"/>
    <w:rsid w:val="00003760"/>
    <w:rsid w:val="00003B2C"/>
    <w:rsid w:val="00007866"/>
    <w:rsid w:val="00013AFC"/>
    <w:rsid w:val="0001773F"/>
    <w:rsid w:val="00025256"/>
    <w:rsid w:val="00026571"/>
    <w:rsid w:val="00036A07"/>
    <w:rsid w:val="0004137B"/>
    <w:rsid w:val="00056D87"/>
    <w:rsid w:val="000623CD"/>
    <w:rsid w:val="0006518B"/>
    <w:rsid w:val="00067AC8"/>
    <w:rsid w:val="00097D72"/>
    <w:rsid w:val="000A0545"/>
    <w:rsid w:val="000A38FB"/>
    <w:rsid w:val="000B4EF5"/>
    <w:rsid w:val="000B5255"/>
    <w:rsid w:val="000C3CD5"/>
    <w:rsid w:val="000C5D88"/>
    <w:rsid w:val="000D2B51"/>
    <w:rsid w:val="00102D9B"/>
    <w:rsid w:val="00103A63"/>
    <w:rsid w:val="00113042"/>
    <w:rsid w:val="001137FB"/>
    <w:rsid w:val="001212AD"/>
    <w:rsid w:val="00121CE9"/>
    <w:rsid w:val="00126F39"/>
    <w:rsid w:val="0013129F"/>
    <w:rsid w:val="00132E88"/>
    <w:rsid w:val="001337A8"/>
    <w:rsid w:val="00136347"/>
    <w:rsid w:val="00137822"/>
    <w:rsid w:val="00140C8A"/>
    <w:rsid w:val="00141100"/>
    <w:rsid w:val="00147FFC"/>
    <w:rsid w:val="0016009E"/>
    <w:rsid w:val="00166CA0"/>
    <w:rsid w:val="00171F26"/>
    <w:rsid w:val="00181102"/>
    <w:rsid w:val="00193CAE"/>
    <w:rsid w:val="001A445F"/>
    <w:rsid w:val="001A626D"/>
    <w:rsid w:val="001B4862"/>
    <w:rsid w:val="001B6959"/>
    <w:rsid w:val="001C0880"/>
    <w:rsid w:val="001C1350"/>
    <w:rsid w:val="001C3C2E"/>
    <w:rsid w:val="001C445C"/>
    <w:rsid w:val="001D0900"/>
    <w:rsid w:val="001D5B74"/>
    <w:rsid w:val="001D72F9"/>
    <w:rsid w:val="001E0283"/>
    <w:rsid w:val="001F6E5E"/>
    <w:rsid w:val="00203B8E"/>
    <w:rsid w:val="002040AE"/>
    <w:rsid w:val="002055AD"/>
    <w:rsid w:val="00207920"/>
    <w:rsid w:val="0022595F"/>
    <w:rsid w:val="00231768"/>
    <w:rsid w:val="00232130"/>
    <w:rsid w:val="002338DB"/>
    <w:rsid w:val="0024146E"/>
    <w:rsid w:val="0024722E"/>
    <w:rsid w:val="00254D4D"/>
    <w:rsid w:val="00270C15"/>
    <w:rsid w:val="00275E77"/>
    <w:rsid w:val="00275FE6"/>
    <w:rsid w:val="00290B5E"/>
    <w:rsid w:val="002955CD"/>
    <w:rsid w:val="002A3A30"/>
    <w:rsid w:val="002A67DD"/>
    <w:rsid w:val="002B4027"/>
    <w:rsid w:val="002B7257"/>
    <w:rsid w:val="002C134A"/>
    <w:rsid w:val="002C59A6"/>
    <w:rsid w:val="002E4FA7"/>
    <w:rsid w:val="002E56EE"/>
    <w:rsid w:val="002F7560"/>
    <w:rsid w:val="002F7768"/>
    <w:rsid w:val="00303954"/>
    <w:rsid w:val="0030418A"/>
    <w:rsid w:val="003130F2"/>
    <w:rsid w:val="003160E0"/>
    <w:rsid w:val="00322997"/>
    <w:rsid w:val="003257E5"/>
    <w:rsid w:val="003277B5"/>
    <w:rsid w:val="00330D09"/>
    <w:rsid w:val="00342348"/>
    <w:rsid w:val="00343D6C"/>
    <w:rsid w:val="00350522"/>
    <w:rsid w:val="00352DCC"/>
    <w:rsid w:val="00364E2A"/>
    <w:rsid w:val="003668D8"/>
    <w:rsid w:val="003707F5"/>
    <w:rsid w:val="00374A49"/>
    <w:rsid w:val="0037705D"/>
    <w:rsid w:val="003926DF"/>
    <w:rsid w:val="00395373"/>
    <w:rsid w:val="00395DF8"/>
    <w:rsid w:val="003A2408"/>
    <w:rsid w:val="003B0BAD"/>
    <w:rsid w:val="003C0956"/>
    <w:rsid w:val="003C52F3"/>
    <w:rsid w:val="003D0FED"/>
    <w:rsid w:val="003D7999"/>
    <w:rsid w:val="003E1782"/>
    <w:rsid w:val="003E27DC"/>
    <w:rsid w:val="003E3DF4"/>
    <w:rsid w:val="003F19E5"/>
    <w:rsid w:val="003F654D"/>
    <w:rsid w:val="0040365E"/>
    <w:rsid w:val="00405FFB"/>
    <w:rsid w:val="004109ED"/>
    <w:rsid w:val="00411F86"/>
    <w:rsid w:val="00417698"/>
    <w:rsid w:val="00425660"/>
    <w:rsid w:val="00425E4F"/>
    <w:rsid w:val="004501A9"/>
    <w:rsid w:val="0045484D"/>
    <w:rsid w:val="0045555D"/>
    <w:rsid w:val="00470A50"/>
    <w:rsid w:val="00472563"/>
    <w:rsid w:val="004745F2"/>
    <w:rsid w:val="00476FFD"/>
    <w:rsid w:val="00477D1E"/>
    <w:rsid w:val="00483303"/>
    <w:rsid w:val="00491026"/>
    <w:rsid w:val="00492EB6"/>
    <w:rsid w:val="0049785D"/>
    <w:rsid w:val="004A73B2"/>
    <w:rsid w:val="004B1671"/>
    <w:rsid w:val="004B58D1"/>
    <w:rsid w:val="004B75BB"/>
    <w:rsid w:val="004D0EB0"/>
    <w:rsid w:val="004D0FE4"/>
    <w:rsid w:val="004F0A38"/>
    <w:rsid w:val="004F3029"/>
    <w:rsid w:val="004F3C70"/>
    <w:rsid w:val="004F4654"/>
    <w:rsid w:val="0050453A"/>
    <w:rsid w:val="00511532"/>
    <w:rsid w:val="0051433A"/>
    <w:rsid w:val="00526640"/>
    <w:rsid w:val="00533E04"/>
    <w:rsid w:val="0053490A"/>
    <w:rsid w:val="005351A7"/>
    <w:rsid w:val="00536BA7"/>
    <w:rsid w:val="00545F6E"/>
    <w:rsid w:val="00547DE9"/>
    <w:rsid w:val="00547E7D"/>
    <w:rsid w:val="00550CD9"/>
    <w:rsid w:val="005543D6"/>
    <w:rsid w:val="00554456"/>
    <w:rsid w:val="00560991"/>
    <w:rsid w:val="00564724"/>
    <w:rsid w:val="00567602"/>
    <w:rsid w:val="00570D76"/>
    <w:rsid w:val="00570D82"/>
    <w:rsid w:val="00571587"/>
    <w:rsid w:val="00571A9E"/>
    <w:rsid w:val="00582DDA"/>
    <w:rsid w:val="0058487B"/>
    <w:rsid w:val="00585379"/>
    <w:rsid w:val="005909A6"/>
    <w:rsid w:val="00590CE0"/>
    <w:rsid w:val="00595034"/>
    <w:rsid w:val="00595E50"/>
    <w:rsid w:val="005A055B"/>
    <w:rsid w:val="005A2447"/>
    <w:rsid w:val="005A544A"/>
    <w:rsid w:val="005B1F67"/>
    <w:rsid w:val="005B2E50"/>
    <w:rsid w:val="005B4C56"/>
    <w:rsid w:val="005C62DB"/>
    <w:rsid w:val="005D04B7"/>
    <w:rsid w:val="005D06DF"/>
    <w:rsid w:val="005D297C"/>
    <w:rsid w:val="005E77E4"/>
    <w:rsid w:val="005F155A"/>
    <w:rsid w:val="005F5F02"/>
    <w:rsid w:val="005F7E9D"/>
    <w:rsid w:val="006012E4"/>
    <w:rsid w:val="0062182B"/>
    <w:rsid w:val="006237D6"/>
    <w:rsid w:val="006263DE"/>
    <w:rsid w:val="006352E7"/>
    <w:rsid w:val="00647E00"/>
    <w:rsid w:val="006502DB"/>
    <w:rsid w:val="006601F5"/>
    <w:rsid w:val="006638BA"/>
    <w:rsid w:val="00667E38"/>
    <w:rsid w:val="00671FC5"/>
    <w:rsid w:val="0068361C"/>
    <w:rsid w:val="0068458A"/>
    <w:rsid w:val="006847E6"/>
    <w:rsid w:val="0069603F"/>
    <w:rsid w:val="0069675F"/>
    <w:rsid w:val="006C2DAA"/>
    <w:rsid w:val="006D00F8"/>
    <w:rsid w:val="006D23F1"/>
    <w:rsid w:val="006D6C0E"/>
    <w:rsid w:val="006E10F7"/>
    <w:rsid w:val="006F3103"/>
    <w:rsid w:val="006F65FE"/>
    <w:rsid w:val="0072040A"/>
    <w:rsid w:val="00723DCE"/>
    <w:rsid w:val="00733BD7"/>
    <w:rsid w:val="007352C3"/>
    <w:rsid w:val="00735952"/>
    <w:rsid w:val="00735D8C"/>
    <w:rsid w:val="0075167C"/>
    <w:rsid w:val="00751AE1"/>
    <w:rsid w:val="00751D64"/>
    <w:rsid w:val="00755B19"/>
    <w:rsid w:val="007633EC"/>
    <w:rsid w:val="00763ACD"/>
    <w:rsid w:val="00765E3F"/>
    <w:rsid w:val="007662F6"/>
    <w:rsid w:val="0077082E"/>
    <w:rsid w:val="00786210"/>
    <w:rsid w:val="00792B58"/>
    <w:rsid w:val="00792D94"/>
    <w:rsid w:val="00796DA8"/>
    <w:rsid w:val="007A373F"/>
    <w:rsid w:val="007B375A"/>
    <w:rsid w:val="007B66F0"/>
    <w:rsid w:val="007C4BA8"/>
    <w:rsid w:val="007C76AC"/>
    <w:rsid w:val="007D00A6"/>
    <w:rsid w:val="007D6C82"/>
    <w:rsid w:val="007D6E3C"/>
    <w:rsid w:val="007E5C6F"/>
    <w:rsid w:val="00804E4F"/>
    <w:rsid w:val="00810743"/>
    <w:rsid w:val="00810E0F"/>
    <w:rsid w:val="008211C8"/>
    <w:rsid w:val="008349E8"/>
    <w:rsid w:val="00837AF0"/>
    <w:rsid w:val="00845ED1"/>
    <w:rsid w:val="0085119E"/>
    <w:rsid w:val="00851FBB"/>
    <w:rsid w:val="008575E4"/>
    <w:rsid w:val="008721B1"/>
    <w:rsid w:val="0087342A"/>
    <w:rsid w:val="00877B96"/>
    <w:rsid w:val="008805AC"/>
    <w:rsid w:val="00881F53"/>
    <w:rsid w:val="0088253F"/>
    <w:rsid w:val="00890C70"/>
    <w:rsid w:val="008A02D6"/>
    <w:rsid w:val="008A6BA6"/>
    <w:rsid w:val="008A6DA6"/>
    <w:rsid w:val="008B5BDC"/>
    <w:rsid w:val="008B6253"/>
    <w:rsid w:val="008C0F4B"/>
    <w:rsid w:val="008C383B"/>
    <w:rsid w:val="008C687B"/>
    <w:rsid w:val="008D4B79"/>
    <w:rsid w:val="008E17D3"/>
    <w:rsid w:val="008E43C3"/>
    <w:rsid w:val="008F1173"/>
    <w:rsid w:val="00903DF1"/>
    <w:rsid w:val="00911008"/>
    <w:rsid w:val="00913EC8"/>
    <w:rsid w:val="00923220"/>
    <w:rsid w:val="00924D26"/>
    <w:rsid w:val="009266EF"/>
    <w:rsid w:val="00933FF5"/>
    <w:rsid w:val="009363CC"/>
    <w:rsid w:val="00936D60"/>
    <w:rsid w:val="00936FF0"/>
    <w:rsid w:val="00937C85"/>
    <w:rsid w:val="0094078E"/>
    <w:rsid w:val="0094267A"/>
    <w:rsid w:val="00945A9D"/>
    <w:rsid w:val="009516E6"/>
    <w:rsid w:val="00956424"/>
    <w:rsid w:val="00965E9A"/>
    <w:rsid w:val="00966166"/>
    <w:rsid w:val="00980D74"/>
    <w:rsid w:val="009938CC"/>
    <w:rsid w:val="009B705D"/>
    <w:rsid w:val="009C1073"/>
    <w:rsid w:val="009C2C1E"/>
    <w:rsid w:val="009C4827"/>
    <w:rsid w:val="009C4CA0"/>
    <w:rsid w:val="009C5F8F"/>
    <w:rsid w:val="009C65F9"/>
    <w:rsid w:val="00A00FE6"/>
    <w:rsid w:val="00A1084A"/>
    <w:rsid w:val="00A1301D"/>
    <w:rsid w:val="00A27A43"/>
    <w:rsid w:val="00A4309F"/>
    <w:rsid w:val="00A4558E"/>
    <w:rsid w:val="00A46D38"/>
    <w:rsid w:val="00A534AD"/>
    <w:rsid w:val="00A543D6"/>
    <w:rsid w:val="00A6763F"/>
    <w:rsid w:val="00A73AF9"/>
    <w:rsid w:val="00A75719"/>
    <w:rsid w:val="00A80F43"/>
    <w:rsid w:val="00A9084E"/>
    <w:rsid w:val="00AA2E5D"/>
    <w:rsid w:val="00AA5DCD"/>
    <w:rsid w:val="00AB0F9A"/>
    <w:rsid w:val="00AB311E"/>
    <w:rsid w:val="00AB39BC"/>
    <w:rsid w:val="00AB4AF4"/>
    <w:rsid w:val="00AD3976"/>
    <w:rsid w:val="00AD5911"/>
    <w:rsid w:val="00AD734F"/>
    <w:rsid w:val="00AE6C69"/>
    <w:rsid w:val="00AF3D43"/>
    <w:rsid w:val="00B0090A"/>
    <w:rsid w:val="00B01071"/>
    <w:rsid w:val="00B103BF"/>
    <w:rsid w:val="00B10792"/>
    <w:rsid w:val="00B163C5"/>
    <w:rsid w:val="00B168E6"/>
    <w:rsid w:val="00B27871"/>
    <w:rsid w:val="00B306B7"/>
    <w:rsid w:val="00B345B6"/>
    <w:rsid w:val="00B35A6C"/>
    <w:rsid w:val="00B4100C"/>
    <w:rsid w:val="00B42A25"/>
    <w:rsid w:val="00B50B36"/>
    <w:rsid w:val="00B512D0"/>
    <w:rsid w:val="00B568F1"/>
    <w:rsid w:val="00B70F4E"/>
    <w:rsid w:val="00B72277"/>
    <w:rsid w:val="00B7261C"/>
    <w:rsid w:val="00B73527"/>
    <w:rsid w:val="00B8055A"/>
    <w:rsid w:val="00B921BB"/>
    <w:rsid w:val="00B93895"/>
    <w:rsid w:val="00B96FC3"/>
    <w:rsid w:val="00BA0B58"/>
    <w:rsid w:val="00BB05DC"/>
    <w:rsid w:val="00BD275C"/>
    <w:rsid w:val="00BD3D19"/>
    <w:rsid w:val="00BD3E56"/>
    <w:rsid w:val="00BD50FB"/>
    <w:rsid w:val="00BD5EEB"/>
    <w:rsid w:val="00BD5F9F"/>
    <w:rsid w:val="00BD68A5"/>
    <w:rsid w:val="00BD74EC"/>
    <w:rsid w:val="00BE069B"/>
    <w:rsid w:val="00BE470E"/>
    <w:rsid w:val="00BF56CF"/>
    <w:rsid w:val="00C05724"/>
    <w:rsid w:val="00C10D28"/>
    <w:rsid w:val="00C13350"/>
    <w:rsid w:val="00C15F2E"/>
    <w:rsid w:val="00C20C72"/>
    <w:rsid w:val="00C30399"/>
    <w:rsid w:val="00C3131E"/>
    <w:rsid w:val="00C35CD9"/>
    <w:rsid w:val="00C44E47"/>
    <w:rsid w:val="00C4575A"/>
    <w:rsid w:val="00C46220"/>
    <w:rsid w:val="00C52E6A"/>
    <w:rsid w:val="00C77085"/>
    <w:rsid w:val="00C8066F"/>
    <w:rsid w:val="00C86667"/>
    <w:rsid w:val="00C94584"/>
    <w:rsid w:val="00CB493C"/>
    <w:rsid w:val="00CB72AD"/>
    <w:rsid w:val="00CC15C9"/>
    <w:rsid w:val="00CC5C7F"/>
    <w:rsid w:val="00CC6BA9"/>
    <w:rsid w:val="00CC7E05"/>
    <w:rsid w:val="00CD484C"/>
    <w:rsid w:val="00CD6862"/>
    <w:rsid w:val="00CD6EC6"/>
    <w:rsid w:val="00CD7C4D"/>
    <w:rsid w:val="00CD7D52"/>
    <w:rsid w:val="00CE2886"/>
    <w:rsid w:val="00CF040B"/>
    <w:rsid w:val="00CF3BA0"/>
    <w:rsid w:val="00D02090"/>
    <w:rsid w:val="00D05443"/>
    <w:rsid w:val="00D12565"/>
    <w:rsid w:val="00D25308"/>
    <w:rsid w:val="00D26CB0"/>
    <w:rsid w:val="00D320FA"/>
    <w:rsid w:val="00D36031"/>
    <w:rsid w:val="00D3648A"/>
    <w:rsid w:val="00D3721F"/>
    <w:rsid w:val="00D43379"/>
    <w:rsid w:val="00D554AF"/>
    <w:rsid w:val="00D56CFA"/>
    <w:rsid w:val="00D56EF0"/>
    <w:rsid w:val="00D7623A"/>
    <w:rsid w:val="00D7652A"/>
    <w:rsid w:val="00D767B3"/>
    <w:rsid w:val="00D769F2"/>
    <w:rsid w:val="00D77C83"/>
    <w:rsid w:val="00D815F0"/>
    <w:rsid w:val="00D8271C"/>
    <w:rsid w:val="00DA1B82"/>
    <w:rsid w:val="00DA2349"/>
    <w:rsid w:val="00DB3549"/>
    <w:rsid w:val="00DB761C"/>
    <w:rsid w:val="00DC1E69"/>
    <w:rsid w:val="00DD0DB2"/>
    <w:rsid w:val="00DE6204"/>
    <w:rsid w:val="00DF131F"/>
    <w:rsid w:val="00E01996"/>
    <w:rsid w:val="00E12F6A"/>
    <w:rsid w:val="00E1511F"/>
    <w:rsid w:val="00E1709D"/>
    <w:rsid w:val="00E21D56"/>
    <w:rsid w:val="00E21E50"/>
    <w:rsid w:val="00E278BD"/>
    <w:rsid w:val="00E31443"/>
    <w:rsid w:val="00E336D2"/>
    <w:rsid w:val="00E35D2F"/>
    <w:rsid w:val="00E40C65"/>
    <w:rsid w:val="00E4144D"/>
    <w:rsid w:val="00E445DE"/>
    <w:rsid w:val="00E4536F"/>
    <w:rsid w:val="00E460ED"/>
    <w:rsid w:val="00E462F0"/>
    <w:rsid w:val="00E52306"/>
    <w:rsid w:val="00E561A9"/>
    <w:rsid w:val="00E5667C"/>
    <w:rsid w:val="00E6380D"/>
    <w:rsid w:val="00E63E54"/>
    <w:rsid w:val="00E63F2F"/>
    <w:rsid w:val="00E71805"/>
    <w:rsid w:val="00E723D1"/>
    <w:rsid w:val="00E742AE"/>
    <w:rsid w:val="00E7593D"/>
    <w:rsid w:val="00E75C58"/>
    <w:rsid w:val="00E76992"/>
    <w:rsid w:val="00E81087"/>
    <w:rsid w:val="00E834C5"/>
    <w:rsid w:val="00E87235"/>
    <w:rsid w:val="00E922DF"/>
    <w:rsid w:val="00E92C01"/>
    <w:rsid w:val="00E9547B"/>
    <w:rsid w:val="00EA11EB"/>
    <w:rsid w:val="00EB6034"/>
    <w:rsid w:val="00EC66B0"/>
    <w:rsid w:val="00ED0806"/>
    <w:rsid w:val="00ED38DC"/>
    <w:rsid w:val="00EE01EE"/>
    <w:rsid w:val="00F004A0"/>
    <w:rsid w:val="00F006D1"/>
    <w:rsid w:val="00F131F1"/>
    <w:rsid w:val="00F2157C"/>
    <w:rsid w:val="00F255CC"/>
    <w:rsid w:val="00F26AE1"/>
    <w:rsid w:val="00F33393"/>
    <w:rsid w:val="00F464A6"/>
    <w:rsid w:val="00F46B6D"/>
    <w:rsid w:val="00F56A08"/>
    <w:rsid w:val="00F64EE3"/>
    <w:rsid w:val="00F70324"/>
    <w:rsid w:val="00F73068"/>
    <w:rsid w:val="00F777EE"/>
    <w:rsid w:val="00F836DC"/>
    <w:rsid w:val="00F867FC"/>
    <w:rsid w:val="00F86B06"/>
    <w:rsid w:val="00F94217"/>
    <w:rsid w:val="00F96BE2"/>
    <w:rsid w:val="00F96DDE"/>
    <w:rsid w:val="00FA3C9C"/>
    <w:rsid w:val="00FA612D"/>
    <w:rsid w:val="00FA68C2"/>
    <w:rsid w:val="00FA68E8"/>
    <w:rsid w:val="00FA6ECC"/>
    <w:rsid w:val="00FB2867"/>
    <w:rsid w:val="00FB4B11"/>
    <w:rsid w:val="00FC3CCC"/>
    <w:rsid w:val="00FE0F8D"/>
    <w:rsid w:val="00FF6728"/>
    <w:rsid w:val="00FF7D13"/>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996028F"/>
  <w15:chartTrackingRefBased/>
  <w15:docId w15:val="{8CACD4E0-DE62-49F5-A267-C54C6D8A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C70"/>
    <w:pPr>
      <w:spacing w:line="240" w:lineRule="auto"/>
      <w:jc w:val="both"/>
    </w:pPr>
    <w:rPr>
      <w:rFonts w:ascii="EC Square Sans Pro" w:hAnsi="EC Square Sans Pro" w:cs="Times New Roman"/>
      <w:szCs w:val="24"/>
    </w:rPr>
  </w:style>
  <w:style w:type="paragraph" w:styleId="Heading1">
    <w:name w:val="heading 1"/>
    <w:basedOn w:val="Normal"/>
    <w:next w:val="Normal"/>
    <w:link w:val="Heading1Char"/>
    <w:uiPriority w:val="9"/>
    <w:qFormat/>
    <w:rsid w:val="008F1173"/>
    <w:pPr>
      <w:keepNext/>
      <w:keepLines/>
      <w:numPr>
        <w:numId w:val="3"/>
      </w:numPr>
      <w:spacing w:before="360" w:after="240"/>
      <w:ind w:left="357" w:hanging="357"/>
      <w:jc w:val="left"/>
      <w:outlineLvl w:val="0"/>
    </w:pPr>
    <w:rPr>
      <w:rFonts w:eastAsiaTheme="majorEastAsia" w:cstheme="majorBidi"/>
      <w:b/>
      <w:color w:val="034EA2"/>
      <w:sz w:val="32"/>
      <w:szCs w:val="32"/>
    </w:rPr>
  </w:style>
  <w:style w:type="paragraph" w:styleId="Heading2">
    <w:name w:val="heading 2"/>
    <w:basedOn w:val="Normal"/>
    <w:next w:val="Normal"/>
    <w:link w:val="Heading2Char"/>
    <w:uiPriority w:val="9"/>
    <w:unhideWhenUsed/>
    <w:qFormat/>
    <w:rsid w:val="008F1173"/>
    <w:pPr>
      <w:keepNext/>
      <w:keepLines/>
      <w:spacing w:before="240"/>
      <w:outlineLvl w:val="1"/>
    </w:pPr>
    <w:rPr>
      <w:rFonts w:eastAsiaTheme="majorEastAsia" w:cstheme="majorBidi"/>
      <w:caps/>
      <w:color w:val="70AD47"/>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173"/>
    <w:rPr>
      <w:rFonts w:ascii="EC Square Sans Pro" w:eastAsiaTheme="majorEastAsia" w:hAnsi="EC Square Sans Pro" w:cstheme="majorBidi"/>
      <w:b/>
      <w:color w:val="034EA2"/>
      <w:sz w:val="32"/>
      <w:szCs w:val="32"/>
      <w:lang w:val="fi-FI"/>
    </w:rPr>
  </w:style>
  <w:style w:type="paragraph" w:styleId="Header">
    <w:name w:val="header"/>
    <w:basedOn w:val="Normal"/>
    <w:link w:val="HeaderChar"/>
    <w:unhideWhenUsed/>
    <w:rsid w:val="008B6253"/>
    <w:pPr>
      <w:tabs>
        <w:tab w:val="center" w:pos="4513"/>
        <w:tab w:val="right" w:pos="9026"/>
      </w:tabs>
      <w:spacing w:after="0"/>
    </w:pPr>
  </w:style>
  <w:style w:type="character" w:customStyle="1" w:styleId="HeaderChar">
    <w:name w:val="Header Char"/>
    <w:basedOn w:val="DefaultParagraphFont"/>
    <w:link w:val="Header"/>
    <w:rsid w:val="008B6253"/>
    <w:rPr>
      <w:rFonts w:ascii="Times New Roman" w:hAnsi="Times New Roman" w:cs="Times New Roman"/>
      <w:sz w:val="24"/>
      <w:szCs w:val="24"/>
      <w:lang w:val="fi-FI"/>
    </w:rPr>
  </w:style>
  <w:style w:type="paragraph" w:styleId="Footer">
    <w:name w:val="footer"/>
    <w:basedOn w:val="Normal"/>
    <w:link w:val="FooterChar"/>
    <w:uiPriority w:val="99"/>
    <w:unhideWhenUsed/>
    <w:rsid w:val="008B6253"/>
    <w:pPr>
      <w:tabs>
        <w:tab w:val="center" w:pos="4513"/>
        <w:tab w:val="right" w:pos="9026"/>
      </w:tabs>
      <w:spacing w:after="0"/>
    </w:pPr>
  </w:style>
  <w:style w:type="character" w:customStyle="1" w:styleId="FooterChar">
    <w:name w:val="Footer Char"/>
    <w:basedOn w:val="DefaultParagraphFont"/>
    <w:link w:val="Footer"/>
    <w:uiPriority w:val="99"/>
    <w:rsid w:val="008B6253"/>
    <w:rPr>
      <w:rFonts w:ascii="Times New Roman" w:hAnsi="Times New Roman" w:cs="Times New Roman"/>
      <w:sz w:val="24"/>
      <w:szCs w:val="24"/>
      <w:lang w:val="fi-FI"/>
    </w:rPr>
  </w:style>
  <w:style w:type="paragraph" w:customStyle="1" w:styleId="FooterCoverPage">
    <w:name w:val="Footer Cover Page"/>
    <w:basedOn w:val="Normal"/>
    <w:link w:val="FooterCoverPageChar"/>
    <w:rsid w:val="008B6253"/>
    <w:pPr>
      <w:tabs>
        <w:tab w:val="center" w:pos="4535"/>
        <w:tab w:val="right" w:pos="9071"/>
        <w:tab w:val="right" w:pos="9921"/>
      </w:tabs>
      <w:spacing w:before="360" w:after="0"/>
      <w:ind w:left="-850" w:right="-850"/>
      <w:jc w:val="left"/>
    </w:pPr>
    <w:rPr>
      <w:rFonts w:ascii="Times New Roman" w:hAnsi="Times New Roman"/>
      <w:sz w:val="24"/>
    </w:rPr>
  </w:style>
  <w:style w:type="character" w:customStyle="1" w:styleId="FooterCoverPageChar">
    <w:name w:val="Footer Cover Page Char"/>
    <w:basedOn w:val="DefaultParagraphFont"/>
    <w:link w:val="FooterCoverPage"/>
    <w:rsid w:val="008B6253"/>
    <w:rPr>
      <w:rFonts w:ascii="Times New Roman" w:hAnsi="Times New Roman" w:cs="Times New Roman"/>
      <w:sz w:val="24"/>
      <w:szCs w:val="24"/>
    </w:rPr>
  </w:style>
  <w:style w:type="paragraph" w:customStyle="1" w:styleId="HeaderCoverPage">
    <w:name w:val="Header Cover Page"/>
    <w:basedOn w:val="Normal"/>
    <w:link w:val="HeaderCoverPageChar"/>
    <w:rsid w:val="008B6253"/>
    <w:pPr>
      <w:tabs>
        <w:tab w:val="center" w:pos="4535"/>
        <w:tab w:val="right" w:pos="9071"/>
      </w:tabs>
      <w:spacing w:after="120"/>
    </w:pPr>
    <w:rPr>
      <w:rFonts w:ascii="Times New Roman" w:hAnsi="Times New Roman"/>
      <w:sz w:val="24"/>
    </w:rPr>
  </w:style>
  <w:style w:type="character" w:customStyle="1" w:styleId="HeaderCoverPageChar">
    <w:name w:val="Header Cover Page Char"/>
    <w:basedOn w:val="DefaultParagraphFont"/>
    <w:link w:val="HeaderCoverPage"/>
    <w:rsid w:val="008B6253"/>
    <w:rPr>
      <w:rFonts w:ascii="Times New Roman" w:hAnsi="Times New Roman" w:cs="Times New Roman"/>
      <w:sz w:val="24"/>
      <w:szCs w:val="24"/>
    </w:rPr>
  </w:style>
  <w:style w:type="character" w:styleId="FootnoteReference">
    <w:name w:val="footnote reference"/>
    <w:aliases w:val="BVI fnr,number,SUPERS,Footnote Reference Superscript,-E Fuﬂnotenzeichen,-E Fuûnotenzeichen,-E Fußnotenzeichen,EN Footnote Reference,Footnote number,stylish,Footnote symbol,(Footnote Reference),Footnote reference number,note TESI,ftref"/>
    <w:link w:val="BVIfnrChar"/>
    <w:uiPriority w:val="99"/>
    <w:qFormat/>
    <w:rsid w:val="008B6253"/>
    <w:rPr>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t"/>
    <w:basedOn w:val="Normal"/>
    <w:link w:val="FootnoteTextChar"/>
    <w:uiPriority w:val="99"/>
    <w:qFormat/>
    <w:rsid w:val="008B6253"/>
    <w:pPr>
      <w:spacing w:after="0"/>
      <w:ind w:left="720" w:hanging="720"/>
    </w:pPr>
    <w:rPr>
      <w:rFonts w:eastAsia="Times New Roman"/>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t Char"/>
    <w:basedOn w:val="DefaultParagraphFont"/>
    <w:link w:val="FootnoteText"/>
    <w:uiPriority w:val="99"/>
    <w:rsid w:val="008B6253"/>
    <w:rPr>
      <w:rFonts w:ascii="Times New Roman" w:eastAsia="Times New Roman" w:hAnsi="Times New Roman" w:cs="Times New Roman"/>
      <w:sz w:val="20"/>
      <w:szCs w:val="20"/>
      <w:lang w:val="fi-FI"/>
    </w:rPr>
  </w:style>
  <w:style w:type="paragraph" w:styleId="TOC1">
    <w:name w:val="toc 1"/>
    <w:basedOn w:val="Normal"/>
    <w:next w:val="Normal"/>
    <w:uiPriority w:val="39"/>
    <w:qFormat/>
    <w:rsid w:val="008B6253"/>
    <w:pPr>
      <w:tabs>
        <w:tab w:val="right" w:leader="dot" w:pos="9071"/>
      </w:tabs>
      <w:spacing w:before="60" w:after="120"/>
      <w:ind w:left="850" w:hanging="850"/>
    </w:pPr>
    <w:rPr>
      <w:rFonts w:eastAsia="Times New Roman"/>
    </w:rPr>
  </w:style>
  <w:style w:type="paragraph" w:styleId="TOCHeading">
    <w:name w:val="TOC Heading"/>
    <w:basedOn w:val="Normal"/>
    <w:next w:val="Normal"/>
    <w:link w:val="TOCHeadingChar"/>
    <w:uiPriority w:val="39"/>
    <w:qFormat/>
    <w:rsid w:val="008B6253"/>
    <w:pPr>
      <w:spacing w:before="120" w:after="240"/>
      <w:jc w:val="center"/>
    </w:pPr>
    <w:rPr>
      <w:rFonts w:eastAsia="Times New Roman"/>
      <w:b/>
      <w:sz w:val="28"/>
    </w:rPr>
  </w:style>
  <w:style w:type="character" w:styleId="Hyperlink">
    <w:name w:val="Hyperlink"/>
    <w:uiPriority w:val="99"/>
    <w:rsid w:val="008B6253"/>
    <w:rPr>
      <w:rFonts w:cs="Times New Roman"/>
      <w:color w:val="0000FF"/>
      <w:u w:val="single"/>
      <w:shd w:val="clear" w:color="auto" w:fill="auto"/>
    </w:rPr>
  </w:style>
  <w:style w:type="character" w:customStyle="1" w:styleId="TOCHeadingChar">
    <w:name w:val="TOC Heading Char"/>
    <w:link w:val="TOCHeading"/>
    <w:uiPriority w:val="39"/>
    <w:rsid w:val="008B6253"/>
    <w:rPr>
      <w:rFonts w:ascii="Times New Roman" w:eastAsia="Times New Roman" w:hAnsi="Times New Roman" w:cs="Times New Roman"/>
      <w:b/>
      <w:sz w:val="28"/>
      <w:szCs w:val="24"/>
      <w:lang w:val="fi-FI"/>
    </w:rPr>
  </w:style>
  <w:style w:type="paragraph" w:styleId="Subtitle">
    <w:name w:val="Subtitle"/>
    <w:basedOn w:val="Normal"/>
    <w:next w:val="Normal"/>
    <w:link w:val="SubtitleChar"/>
    <w:qFormat/>
    <w:rsid w:val="008B6253"/>
    <w:pPr>
      <w:spacing w:before="120" w:after="60"/>
      <w:jc w:val="center"/>
      <w:outlineLvl w:val="1"/>
    </w:pPr>
    <w:rPr>
      <w:rFonts w:ascii="Cambria" w:eastAsia="Times New Roman" w:hAnsi="Cambria"/>
    </w:rPr>
  </w:style>
  <w:style w:type="character" w:customStyle="1" w:styleId="SubtitleChar">
    <w:name w:val="Subtitle Char"/>
    <w:basedOn w:val="DefaultParagraphFont"/>
    <w:link w:val="Subtitle"/>
    <w:rsid w:val="008B6253"/>
    <w:rPr>
      <w:rFonts w:ascii="Cambria" w:eastAsia="Times New Roman" w:hAnsi="Cambria" w:cs="Times New Roman"/>
      <w:sz w:val="24"/>
      <w:szCs w:val="24"/>
      <w:lang w:val="fi-FI"/>
    </w:rPr>
  </w:style>
  <w:style w:type="paragraph" w:styleId="NormalWeb">
    <w:name w:val="Normal (Web)"/>
    <w:basedOn w:val="Normal"/>
    <w:uiPriority w:val="99"/>
    <w:unhideWhenUsed/>
    <w:rsid w:val="008B6253"/>
    <w:pPr>
      <w:spacing w:before="100" w:beforeAutospacing="1" w:after="100" w:afterAutospacing="1"/>
    </w:pPr>
    <w:rPr>
      <w:rFonts w:eastAsia="Times New Roman"/>
      <w:lang w:eastAsia="en-GB"/>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Appel note de bas de p."/>
    <w:basedOn w:val="Normal"/>
    <w:link w:val="FootnoteReference"/>
    <w:uiPriority w:val="99"/>
    <w:rsid w:val="008B6253"/>
    <w:pPr>
      <w:spacing w:line="240" w:lineRule="exact"/>
    </w:pPr>
    <w:rPr>
      <w:rFonts w:asciiTheme="minorHAnsi" w:hAnsiTheme="minorHAnsi" w:cstheme="minorBidi"/>
      <w:szCs w:val="22"/>
      <w:vertAlign w:val="superscript"/>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rsid w:val="008B6253"/>
    <w:pPr>
      <w:spacing w:line="259" w:lineRule="auto"/>
      <w:ind w:left="720"/>
      <w:contextualSpacing/>
    </w:pPr>
    <w:rPr>
      <w:rFonts w:asciiTheme="minorHAnsi" w:hAnsiTheme="minorHAnsi" w:cstheme="minorBidi"/>
      <w:szCs w:val="22"/>
    </w:rPr>
  </w:style>
  <w:style w:type="character" w:styleId="IntenseReference">
    <w:name w:val="Intense Reference"/>
    <w:basedOn w:val="DefaultParagraphFont"/>
    <w:uiPriority w:val="32"/>
    <w:qFormat/>
    <w:rsid w:val="008B6253"/>
    <w:rPr>
      <w:b/>
      <w:bCs/>
      <w:smallCaps/>
      <w:color w:val="5B9BD5" w:themeColor="accent1"/>
      <w:spacing w:val="5"/>
    </w:rPr>
  </w:style>
  <w:style w:type="table" w:styleId="GridTable1Light-Accent1">
    <w:name w:val="Grid Table 1 Light Accent 1"/>
    <w:basedOn w:val="TableNormal"/>
    <w:uiPriority w:val="46"/>
    <w:rsid w:val="008B625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basedOn w:val="DefaultParagraphFont"/>
    <w:link w:val="ListParagraph"/>
    <w:uiPriority w:val="34"/>
    <w:locked/>
    <w:rsid w:val="008B6253"/>
    <w:rPr>
      <w:lang w:val="fi-FI"/>
    </w:rPr>
  </w:style>
  <w:style w:type="table" w:customStyle="1" w:styleId="TableGrid1">
    <w:name w:val="Table Grid1"/>
    <w:basedOn w:val="TableNormal"/>
    <w:next w:val="TableGrid"/>
    <w:uiPriority w:val="39"/>
    <w:rsid w:val="008B625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8B6253"/>
    <w:rPr>
      <w:color w:val="0000FF"/>
      <w:shd w:val="clear" w:color="auto" w:fill="auto"/>
    </w:rPr>
  </w:style>
  <w:style w:type="paragraph" w:customStyle="1" w:styleId="Pagedecouverture">
    <w:name w:val="Page de couverture"/>
    <w:basedOn w:val="Normal"/>
    <w:next w:val="Normal"/>
    <w:rsid w:val="008B6253"/>
    <w:pPr>
      <w:spacing w:after="0"/>
    </w:pPr>
    <w:rPr>
      <w:szCs w:val="22"/>
    </w:rPr>
  </w:style>
  <w:style w:type="paragraph" w:customStyle="1" w:styleId="FooterSensitivity">
    <w:name w:val="Footer Sensitivity"/>
    <w:basedOn w:val="Normal"/>
    <w:link w:val="FooterSensitivityChar"/>
    <w:rsid w:val="008B6253"/>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TOCHeadingChar"/>
    <w:link w:val="FooterSensitivity"/>
    <w:rsid w:val="008B6253"/>
    <w:rPr>
      <w:rFonts w:ascii="Times New Roman" w:eastAsia="Times New Roman" w:hAnsi="Times New Roman" w:cs="Times New Roman"/>
      <w:b/>
      <w:sz w:val="32"/>
      <w:szCs w:val="24"/>
      <w:lang w:val="fi-FI"/>
    </w:rPr>
  </w:style>
  <w:style w:type="paragraph" w:customStyle="1" w:styleId="HeaderSensitivity">
    <w:name w:val="Header Sensitivity"/>
    <w:basedOn w:val="Normal"/>
    <w:link w:val="HeaderSensitivityChar"/>
    <w:rsid w:val="008B6253"/>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sid w:val="008B6253"/>
    <w:rPr>
      <w:rFonts w:ascii="Times New Roman" w:eastAsia="Times New Roman" w:hAnsi="Times New Roman" w:cs="Times New Roman"/>
      <w:b/>
      <w:sz w:val="32"/>
      <w:szCs w:val="24"/>
      <w:lang w:val="fi-FI"/>
    </w:rPr>
  </w:style>
  <w:style w:type="paragraph" w:customStyle="1" w:styleId="HeaderSensitivityRight">
    <w:name w:val="Header Sensitivity Right"/>
    <w:basedOn w:val="Normal"/>
    <w:link w:val="HeaderSensitivityRightChar"/>
    <w:rsid w:val="008B6253"/>
    <w:pPr>
      <w:spacing w:after="120"/>
      <w:jc w:val="right"/>
    </w:pPr>
    <w:rPr>
      <w:rFonts w:ascii="Times New Roman" w:hAnsi="Times New Roman"/>
      <w:sz w:val="28"/>
    </w:rPr>
  </w:style>
  <w:style w:type="character" w:customStyle="1" w:styleId="HeaderSensitivityRightChar">
    <w:name w:val="Header Sensitivity Right Char"/>
    <w:basedOn w:val="TOCHeadingChar"/>
    <w:link w:val="HeaderSensitivityRight"/>
    <w:rsid w:val="008B6253"/>
    <w:rPr>
      <w:rFonts w:ascii="Times New Roman" w:eastAsia="Times New Roman" w:hAnsi="Times New Roman" w:cs="Times New Roman"/>
      <w:b w:val="0"/>
      <w:sz w:val="28"/>
      <w:szCs w:val="24"/>
      <w:lang w:val="fi-FI"/>
    </w:rPr>
  </w:style>
  <w:style w:type="table" w:customStyle="1" w:styleId="TableGrid11">
    <w:name w:val="Table Grid11"/>
    <w:basedOn w:val="TableNormal"/>
    <w:next w:val="TableGrid"/>
    <w:uiPriority w:val="39"/>
    <w:rsid w:val="00804E4F"/>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554AF"/>
    <w:pPr>
      <w:spacing w:after="100"/>
      <w:ind w:left="240"/>
    </w:pPr>
  </w:style>
  <w:style w:type="character" w:styleId="CommentReference">
    <w:name w:val="annotation reference"/>
    <w:basedOn w:val="DefaultParagraphFont"/>
    <w:uiPriority w:val="99"/>
    <w:semiHidden/>
    <w:unhideWhenUsed/>
    <w:rsid w:val="00D56EF0"/>
    <w:rPr>
      <w:sz w:val="16"/>
      <w:szCs w:val="16"/>
    </w:rPr>
  </w:style>
  <w:style w:type="paragraph" w:styleId="CommentText">
    <w:name w:val="annotation text"/>
    <w:basedOn w:val="Normal"/>
    <w:link w:val="CommentTextChar"/>
    <w:uiPriority w:val="99"/>
    <w:semiHidden/>
    <w:unhideWhenUsed/>
    <w:rsid w:val="00D56EF0"/>
    <w:rPr>
      <w:sz w:val="20"/>
      <w:szCs w:val="20"/>
    </w:rPr>
  </w:style>
  <w:style w:type="character" w:customStyle="1" w:styleId="CommentTextChar">
    <w:name w:val="Comment Text Char"/>
    <w:basedOn w:val="DefaultParagraphFont"/>
    <w:link w:val="CommentText"/>
    <w:uiPriority w:val="99"/>
    <w:semiHidden/>
    <w:rsid w:val="00D56EF0"/>
    <w:rPr>
      <w:rFonts w:ascii="Times New Roman" w:hAnsi="Times New Roman" w:cs="Times New Roman"/>
      <w:sz w:val="20"/>
      <w:szCs w:val="20"/>
      <w:lang w:val="fi-FI"/>
    </w:rPr>
  </w:style>
  <w:style w:type="paragraph" w:styleId="BalloonText">
    <w:name w:val="Balloon Text"/>
    <w:basedOn w:val="Normal"/>
    <w:link w:val="BalloonTextChar"/>
    <w:uiPriority w:val="99"/>
    <w:semiHidden/>
    <w:unhideWhenUsed/>
    <w:rsid w:val="00D56E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F0"/>
    <w:rPr>
      <w:rFonts w:ascii="Segoe UI" w:hAnsi="Segoe UI" w:cs="Segoe UI"/>
      <w:sz w:val="18"/>
      <w:szCs w:val="18"/>
      <w:lang w:val="fi-FI"/>
    </w:rPr>
  </w:style>
  <w:style w:type="paragraph" w:styleId="CommentSubject">
    <w:name w:val="annotation subject"/>
    <w:basedOn w:val="CommentText"/>
    <w:next w:val="CommentText"/>
    <w:link w:val="CommentSubjectChar"/>
    <w:uiPriority w:val="99"/>
    <w:semiHidden/>
    <w:unhideWhenUsed/>
    <w:rsid w:val="002B7257"/>
    <w:rPr>
      <w:b/>
      <w:bCs/>
    </w:rPr>
  </w:style>
  <w:style w:type="character" w:customStyle="1" w:styleId="CommentSubjectChar">
    <w:name w:val="Comment Subject Char"/>
    <w:basedOn w:val="CommentTextChar"/>
    <w:link w:val="CommentSubject"/>
    <w:uiPriority w:val="99"/>
    <w:semiHidden/>
    <w:rsid w:val="002B7257"/>
    <w:rPr>
      <w:rFonts w:ascii="Times New Roman" w:hAnsi="Times New Roman" w:cs="Times New Roman"/>
      <w:b/>
      <w:bCs/>
      <w:sz w:val="20"/>
      <w:szCs w:val="20"/>
      <w:lang w:val="fi-FI"/>
    </w:rPr>
  </w:style>
  <w:style w:type="paragraph" w:styleId="Revision">
    <w:name w:val="Revision"/>
    <w:hidden/>
    <w:uiPriority w:val="99"/>
    <w:semiHidden/>
    <w:rsid w:val="00E834C5"/>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BD275C"/>
    <w:rPr>
      <w:b/>
      <w:bCs/>
    </w:rPr>
  </w:style>
  <w:style w:type="character" w:customStyle="1" w:styleId="Heading2Char">
    <w:name w:val="Heading 2 Char"/>
    <w:basedOn w:val="DefaultParagraphFont"/>
    <w:link w:val="Heading2"/>
    <w:uiPriority w:val="9"/>
    <w:rsid w:val="008F1173"/>
    <w:rPr>
      <w:rFonts w:ascii="EC Square Sans Pro" w:eastAsiaTheme="majorEastAsia" w:hAnsi="EC Square Sans Pro" w:cstheme="majorBidi"/>
      <w:caps/>
      <w:color w:val="70AD47"/>
      <w:sz w:val="24"/>
      <w:szCs w:val="26"/>
      <w:lang w:val="fi-FI"/>
    </w:rPr>
  </w:style>
  <w:style w:type="character" w:styleId="FollowedHyperlink">
    <w:name w:val="FollowedHyperlink"/>
    <w:basedOn w:val="DefaultParagraphFont"/>
    <w:uiPriority w:val="99"/>
    <w:semiHidden/>
    <w:unhideWhenUsed/>
    <w:rsid w:val="001C3C2E"/>
    <w:rPr>
      <w:color w:val="954F72" w:themeColor="followedHyperlink"/>
      <w:u w:val="single"/>
    </w:rPr>
  </w:style>
  <w:style w:type="table" w:customStyle="1" w:styleId="TableGrid12">
    <w:name w:val="Table Grid12"/>
    <w:basedOn w:val="TableNormal"/>
    <w:next w:val="TableGrid"/>
    <w:uiPriority w:val="39"/>
    <w:rsid w:val="00536BA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536BA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7865">
      <w:bodyDiv w:val="1"/>
      <w:marLeft w:val="0"/>
      <w:marRight w:val="0"/>
      <w:marTop w:val="0"/>
      <w:marBottom w:val="0"/>
      <w:divBdr>
        <w:top w:val="none" w:sz="0" w:space="0" w:color="auto"/>
        <w:left w:val="none" w:sz="0" w:space="0" w:color="auto"/>
        <w:bottom w:val="none" w:sz="0" w:space="0" w:color="auto"/>
        <w:right w:val="none" w:sz="0" w:space="0" w:color="auto"/>
      </w:divBdr>
    </w:div>
    <w:div w:id="34670410">
      <w:bodyDiv w:val="1"/>
      <w:marLeft w:val="0"/>
      <w:marRight w:val="0"/>
      <w:marTop w:val="0"/>
      <w:marBottom w:val="0"/>
      <w:divBdr>
        <w:top w:val="none" w:sz="0" w:space="0" w:color="auto"/>
        <w:left w:val="none" w:sz="0" w:space="0" w:color="auto"/>
        <w:bottom w:val="none" w:sz="0" w:space="0" w:color="auto"/>
        <w:right w:val="none" w:sz="0" w:space="0" w:color="auto"/>
      </w:divBdr>
    </w:div>
    <w:div w:id="84570062">
      <w:bodyDiv w:val="1"/>
      <w:marLeft w:val="0"/>
      <w:marRight w:val="0"/>
      <w:marTop w:val="0"/>
      <w:marBottom w:val="0"/>
      <w:divBdr>
        <w:top w:val="none" w:sz="0" w:space="0" w:color="auto"/>
        <w:left w:val="none" w:sz="0" w:space="0" w:color="auto"/>
        <w:bottom w:val="none" w:sz="0" w:space="0" w:color="auto"/>
        <w:right w:val="none" w:sz="0" w:space="0" w:color="auto"/>
      </w:divBdr>
    </w:div>
    <w:div w:id="115149302">
      <w:bodyDiv w:val="1"/>
      <w:marLeft w:val="0"/>
      <w:marRight w:val="0"/>
      <w:marTop w:val="0"/>
      <w:marBottom w:val="0"/>
      <w:divBdr>
        <w:top w:val="none" w:sz="0" w:space="0" w:color="auto"/>
        <w:left w:val="none" w:sz="0" w:space="0" w:color="auto"/>
        <w:bottom w:val="none" w:sz="0" w:space="0" w:color="auto"/>
        <w:right w:val="none" w:sz="0" w:space="0" w:color="auto"/>
      </w:divBdr>
    </w:div>
    <w:div w:id="204485303">
      <w:bodyDiv w:val="1"/>
      <w:marLeft w:val="0"/>
      <w:marRight w:val="0"/>
      <w:marTop w:val="0"/>
      <w:marBottom w:val="0"/>
      <w:divBdr>
        <w:top w:val="none" w:sz="0" w:space="0" w:color="auto"/>
        <w:left w:val="none" w:sz="0" w:space="0" w:color="auto"/>
        <w:bottom w:val="none" w:sz="0" w:space="0" w:color="auto"/>
        <w:right w:val="none" w:sz="0" w:space="0" w:color="auto"/>
      </w:divBdr>
    </w:div>
    <w:div w:id="210462789">
      <w:bodyDiv w:val="1"/>
      <w:marLeft w:val="0"/>
      <w:marRight w:val="0"/>
      <w:marTop w:val="0"/>
      <w:marBottom w:val="0"/>
      <w:divBdr>
        <w:top w:val="none" w:sz="0" w:space="0" w:color="auto"/>
        <w:left w:val="none" w:sz="0" w:space="0" w:color="auto"/>
        <w:bottom w:val="none" w:sz="0" w:space="0" w:color="auto"/>
        <w:right w:val="none" w:sz="0" w:space="0" w:color="auto"/>
      </w:divBdr>
    </w:div>
    <w:div w:id="226034699">
      <w:bodyDiv w:val="1"/>
      <w:marLeft w:val="0"/>
      <w:marRight w:val="0"/>
      <w:marTop w:val="0"/>
      <w:marBottom w:val="0"/>
      <w:divBdr>
        <w:top w:val="none" w:sz="0" w:space="0" w:color="auto"/>
        <w:left w:val="none" w:sz="0" w:space="0" w:color="auto"/>
        <w:bottom w:val="none" w:sz="0" w:space="0" w:color="auto"/>
        <w:right w:val="none" w:sz="0" w:space="0" w:color="auto"/>
      </w:divBdr>
    </w:div>
    <w:div w:id="238760014">
      <w:bodyDiv w:val="1"/>
      <w:marLeft w:val="0"/>
      <w:marRight w:val="0"/>
      <w:marTop w:val="0"/>
      <w:marBottom w:val="0"/>
      <w:divBdr>
        <w:top w:val="none" w:sz="0" w:space="0" w:color="auto"/>
        <w:left w:val="none" w:sz="0" w:space="0" w:color="auto"/>
        <w:bottom w:val="none" w:sz="0" w:space="0" w:color="auto"/>
        <w:right w:val="none" w:sz="0" w:space="0" w:color="auto"/>
      </w:divBdr>
    </w:div>
    <w:div w:id="265578364">
      <w:bodyDiv w:val="1"/>
      <w:marLeft w:val="0"/>
      <w:marRight w:val="0"/>
      <w:marTop w:val="0"/>
      <w:marBottom w:val="0"/>
      <w:divBdr>
        <w:top w:val="none" w:sz="0" w:space="0" w:color="auto"/>
        <w:left w:val="none" w:sz="0" w:space="0" w:color="auto"/>
        <w:bottom w:val="none" w:sz="0" w:space="0" w:color="auto"/>
        <w:right w:val="none" w:sz="0" w:space="0" w:color="auto"/>
      </w:divBdr>
    </w:div>
    <w:div w:id="279189576">
      <w:bodyDiv w:val="1"/>
      <w:marLeft w:val="0"/>
      <w:marRight w:val="0"/>
      <w:marTop w:val="0"/>
      <w:marBottom w:val="0"/>
      <w:divBdr>
        <w:top w:val="none" w:sz="0" w:space="0" w:color="auto"/>
        <w:left w:val="none" w:sz="0" w:space="0" w:color="auto"/>
        <w:bottom w:val="none" w:sz="0" w:space="0" w:color="auto"/>
        <w:right w:val="none" w:sz="0" w:space="0" w:color="auto"/>
      </w:divBdr>
    </w:div>
    <w:div w:id="284119342">
      <w:bodyDiv w:val="1"/>
      <w:marLeft w:val="0"/>
      <w:marRight w:val="0"/>
      <w:marTop w:val="0"/>
      <w:marBottom w:val="0"/>
      <w:divBdr>
        <w:top w:val="none" w:sz="0" w:space="0" w:color="auto"/>
        <w:left w:val="none" w:sz="0" w:space="0" w:color="auto"/>
        <w:bottom w:val="none" w:sz="0" w:space="0" w:color="auto"/>
        <w:right w:val="none" w:sz="0" w:space="0" w:color="auto"/>
      </w:divBdr>
    </w:div>
    <w:div w:id="295723376">
      <w:bodyDiv w:val="1"/>
      <w:marLeft w:val="0"/>
      <w:marRight w:val="0"/>
      <w:marTop w:val="0"/>
      <w:marBottom w:val="0"/>
      <w:divBdr>
        <w:top w:val="none" w:sz="0" w:space="0" w:color="auto"/>
        <w:left w:val="none" w:sz="0" w:space="0" w:color="auto"/>
        <w:bottom w:val="none" w:sz="0" w:space="0" w:color="auto"/>
        <w:right w:val="none" w:sz="0" w:space="0" w:color="auto"/>
      </w:divBdr>
    </w:div>
    <w:div w:id="297810240">
      <w:bodyDiv w:val="1"/>
      <w:marLeft w:val="0"/>
      <w:marRight w:val="0"/>
      <w:marTop w:val="0"/>
      <w:marBottom w:val="0"/>
      <w:divBdr>
        <w:top w:val="none" w:sz="0" w:space="0" w:color="auto"/>
        <w:left w:val="none" w:sz="0" w:space="0" w:color="auto"/>
        <w:bottom w:val="none" w:sz="0" w:space="0" w:color="auto"/>
        <w:right w:val="none" w:sz="0" w:space="0" w:color="auto"/>
      </w:divBdr>
    </w:div>
    <w:div w:id="303391389">
      <w:bodyDiv w:val="1"/>
      <w:marLeft w:val="0"/>
      <w:marRight w:val="0"/>
      <w:marTop w:val="0"/>
      <w:marBottom w:val="0"/>
      <w:divBdr>
        <w:top w:val="none" w:sz="0" w:space="0" w:color="auto"/>
        <w:left w:val="none" w:sz="0" w:space="0" w:color="auto"/>
        <w:bottom w:val="none" w:sz="0" w:space="0" w:color="auto"/>
        <w:right w:val="none" w:sz="0" w:space="0" w:color="auto"/>
      </w:divBdr>
    </w:div>
    <w:div w:id="321785287">
      <w:bodyDiv w:val="1"/>
      <w:marLeft w:val="0"/>
      <w:marRight w:val="0"/>
      <w:marTop w:val="0"/>
      <w:marBottom w:val="0"/>
      <w:divBdr>
        <w:top w:val="none" w:sz="0" w:space="0" w:color="auto"/>
        <w:left w:val="none" w:sz="0" w:space="0" w:color="auto"/>
        <w:bottom w:val="none" w:sz="0" w:space="0" w:color="auto"/>
        <w:right w:val="none" w:sz="0" w:space="0" w:color="auto"/>
      </w:divBdr>
    </w:div>
    <w:div w:id="340161298">
      <w:bodyDiv w:val="1"/>
      <w:marLeft w:val="0"/>
      <w:marRight w:val="0"/>
      <w:marTop w:val="0"/>
      <w:marBottom w:val="0"/>
      <w:divBdr>
        <w:top w:val="none" w:sz="0" w:space="0" w:color="auto"/>
        <w:left w:val="none" w:sz="0" w:space="0" w:color="auto"/>
        <w:bottom w:val="none" w:sz="0" w:space="0" w:color="auto"/>
        <w:right w:val="none" w:sz="0" w:space="0" w:color="auto"/>
      </w:divBdr>
    </w:div>
    <w:div w:id="364604937">
      <w:bodyDiv w:val="1"/>
      <w:marLeft w:val="0"/>
      <w:marRight w:val="0"/>
      <w:marTop w:val="0"/>
      <w:marBottom w:val="0"/>
      <w:divBdr>
        <w:top w:val="none" w:sz="0" w:space="0" w:color="auto"/>
        <w:left w:val="none" w:sz="0" w:space="0" w:color="auto"/>
        <w:bottom w:val="none" w:sz="0" w:space="0" w:color="auto"/>
        <w:right w:val="none" w:sz="0" w:space="0" w:color="auto"/>
      </w:divBdr>
    </w:div>
    <w:div w:id="393508607">
      <w:bodyDiv w:val="1"/>
      <w:marLeft w:val="0"/>
      <w:marRight w:val="0"/>
      <w:marTop w:val="0"/>
      <w:marBottom w:val="0"/>
      <w:divBdr>
        <w:top w:val="none" w:sz="0" w:space="0" w:color="auto"/>
        <w:left w:val="none" w:sz="0" w:space="0" w:color="auto"/>
        <w:bottom w:val="none" w:sz="0" w:space="0" w:color="auto"/>
        <w:right w:val="none" w:sz="0" w:space="0" w:color="auto"/>
      </w:divBdr>
    </w:div>
    <w:div w:id="405684663">
      <w:bodyDiv w:val="1"/>
      <w:marLeft w:val="0"/>
      <w:marRight w:val="0"/>
      <w:marTop w:val="0"/>
      <w:marBottom w:val="0"/>
      <w:divBdr>
        <w:top w:val="none" w:sz="0" w:space="0" w:color="auto"/>
        <w:left w:val="none" w:sz="0" w:space="0" w:color="auto"/>
        <w:bottom w:val="none" w:sz="0" w:space="0" w:color="auto"/>
        <w:right w:val="none" w:sz="0" w:space="0" w:color="auto"/>
      </w:divBdr>
    </w:div>
    <w:div w:id="442266534">
      <w:bodyDiv w:val="1"/>
      <w:marLeft w:val="0"/>
      <w:marRight w:val="0"/>
      <w:marTop w:val="0"/>
      <w:marBottom w:val="0"/>
      <w:divBdr>
        <w:top w:val="none" w:sz="0" w:space="0" w:color="auto"/>
        <w:left w:val="none" w:sz="0" w:space="0" w:color="auto"/>
        <w:bottom w:val="none" w:sz="0" w:space="0" w:color="auto"/>
        <w:right w:val="none" w:sz="0" w:space="0" w:color="auto"/>
      </w:divBdr>
    </w:div>
    <w:div w:id="483670406">
      <w:bodyDiv w:val="1"/>
      <w:marLeft w:val="0"/>
      <w:marRight w:val="0"/>
      <w:marTop w:val="0"/>
      <w:marBottom w:val="0"/>
      <w:divBdr>
        <w:top w:val="none" w:sz="0" w:space="0" w:color="auto"/>
        <w:left w:val="none" w:sz="0" w:space="0" w:color="auto"/>
        <w:bottom w:val="none" w:sz="0" w:space="0" w:color="auto"/>
        <w:right w:val="none" w:sz="0" w:space="0" w:color="auto"/>
      </w:divBdr>
    </w:div>
    <w:div w:id="595789768">
      <w:bodyDiv w:val="1"/>
      <w:marLeft w:val="0"/>
      <w:marRight w:val="0"/>
      <w:marTop w:val="0"/>
      <w:marBottom w:val="0"/>
      <w:divBdr>
        <w:top w:val="none" w:sz="0" w:space="0" w:color="auto"/>
        <w:left w:val="none" w:sz="0" w:space="0" w:color="auto"/>
        <w:bottom w:val="none" w:sz="0" w:space="0" w:color="auto"/>
        <w:right w:val="none" w:sz="0" w:space="0" w:color="auto"/>
      </w:divBdr>
    </w:div>
    <w:div w:id="596213421">
      <w:bodyDiv w:val="1"/>
      <w:marLeft w:val="0"/>
      <w:marRight w:val="0"/>
      <w:marTop w:val="0"/>
      <w:marBottom w:val="0"/>
      <w:divBdr>
        <w:top w:val="none" w:sz="0" w:space="0" w:color="auto"/>
        <w:left w:val="none" w:sz="0" w:space="0" w:color="auto"/>
        <w:bottom w:val="none" w:sz="0" w:space="0" w:color="auto"/>
        <w:right w:val="none" w:sz="0" w:space="0" w:color="auto"/>
      </w:divBdr>
    </w:div>
    <w:div w:id="608927152">
      <w:bodyDiv w:val="1"/>
      <w:marLeft w:val="0"/>
      <w:marRight w:val="0"/>
      <w:marTop w:val="0"/>
      <w:marBottom w:val="0"/>
      <w:divBdr>
        <w:top w:val="none" w:sz="0" w:space="0" w:color="auto"/>
        <w:left w:val="none" w:sz="0" w:space="0" w:color="auto"/>
        <w:bottom w:val="none" w:sz="0" w:space="0" w:color="auto"/>
        <w:right w:val="none" w:sz="0" w:space="0" w:color="auto"/>
      </w:divBdr>
    </w:div>
    <w:div w:id="619186555">
      <w:bodyDiv w:val="1"/>
      <w:marLeft w:val="0"/>
      <w:marRight w:val="0"/>
      <w:marTop w:val="0"/>
      <w:marBottom w:val="0"/>
      <w:divBdr>
        <w:top w:val="none" w:sz="0" w:space="0" w:color="auto"/>
        <w:left w:val="none" w:sz="0" w:space="0" w:color="auto"/>
        <w:bottom w:val="none" w:sz="0" w:space="0" w:color="auto"/>
        <w:right w:val="none" w:sz="0" w:space="0" w:color="auto"/>
      </w:divBdr>
    </w:div>
    <w:div w:id="663120349">
      <w:bodyDiv w:val="1"/>
      <w:marLeft w:val="0"/>
      <w:marRight w:val="0"/>
      <w:marTop w:val="0"/>
      <w:marBottom w:val="0"/>
      <w:divBdr>
        <w:top w:val="none" w:sz="0" w:space="0" w:color="auto"/>
        <w:left w:val="none" w:sz="0" w:space="0" w:color="auto"/>
        <w:bottom w:val="none" w:sz="0" w:space="0" w:color="auto"/>
        <w:right w:val="none" w:sz="0" w:space="0" w:color="auto"/>
      </w:divBdr>
    </w:div>
    <w:div w:id="666787323">
      <w:bodyDiv w:val="1"/>
      <w:marLeft w:val="0"/>
      <w:marRight w:val="0"/>
      <w:marTop w:val="0"/>
      <w:marBottom w:val="0"/>
      <w:divBdr>
        <w:top w:val="none" w:sz="0" w:space="0" w:color="auto"/>
        <w:left w:val="none" w:sz="0" w:space="0" w:color="auto"/>
        <w:bottom w:val="none" w:sz="0" w:space="0" w:color="auto"/>
        <w:right w:val="none" w:sz="0" w:space="0" w:color="auto"/>
      </w:divBdr>
    </w:div>
    <w:div w:id="709035680">
      <w:bodyDiv w:val="1"/>
      <w:marLeft w:val="0"/>
      <w:marRight w:val="0"/>
      <w:marTop w:val="0"/>
      <w:marBottom w:val="0"/>
      <w:divBdr>
        <w:top w:val="none" w:sz="0" w:space="0" w:color="auto"/>
        <w:left w:val="none" w:sz="0" w:space="0" w:color="auto"/>
        <w:bottom w:val="none" w:sz="0" w:space="0" w:color="auto"/>
        <w:right w:val="none" w:sz="0" w:space="0" w:color="auto"/>
      </w:divBdr>
    </w:div>
    <w:div w:id="722288728">
      <w:bodyDiv w:val="1"/>
      <w:marLeft w:val="0"/>
      <w:marRight w:val="0"/>
      <w:marTop w:val="0"/>
      <w:marBottom w:val="0"/>
      <w:divBdr>
        <w:top w:val="none" w:sz="0" w:space="0" w:color="auto"/>
        <w:left w:val="none" w:sz="0" w:space="0" w:color="auto"/>
        <w:bottom w:val="none" w:sz="0" w:space="0" w:color="auto"/>
        <w:right w:val="none" w:sz="0" w:space="0" w:color="auto"/>
      </w:divBdr>
    </w:div>
    <w:div w:id="774792856">
      <w:bodyDiv w:val="1"/>
      <w:marLeft w:val="0"/>
      <w:marRight w:val="0"/>
      <w:marTop w:val="0"/>
      <w:marBottom w:val="0"/>
      <w:divBdr>
        <w:top w:val="none" w:sz="0" w:space="0" w:color="auto"/>
        <w:left w:val="none" w:sz="0" w:space="0" w:color="auto"/>
        <w:bottom w:val="none" w:sz="0" w:space="0" w:color="auto"/>
        <w:right w:val="none" w:sz="0" w:space="0" w:color="auto"/>
      </w:divBdr>
    </w:div>
    <w:div w:id="875892528">
      <w:bodyDiv w:val="1"/>
      <w:marLeft w:val="0"/>
      <w:marRight w:val="0"/>
      <w:marTop w:val="0"/>
      <w:marBottom w:val="0"/>
      <w:divBdr>
        <w:top w:val="none" w:sz="0" w:space="0" w:color="auto"/>
        <w:left w:val="none" w:sz="0" w:space="0" w:color="auto"/>
        <w:bottom w:val="none" w:sz="0" w:space="0" w:color="auto"/>
        <w:right w:val="none" w:sz="0" w:space="0" w:color="auto"/>
      </w:divBdr>
    </w:div>
    <w:div w:id="998536824">
      <w:bodyDiv w:val="1"/>
      <w:marLeft w:val="0"/>
      <w:marRight w:val="0"/>
      <w:marTop w:val="0"/>
      <w:marBottom w:val="0"/>
      <w:divBdr>
        <w:top w:val="none" w:sz="0" w:space="0" w:color="auto"/>
        <w:left w:val="none" w:sz="0" w:space="0" w:color="auto"/>
        <w:bottom w:val="none" w:sz="0" w:space="0" w:color="auto"/>
        <w:right w:val="none" w:sz="0" w:space="0" w:color="auto"/>
      </w:divBdr>
    </w:div>
    <w:div w:id="1010527088">
      <w:bodyDiv w:val="1"/>
      <w:marLeft w:val="0"/>
      <w:marRight w:val="0"/>
      <w:marTop w:val="0"/>
      <w:marBottom w:val="0"/>
      <w:divBdr>
        <w:top w:val="none" w:sz="0" w:space="0" w:color="auto"/>
        <w:left w:val="none" w:sz="0" w:space="0" w:color="auto"/>
        <w:bottom w:val="none" w:sz="0" w:space="0" w:color="auto"/>
        <w:right w:val="none" w:sz="0" w:space="0" w:color="auto"/>
      </w:divBdr>
    </w:div>
    <w:div w:id="1045788780">
      <w:bodyDiv w:val="1"/>
      <w:marLeft w:val="0"/>
      <w:marRight w:val="0"/>
      <w:marTop w:val="0"/>
      <w:marBottom w:val="0"/>
      <w:divBdr>
        <w:top w:val="none" w:sz="0" w:space="0" w:color="auto"/>
        <w:left w:val="none" w:sz="0" w:space="0" w:color="auto"/>
        <w:bottom w:val="none" w:sz="0" w:space="0" w:color="auto"/>
        <w:right w:val="none" w:sz="0" w:space="0" w:color="auto"/>
      </w:divBdr>
    </w:div>
    <w:div w:id="1126892997">
      <w:bodyDiv w:val="1"/>
      <w:marLeft w:val="0"/>
      <w:marRight w:val="0"/>
      <w:marTop w:val="0"/>
      <w:marBottom w:val="0"/>
      <w:divBdr>
        <w:top w:val="none" w:sz="0" w:space="0" w:color="auto"/>
        <w:left w:val="none" w:sz="0" w:space="0" w:color="auto"/>
        <w:bottom w:val="none" w:sz="0" w:space="0" w:color="auto"/>
        <w:right w:val="none" w:sz="0" w:space="0" w:color="auto"/>
      </w:divBdr>
    </w:div>
    <w:div w:id="1129395399">
      <w:bodyDiv w:val="1"/>
      <w:marLeft w:val="0"/>
      <w:marRight w:val="0"/>
      <w:marTop w:val="0"/>
      <w:marBottom w:val="0"/>
      <w:divBdr>
        <w:top w:val="none" w:sz="0" w:space="0" w:color="auto"/>
        <w:left w:val="none" w:sz="0" w:space="0" w:color="auto"/>
        <w:bottom w:val="none" w:sz="0" w:space="0" w:color="auto"/>
        <w:right w:val="none" w:sz="0" w:space="0" w:color="auto"/>
      </w:divBdr>
    </w:div>
    <w:div w:id="1156337307">
      <w:bodyDiv w:val="1"/>
      <w:marLeft w:val="0"/>
      <w:marRight w:val="0"/>
      <w:marTop w:val="0"/>
      <w:marBottom w:val="0"/>
      <w:divBdr>
        <w:top w:val="none" w:sz="0" w:space="0" w:color="auto"/>
        <w:left w:val="none" w:sz="0" w:space="0" w:color="auto"/>
        <w:bottom w:val="none" w:sz="0" w:space="0" w:color="auto"/>
        <w:right w:val="none" w:sz="0" w:space="0" w:color="auto"/>
      </w:divBdr>
    </w:div>
    <w:div w:id="1228145319">
      <w:bodyDiv w:val="1"/>
      <w:marLeft w:val="0"/>
      <w:marRight w:val="0"/>
      <w:marTop w:val="0"/>
      <w:marBottom w:val="0"/>
      <w:divBdr>
        <w:top w:val="none" w:sz="0" w:space="0" w:color="auto"/>
        <w:left w:val="none" w:sz="0" w:space="0" w:color="auto"/>
        <w:bottom w:val="none" w:sz="0" w:space="0" w:color="auto"/>
        <w:right w:val="none" w:sz="0" w:space="0" w:color="auto"/>
      </w:divBdr>
    </w:div>
    <w:div w:id="1287276350">
      <w:bodyDiv w:val="1"/>
      <w:marLeft w:val="0"/>
      <w:marRight w:val="0"/>
      <w:marTop w:val="0"/>
      <w:marBottom w:val="0"/>
      <w:divBdr>
        <w:top w:val="none" w:sz="0" w:space="0" w:color="auto"/>
        <w:left w:val="none" w:sz="0" w:space="0" w:color="auto"/>
        <w:bottom w:val="none" w:sz="0" w:space="0" w:color="auto"/>
        <w:right w:val="none" w:sz="0" w:space="0" w:color="auto"/>
      </w:divBdr>
    </w:div>
    <w:div w:id="1288388856">
      <w:bodyDiv w:val="1"/>
      <w:marLeft w:val="0"/>
      <w:marRight w:val="0"/>
      <w:marTop w:val="0"/>
      <w:marBottom w:val="0"/>
      <w:divBdr>
        <w:top w:val="none" w:sz="0" w:space="0" w:color="auto"/>
        <w:left w:val="none" w:sz="0" w:space="0" w:color="auto"/>
        <w:bottom w:val="none" w:sz="0" w:space="0" w:color="auto"/>
        <w:right w:val="none" w:sz="0" w:space="0" w:color="auto"/>
      </w:divBdr>
    </w:div>
    <w:div w:id="1318191764">
      <w:bodyDiv w:val="1"/>
      <w:marLeft w:val="0"/>
      <w:marRight w:val="0"/>
      <w:marTop w:val="0"/>
      <w:marBottom w:val="0"/>
      <w:divBdr>
        <w:top w:val="none" w:sz="0" w:space="0" w:color="auto"/>
        <w:left w:val="none" w:sz="0" w:space="0" w:color="auto"/>
        <w:bottom w:val="none" w:sz="0" w:space="0" w:color="auto"/>
        <w:right w:val="none" w:sz="0" w:space="0" w:color="auto"/>
      </w:divBdr>
    </w:div>
    <w:div w:id="1394163210">
      <w:bodyDiv w:val="1"/>
      <w:marLeft w:val="0"/>
      <w:marRight w:val="0"/>
      <w:marTop w:val="0"/>
      <w:marBottom w:val="0"/>
      <w:divBdr>
        <w:top w:val="none" w:sz="0" w:space="0" w:color="auto"/>
        <w:left w:val="none" w:sz="0" w:space="0" w:color="auto"/>
        <w:bottom w:val="none" w:sz="0" w:space="0" w:color="auto"/>
        <w:right w:val="none" w:sz="0" w:space="0" w:color="auto"/>
      </w:divBdr>
    </w:div>
    <w:div w:id="1417903898">
      <w:bodyDiv w:val="1"/>
      <w:marLeft w:val="0"/>
      <w:marRight w:val="0"/>
      <w:marTop w:val="0"/>
      <w:marBottom w:val="0"/>
      <w:divBdr>
        <w:top w:val="none" w:sz="0" w:space="0" w:color="auto"/>
        <w:left w:val="none" w:sz="0" w:space="0" w:color="auto"/>
        <w:bottom w:val="none" w:sz="0" w:space="0" w:color="auto"/>
        <w:right w:val="none" w:sz="0" w:space="0" w:color="auto"/>
      </w:divBdr>
    </w:div>
    <w:div w:id="1450775992">
      <w:bodyDiv w:val="1"/>
      <w:marLeft w:val="0"/>
      <w:marRight w:val="0"/>
      <w:marTop w:val="0"/>
      <w:marBottom w:val="0"/>
      <w:divBdr>
        <w:top w:val="none" w:sz="0" w:space="0" w:color="auto"/>
        <w:left w:val="none" w:sz="0" w:space="0" w:color="auto"/>
        <w:bottom w:val="none" w:sz="0" w:space="0" w:color="auto"/>
        <w:right w:val="none" w:sz="0" w:space="0" w:color="auto"/>
      </w:divBdr>
    </w:div>
    <w:div w:id="1474521589">
      <w:bodyDiv w:val="1"/>
      <w:marLeft w:val="0"/>
      <w:marRight w:val="0"/>
      <w:marTop w:val="0"/>
      <w:marBottom w:val="0"/>
      <w:divBdr>
        <w:top w:val="none" w:sz="0" w:space="0" w:color="auto"/>
        <w:left w:val="none" w:sz="0" w:space="0" w:color="auto"/>
        <w:bottom w:val="none" w:sz="0" w:space="0" w:color="auto"/>
        <w:right w:val="none" w:sz="0" w:space="0" w:color="auto"/>
      </w:divBdr>
    </w:div>
    <w:div w:id="1569226456">
      <w:bodyDiv w:val="1"/>
      <w:marLeft w:val="0"/>
      <w:marRight w:val="0"/>
      <w:marTop w:val="0"/>
      <w:marBottom w:val="0"/>
      <w:divBdr>
        <w:top w:val="none" w:sz="0" w:space="0" w:color="auto"/>
        <w:left w:val="none" w:sz="0" w:space="0" w:color="auto"/>
        <w:bottom w:val="none" w:sz="0" w:space="0" w:color="auto"/>
        <w:right w:val="none" w:sz="0" w:space="0" w:color="auto"/>
      </w:divBdr>
    </w:div>
    <w:div w:id="1614945569">
      <w:bodyDiv w:val="1"/>
      <w:marLeft w:val="0"/>
      <w:marRight w:val="0"/>
      <w:marTop w:val="0"/>
      <w:marBottom w:val="0"/>
      <w:divBdr>
        <w:top w:val="none" w:sz="0" w:space="0" w:color="auto"/>
        <w:left w:val="none" w:sz="0" w:space="0" w:color="auto"/>
        <w:bottom w:val="none" w:sz="0" w:space="0" w:color="auto"/>
        <w:right w:val="none" w:sz="0" w:space="0" w:color="auto"/>
      </w:divBdr>
    </w:div>
    <w:div w:id="1638023686">
      <w:bodyDiv w:val="1"/>
      <w:marLeft w:val="0"/>
      <w:marRight w:val="0"/>
      <w:marTop w:val="0"/>
      <w:marBottom w:val="0"/>
      <w:divBdr>
        <w:top w:val="none" w:sz="0" w:space="0" w:color="auto"/>
        <w:left w:val="none" w:sz="0" w:space="0" w:color="auto"/>
        <w:bottom w:val="none" w:sz="0" w:space="0" w:color="auto"/>
        <w:right w:val="none" w:sz="0" w:space="0" w:color="auto"/>
      </w:divBdr>
    </w:div>
    <w:div w:id="1645239023">
      <w:bodyDiv w:val="1"/>
      <w:marLeft w:val="0"/>
      <w:marRight w:val="0"/>
      <w:marTop w:val="0"/>
      <w:marBottom w:val="0"/>
      <w:divBdr>
        <w:top w:val="none" w:sz="0" w:space="0" w:color="auto"/>
        <w:left w:val="none" w:sz="0" w:space="0" w:color="auto"/>
        <w:bottom w:val="none" w:sz="0" w:space="0" w:color="auto"/>
        <w:right w:val="none" w:sz="0" w:space="0" w:color="auto"/>
      </w:divBdr>
    </w:div>
    <w:div w:id="1660497559">
      <w:bodyDiv w:val="1"/>
      <w:marLeft w:val="0"/>
      <w:marRight w:val="0"/>
      <w:marTop w:val="0"/>
      <w:marBottom w:val="0"/>
      <w:divBdr>
        <w:top w:val="none" w:sz="0" w:space="0" w:color="auto"/>
        <w:left w:val="none" w:sz="0" w:space="0" w:color="auto"/>
        <w:bottom w:val="none" w:sz="0" w:space="0" w:color="auto"/>
        <w:right w:val="none" w:sz="0" w:space="0" w:color="auto"/>
      </w:divBdr>
    </w:div>
    <w:div w:id="1660814679">
      <w:bodyDiv w:val="1"/>
      <w:marLeft w:val="0"/>
      <w:marRight w:val="0"/>
      <w:marTop w:val="0"/>
      <w:marBottom w:val="0"/>
      <w:divBdr>
        <w:top w:val="none" w:sz="0" w:space="0" w:color="auto"/>
        <w:left w:val="none" w:sz="0" w:space="0" w:color="auto"/>
        <w:bottom w:val="none" w:sz="0" w:space="0" w:color="auto"/>
        <w:right w:val="none" w:sz="0" w:space="0" w:color="auto"/>
      </w:divBdr>
    </w:div>
    <w:div w:id="1675500195">
      <w:bodyDiv w:val="1"/>
      <w:marLeft w:val="0"/>
      <w:marRight w:val="0"/>
      <w:marTop w:val="0"/>
      <w:marBottom w:val="0"/>
      <w:divBdr>
        <w:top w:val="none" w:sz="0" w:space="0" w:color="auto"/>
        <w:left w:val="none" w:sz="0" w:space="0" w:color="auto"/>
        <w:bottom w:val="none" w:sz="0" w:space="0" w:color="auto"/>
        <w:right w:val="none" w:sz="0" w:space="0" w:color="auto"/>
      </w:divBdr>
    </w:div>
    <w:div w:id="1688209580">
      <w:bodyDiv w:val="1"/>
      <w:marLeft w:val="0"/>
      <w:marRight w:val="0"/>
      <w:marTop w:val="0"/>
      <w:marBottom w:val="0"/>
      <w:divBdr>
        <w:top w:val="none" w:sz="0" w:space="0" w:color="auto"/>
        <w:left w:val="none" w:sz="0" w:space="0" w:color="auto"/>
        <w:bottom w:val="none" w:sz="0" w:space="0" w:color="auto"/>
        <w:right w:val="none" w:sz="0" w:space="0" w:color="auto"/>
      </w:divBdr>
    </w:div>
    <w:div w:id="1706326875">
      <w:bodyDiv w:val="1"/>
      <w:marLeft w:val="0"/>
      <w:marRight w:val="0"/>
      <w:marTop w:val="0"/>
      <w:marBottom w:val="0"/>
      <w:divBdr>
        <w:top w:val="none" w:sz="0" w:space="0" w:color="auto"/>
        <w:left w:val="none" w:sz="0" w:space="0" w:color="auto"/>
        <w:bottom w:val="none" w:sz="0" w:space="0" w:color="auto"/>
        <w:right w:val="none" w:sz="0" w:space="0" w:color="auto"/>
      </w:divBdr>
    </w:div>
    <w:div w:id="1709911429">
      <w:bodyDiv w:val="1"/>
      <w:marLeft w:val="0"/>
      <w:marRight w:val="0"/>
      <w:marTop w:val="0"/>
      <w:marBottom w:val="0"/>
      <w:divBdr>
        <w:top w:val="none" w:sz="0" w:space="0" w:color="auto"/>
        <w:left w:val="none" w:sz="0" w:space="0" w:color="auto"/>
        <w:bottom w:val="none" w:sz="0" w:space="0" w:color="auto"/>
        <w:right w:val="none" w:sz="0" w:space="0" w:color="auto"/>
      </w:divBdr>
    </w:div>
    <w:div w:id="1723677598">
      <w:bodyDiv w:val="1"/>
      <w:marLeft w:val="0"/>
      <w:marRight w:val="0"/>
      <w:marTop w:val="0"/>
      <w:marBottom w:val="0"/>
      <w:divBdr>
        <w:top w:val="none" w:sz="0" w:space="0" w:color="auto"/>
        <w:left w:val="none" w:sz="0" w:space="0" w:color="auto"/>
        <w:bottom w:val="none" w:sz="0" w:space="0" w:color="auto"/>
        <w:right w:val="none" w:sz="0" w:space="0" w:color="auto"/>
      </w:divBdr>
    </w:div>
    <w:div w:id="1762096944">
      <w:bodyDiv w:val="1"/>
      <w:marLeft w:val="0"/>
      <w:marRight w:val="0"/>
      <w:marTop w:val="0"/>
      <w:marBottom w:val="0"/>
      <w:divBdr>
        <w:top w:val="none" w:sz="0" w:space="0" w:color="auto"/>
        <w:left w:val="none" w:sz="0" w:space="0" w:color="auto"/>
        <w:bottom w:val="none" w:sz="0" w:space="0" w:color="auto"/>
        <w:right w:val="none" w:sz="0" w:space="0" w:color="auto"/>
      </w:divBdr>
    </w:div>
    <w:div w:id="1765687436">
      <w:bodyDiv w:val="1"/>
      <w:marLeft w:val="0"/>
      <w:marRight w:val="0"/>
      <w:marTop w:val="0"/>
      <w:marBottom w:val="0"/>
      <w:divBdr>
        <w:top w:val="none" w:sz="0" w:space="0" w:color="auto"/>
        <w:left w:val="none" w:sz="0" w:space="0" w:color="auto"/>
        <w:bottom w:val="none" w:sz="0" w:space="0" w:color="auto"/>
        <w:right w:val="none" w:sz="0" w:space="0" w:color="auto"/>
      </w:divBdr>
    </w:div>
    <w:div w:id="1775784287">
      <w:bodyDiv w:val="1"/>
      <w:marLeft w:val="0"/>
      <w:marRight w:val="0"/>
      <w:marTop w:val="0"/>
      <w:marBottom w:val="0"/>
      <w:divBdr>
        <w:top w:val="none" w:sz="0" w:space="0" w:color="auto"/>
        <w:left w:val="none" w:sz="0" w:space="0" w:color="auto"/>
        <w:bottom w:val="none" w:sz="0" w:space="0" w:color="auto"/>
        <w:right w:val="none" w:sz="0" w:space="0" w:color="auto"/>
      </w:divBdr>
    </w:div>
    <w:div w:id="1798600179">
      <w:bodyDiv w:val="1"/>
      <w:marLeft w:val="0"/>
      <w:marRight w:val="0"/>
      <w:marTop w:val="0"/>
      <w:marBottom w:val="0"/>
      <w:divBdr>
        <w:top w:val="none" w:sz="0" w:space="0" w:color="auto"/>
        <w:left w:val="none" w:sz="0" w:space="0" w:color="auto"/>
        <w:bottom w:val="none" w:sz="0" w:space="0" w:color="auto"/>
        <w:right w:val="none" w:sz="0" w:space="0" w:color="auto"/>
      </w:divBdr>
    </w:div>
    <w:div w:id="1839616128">
      <w:bodyDiv w:val="1"/>
      <w:marLeft w:val="0"/>
      <w:marRight w:val="0"/>
      <w:marTop w:val="0"/>
      <w:marBottom w:val="0"/>
      <w:divBdr>
        <w:top w:val="none" w:sz="0" w:space="0" w:color="auto"/>
        <w:left w:val="none" w:sz="0" w:space="0" w:color="auto"/>
        <w:bottom w:val="none" w:sz="0" w:space="0" w:color="auto"/>
        <w:right w:val="none" w:sz="0" w:space="0" w:color="auto"/>
      </w:divBdr>
    </w:div>
    <w:div w:id="1840806679">
      <w:bodyDiv w:val="1"/>
      <w:marLeft w:val="0"/>
      <w:marRight w:val="0"/>
      <w:marTop w:val="0"/>
      <w:marBottom w:val="0"/>
      <w:divBdr>
        <w:top w:val="none" w:sz="0" w:space="0" w:color="auto"/>
        <w:left w:val="none" w:sz="0" w:space="0" w:color="auto"/>
        <w:bottom w:val="none" w:sz="0" w:space="0" w:color="auto"/>
        <w:right w:val="none" w:sz="0" w:space="0" w:color="auto"/>
      </w:divBdr>
    </w:div>
    <w:div w:id="1842045491">
      <w:bodyDiv w:val="1"/>
      <w:marLeft w:val="0"/>
      <w:marRight w:val="0"/>
      <w:marTop w:val="0"/>
      <w:marBottom w:val="0"/>
      <w:divBdr>
        <w:top w:val="none" w:sz="0" w:space="0" w:color="auto"/>
        <w:left w:val="none" w:sz="0" w:space="0" w:color="auto"/>
        <w:bottom w:val="none" w:sz="0" w:space="0" w:color="auto"/>
        <w:right w:val="none" w:sz="0" w:space="0" w:color="auto"/>
      </w:divBdr>
    </w:div>
    <w:div w:id="1861240334">
      <w:bodyDiv w:val="1"/>
      <w:marLeft w:val="0"/>
      <w:marRight w:val="0"/>
      <w:marTop w:val="0"/>
      <w:marBottom w:val="0"/>
      <w:divBdr>
        <w:top w:val="none" w:sz="0" w:space="0" w:color="auto"/>
        <w:left w:val="none" w:sz="0" w:space="0" w:color="auto"/>
        <w:bottom w:val="none" w:sz="0" w:space="0" w:color="auto"/>
        <w:right w:val="none" w:sz="0" w:space="0" w:color="auto"/>
      </w:divBdr>
    </w:div>
    <w:div w:id="1894197801">
      <w:bodyDiv w:val="1"/>
      <w:marLeft w:val="0"/>
      <w:marRight w:val="0"/>
      <w:marTop w:val="0"/>
      <w:marBottom w:val="0"/>
      <w:divBdr>
        <w:top w:val="none" w:sz="0" w:space="0" w:color="auto"/>
        <w:left w:val="none" w:sz="0" w:space="0" w:color="auto"/>
        <w:bottom w:val="none" w:sz="0" w:space="0" w:color="auto"/>
        <w:right w:val="none" w:sz="0" w:space="0" w:color="auto"/>
      </w:divBdr>
    </w:div>
    <w:div w:id="1908613594">
      <w:bodyDiv w:val="1"/>
      <w:marLeft w:val="0"/>
      <w:marRight w:val="0"/>
      <w:marTop w:val="0"/>
      <w:marBottom w:val="0"/>
      <w:divBdr>
        <w:top w:val="none" w:sz="0" w:space="0" w:color="auto"/>
        <w:left w:val="none" w:sz="0" w:space="0" w:color="auto"/>
        <w:bottom w:val="none" w:sz="0" w:space="0" w:color="auto"/>
        <w:right w:val="none" w:sz="0" w:space="0" w:color="auto"/>
      </w:divBdr>
    </w:div>
    <w:div w:id="1937863252">
      <w:bodyDiv w:val="1"/>
      <w:marLeft w:val="0"/>
      <w:marRight w:val="0"/>
      <w:marTop w:val="0"/>
      <w:marBottom w:val="0"/>
      <w:divBdr>
        <w:top w:val="none" w:sz="0" w:space="0" w:color="auto"/>
        <w:left w:val="none" w:sz="0" w:space="0" w:color="auto"/>
        <w:bottom w:val="none" w:sz="0" w:space="0" w:color="auto"/>
        <w:right w:val="none" w:sz="0" w:space="0" w:color="auto"/>
      </w:divBdr>
    </w:div>
    <w:div w:id="2024090852">
      <w:bodyDiv w:val="1"/>
      <w:marLeft w:val="0"/>
      <w:marRight w:val="0"/>
      <w:marTop w:val="0"/>
      <w:marBottom w:val="0"/>
      <w:divBdr>
        <w:top w:val="none" w:sz="0" w:space="0" w:color="auto"/>
        <w:left w:val="none" w:sz="0" w:space="0" w:color="auto"/>
        <w:bottom w:val="none" w:sz="0" w:space="0" w:color="auto"/>
        <w:right w:val="none" w:sz="0" w:space="0" w:color="auto"/>
      </w:divBdr>
    </w:div>
    <w:div w:id="2034918745">
      <w:bodyDiv w:val="1"/>
      <w:marLeft w:val="0"/>
      <w:marRight w:val="0"/>
      <w:marTop w:val="0"/>
      <w:marBottom w:val="0"/>
      <w:divBdr>
        <w:top w:val="none" w:sz="0" w:space="0" w:color="auto"/>
        <w:left w:val="none" w:sz="0" w:space="0" w:color="auto"/>
        <w:bottom w:val="none" w:sz="0" w:space="0" w:color="auto"/>
        <w:right w:val="none" w:sz="0" w:space="0" w:color="auto"/>
      </w:divBdr>
    </w:div>
    <w:div w:id="2045592944">
      <w:bodyDiv w:val="1"/>
      <w:marLeft w:val="0"/>
      <w:marRight w:val="0"/>
      <w:marTop w:val="0"/>
      <w:marBottom w:val="0"/>
      <w:divBdr>
        <w:top w:val="none" w:sz="0" w:space="0" w:color="auto"/>
        <w:left w:val="none" w:sz="0" w:space="0" w:color="auto"/>
        <w:bottom w:val="none" w:sz="0" w:space="0" w:color="auto"/>
        <w:right w:val="none" w:sz="0" w:space="0" w:color="auto"/>
      </w:divBdr>
    </w:div>
    <w:div w:id="2065176386">
      <w:bodyDiv w:val="1"/>
      <w:marLeft w:val="0"/>
      <w:marRight w:val="0"/>
      <w:marTop w:val="0"/>
      <w:marBottom w:val="0"/>
      <w:divBdr>
        <w:top w:val="none" w:sz="0" w:space="0" w:color="auto"/>
        <w:left w:val="none" w:sz="0" w:space="0" w:color="auto"/>
        <w:bottom w:val="none" w:sz="0" w:space="0" w:color="auto"/>
        <w:right w:val="none" w:sz="0" w:space="0" w:color="auto"/>
      </w:divBdr>
    </w:div>
    <w:div w:id="2086297183">
      <w:bodyDiv w:val="1"/>
      <w:marLeft w:val="0"/>
      <w:marRight w:val="0"/>
      <w:marTop w:val="0"/>
      <w:marBottom w:val="0"/>
      <w:divBdr>
        <w:top w:val="none" w:sz="0" w:space="0" w:color="auto"/>
        <w:left w:val="none" w:sz="0" w:space="0" w:color="auto"/>
        <w:bottom w:val="none" w:sz="0" w:space="0" w:color="auto"/>
        <w:right w:val="none" w:sz="0" w:space="0" w:color="auto"/>
      </w:divBdr>
    </w:div>
    <w:div w:id="2090495717">
      <w:bodyDiv w:val="1"/>
      <w:marLeft w:val="0"/>
      <w:marRight w:val="0"/>
      <w:marTop w:val="0"/>
      <w:marBottom w:val="0"/>
      <w:divBdr>
        <w:top w:val="none" w:sz="0" w:space="0" w:color="auto"/>
        <w:left w:val="none" w:sz="0" w:space="0" w:color="auto"/>
        <w:bottom w:val="none" w:sz="0" w:space="0" w:color="auto"/>
        <w:right w:val="none" w:sz="0" w:space="0" w:color="auto"/>
      </w:divBdr>
    </w:div>
    <w:div w:id="2107459495">
      <w:bodyDiv w:val="1"/>
      <w:marLeft w:val="0"/>
      <w:marRight w:val="0"/>
      <w:marTop w:val="0"/>
      <w:marBottom w:val="0"/>
      <w:divBdr>
        <w:top w:val="none" w:sz="0" w:space="0" w:color="auto"/>
        <w:left w:val="none" w:sz="0" w:space="0" w:color="auto"/>
        <w:bottom w:val="none" w:sz="0" w:space="0" w:color="auto"/>
        <w:right w:val="none" w:sz="0" w:space="0" w:color="auto"/>
      </w:divBdr>
    </w:div>
    <w:div w:id="2110422544">
      <w:bodyDiv w:val="1"/>
      <w:marLeft w:val="0"/>
      <w:marRight w:val="0"/>
      <w:marTop w:val="0"/>
      <w:marBottom w:val="0"/>
      <w:divBdr>
        <w:top w:val="none" w:sz="0" w:space="0" w:color="auto"/>
        <w:left w:val="none" w:sz="0" w:space="0" w:color="auto"/>
        <w:bottom w:val="none" w:sz="0" w:space="0" w:color="auto"/>
        <w:right w:val="none" w:sz="0" w:space="0" w:color="auto"/>
      </w:divBdr>
    </w:div>
    <w:div w:id="21245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png"/><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8.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trategy/eu-budget/eu-borrower-investor-relations/nextgenerationeu-green-bonds/dashboard_en" TargetMode="External"/><Relationship Id="rId2" Type="http://schemas.openxmlformats.org/officeDocument/2006/relationships/hyperlink" Target="https://commission.europa.eu/system/files/2022-12/SWD_2022_442_F1_STAFF_WORKING_PAPER_EN_V4_P1_2417689.PDF" TargetMode="External"/><Relationship Id="rId1" Type="http://schemas.openxmlformats.org/officeDocument/2006/relationships/hyperlink" Target="https://ec.europa.eu/economy_finance/recovery-and-resilience-scoreboard/index.html?lang=en" TargetMode="External"/><Relationship Id="rId4" Type="http://schemas.openxmlformats.org/officeDocument/2006/relationships/hyperlink" Target="https://ec.europa.eu/info/strategy/eu-budget/eu-borrower-investor-relations/nextgenerationeu-green-bonds/dashboar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ACFB5-6F77-477B-AA37-5EE21DF9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3430</Words>
  <Characters>31011</Characters>
  <Application>Microsoft Office Word</Application>
  <DocSecurity>0</DocSecurity>
  <Lines>469</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cp:lastPrinted>2022-06-29T09:09:00Z</cp:lastPrinted>
  <dcterms:created xsi:type="dcterms:W3CDTF">2023-02-01T14:23:00Z</dcterms:created>
  <dcterms:modified xsi:type="dcterms:W3CDTF">2023-02-20T08:20:00Z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8.1, Build 20230124</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2023-01-06T16:26:08Z</vt:lpwstr>
  </property>
  <property fmtid="{D5CDD505-2E9C-101B-9397-08002B2CF9AE}" pid="11" name="MSIP_Label_6bd9ddd1-4d20-43f6-abfa-fc3c07406f94_Method">
    <vt:lpwstr>Privileged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4805f13c-dee7-466f-8124-a3d55c6ed3fb</vt:lpwstr>
  </property>
  <property fmtid="{D5CDD505-2E9C-101B-9397-08002B2CF9AE}" pid="15" name="MSIP_Label_6bd9ddd1-4d20-43f6-abfa-fc3c07406f94_ContentBits">
    <vt:lpwstr>0</vt:lpwstr>
  </property>
</Properties>
</file>