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8E2A" w14:textId="44215E78" w:rsidR="00DB313E" w:rsidRPr="007046CF" w:rsidRDefault="002C2A2E" w:rsidP="002C2A2E">
      <w:pPr>
        <w:pStyle w:val="Pagedecouverture"/>
        <w:rPr>
          <w:noProof/>
        </w:rPr>
      </w:pPr>
      <w:bookmarkStart w:id="0" w:name="LW_BM_COVERPAGE"/>
      <w:r>
        <w:rPr>
          <w:noProof/>
        </w:rPr>
        <w:pict w14:anchorId="76A8B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15529FB-44A1-4F6A-BBBF-473E4B8DE3EC" style="width:455.25pt;height:336.75pt">
            <v:imagedata r:id="rId8" o:title=""/>
          </v:shape>
        </w:pict>
      </w:r>
    </w:p>
    <w:bookmarkEnd w:id="0"/>
    <w:p w14:paraId="53A49F86" w14:textId="77777777" w:rsidR="00DB313E" w:rsidRPr="007046CF" w:rsidRDefault="00DB313E" w:rsidP="00DB313E">
      <w:pPr>
        <w:rPr>
          <w:noProof/>
        </w:rPr>
        <w:sectPr w:rsidR="00DB313E" w:rsidRPr="007046CF" w:rsidSect="002C2A2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6D88AF58" w14:textId="77777777" w:rsidR="00DD271D" w:rsidRPr="007046CF" w:rsidRDefault="00DD271D" w:rsidP="00DD271D">
      <w:pPr>
        <w:pStyle w:val="Heading1"/>
        <w:rPr>
          <w:noProof/>
          <w:szCs w:val="24"/>
        </w:rPr>
      </w:pPr>
      <w:bookmarkStart w:id="1" w:name="_GoBack"/>
      <w:bookmarkEnd w:id="1"/>
      <w:r w:rsidRPr="007046CF">
        <w:rPr>
          <w:noProof/>
          <w:szCs w:val="24"/>
        </w:rPr>
        <w:lastRenderedPageBreak/>
        <w:t>Introduction</w:t>
      </w:r>
    </w:p>
    <w:p w14:paraId="2FBBB0BD" w14:textId="2379D6F9"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The main objective of Regulation (EC) No 184/2005 of the European Parliament and of the Council on Community statistics concerning balance of payments, international trade in services and foreign direct investment</w:t>
      </w:r>
      <w:r w:rsidRPr="009316DB">
        <w:rPr>
          <w:rStyle w:val="FootnoteReference"/>
          <w:rFonts w:ascii="Times New Roman" w:hAnsi="Times New Roman" w:cs="Times New Roman"/>
          <w:noProof/>
          <w:sz w:val="24"/>
          <w:szCs w:val="24"/>
        </w:rPr>
        <w:footnoteReference w:id="2"/>
      </w:r>
      <w:r w:rsidRPr="007046CF">
        <w:rPr>
          <w:rFonts w:ascii="Times New Roman" w:hAnsi="Times New Roman" w:cs="Times New Roman"/>
          <w:noProof/>
          <w:sz w:val="24"/>
          <w:szCs w:val="24"/>
        </w:rPr>
        <w:t xml:space="preserve"> is to </w:t>
      </w:r>
      <w:r w:rsidR="00B9651F">
        <w:rPr>
          <w:rFonts w:ascii="Times New Roman" w:hAnsi="Times New Roman" w:cs="Times New Roman"/>
          <w:noProof/>
          <w:sz w:val="24"/>
          <w:szCs w:val="24"/>
        </w:rPr>
        <w:t>set out</w:t>
      </w:r>
      <w:r w:rsidRPr="007046CF">
        <w:rPr>
          <w:rFonts w:ascii="Times New Roman" w:hAnsi="Times New Roman" w:cs="Times New Roman"/>
          <w:noProof/>
          <w:sz w:val="24"/>
          <w:szCs w:val="24"/>
        </w:rPr>
        <w:t xml:space="preserve"> common </w:t>
      </w:r>
      <w:r w:rsidR="00B9651F">
        <w:rPr>
          <w:rFonts w:ascii="Times New Roman" w:hAnsi="Times New Roman" w:cs="Times New Roman"/>
          <w:noProof/>
          <w:sz w:val="24"/>
          <w:szCs w:val="24"/>
        </w:rPr>
        <w:t>rules</w:t>
      </w:r>
      <w:r w:rsidR="00B9651F" w:rsidRPr="007046CF">
        <w:rPr>
          <w:rFonts w:ascii="Times New Roman" w:hAnsi="Times New Roman" w:cs="Times New Roman"/>
          <w:noProof/>
          <w:sz w:val="24"/>
          <w:szCs w:val="24"/>
        </w:rPr>
        <w:t xml:space="preserve"> </w:t>
      </w:r>
      <w:r w:rsidRPr="007046CF">
        <w:rPr>
          <w:rFonts w:ascii="Times New Roman" w:hAnsi="Times New Roman" w:cs="Times New Roman"/>
          <w:noProof/>
          <w:sz w:val="24"/>
          <w:szCs w:val="24"/>
        </w:rPr>
        <w:t>and quality standards for E</w:t>
      </w:r>
      <w:r w:rsidR="00C65022">
        <w:rPr>
          <w:rFonts w:ascii="Times New Roman" w:hAnsi="Times New Roman" w:cs="Times New Roman"/>
          <w:noProof/>
          <w:sz w:val="24"/>
          <w:szCs w:val="24"/>
        </w:rPr>
        <w:t>U</w:t>
      </w:r>
      <w:r w:rsidRPr="007046CF">
        <w:rPr>
          <w:rFonts w:ascii="Times New Roman" w:hAnsi="Times New Roman" w:cs="Times New Roman"/>
          <w:noProof/>
          <w:sz w:val="24"/>
          <w:szCs w:val="24"/>
        </w:rPr>
        <w:t xml:space="preserve"> statistics </w:t>
      </w:r>
      <w:r w:rsidR="00D24824">
        <w:rPr>
          <w:rFonts w:ascii="Times New Roman" w:hAnsi="Times New Roman" w:cs="Times New Roman"/>
          <w:noProof/>
          <w:sz w:val="24"/>
          <w:szCs w:val="24"/>
        </w:rPr>
        <w:t xml:space="preserve">that are regularly </w:t>
      </w:r>
      <w:r w:rsidR="00197871">
        <w:rPr>
          <w:rFonts w:ascii="Times New Roman" w:hAnsi="Times New Roman" w:cs="Times New Roman"/>
          <w:noProof/>
          <w:sz w:val="24"/>
          <w:szCs w:val="24"/>
        </w:rPr>
        <w:t>produced</w:t>
      </w:r>
      <w:r w:rsidR="00D24824">
        <w:rPr>
          <w:rFonts w:ascii="Times New Roman" w:hAnsi="Times New Roman" w:cs="Times New Roman"/>
          <w:noProof/>
          <w:sz w:val="24"/>
          <w:szCs w:val="24"/>
        </w:rPr>
        <w:t xml:space="preserve"> </w:t>
      </w:r>
      <w:r w:rsidRPr="007046CF">
        <w:rPr>
          <w:rFonts w:ascii="Times New Roman" w:hAnsi="Times New Roman" w:cs="Times New Roman"/>
          <w:noProof/>
          <w:sz w:val="24"/>
          <w:szCs w:val="24"/>
        </w:rPr>
        <w:t xml:space="preserve">in </w:t>
      </w:r>
      <w:r w:rsidR="00C65022">
        <w:rPr>
          <w:rFonts w:ascii="Times New Roman" w:hAnsi="Times New Roman" w:cs="Times New Roman"/>
          <w:noProof/>
          <w:sz w:val="24"/>
          <w:szCs w:val="24"/>
        </w:rPr>
        <w:t>these three areas</w:t>
      </w:r>
      <w:r w:rsidRPr="007046CF">
        <w:rPr>
          <w:rFonts w:ascii="Times New Roman" w:hAnsi="Times New Roman" w:cs="Times New Roman"/>
          <w:noProof/>
          <w:sz w:val="24"/>
          <w:szCs w:val="24"/>
        </w:rPr>
        <w:t>.</w:t>
      </w:r>
    </w:p>
    <w:p w14:paraId="4E78208B" w14:textId="715F66DA" w:rsidR="00DD271D" w:rsidRPr="007046CF" w:rsidRDefault="00D24824" w:rsidP="00DD271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w:t>
      </w:r>
      <w:r w:rsidR="00DD271D" w:rsidRPr="007046CF">
        <w:rPr>
          <w:rFonts w:ascii="Times New Roman" w:hAnsi="Times New Roman" w:cs="Times New Roman"/>
          <w:noProof/>
          <w:sz w:val="24"/>
          <w:szCs w:val="24"/>
        </w:rPr>
        <w:t>Article</w:t>
      </w:r>
      <w:r w:rsidR="007046CF">
        <w:rPr>
          <w:rFonts w:ascii="Times New Roman" w:hAnsi="Times New Roman" w:cs="Times New Roman"/>
          <w:noProof/>
          <w:sz w:val="24"/>
          <w:szCs w:val="24"/>
        </w:rPr>
        <w:t> </w:t>
      </w:r>
      <w:r w:rsidR="00DD271D" w:rsidRPr="007046CF">
        <w:rPr>
          <w:rFonts w:ascii="Times New Roman" w:hAnsi="Times New Roman" w:cs="Times New Roman"/>
          <w:noProof/>
          <w:sz w:val="24"/>
          <w:szCs w:val="24"/>
        </w:rPr>
        <w:t>12</w:t>
      </w:r>
      <w:r>
        <w:rPr>
          <w:rFonts w:ascii="Times New Roman" w:hAnsi="Times New Roman" w:cs="Times New Roman"/>
          <w:noProof/>
          <w:sz w:val="24"/>
          <w:szCs w:val="24"/>
        </w:rPr>
        <w:t>,</w:t>
      </w:r>
      <w:r w:rsidR="00DD271D" w:rsidRPr="007046CF">
        <w:rPr>
          <w:rFonts w:ascii="Times New Roman" w:hAnsi="Times New Roman" w:cs="Times New Roman"/>
          <w:noProof/>
          <w:sz w:val="24"/>
          <w:szCs w:val="24"/>
        </w:rPr>
        <w:t xml:space="preserve"> the Commission </w:t>
      </w:r>
      <w:r w:rsidRPr="00CB35A6">
        <w:rPr>
          <w:rFonts w:ascii="Times New Roman" w:hAnsi="Times New Roman" w:cs="Times New Roman"/>
          <w:noProof/>
          <w:sz w:val="24"/>
          <w:szCs w:val="24"/>
        </w:rPr>
        <w:t>must</w:t>
      </w:r>
      <w:r w:rsidRPr="007046CF">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submit a</w:t>
      </w:r>
      <w:r>
        <w:rPr>
          <w:rFonts w:ascii="Times New Roman" w:hAnsi="Times New Roman" w:cs="Times New Roman"/>
          <w:noProof/>
          <w:sz w:val="24"/>
          <w:szCs w:val="24"/>
        </w:rPr>
        <w:t xml:space="preserve"> first</w:t>
      </w:r>
      <w:r w:rsidR="00DD271D" w:rsidRPr="007046CF">
        <w:rPr>
          <w:rFonts w:ascii="Times New Roman" w:hAnsi="Times New Roman" w:cs="Times New Roman"/>
          <w:noProof/>
          <w:sz w:val="24"/>
          <w:szCs w:val="24"/>
        </w:rPr>
        <w:t xml:space="preserve"> report to the European Parliament and the Council on the implementation of </w:t>
      </w:r>
      <w:r>
        <w:rPr>
          <w:rFonts w:ascii="Times New Roman" w:hAnsi="Times New Roman" w:cs="Times New Roman"/>
          <w:noProof/>
          <w:sz w:val="24"/>
          <w:szCs w:val="24"/>
        </w:rPr>
        <w:t>the</w:t>
      </w:r>
      <w:r w:rsidRPr="007046CF">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 xml:space="preserve">Regulation by 28 February 2018 and </w:t>
      </w:r>
      <w:r>
        <w:rPr>
          <w:rFonts w:ascii="Times New Roman" w:hAnsi="Times New Roman" w:cs="Times New Roman"/>
          <w:noProof/>
          <w:sz w:val="24"/>
          <w:szCs w:val="24"/>
        </w:rPr>
        <w:t xml:space="preserve">then </w:t>
      </w:r>
      <w:r w:rsidR="00DD271D" w:rsidRPr="007046CF">
        <w:rPr>
          <w:rFonts w:ascii="Times New Roman" w:hAnsi="Times New Roman" w:cs="Times New Roman"/>
          <w:noProof/>
          <w:sz w:val="24"/>
          <w:szCs w:val="24"/>
        </w:rPr>
        <w:t xml:space="preserve">every </w:t>
      </w:r>
      <w:r>
        <w:rPr>
          <w:rFonts w:ascii="Times New Roman" w:hAnsi="Times New Roman" w:cs="Times New Roman"/>
          <w:noProof/>
          <w:sz w:val="24"/>
          <w:szCs w:val="24"/>
        </w:rPr>
        <w:t>5</w:t>
      </w:r>
      <w:r w:rsidRPr="007046CF">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 xml:space="preserve">years. In particular, the report </w:t>
      </w:r>
      <w:r>
        <w:rPr>
          <w:rFonts w:ascii="Times New Roman" w:hAnsi="Times New Roman" w:cs="Times New Roman"/>
          <w:noProof/>
          <w:sz w:val="24"/>
          <w:szCs w:val="24"/>
        </w:rPr>
        <w:t>must</w:t>
      </w:r>
      <w:r w:rsidR="00DD271D" w:rsidRPr="007046CF">
        <w:rPr>
          <w:rFonts w:ascii="Times New Roman" w:hAnsi="Times New Roman" w:cs="Times New Roman"/>
          <w:noProof/>
          <w:sz w:val="24"/>
          <w:szCs w:val="24"/>
        </w:rPr>
        <w:t>:</w:t>
      </w:r>
    </w:p>
    <w:p w14:paraId="7185652F" w14:textId="77777777" w:rsidR="00DD271D" w:rsidRPr="007046CF" w:rsidRDefault="00DD271D" w:rsidP="00DD271D">
      <w:pPr>
        <w:pStyle w:val="ListNumber"/>
        <w:numPr>
          <w:ilvl w:val="0"/>
          <w:numId w:val="3"/>
        </w:numPr>
        <w:rPr>
          <w:noProof/>
        </w:rPr>
      </w:pPr>
      <w:r w:rsidRPr="007046CF">
        <w:rPr>
          <w:noProof/>
        </w:rPr>
        <w:t>evaluate the quality of data on balance of payments, international trade in services and foreign direct investment;</w:t>
      </w:r>
    </w:p>
    <w:p w14:paraId="2587C379" w14:textId="210ECFEE" w:rsidR="00DD271D" w:rsidRPr="007046CF" w:rsidRDefault="00DD271D" w:rsidP="00DD271D">
      <w:pPr>
        <w:pStyle w:val="ListNumber"/>
        <w:rPr>
          <w:noProof/>
        </w:rPr>
      </w:pPr>
      <w:r w:rsidRPr="007046CF">
        <w:rPr>
          <w:noProof/>
        </w:rPr>
        <w:t xml:space="preserve">assess the benefits </w:t>
      </w:r>
      <w:r w:rsidR="00495B8B">
        <w:rPr>
          <w:noProof/>
        </w:rPr>
        <w:t>of such statistical information for</w:t>
      </w:r>
      <w:r w:rsidRPr="007046CF">
        <w:rPr>
          <w:noProof/>
        </w:rPr>
        <w:t xml:space="preserve"> the </w:t>
      </w:r>
      <w:r w:rsidR="00495B8B" w:rsidRPr="00CB35A6">
        <w:rPr>
          <w:noProof/>
        </w:rPr>
        <w:t>EU</w:t>
      </w:r>
      <w:r w:rsidRPr="007046CF">
        <w:rPr>
          <w:noProof/>
        </w:rPr>
        <w:t>, Member States</w:t>
      </w:r>
      <w:r w:rsidR="00495B8B">
        <w:rPr>
          <w:noProof/>
        </w:rPr>
        <w:t>,</w:t>
      </w:r>
      <w:r w:rsidRPr="007046CF">
        <w:rPr>
          <w:noProof/>
        </w:rPr>
        <w:t xml:space="preserve"> providers and users</w:t>
      </w:r>
      <w:r w:rsidR="00495B8B">
        <w:rPr>
          <w:noProof/>
        </w:rPr>
        <w:t>,</w:t>
      </w:r>
      <w:r w:rsidRPr="007046CF">
        <w:rPr>
          <w:noProof/>
        </w:rPr>
        <w:t xml:space="preserve"> </w:t>
      </w:r>
      <w:r w:rsidR="00495B8B">
        <w:rPr>
          <w:noProof/>
        </w:rPr>
        <w:t>versus</w:t>
      </w:r>
      <w:r w:rsidRPr="007046CF">
        <w:rPr>
          <w:noProof/>
        </w:rPr>
        <w:t xml:space="preserve"> the costs;</w:t>
      </w:r>
    </w:p>
    <w:p w14:paraId="6462B51F" w14:textId="5D7BC2E4" w:rsidR="00DD271D" w:rsidRPr="002D12C6" w:rsidRDefault="00DD271D" w:rsidP="00DD271D">
      <w:pPr>
        <w:pStyle w:val="ListNumber"/>
        <w:rPr>
          <w:noProof/>
        </w:rPr>
      </w:pPr>
      <w:r w:rsidRPr="007046CF">
        <w:rPr>
          <w:noProof/>
        </w:rPr>
        <w:t>identify areas for improvement and</w:t>
      </w:r>
      <w:r w:rsidR="00495B8B">
        <w:rPr>
          <w:noProof/>
        </w:rPr>
        <w:t xml:space="preserve"> any necessary </w:t>
      </w:r>
      <w:r w:rsidRPr="007046CF">
        <w:rPr>
          <w:noProof/>
        </w:rPr>
        <w:t xml:space="preserve">amendments </w:t>
      </w:r>
      <w:r w:rsidR="00197871">
        <w:rPr>
          <w:noProof/>
        </w:rPr>
        <w:t>given</w:t>
      </w:r>
      <w:r w:rsidRPr="002D12C6">
        <w:rPr>
          <w:noProof/>
        </w:rPr>
        <w:t xml:space="preserve"> the results </w:t>
      </w:r>
      <w:r w:rsidR="00197871">
        <w:rPr>
          <w:noProof/>
        </w:rPr>
        <w:t>of the evaluation</w:t>
      </w:r>
      <w:r w:rsidR="00495B8B" w:rsidRPr="00197871">
        <w:rPr>
          <w:noProof/>
        </w:rPr>
        <w:t>.</w:t>
      </w:r>
    </w:p>
    <w:p w14:paraId="39CB60FF" w14:textId="6FF07AD8" w:rsidR="00DD271D" w:rsidRPr="007046CF" w:rsidRDefault="00DD271D" w:rsidP="005F6D5C">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This report examines the most important aspects of the implementation of Regulation (EC) No 184/2005 by the Member States and the measures taken by the Commission to ensure high quality European statistics </w:t>
      </w:r>
      <w:r w:rsidR="00495B8B">
        <w:rPr>
          <w:rFonts w:ascii="Times New Roman" w:hAnsi="Times New Roman" w:cs="Times New Roman"/>
          <w:noProof/>
          <w:sz w:val="24"/>
          <w:szCs w:val="24"/>
        </w:rPr>
        <w:t>on</w:t>
      </w:r>
      <w:r w:rsidR="00495B8B" w:rsidRPr="007046CF">
        <w:rPr>
          <w:rFonts w:ascii="Times New Roman" w:hAnsi="Times New Roman" w:cs="Times New Roman"/>
          <w:noProof/>
          <w:sz w:val="24"/>
          <w:szCs w:val="24"/>
        </w:rPr>
        <w:t xml:space="preserve"> </w:t>
      </w:r>
      <w:r w:rsidRPr="007046CF">
        <w:rPr>
          <w:rFonts w:ascii="Times New Roman" w:hAnsi="Times New Roman" w:cs="Times New Roman"/>
          <w:noProof/>
          <w:sz w:val="24"/>
          <w:szCs w:val="24"/>
        </w:rPr>
        <w:t>balance of payments, international trade in services and foreign direct investment.</w:t>
      </w:r>
    </w:p>
    <w:p w14:paraId="4A54DE58" w14:textId="77777777" w:rsidR="00DD271D" w:rsidRPr="007046CF" w:rsidRDefault="00DD271D" w:rsidP="00DD271D">
      <w:pPr>
        <w:pStyle w:val="Heading1"/>
        <w:rPr>
          <w:noProof/>
          <w:szCs w:val="24"/>
        </w:rPr>
      </w:pPr>
      <w:r w:rsidRPr="007046CF">
        <w:rPr>
          <w:noProof/>
          <w:szCs w:val="24"/>
        </w:rPr>
        <w:t>Implementing measures</w:t>
      </w:r>
    </w:p>
    <w:p w14:paraId="34E2A94A" w14:textId="77A59E63"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Since the adoption of </w:t>
      </w:r>
      <w:bookmarkStart w:id="2" w:name="_Hlk121836680"/>
      <w:r w:rsidRPr="007046CF">
        <w:rPr>
          <w:rFonts w:ascii="Times New Roman" w:hAnsi="Times New Roman" w:cs="Times New Roman"/>
          <w:noProof/>
          <w:sz w:val="24"/>
          <w:szCs w:val="24"/>
        </w:rPr>
        <w:t>Regulation (EC) No</w:t>
      </w:r>
      <w:r w:rsidR="007046CF">
        <w:rPr>
          <w:rFonts w:ascii="Times New Roman" w:hAnsi="Times New Roman" w:cs="Times New Roman"/>
          <w:noProof/>
          <w:sz w:val="24"/>
          <w:szCs w:val="24"/>
        </w:rPr>
        <w:t> </w:t>
      </w:r>
      <w:r w:rsidRPr="007046CF">
        <w:rPr>
          <w:rFonts w:ascii="Times New Roman" w:hAnsi="Times New Roman" w:cs="Times New Roman"/>
          <w:noProof/>
          <w:sz w:val="24"/>
          <w:szCs w:val="24"/>
        </w:rPr>
        <w:t>184/2005</w:t>
      </w:r>
      <w:bookmarkEnd w:id="2"/>
      <w:r w:rsidRPr="007046CF">
        <w:rPr>
          <w:rFonts w:ascii="Times New Roman" w:hAnsi="Times New Roman" w:cs="Times New Roman"/>
          <w:noProof/>
          <w:sz w:val="24"/>
          <w:szCs w:val="24"/>
        </w:rPr>
        <w:t>, the Commission adopted the following legal acts:</w:t>
      </w:r>
    </w:p>
    <w:p w14:paraId="7685551F" w14:textId="2B95328C" w:rsidR="00DD271D" w:rsidRPr="007046CF" w:rsidRDefault="00DD271D" w:rsidP="009136AE">
      <w:pPr>
        <w:pStyle w:val="ListNumber"/>
        <w:numPr>
          <w:ilvl w:val="0"/>
          <w:numId w:val="7"/>
        </w:numPr>
        <w:rPr>
          <w:noProof/>
        </w:rPr>
      </w:pPr>
      <w:r w:rsidRPr="007046CF">
        <w:rPr>
          <w:noProof/>
        </w:rPr>
        <w:t>Commission Regulation (EC) No</w:t>
      </w:r>
      <w:r w:rsidR="007046CF">
        <w:rPr>
          <w:noProof/>
        </w:rPr>
        <w:t> </w:t>
      </w:r>
      <w:r w:rsidRPr="007046CF">
        <w:rPr>
          <w:noProof/>
        </w:rPr>
        <w:t>601/2006</w:t>
      </w:r>
      <w:r w:rsidRPr="009316DB">
        <w:rPr>
          <w:rStyle w:val="FootnoteReference"/>
          <w:noProof/>
        </w:rPr>
        <w:footnoteReference w:id="3"/>
      </w:r>
      <w:r w:rsidRPr="007046CF">
        <w:rPr>
          <w:noProof/>
        </w:rPr>
        <w:t>;</w:t>
      </w:r>
    </w:p>
    <w:p w14:paraId="741F6CE9" w14:textId="15C0E740" w:rsidR="00DD271D" w:rsidRPr="007046CF" w:rsidRDefault="00DD271D" w:rsidP="00DD271D">
      <w:pPr>
        <w:pStyle w:val="ListNumber"/>
        <w:rPr>
          <w:noProof/>
        </w:rPr>
      </w:pPr>
      <w:r w:rsidRPr="007046CF">
        <w:rPr>
          <w:noProof/>
        </w:rPr>
        <w:t>Commission Regulation (EC) No</w:t>
      </w:r>
      <w:r w:rsidR="007046CF">
        <w:rPr>
          <w:noProof/>
        </w:rPr>
        <w:t> </w:t>
      </w:r>
      <w:r w:rsidRPr="007046CF">
        <w:rPr>
          <w:noProof/>
        </w:rPr>
        <w:t>602/2006</w:t>
      </w:r>
      <w:r w:rsidRPr="009316DB">
        <w:rPr>
          <w:rStyle w:val="FootnoteReference"/>
          <w:noProof/>
        </w:rPr>
        <w:footnoteReference w:id="4"/>
      </w:r>
      <w:r w:rsidRPr="007046CF">
        <w:rPr>
          <w:noProof/>
        </w:rPr>
        <w:t>;</w:t>
      </w:r>
    </w:p>
    <w:p w14:paraId="74A22126" w14:textId="2474332E" w:rsidR="00DD271D" w:rsidRPr="007046CF" w:rsidRDefault="00DD271D" w:rsidP="00DD271D">
      <w:pPr>
        <w:pStyle w:val="ListNumber"/>
        <w:rPr>
          <w:noProof/>
        </w:rPr>
      </w:pPr>
      <w:r w:rsidRPr="007046CF">
        <w:rPr>
          <w:noProof/>
        </w:rPr>
        <w:t>Commission Regulation (EC) No</w:t>
      </w:r>
      <w:r w:rsidR="007046CF">
        <w:rPr>
          <w:noProof/>
        </w:rPr>
        <w:t> </w:t>
      </w:r>
      <w:r w:rsidRPr="007046CF">
        <w:rPr>
          <w:noProof/>
        </w:rPr>
        <w:t>1055/2008</w:t>
      </w:r>
      <w:r w:rsidRPr="009316DB">
        <w:rPr>
          <w:rStyle w:val="FootnoteReference"/>
          <w:noProof/>
        </w:rPr>
        <w:footnoteReference w:id="5"/>
      </w:r>
      <w:r w:rsidRPr="007046CF">
        <w:rPr>
          <w:noProof/>
        </w:rPr>
        <w:t>;</w:t>
      </w:r>
    </w:p>
    <w:p w14:paraId="0ADEAE69" w14:textId="18DC36A4" w:rsidR="00DD271D" w:rsidRPr="007046CF" w:rsidRDefault="00DD271D" w:rsidP="00DD271D">
      <w:pPr>
        <w:pStyle w:val="ListNumber"/>
        <w:rPr>
          <w:noProof/>
        </w:rPr>
      </w:pPr>
      <w:r w:rsidRPr="007046CF">
        <w:rPr>
          <w:noProof/>
        </w:rPr>
        <w:t>Commission Regulation (EC) No</w:t>
      </w:r>
      <w:r w:rsidR="007046CF">
        <w:rPr>
          <w:noProof/>
        </w:rPr>
        <w:t> </w:t>
      </w:r>
      <w:r w:rsidRPr="007046CF">
        <w:rPr>
          <w:noProof/>
        </w:rPr>
        <w:t>707/2009</w:t>
      </w:r>
      <w:r w:rsidRPr="009316DB">
        <w:rPr>
          <w:rStyle w:val="FootnoteReference"/>
          <w:noProof/>
        </w:rPr>
        <w:footnoteReference w:id="6"/>
      </w:r>
      <w:r w:rsidRPr="007046CF">
        <w:rPr>
          <w:noProof/>
        </w:rPr>
        <w:t>;</w:t>
      </w:r>
    </w:p>
    <w:p w14:paraId="1BD5B283" w14:textId="77777777" w:rsidR="00DD271D" w:rsidRPr="007046CF" w:rsidRDefault="00DD271D" w:rsidP="00DD271D">
      <w:pPr>
        <w:pStyle w:val="ListNumber"/>
        <w:rPr>
          <w:rStyle w:val="Strong"/>
          <w:b w:val="0"/>
          <w:bCs w:val="0"/>
          <w:noProof/>
        </w:rPr>
      </w:pPr>
      <w:r w:rsidRPr="007046CF">
        <w:rPr>
          <w:rStyle w:val="Strong"/>
          <w:b w:val="0"/>
          <w:noProof/>
        </w:rPr>
        <w:t>Commission Regulation (EU) No 555/2012</w:t>
      </w:r>
      <w:r w:rsidRPr="009316DB">
        <w:rPr>
          <w:rStyle w:val="FootnoteReference"/>
          <w:noProof/>
          <w:color w:val="000000"/>
        </w:rPr>
        <w:footnoteReference w:id="7"/>
      </w:r>
      <w:r w:rsidRPr="007046CF">
        <w:rPr>
          <w:rStyle w:val="Strong"/>
          <w:b w:val="0"/>
          <w:noProof/>
        </w:rPr>
        <w:t>;</w:t>
      </w:r>
    </w:p>
    <w:p w14:paraId="2FCA1EE9" w14:textId="2DFF767F" w:rsidR="00DD271D" w:rsidRPr="007046CF" w:rsidRDefault="00DD271D" w:rsidP="00DD271D">
      <w:pPr>
        <w:pStyle w:val="ListNumber"/>
        <w:rPr>
          <w:noProof/>
        </w:rPr>
      </w:pPr>
      <w:r w:rsidRPr="007046CF">
        <w:rPr>
          <w:noProof/>
        </w:rPr>
        <w:t>Commission Delegated Regulation (EU) 2019/505</w:t>
      </w:r>
      <w:r w:rsidRPr="007046CF">
        <w:rPr>
          <w:rStyle w:val="FootnoteReference"/>
          <w:noProof/>
        </w:rPr>
        <w:footnoteReference w:id="8"/>
      </w:r>
      <w:r w:rsidRPr="007046CF">
        <w:rPr>
          <w:noProof/>
        </w:rPr>
        <w:t>.</w:t>
      </w:r>
    </w:p>
    <w:p w14:paraId="4A6B5567" w14:textId="77777777" w:rsidR="00190A31" w:rsidRPr="007046CF" w:rsidRDefault="00190A31" w:rsidP="00190A31">
      <w:pPr>
        <w:pStyle w:val="ListNumber"/>
        <w:numPr>
          <w:ilvl w:val="0"/>
          <w:numId w:val="0"/>
        </w:numPr>
        <w:rPr>
          <w:noProof/>
        </w:rPr>
      </w:pPr>
      <w:r w:rsidRPr="00935365">
        <w:rPr>
          <w:bCs/>
          <w:noProof/>
        </w:rPr>
        <w:t>Regulation (EU) No 2016/1013</w:t>
      </w:r>
      <w:r w:rsidRPr="00935365">
        <w:rPr>
          <w:b/>
          <w:bCs/>
          <w:noProof/>
        </w:rPr>
        <w:t xml:space="preserve"> </w:t>
      </w:r>
      <w:r w:rsidRPr="00935365">
        <w:rPr>
          <w:noProof/>
        </w:rPr>
        <w:t>of the European Parliament and of the Council</w:t>
      </w:r>
      <w:r w:rsidRPr="00935365">
        <w:rPr>
          <w:noProof/>
          <w:vertAlign w:val="superscript"/>
        </w:rPr>
        <w:footnoteReference w:id="9"/>
      </w:r>
      <w:r w:rsidRPr="00935365">
        <w:rPr>
          <w:noProof/>
        </w:rPr>
        <w:t>, amending  Regulation (EC) No 184/2005, aligned that Regulation with Articles 290 and 291 TFEU, by replacing implementing powers conferred on the Commission by that Regulation by powers to adopt delegated and implementing acts.</w:t>
      </w:r>
    </w:p>
    <w:p w14:paraId="781092A7" w14:textId="13868B81" w:rsidR="00DD271D" w:rsidRPr="007046CF" w:rsidRDefault="00DD271D" w:rsidP="00DD271D">
      <w:pPr>
        <w:spacing w:after="120" w:line="240" w:lineRule="auto"/>
        <w:jc w:val="both"/>
        <w:rPr>
          <w:rFonts w:ascii="Times New Roman" w:hAnsi="Times New Roman" w:cs="Times New Roman"/>
          <w:noProof/>
          <w:sz w:val="24"/>
          <w:szCs w:val="24"/>
        </w:rPr>
      </w:pPr>
      <w:r w:rsidRPr="007046CF">
        <w:rPr>
          <w:rStyle w:val="Strong"/>
          <w:rFonts w:ascii="Times New Roman" w:hAnsi="Times New Roman" w:cs="Times New Roman"/>
          <w:b w:val="0"/>
          <w:noProof/>
          <w:sz w:val="24"/>
          <w:szCs w:val="24"/>
        </w:rPr>
        <w:t xml:space="preserve">The legal acts mentioned above </w:t>
      </w:r>
      <w:r w:rsidR="00C518D9">
        <w:rPr>
          <w:rStyle w:val="Strong"/>
          <w:rFonts w:ascii="Times New Roman" w:hAnsi="Times New Roman" w:cs="Times New Roman"/>
          <w:b w:val="0"/>
          <w:noProof/>
          <w:sz w:val="24"/>
          <w:szCs w:val="24"/>
        </w:rPr>
        <w:t>set out</w:t>
      </w:r>
      <w:r w:rsidR="00C518D9" w:rsidRPr="007046CF">
        <w:rPr>
          <w:rStyle w:val="Strong"/>
          <w:rFonts w:ascii="Times New Roman" w:hAnsi="Times New Roman" w:cs="Times New Roman"/>
          <w:b w:val="0"/>
          <w:noProof/>
          <w:sz w:val="24"/>
          <w:szCs w:val="24"/>
        </w:rPr>
        <w:t xml:space="preserve"> </w:t>
      </w:r>
      <w:r w:rsidRPr="007046CF">
        <w:rPr>
          <w:rFonts w:ascii="Times New Roman" w:hAnsi="Times New Roman" w:cs="Times New Roman"/>
          <w:noProof/>
          <w:sz w:val="24"/>
          <w:szCs w:val="24"/>
        </w:rPr>
        <w:t xml:space="preserve">the </w:t>
      </w:r>
      <w:r w:rsidR="00C518D9">
        <w:rPr>
          <w:rFonts w:ascii="Times New Roman" w:hAnsi="Times New Roman" w:cs="Times New Roman"/>
          <w:noProof/>
          <w:sz w:val="24"/>
          <w:szCs w:val="24"/>
        </w:rPr>
        <w:t xml:space="preserve">required </w:t>
      </w:r>
      <w:r w:rsidRPr="007046CF">
        <w:rPr>
          <w:rFonts w:ascii="Times New Roman" w:hAnsi="Times New Roman" w:cs="Times New Roman"/>
          <w:noProof/>
          <w:sz w:val="24"/>
          <w:szCs w:val="24"/>
        </w:rPr>
        <w:t xml:space="preserve">format and procedure for the </w:t>
      </w:r>
      <w:r w:rsidR="00344AD6" w:rsidRPr="002D12C6">
        <w:rPr>
          <w:rFonts w:ascii="Times New Roman" w:hAnsi="Times New Roman" w:cs="Times New Roman"/>
          <w:noProof/>
          <w:sz w:val="24"/>
          <w:szCs w:val="24"/>
        </w:rPr>
        <w:t>submission</w:t>
      </w:r>
      <w:r w:rsidR="00344AD6" w:rsidRPr="007046CF">
        <w:rPr>
          <w:rFonts w:ascii="Times New Roman" w:hAnsi="Times New Roman" w:cs="Times New Roman"/>
          <w:noProof/>
          <w:sz w:val="24"/>
          <w:szCs w:val="24"/>
        </w:rPr>
        <w:t xml:space="preserve"> </w:t>
      </w:r>
      <w:r w:rsidRPr="007046CF">
        <w:rPr>
          <w:rFonts w:ascii="Times New Roman" w:hAnsi="Times New Roman" w:cs="Times New Roman"/>
          <w:noProof/>
          <w:sz w:val="24"/>
          <w:szCs w:val="24"/>
        </w:rPr>
        <w:t xml:space="preserve">of data </w:t>
      </w:r>
      <w:r w:rsidR="00C518D9">
        <w:rPr>
          <w:rFonts w:ascii="Times New Roman" w:hAnsi="Times New Roman" w:cs="Times New Roman"/>
          <w:noProof/>
          <w:sz w:val="24"/>
          <w:szCs w:val="24"/>
        </w:rPr>
        <w:t>by</w:t>
      </w:r>
      <w:r w:rsidR="00C518D9" w:rsidRPr="007046CF">
        <w:rPr>
          <w:rFonts w:ascii="Times New Roman" w:hAnsi="Times New Roman" w:cs="Times New Roman"/>
          <w:noProof/>
          <w:sz w:val="24"/>
          <w:szCs w:val="24"/>
        </w:rPr>
        <w:t xml:space="preserve"> </w:t>
      </w:r>
      <w:r w:rsidRPr="007046CF">
        <w:rPr>
          <w:rFonts w:ascii="Times New Roman" w:hAnsi="Times New Roman" w:cs="Times New Roman"/>
          <w:noProof/>
          <w:sz w:val="24"/>
          <w:szCs w:val="24"/>
        </w:rPr>
        <w:t xml:space="preserve">Member States to Eurostat, the update of data requirements and the timeline and quality criteria of national </w:t>
      </w:r>
      <w:r w:rsidRPr="007046CF">
        <w:rPr>
          <w:rFonts w:ascii="Times New Roman" w:eastAsia="Times New Roman" w:hAnsi="Times New Roman" w:cs="Times New Roman"/>
          <w:bCs/>
          <w:noProof/>
          <w:sz w:val="24"/>
          <w:szCs w:val="24"/>
          <w:lang w:eastAsia="en-GB"/>
        </w:rPr>
        <w:t>quality reports. Further</w:t>
      </w:r>
      <w:r w:rsidR="00BB2ECB" w:rsidRPr="007046CF">
        <w:rPr>
          <w:rFonts w:ascii="Times New Roman" w:eastAsia="Times New Roman" w:hAnsi="Times New Roman" w:cs="Times New Roman"/>
          <w:bCs/>
          <w:noProof/>
          <w:sz w:val="24"/>
          <w:szCs w:val="24"/>
          <w:lang w:eastAsia="en-GB"/>
        </w:rPr>
        <w:t>more</w:t>
      </w:r>
      <w:r w:rsidRPr="007046CF">
        <w:rPr>
          <w:rFonts w:ascii="Times New Roman" w:eastAsia="Times New Roman" w:hAnsi="Times New Roman" w:cs="Times New Roman"/>
          <w:bCs/>
          <w:noProof/>
          <w:sz w:val="24"/>
          <w:szCs w:val="24"/>
          <w:lang w:eastAsia="en-GB"/>
        </w:rPr>
        <w:t>,</w:t>
      </w:r>
      <w:r w:rsidRPr="007046CF">
        <w:rPr>
          <w:rStyle w:val="Strong"/>
          <w:rFonts w:ascii="Times New Roman" w:hAnsi="Times New Roman" w:cs="Times New Roman"/>
          <w:b w:val="0"/>
          <w:noProof/>
          <w:sz w:val="24"/>
          <w:szCs w:val="24"/>
        </w:rPr>
        <w:t xml:space="preserve"> the 6</w:t>
      </w:r>
      <w:r w:rsidRPr="007046CF">
        <w:rPr>
          <w:rStyle w:val="Strong"/>
          <w:rFonts w:ascii="Times New Roman" w:hAnsi="Times New Roman" w:cs="Times New Roman"/>
          <w:b w:val="0"/>
          <w:noProof/>
          <w:sz w:val="24"/>
          <w:szCs w:val="24"/>
          <w:vertAlign w:val="superscript"/>
        </w:rPr>
        <w:t>th</w:t>
      </w:r>
      <w:r w:rsidRPr="007046CF">
        <w:rPr>
          <w:rStyle w:val="Strong"/>
          <w:rFonts w:ascii="Times New Roman" w:hAnsi="Times New Roman" w:cs="Times New Roman"/>
          <w:b w:val="0"/>
          <w:noProof/>
          <w:sz w:val="24"/>
          <w:szCs w:val="24"/>
        </w:rPr>
        <w:t xml:space="preserve"> edition of the Balance of Payments </w:t>
      </w:r>
      <w:r w:rsidR="00DF680E" w:rsidRPr="00DF680E">
        <w:rPr>
          <w:rStyle w:val="Strong"/>
          <w:rFonts w:ascii="Times New Roman" w:hAnsi="Times New Roman" w:cs="Times New Roman"/>
          <w:b w:val="0"/>
          <w:noProof/>
          <w:sz w:val="24"/>
          <w:szCs w:val="24"/>
        </w:rPr>
        <w:t>and Interna</w:t>
      </w:r>
      <w:r w:rsidR="00DF680E">
        <w:rPr>
          <w:rStyle w:val="Strong"/>
          <w:rFonts w:ascii="Times New Roman" w:hAnsi="Times New Roman" w:cs="Times New Roman"/>
          <w:b w:val="0"/>
          <w:noProof/>
          <w:sz w:val="24"/>
          <w:szCs w:val="24"/>
        </w:rPr>
        <w:t xml:space="preserve">tional Investment Position </w:t>
      </w:r>
      <w:r w:rsidRPr="007046CF">
        <w:rPr>
          <w:rStyle w:val="Strong"/>
          <w:rFonts w:ascii="Times New Roman" w:hAnsi="Times New Roman" w:cs="Times New Roman"/>
          <w:b w:val="0"/>
          <w:noProof/>
          <w:sz w:val="24"/>
          <w:szCs w:val="24"/>
        </w:rPr>
        <w:t xml:space="preserve">Manual (BPM6) of the International Monetary Fund (IMF), published in 2009, provides a conceptual framework for the compilation of balance of payments (BOP) and international investment position (IIP) statistics by IMF member </w:t>
      </w:r>
      <w:r w:rsidR="00935365">
        <w:rPr>
          <w:rStyle w:val="Strong"/>
          <w:rFonts w:ascii="Times New Roman" w:hAnsi="Times New Roman" w:cs="Times New Roman"/>
          <w:b w:val="0"/>
          <w:noProof/>
          <w:sz w:val="24"/>
          <w:szCs w:val="24"/>
        </w:rPr>
        <w:t>countries</w:t>
      </w:r>
      <w:r w:rsidRPr="007046CF">
        <w:rPr>
          <w:rStyle w:val="Strong"/>
          <w:rFonts w:ascii="Times New Roman" w:hAnsi="Times New Roman" w:cs="Times New Roman"/>
          <w:b w:val="0"/>
          <w:noProof/>
          <w:sz w:val="24"/>
          <w:szCs w:val="24"/>
        </w:rPr>
        <w:t xml:space="preserve">. It lays down uniform definitions and </w:t>
      </w:r>
      <w:r w:rsidRPr="007046CF">
        <w:rPr>
          <w:rStyle w:val="Strong"/>
          <w:rFonts w:ascii="Times New Roman" w:hAnsi="Times New Roman" w:cs="Times New Roman"/>
          <w:b w:val="0"/>
          <w:noProof/>
          <w:color w:val="000000" w:themeColor="text1"/>
          <w:sz w:val="24"/>
          <w:szCs w:val="24"/>
        </w:rPr>
        <w:t>classifications to establish a common basis for the collection and compilation of data on external developments and to facilitate the comparability of data across countries</w:t>
      </w:r>
      <w:r w:rsidRPr="007046CF">
        <w:rPr>
          <w:rStyle w:val="Strong"/>
          <w:rFonts w:ascii="Times New Roman" w:hAnsi="Times New Roman" w:cs="Times New Roman"/>
          <w:noProof/>
          <w:color w:val="000000" w:themeColor="text1"/>
          <w:sz w:val="24"/>
          <w:szCs w:val="24"/>
        </w:rPr>
        <w:t xml:space="preserve">. </w:t>
      </w:r>
      <w:r w:rsidRPr="007046CF">
        <w:rPr>
          <w:rFonts w:ascii="Times New Roman" w:hAnsi="Times New Roman" w:cs="Times New Roman"/>
          <w:noProof/>
          <w:color w:val="000000" w:themeColor="text1"/>
          <w:sz w:val="24"/>
          <w:szCs w:val="24"/>
        </w:rPr>
        <w:t xml:space="preserve">At the European level, the requirements to be met by balance of payments statistics are laid down in </w:t>
      </w:r>
      <w:r w:rsidR="00935365">
        <w:rPr>
          <w:rFonts w:ascii="Times New Roman" w:hAnsi="Times New Roman" w:cs="Times New Roman"/>
          <w:noProof/>
          <w:color w:val="000000" w:themeColor="text1"/>
          <w:sz w:val="24"/>
          <w:szCs w:val="24"/>
        </w:rPr>
        <w:t xml:space="preserve">Commission </w:t>
      </w:r>
      <w:r w:rsidRPr="007046CF">
        <w:rPr>
          <w:rFonts w:ascii="Times New Roman" w:hAnsi="Times New Roman" w:cs="Times New Roman"/>
          <w:noProof/>
          <w:color w:val="000000" w:themeColor="text1"/>
          <w:sz w:val="24"/>
          <w:szCs w:val="24"/>
        </w:rPr>
        <w:t>Regulation (EC) No</w:t>
      </w:r>
      <w:r w:rsidR="007046CF">
        <w:rPr>
          <w:rFonts w:ascii="Times New Roman" w:hAnsi="Times New Roman" w:cs="Times New Roman"/>
          <w:noProof/>
          <w:color w:val="000000" w:themeColor="text1"/>
          <w:sz w:val="24"/>
          <w:szCs w:val="24"/>
        </w:rPr>
        <w:t> </w:t>
      </w:r>
      <w:r w:rsidRPr="007046CF">
        <w:rPr>
          <w:rFonts w:ascii="Times New Roman" w:hAnsi="Times New Roman" w:cs="Times New Roman"/>
          <w:noProof/>
          <w:color w:val="000000" w:themeColor="text1"/>
          <w:sz w:val="24"/>
          <w:szCs w:val="24"/>
        </w:rPr>
        <w:t>555/2012 amending Regulation (EC) No</w:t>
      </w:r>
      <w:r w:rsidR="007046CF">
        <w:rPr>
          <w:rFonts w:ascii="Times New Roman" w:hAnsi="Times New Roman" w:cs="Times New Roman"/>
          <w:noProof/>
          <w:color w:val="000000" w:themeColor="text1"/>
          <w:sz w:val="24"/>
          <w:szCs w:val="24"/>
        </w:rPr>
        <w:t> </w:t>
      </w:r>
      <w:r w:rsidRPr="007046CF">
        <w:rPr>
          <w:rFonts w:ascii="Times New Roman" w:hAnsi="Times New Roman" w:cs="Times New Roman"/>
          <w:noProof/>
          <w:color w:val="000000" w:themeColor="text1"/>
          <w:sz w:val="24"/>
          <w:szCs w:val="24"/>
        </w:rPr>
        <w:t>184/2005.</w:t>
      </w:r>
    </w:p>
    <w:p w14:paraId="2ED711D9" w14:textId="77777777" w:rsidR="00DD271D" w:rsidRPr="007046CF" w:rsidRDefault="00DD271D" w:rsidP="00DD271D">
      <w:pPr>
        <w:pStyle w:val="Heading1"/>
        <w:rPr>
          <w:noProof/>
          <w:szCs w:val="24"/>
        </w:rPr>
      </w:pPr>
      <w:r w:rsidRPr="007046CF">
        <w:rPr>
          <w:noProof/>
          <w:szCs w:val="24"/>
        </w:rPr>
        <w:t>Main datasets concerned</w:t>
      </w:r>
    </w:p>
    <w:p w14:paraId="0BD46B01" w14:textId="6C5E5121"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Balance of payments statistics provide comprehensive information on transactions between the reporting economy and the rest of the world. Regulation (EC) No 184/2005 concerns the collection of the following five datasets:</w:t>
      </w:r>
    </w:p>
    <w:p w14:paraId="6F19CF8A" w14:textId="795B3DB2" w:rsidR="00DD271D" w:rsidRPr="007046CF" w:rsidRDefault="00DD271D" w:rsidP="00DD271D">
      <w:pPr>
        <w:pStyle w:val="ListDash1"/>
        <w:numPr>
          <w:ilvl w:val="0"/>
          <w:numId w:val="5"/>
        </w:numPr>
        <w:ind w:left="360"/>
        <w:rPr>
          <w:noProof/>
        </w:rPr>
      </w:pPr>
      <w:r w:rsidRPr="007046CF">
        <w:rPr>
          <w:noProof/>
        </w:rPr>
        <w:t>balance of payments monthly statistics;</w:t>
      </w:r>
    </w:p>
    <w:p w14:paraId="4C3BDA97" w14:textId="3C5AC648" w:rsidR="00DD271D" w:rsidRPr="007046CF" w:rsidRDefault="00DD271D" w:rsidP="00DD271D">
      <w:pPr>
        <w:pStyle w:val="ListDash1"/>
        <w:numPr>
          <w:ilvl w:val="0"/>
          <w:numId w:val="5"/>
        </w:numPr>
        <w:ind w:left="360"/>
        <w:rPr>
          <w:noProof/>
        </w:rPr>
      </w:pPr>
      <w:r w:rsidRPr="007046CF">
        <w:rPr>
          <w:noProof/>
        </w:rPr>
        <w:t>balance of payments and international investment position quarterly statistics;</w:t>
      </w:r>
    </w:p>
    <w:p w14:paraId="2F3DBDA1" w14:textId="0175924D" w:rsidR="00DD271D" w:rsidRPr="007046CF" w:rsidRDefault="00DD271D" w:rsidP="00DD271D">
      <w:pPr>
        <w:pStyle w:val="ListDash1"/>
        <w:numPr>
          <w:ilvl w:val="0"/>
          <w:numId w:val="5"/>
        </w:numPr>
        <w:ind w:left="360"/>
        <w:rPr>
          <w:noProof/>
        </w:rPr>
      </w:pPr>
      <w:r w:rsidRPr="007046CF">
        <w:rPr>
          <w:noProof/>
        </w:rPr>
        <w:t>international trade in services annual statistics;</w:t>
      </w:r>
    </w:p>
    <w:p w14:paraId="6EA09D1B" w14:textId="167A34CB" w:rsidR="00DD271D" w:rsidRPr="007046CF" w:rsidRDefault="00DD271D" w:rsidP="00DD271D">
      <w:pPr>
        <w:pStyle w:val="ListDash1"/>
        <w:numPr>
          <w:ilvl w:val="0"/>
          <w:numId w:val="5"/>
        </w:numPr>
        <w:ind w:left="360"/>
        <w:rPr>
          <w:noProof/>
        </w:rPr>
      </w:pPr>
      <w:r w:rsidRPr="007046CF">
        <w:rPr>
          <w:noProof/>
        </w:rPr>
        <w:t>foreign direct investment transactions (including income);</w:t>
      </w:r>
    </w:p>
    <w:p w14:paraId="22B809EC" w14:textId="694818A6" w:rsidR="00DD271D" w:rsidRPr="007046CF" w:rsidRDefault="00DD271D" w:rsidP="00DD271D">
      <w:pPr>
        <w:pStyle w:val="ListDash1"/>
        <w:numPr>
          <w:ilvl w:val="0"/>
          <w:numId w:val="5"/>
        </w:numPr>
        <w:ind w:left="360"/>
        <w:rPr>
          <w:noProof/>
        </w:rPr>
      </w:pPr>
      <w:r w:rsidRPr="007046CF">
        <w:rPr>
          <w:noProof/>
        </w:rPr>
        <w:t>foreign direct investment positions.</w:t>
      </w:r>
    </w:p>
    <w:p w14:paraId="096178FB" w14:textId="10E82CDC"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For each of these datasets, data are collected by Eurostat from the Member States and used for producing EU aggregates that are published along with the individual Member States</w:t>
      </w:r>
      <w:r w:rsidR="007C1ED9">
        <w:rPr>
          <w:rFonts w:ascii="Times New Roman" w:hAnsi="Times New Roman" w:cs="Times New Roman"/>
          <w:noProof/>
          <w:sz w:val="24"/>
          <w:szCs w:val="24"/>
        </w:rPr>
        <w:t>’</w:t>
      </w:r>
      <w:r w:rsidRPr="007046CF">
        <w:rPr>
          <w:rFonts w:ascii="Times New Roman" w:hAnsi="Times New Roman" w:cs="Times New Roman"/>
          <w:noProof/>
          <w:sz w:val="24"/>
          <w:szCs w:val="24"/>
        </w:rPr>
        <w:t xml:space="preserve"> data on Eurostat’s online reference database.</w:t>
      </w:r>
    </w:p>
    <w:p w14:paraId="7B6AEB47" w14:textId="498D7BFC"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Monthly balance of payments data and the first quarterly advance indicators of balance of payments derived from monthly estimates are available </w:t>
      </w:r>
      <w:r w:rsidR="007C1ED9" w:rsidRPr="00CB35A6">
        <w:rPr>
          <w:rFonts w:ascii="Times New Roman" w:hAnsi="Times New Roman" w:cs="Times New Roman"/>
          <w:noProof/>
          <w:sz w:val="24"/>
          <w:szCs w:val="24"/>
        </w:rPr>
        <w:t xml:space="preserve">7 </w:t>
      </w:r>
      <w:r w:rsidRPr="00CB35A6">
        <w:rPr>
          <w:rFonts w:ascii="Times New Roman" w:hAnsi="Times New Roman" w:cs="Times New Roman"/>
          <w:noProof/>
          <w:sz w:val="24"/>
          <w:szCs w:val="24"/>
        </w:rPr>
        <w:t>weeks</w:t>
      </w:r>
      <w:r w:rsidRPr="007046CF">
        <w:rPr>
          <w:rFonts w:ascii="Times New Roman" w:hAnsi="Times New Roman" w:cs="Times New Roman"/>
          <w:noProof/>
          <w:sz w:val="24"/>
          <w:szCs w:val="24"/>
        </w:rPr>
        <w:t xml:space="preserve"> after the end of the reference period. The first estimates of quarterly balance of payments/international investment position (BOP/IIP) are released 14 weeks after the end of the reference period. The quarterly balance of payments incorporates a much broader set of information than the monthly advanced estimates and is presented in more detail. On the financial side, the simultaneous and consistent compilation of the BOP financial account, the investment income and the IIP reinforces the quality of quarterly estimates and allows a more complete analysis of cross-border relationships. Quarterly BOP/IIP </w:t>
      </w:r>
      <w:r w:rsidR="007C1ED9">
        <w:rPr>
          <w:rFonts w:ascii="Times New Roman" w:hAnsi="Times New Roman" w:cs="Times New Roman"/>
          <w:noProof/>
          <w:sz w:val="24"/>
          <w:szCs w:val="24"/>
        </w:rPr>
        <w:t xml:space="preserve">also </w:t>
      </w:r>
      <w:r w:rsidRPr="007046CF">
        <w:rPr>
          <w:rFonts w:ascii="Times New Roman" w:hAnsi="Times New Roman" w:cs="Times New Roman"/>
          <w:noProof/>
          <w:sz w:val="24"/>
          <w:szCs w:val="24"/>
        </w:rPr>
        <w:t>includes a geographical breakdown of the main economic partners, in particular the most important developed and emerging economies.</w:t>
      </w:r>
    </w:p>
    <w:p w14:paraId="4FD1088A" w14:textId="49531713" w:rsidR="00DD271D" w:rsidRPr="007046CF" w:rsidRDefault="0011410E" w:rsidP="005F6D5C">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w:t>
      </w:r>
      <w:r w:rsidRPr="0022521E">
        <w:rPr>
          <w:rFonts w:ascii="Times New Roman" w:hAnsi="Times New Roman" w:cs="Times New Roman"/>
          <w:noProof/>
          <w:sz w:val="24"/>
          <w:szCs w:val="24"/>
        </w:rPr>
        <w:t xml:space="preserve">quarterly releases, </w:t>
      </w:r>
      <w:r w:rsidR="00DD271D" w:rsidRPr="0022521E">
        <w:rPr>
          <w:rFonts w:ascii="Times New Roman" w:hAnsi="Times New Roman" w:cs="Times New Roman"/>
          <w:noProof/>
          <w:sz w:val="24"/>
          <w:szCs w:val="24"/>
        </w:rPr>
        <w:t>international trade in services and foreign direct investment</w:t>
      </w:r>
      <w:r w:rsidRPr="0022521E">
        <w:rPr>
          <w:rFonts w:ascii="Times New Roman" w:hAnsi="Times New Roman" w:cs="Times New Roman"/>
          <w:noProof/>
          <w:sz w:val="24"/>
          <w:szCs w:val="24"/>
        </w:rPr>
        <w:t xml:space="preserve"> (FDI)</w:t>
      </w:r>
      <w:r w:rsidR="00DD271D" w:rsidRPr="0022521E">
        <w:rPr>
          <w:rFonts w:ascii="Times New Roman" w:hAnsi="Times New Roman" w:cs="Times New Roman"/>
          <w:noProof/>
          <w:sz w:val="24"/>
          <w:szCs w:val="24"/>
        </w:rPr>
        <w:t xml:space="preserve"> statistics are published in greater detail</w:t>
      </w:r>
      <w:r w:rsidRPr="0022521E">
        <w:rPr>
          <w:rFonts w:ascii="Times New Roman" w:hAnsi="Times New Roman" w:cs="Times New Roman"/>
          <w:noProof/>
          <w:sz w:val="24"/>
          <w:szCs w:val="24"/>
        </w:rPr>
        <w:t xml:space="preserve"> once a year</w:t>
      </w:r>
      <w:r w:rsidR="00DD271D" w:rsidRPr="0022521E">
        <w:rPr>
          <w:rFonts w:ascii="Times New Roman" w:hAnsi="Times New Roman" w:cs="Times New Roman"/>
          <w:noProof/>
          <w:sz w:val="24"/>
          <w:szCs w:val="24"/>
        </w:rPr>
        <w:t xml:space="preserve">. Annual FDI data </w:t>
      </w:r>
      <w:r w:rsidRPr="0022521E">
        <w:rPr>
          <w:rFonts w:ascii="Times New Roman" w:hAnsi="Times New Roman" w:cs="Times New Roman"/>
          <w:noProof/>
          <w:sz w:val="24"/>
          <w:szCs w:val="24"/>
        </w:rPr>
        <w:t xml:space="preserve">include </w:t>
      </w:r>
      <w:r w:rsidR="00DD271D" w:rsidRPr="0022521E">
        <w:rPr>
          <w:rFonts w:ascii="Times New Roman" w:hAnsi="Times New Roman" w:cs="Times New Roman"/>
          <w:noProof/>
          <w:sz w:val="24"/>
          <w:szCs w:val="24"/>
        </w:rPr>
        <w:t xml:space="preserve">more information </w:t>
      </w:r>
      <w:r w:rsidRPr="0022521E">
        <w:rPr>
          <w:rFonts w:ascii="Times New Roman" w:hAnsi="Times New Roman" w:cs="Times New Roman"/>
          <w:noProof/>
          <w:sz w:val="24"/>
          <w:szCs w:val="24"/>
        </w:rPr>
        <w:t>than</w:t>
      </w:r>
      <w:r w:rsidR="00DD271D" w:rsidRPr="0022521E">
        <w:rPr>
          <w:rFonts w:ascii="Times New Roman" w:hAnsi="Times New Roman" w:cs="Times New Roman"/>
          <w:noProof/>
          <w:sz w:val="24"/>
          <w:szCs w:val="24"/>
        </w:rPr>
        <w:t xml:space="preserve"> quarterly FDI data, due to the availability of annual financial statements of enterprises. </w:t>
      </w:r>
      <w:r w:rsidRPr="0022521E">
        <w:rPr>
          <w:rFonts w:ascii="Times New Roman" w:hAnsi="Times New Roman" w:cs="Times New Roman"/>
          <w:noProof/>
          <w:sz w:val="24"/>
          <w:szCs w:val="24"/>
        </w:rPr>
        <w:t>Thanks to</w:t>
      </w:r>
      <w:r w:rsidR="00DD271D" w:rsidRPr="0022521E">
        <w:rPr>
          <w:rFonts w:ascii="Times New Roman" w:hAnsi="Times New Roman" w:cs="Times New Roman"/>
          <w:noProof/>
          <w:sz w:val="24"/>
          <w:szCs w:val="24"/>
        </w:rPr>
        <w:t xml:space="preserve"> more information and more complete quality checks on FDI stocks, </w:t>
      </w:r>
      <w:r w:rsidR="006C1156" w:rsidRPr="0022521E">
        <w:rPr>
          <w:rFonts w:ascii="Times New Roman" w:hAnsi="Times New Roman" w:cs="Times New Roman"/>
          <w:noProof/>
          <w:sz w:val="24"/>
          <w:szCs w:val="24"/>
        </w:rPr>
        <w:t xml:space="preserve">it is possible to </w:t>
      </w:r>
      <w:r w:rsidR="00114F2F" w:rsidRPr="0022521E">
        <w:rPr>
          <w:rFonts w:ascii="Times New Roman" w:hAnsi="Times New Roman" w:cs="Times New Roman"/>
          <w:noProof/>
          <w:sz w:val="24"/>
          <w:szCs w:val="24"/>
        </w:rPr>
        <w:t>calculate</w:t>
      </w:r>
      <w:r w:rsidR="006C1156" w:rsidRPr="0022521E">
        <w:rPr>
          <w:rFonts w:ascii="Times New Roman" w:hAnsi="Times New Roman" w:cs="Times New Roman"/>
          <w:noProof/>
          <w:sz w:val="24"/>
          <w:szCs w:val="24"/>
        </w:rPr>
        <w:t xml:space="preserve"> </w:t>
      </w:r>
      <w:r w:rsidR="00DD271D" w:rsidRPr="008A18D1">
        <w:rPr>
          <w:rFonts w:ascii="Times New Roman" w:hAnsi="Times New Roman" w:cs="Times New Roman"/>
          <w:noProof/>
          <w:sz w:val="24"/>
          <w:szCs w:val="24"/>
        </w:rPr>
        <w:t xml:space="preserve">the different components of their variations and FDI income. </w:t>
      </w:r>
      <w:r w:rsidR="0022521E" w:rsidRPr="008A18D1">
        <w:rPr>
          <w:rFonts w:ascii="Times New Roman" w:hAnsi="Times New Roman" w:cs="Times New Roman"/>
          <w:noProof/>
          <w:sz w:val="24"/>
          <w:szCs w:val="24"/>
        </w:rPr>
        <w:t xml:space="preserve">An important improvement is that Eurostat established a data collection for Member States on inward direct investment positions according to the ultimate investing economy. The aim of this voluntary data collection is to show the ‘true’ origin of FDI – the ultimate investor. </w:t>
      </w:r>
      <w:r w:rsidR="00DD271D" w:rsidRPr="008A18D1">
        <w:rPr>
          <w:rFonts w:ascii="Times New Roman" w:hAnsi="Times New Roman" w:cs="Times New Roman"/>
          <w:noProof/>
          <w:sz w:val="24"/>
          <w:szCs w:val="24"/>
        </w:rPr>
        <w:t xml:space="preserve">Annual data on international trade in services are broken down according to a comprehensive list of services items and a geographical breakdown </w:t>
      </w:r>
      <w:r w:rsidR="00F003FC" w:rsidRPr="008A18D1">
        <w:rPr>
          <w:rFonts w:ascii="Times New Roman" w:hAnsi="Times New Roman" w:cs="Times New Roman"/>
          <w:noProof/>
          <w:sz w:val="24"/>
          <w:szCs w:val="24"/>
        </w:rPr>
        <w:t xml:space="preserve">at </w:t>
      </w:r>
      <w:r w:rsidR="00DD271D" w:rsidRPr="008A18D1">
        <w:rPr>
          <w:rFonts w:ascii="Times New Roman" w:hAnsi="Times New Roman" w:cs="Times New Roman"/>
          <w:noProof/>
          <w:sz w:val="24"/>
          <w:szCs w:val="24"/>
        </w:rPr>
        <w:t>Geo 5</w:t>
      </w:r>
      <w:r w:rsidR="00F003FC" w:rsidRPr="008A18D1">
        <w:rPr>
          <w:rFonts w:ascii="Times New Roman" w:hAnsi="Times New Roman" w:cs="Times New Roman"/>
          <w:noProof/>
          <w:sz w:val="24"/>
          <w:szCs w:val="24"/>
        </w:rPr>
        <w:t xml:space="preserve"> level</w:t>
      </w:r>
      <w:r w:rsidR="00DD271D" w:rsidRPr="008A18D1">
        <w:rPr>
          <w:rFonts w:ascii="Times New Roman" w:hAnsi="Times New Roman" w:cs="Times New Roman"/>
          <w:noProof/>
          <w:sz w:val="24"/>
          <w:szCs w:val="24"/>
        </w:rPr>
        <w:t xml:space="preserve">. Data are </w:t>
      </w:r>
      <w:r w:rsidR="00197871" w:rsidRPr="008A18D1">
        <w:rPr>
          <w:rFonts w:ascii="Times New Roman" w:hAnsi="Times New Roman" w:cs="Times New Roman"/>
          <w:noProof/>
          <w:sz w:val="24"/>
          <w:szCs w:val="24"/>
        </w:rPr>
        <w:t xml:space="preserve">submitted </w:t>
      </w:r>
      <w:r w:rsidR="00DD271D" w:rsidRPr="008A18D1">
        <w:rPr>
          <w:rFonts w:ascii="Times New Roman" w:hAnsi="Times New Roman" w:cs="Times New Roman"/>
          <w:noProof/>
          <w:sz w:val="24"/>
          <w:szCs w:val="24"/>
        </w:rPr>
        <w:t xml:space="preserve">by the Member States </w:t>
      </w:r>
      <w:r w:rsidRPr="008A18D1">
        <w:rPr>
          <w:rFonts w:ascii="Times New Roman" w:hAnsi="Times New Roman" w:cs="Times New Roman"/>
          <w:noProof/>
          <w:sz w:val="24"/>
          <w:szCs w:val="24"/>
        </w:rPr>
        <w:t xml:space="preserve">9 </w:t>
      </w:r>
      <w:r w:rsidR="00DD271D" w:rsidRPr="008A18D1">
        <w:rPr>
          <w:rFonts w:ascii="Times New Roman" w:hAnsi="Times New Roman" w:cs="Times New Roman"/>
          <w:noProof/>
          <w:sz w:val="24"/>
          <w:szCs w:val="24"/>
        </w:rPr>
        <w:t xml:space="preserve">months after the end of the reference period and are published </w:t>
      </w:r>
      <w:r w:rsidRPr="008A18D1">
        <w:rPr>
          <w:rFonts w:ascii="Times New Roman" w:hAnsi="Times New Roman" w:cs="Times New Roman"/>
          <w:noProof/>
          <w:sz w:val="24"/>
          <w:szCs w:val="24"/>
        </w:rPr>
        <w:t>around 2.5-3</w:t>
      </w:r>
      <w:r w:rsidR="00DD271D" w:rsidRPr="008A18D1">
        <w:rPr>
          <w:rFonts w:ascii="Times New Roman" w:hAnsi="Times New Roman" w:cs="Times New Roman"/>
          <w:noProof/>
          <w:sz w:val="24"/>
          <w:szCs w:val="24"/>
        </w:rPr>
        <w:t xml:space="preserve"> months later. Annual </w:t>
      </w:r>
      <w:r w:rsidRPr="008A18D1">
        <w:rPr>
          <w:rFonts w:ascii="Times New Roman" w:hAnsi="Times New Roman" w:cs="Times New Roman"/>
          <w:noProof/>
          <w:sz w:val="24"/>
          <w:szCs w:val="24"/>
        </w:rPr>
        <w:t>FDI</w:t>
      </w:r>
      <w:r w:rsidR="00DD271D" w:rsidRPr="008A18D1">
        <w:rPr>
          <w:rFonts w:ascii="Times New Roman" w:hAnsi="Times New Roman" w:cs="Times New Roman"/>
          <w:noProof/>
          <w:sz w:val="24"/>
          <w:szCs w:val="24"/>
        </w:rPr>
        <w:t xml:space="preserve"> statistics include data on flows and stocks</w:t>
      </w:r>
      <w:r w:rsidRPr="008A18D1">
        <w:rPr>
          <w:rFonts w:ascii="Times New Roman" w:hAnsi="Times New Roman" w:cs="Times New Roman"/>
          <w:noProof/>
          <w:sz w:val="24"/>
          <w:szCs w:val="24"/>
        </w:rPr>
        <w:t xml:space="preserve"> by</w:t>
      </w:r>
      <w:r w:rsidR="00DD271D" w:rsidRPr="008A18D1">
        <w:rPr>
          <w:rFonts w:ascii="Times New Roman" w:hAnsi="Times New Roman" w:cs="Times New Roman"/>
          <w:noProof/>
          <w:sz w:val="24"/>
          <w:szCs w:val="24"/>
        </w:rPr>
        <w:t xml:space="preserve"> type of instrument, partner</w:t>
      </w:r>
      <w:r w:rsidR="00DD271D" w:rsidRPr="007046CF">
        <w:rPr>
          <w:rFonts w:ascii="Times New Roman" w:hAnsi="Times New Roman" w:cs="Times New Roman"/>
          <w:noProof/>
          <w:sz w:val="24"/>
          <w:szCs w:val="24"/>
        </w:rPr>
        <w:t xml:space="preserve"> country and economic activity. In addition, separate </w:t>
      </w:r>
      <w:r>
        <w:rPr>
          <w:rFonts w:ascii="Times New Roman" w:hAnsi="Times New Roman" w:cs="Times New Roman"/>
          <w:noProof/>
          <w:sz w:val="24"/>
          <w:szCs w:val="24"/>
        </w:rPr>
        <w:t>FDI</w:t>
      </w:r>
      <w:r w:rsidR="00DD271D" w:rsidRPr="007046CF">
        <w:rPr>
          <w:rFonts w:ascii="Times New Roman" w:hAnsi="Times New Roman" w:cs="Times New Roman"/>
          <w:noProof/>
          <w:sz w:val="24"/>
          <w:szCs w:val="24"/>
        </w:rPr>
        <w:t xml:space="preserve"> statistics are requested for resident special purpose entities. Data are provided by the Member States </w:t>
      </w:r>
      <w:r w:rsidR="00197871">
        <w:rPr>
          <w:rFonts w:ascii="Times New Roman" w:hAnsi="Times New Roman" w:cs="Times New Roman"/>
          <w:noProof/>
          <w:sz w:val="24"/>
          <w:szCs w:val="24"/>
        </w:rPr>
        <w:t>9</w:t>
      </w:r>
      <w:r w:rsidR="00197871" w:rsidRPr="007046CF">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 xml:space="preserve">months after the end of the reference period and are published approximately </w:t>
      </w:r>
      <w:r w:rsidR="00197871">
        <w:rPr>
          <w:rFonts w:ascii="Times New Roman" w:hAnsi="Times New Roman" w:cs="Times New Roman"/>
          <w:noProof/>
          <w:sz w:val="24"/>
          <w:szCs w:val="24"/>
        </w:rPr>
        <w:t>3</w:t>
      </w:r>
      <w:r w:rsidR="00197871" w:rsidRPr="007046CF">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months later.</w:t>
      </w:r>
    </w:p>
    <w:p w14:paraId="214178D1" w14:textId="77777777" w:rsidR="00DD271D" w:rsidRPr="007046CF" w:rsidRDefault="00DD271D" w:rsidP="00DD271D">
      <w:pPr>
        <w:pStyle w:val="Heading1"/>
        <w:rPr>
          <w:noProof/>
          <w:szCs w:val="24"/>
        </w:rPr>
      </w:pPr>
      <w:r w:rsidRPr="007046CF">
        <w:rPr>
          <w:noProof/>
          <w:szCs w:val="24"/>
        </w:rPr>
        <w:t>Quality of the statistics produced</w:t>
      </w:r>
    </w:p>
    <w:p w14:paraId="67C4A5DE" w14:textId="37981EB5" w:rsidR="00DD271D" w:rsidRPr="007046CF" w:rsidRDefault="006C1156" w:rsidP="00DD271D">
      <w:pPr>
        <w:spacing w:after="120" w:line="240" w:lineRule="auto"/>
        <w:jc w:val="both"/>
        <w:rPr>
          <w:rFonts w:ascii="Times New Roman" w:hAnsi="Times New Roman" w:cs="Times New Roman"/>
          <w:noProof/>
          <w:color w:val="000000"/>
          <w:sz w:val="24"/>
          <w:szCs w:val="24"/>
          <w:lang w:eastAsia="en-GB"/>
        </w:rPr>
      </w:pPr>
      <w:r>
        <w:rPr>
          <w:rFonts w:ascii="Times New Roman" w:hAnsi="Times New Roman" w:cs="Times New Roman"/>
          <w:noProof/>
          <w:sz w:val="24"/>
          <w:szCs w:val="24"/>
        </w:rPr>
        <w:t>According</w:t>
      </w:r>
      <w:r w:rsidRPr="007046CF">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to Article</w:t>
      </w:r>
      <w:r w:rsidR="007046CF">
        <w:rPr>
          <w:rFonts w:ascii="Times New Roman" w:hAnsi="Times New Roman" w:cs="Times New Roman"/>
          <w:noProof/>
          <w:sz w:val="24"/>
          <w:szCs w:val="24"/>
        </w:rPr>
        <w:t> </w:t>
      </w:r>
      <w:r w:rsidR="00DD271D" w:rsidRPr="007046CF">
        <w:rPr>
          <w:rFonts w:ascii="Times New Roman" w:hAnsi="Times New Roman" w:cs="Times New Roman"/>
          <w:noProof/>
          <w:sz w:val="24"/>
          <w:szCs w:val="24"/>
        </w:rPr>
        <w:t>4(2) of Regulation (EC) No</w:t>
      </w:r>
      <w:r w:rsidR="007046CF">
        <w:rPr>
          <w:rFonts w:ascii="Times New Roman" w:hAnsi="Times New Roman" w:cs="Times New Roman"/>
          <w:noProof/>
          <w:sz w:val="24"/>
          <w:szCs w:val="24"/>
        </w:rPr>
        <w:t> </w:t>
      </w:r>
      <w:r w:rsidR="00DD271D" w:rsidRPr="007046CF">
        <w:rPr>
          <w:rFonts w:ascii="Times New Roman" w:hAnsi="Times New Roman" w:cs="Times New Roman"/>
          <w:noProof/>
          <w:sz w:val="24"/>
          <w:szCs w:val="24"/>
        </w:rPr>
        <w:t xml:space="preserve">184/2005, Member States </w:t>
      </w:r>
      <w:r>
        <w:rPr>
          <w:rFonts w:ascii="Times New Roman" w:hAnsi="Times New Roman" w:cs="Times New Roman"/>
          <w:noProof/>
          <w:sz w:val="24"/>
          <w:szCs w:val="24"/>
        </w:rPr>
        <w:t>must provide</w:t>
      </w:r>
      <w:r w:rsidR="00DD271D" w:rsidRPr="007046CF">
        <w:rPr>
          <w:rFonts w:ascii="Times New Roman" w:hAnsi="Times New Roman" w:cs="Times New Roman"/>
          <w:noProof/>
          <w:sz w:val="24"/>
          <w:szCs w:val="24"/>
        </w:rPr>
        <w:t xml:space="preserve"> the Commission with a report on the quality of the data </w:t>
      </w:r>
      <w:r w:rsidR="00197871">
        <w:rPr>
          <w:rFonts w:ascii="Times New Roman" w:hAnsi="Times New Roman" w:cs="Times New Roman"/>
          <w:noProof/>
          <w:sz w:val="24"/>
          <w:szCs w:val="24"/>
        </w:rPr>
        <w:t>submitted</w:t>
      </w:r>
      <w:r w:rsidR="00DD271D" w:rsidRPr="007046CF">
        <w:rPr>
          <w:rFonts w:ascii="Times New Roman" w:hAnsi="Times New Roman" w:cs="Times New Roman"/>
          <w:noProof/>
          <w:sz w:val="24"/>
          <w:szCs w:val="24"/>
        </w:rPr>
        <w:t>. Furthermore, according to Article</w:t>
      </w:r>
      <w:r w:rsidR="007046CF">
        <w:rPr>
          <w:rFonts w:ascii="Times New Roman" w:hAnsi="Times New Roman" w:cs="Times New Roman"/>
          <w:noProof/>
          <w:sz w:val="24"/>
          <w:szCs w:val="24"/>
        </w:rPr>
        <w:t> </w:t>
      </w:r>
      <w:r w:rsidR="00DD271D" w:rsidRPr="007046CF">
        <w:rPr>
          <w:rFonts w:ascii="Times New Roman" w:hAnsi="Times New Roman" w:cs="Times New Roman"/>
          <w:noProof/>
          <w:sz w:val="24"/>
          <w:szCs w:val="24"/>
        </w:rPr>
        <w:t xml:space="preserve">4(4), the quality of the data </w:t>
      </w:r>
      <w:r w:rsidR="00197871">
        <w:rPr>
          <w:rFonts w:ascii="Times New Roman" w:hAnsi="Times New Roman" w:cs="Times New Roman"/>
          <w:noProof/>
          <w:sz w:val="24"/>
          <w:szCs w:val="24"/>
        </w:rPr>
        <w:t>submitted</w:t>
      </w:r>
      <w:r w:rsidR="00DD271D" w:rsidRPr="007046CF">
        <w:rPr>
          <w:rFonts w:ascii="Times New Roman" w:hAnsi="Times New Roman" w:cs="Times New Roman"/>
          <w:noProof/>
          <w:sz w:val="24"/>
          <w:szCs w:val="24"/>
        </w:rPr>
        <w:t xml:space="preserve"> to Eurostat is to be assessed on the basis of quality reports, with the assistance of the European Statistical System Committee (the ESS Committee). The following analysis refers to the results of the latest available quality reports </w:t>
      </w:r>
      <w:r>
        <w:rPr>
          <w:rFonts w:ascii="Times New Roman" w:hAnsi="Times New Roman" w:cs="Times New Roman"/>
          <w:noProof/>
          <w:sz w:val="24"/>
          <w:szCs w:val="24"/>
        </w:rPr>
        <w:t xml:space="preserve">(i.e. the </w:t>
      </w:r>
      <w:r w:rsidR="00DD271D" w:rsidRPr="007046CF">
        <w:rPr>
          <w:rFonts w:ascii="Times New Roman" w:hAnsi="Times New Roman" w:cs="Times New Roman"/>
          <w:noProof/>
          <w:sz w:val="24"/>
          <w:szCs w:val="24"/>
        </w:rPr>
        <w:t xml:space="preserve">2022 </w:t>
      </w:r>
      <w:r>
        <w:rPr>
          <w:rFonts w:ascii="Times New Roman" w:hAnsi="Times New Roman" w:cs="Times New Roman"/>
          <w:noProof/>
          <w:sz w:val="24"/>
          <w:szCs w:val="24"/>
        </w:rPr>
        <w:t xml:space="preserve">reports, which </w:t>
      </w:r>
      <w:r w:rsidR="00490580">
        <w:rPr>
          <w:rFonts w:ascii="Times New Roman" w:hAnsi="Times New Roman" w:cs="Times New Roman"/>
          <w:noProof/>
          <w:sz w:val="24"/>
          <w:szCs w:val="24"/>
        </w:rPr>
        <w:t>refer to</w:t>
      </w:r>
      <w:r w:rsidR="00DD271D" w:rsidRPr="007046CF">
        <w:rPr>
          <w:rFonts w:ascii="Times New Roman" w:hAnsi="Times New Roman" w:cs="Times New Roman"/>
          <w:noProof/>
          <w:sz w:val="24"/>
          <w:szCs w:val="24"/>
        </w:rPr>
        <w:t xml:space="preserve"> data </w:t>
      </w:r>
      <w:r>
        <w:rPr>
          <w:rFonts w:ascii="Times New Roman" w:hAnsi="Times New Roman" w:cs="Times New Roman"/>
          <w:noProof/>
          <w:sz w:val="24"/>
          <w:szCs w:val="24"/>
        </w:rPr>
        <w:t>submitted</w:t>
      </w:r>
      <w:r w:rsidRPr="007046CF">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by the Member States in 2021</w:t>
      </w:r>
      <w:r>
        <w:rPr>
          <w:rFonts w:ascii="Times New Roman" w:hAnsi="Times New Roman" w:cs="Times New Roman"/>
          <w:noProof/>
          <w:sz w:val="24"/>
          <w:szCs w:val="24"/>
        </w:rPr>
        <w:t>)</w:t>
      </w:r>
      <w:r w:rsidR="00DD271D" w:rsidRPr="007046CF">
        <w:rPr>
          <w:rFonts w:ascii="Times New Roman" w:hAnsi="Times New Roman" w:cs="Times New Roman"/>
          <w:noProof/>
          <w:sz w:val="24"/>
          <w:szCs w:val="24"/>
        </w:rPr>
        <w:t>.</w:t>
      </w:r>
    </w:p>
    <w:p w14:paraId="7E1C1B79" w14:textId="77777777" w:rsidR="00DD271D" w:rsidRPr="007046CF" w:rsidRDefault="00DD271D" w:rsidP="00DD271D">
      <w:pPr>
        <w:pStyle w:val="Heading2"/>
        <w:rPr>
          <w:noProof/>
          <w:szCs w:val="24"/>
        </w:rPr>
      </w:pPr>
      <w:r w:rsidRPr="007046CF">
        <w:rPr>
          <w:rFonts w:eastAsia="Calibri"/>
          <w:noProof/>
          <w:szCs w:val="24"/>
        </w:rPr>
        <w:t>Methodological soundness and statistical procedures</w:t>
      </w:r>
    </w:p>
    <w:p w14:paraId="1756EB65" w14:textId="33AA84F7"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The methodological soundness and statistical procedures, concepts, definitions and practices used to compile balance of payments, international trade in services</w:t>
      </w:r>
      <w:r w:rsidR="00DF680E">
        <w:rPr>
          <w:rFonts w:ascii="Times New Roman" w:hAnsi="Times New Roman" w:cs="Times New Roman"/>
          <w:noProof/>
          <w:sz w:val="24"/>
          <w:szCs w:val="24"/>
        </w:rPr>
        <w:t>,</w:t>
      </w:r>
      <w:r w:rsidRPr="007046CF">
        <w:rPr>
          <w:rFonts w:ascii="Times New Roman" w:hAnsi="Times New Roman" w:cs="Times New Roman"/>
          <w:noProof/>
          <w:sz w:val="24"/>
          <w:szCs w:val="24"/>
        </w:rPr>
        <w:t xml:space="preserve"> foreign direct investment </w:t>
      </w:r>
      <w:r w:rsidR="00DF680E" w:rsidRPr="00DF680E">
        <w:rPr>
          <w:rFonts w:ascii="Times New Roman" w:hAnsi="Times New Roman" w:cs="Times New Roman"/>
          <w:noProof/>
          <w:sz w:val="24"/>
          <w:szCs w:val="24"/>
        </w:rPr>
        <w:t xml:space="preserve">and the international investment position </w:t>
      </w:r>
      <w:r w:rsidRPr="007046CF">
        <w:rPr>
          <w:rFonts w:ascii="Times New Roman" w:hAnsi="Times New Roman" w:cs="Times New Roman"/>
          <w:noProof/>
          <w:sz w:val="24"/>
          <w:szCs w:val="24"/>
        </w:rPr>
        <w:t>statistics are in broad conformity with the principles and guidelines outlined in the BPM6, taking into consideration the particularities agreed at EU level for the compilation of euro</w:t>
      </w:r>
      <w:r w:rsidR="002D12C6">
        <w:rPr>
          <w:rFonts w:ascii="Times New Roman" w:hAnsi="Times New Roman" w:cs="Times New Roman"/>
          <w:noProof/>
          <w:sz w:val="24"/>
          <w:szCs w:val="24"/>
        </w:rPr>
        <w:t>-</w:t>
      </w:r>
      <w:r w:rsidRPr="007046CF">
        <w:rPr>
          <w:rFonts w:ascii="Times New Roman" w:hAnsi="Times New Roman" w:cs="Times New Roman"/>
          <w:noProof/>
          <w:sz w:val="24"/>
          <w:szCs w:val="24"/>
        </w:rPr>
        <w:t>area and EU aggregates.</w:t>
      </w:r>
    </w:p>
    <w:p w14:paraId="7C912DAC" w14:textId="6D514656" w:rsidR="00DD271D" w:rsidRPr="007046CF" w:rsidRDefault="00DD271D" w:rsidP="00DD271D">
      <w:pPr>
        <w:pStyle w:val="Heading2"/>
        <w:rPr>
          <w:noProof/>
          <w:szCs w:val="24"/>
        </w:rPr>
      </w:pPr>
      <w:r w:rsidRPr="007046CF">
        <w:rPr>
          <w:noProof/>
          <w:szCs w:val="24"/>
        </w:rPr>
        <w:t xml:space="preserve">Timeliness </w:t>
      </w:r>
      <w:r w:rsidR="001752CD">
        <w:rPr>
          <w:noProof/>
          <w:szCs w:val="24"/>
        </w:rPr>
        <w:t>a</w:t>
      </w:r>
      <w:r w:rsidRPr="007046CF">
        <w:rPr>
          <w:noProof/>
          <w:szCs w:val="24"/>
        </w:rPr>
        <w:t>nd punctuality</w:t>
      </w:r>
    </w:p>
    <w:p w14:paraId="68921139" w14:textId="13C2CFAC" w:rsidR="00DD271D" w:rsidRPr="007046CF" w:rsidRDefault="00DD271D" w:rsidP="00DD271D">
      <w:pPr>
        <w:spacing w:after="120" w:line="240" w:lineRule="auto"/>
        <w:jc w:val="both"/>
        <w:rPr>
          <w:rFonts w:ascii="Times New Roman" w:hAnsi="Times New Roman" w:cs="Times New Roman"/>
          <w:noProof/>
          <w:sz w:val="24"/>
          <w:szCs w:val="24"/>
          <w:lang w:eastAsia="en-GB"/>
        </w:rPr>
      </w:pPr>
      <w:r w:rsidRPr="007046CF">
        <w:rPr>
          <w:rFonts w:ascii="Times New Roman" w:hAnsi="Times New Roman" w:cs="Times New Roman"/>
          <w:noProof/>
          <w:sz w:val="24"/>
          <w:szCs w:val="24"/>
          <w:lang w:eastAsia="en-GB"/>
        </w:rPr>
        <w:t xml:space="preserve">Punctuality of monthly and quarterly balance of payments, quarterly international investment position, annual </w:t>
      </w:r>
      <w:r w:rsidRPr="007046CF">
        <w:rPr>
          <w:rFonts w:ascii="Times New Roman" w:hAnsi="Times New Roman" w:cs="Times New Roman"/>
          <w:noProof/>
          <w:sz w:val="24"/>
          <w:szCs w:val="24"/>
        </w:rPr>
        <w:t>international trade in services statistics</w:t>
      </w:r>
      <w:r w:rsidRPr="007046CF">
        <w:rPr>
          <w:rFonts w:ascii="Times New Roman" w:hAnsi="Times New Roman" w:cs="Times New Roman"/>
          <w:noProof/>
          <w:sz w:val="24"/>
          <w:szCs w:val="24"/>
          <w:lang w:eastAsia="en-GB"/>
        </w:rPr>
        <w:t xml:space="preserve"> and </w:t>
      </w:r>
      <w:r w:rsidRPr="007046CF">
        <w:rPr>
          <w:rFonts w:ascii="Times New Roman" w:hAnsi="Times New Roman" w:cs="Times New Roman"/>
          <w:noProof/>
          <w:sz w:val="24"/>
          <w:szCs w:val="24"/>
        </w:rPr>
        <w:t>foreign direct investment</w:t>
      </w:r>
      <w:r w:rsidRPr="007046CF">
        <w:rPr>
          <w:rFonts w:ascii="Times New Roman" w:hAnsi="Times New Roman" w:cs="Times New Roman"/>
          <w:noProof/>
          <w:sz w:val="24"/>
          <w:szCs w:val="24"/>
          <w:lang w:eastAsia="en-GB"/>
        </w:rPr>
        <w:t xml:space="preserve"> worsened compared with the previous quality report </w:t>
      </w:r>
      <w:r w:rsidR="00490580">
        <w:rPr>
          <w:rFonts w:ascii="Times New Roman" w:hAnsi="Times New Roman" w:cs="Times New Roman"/>
          <w:noProof/>
          <w:sz w:val="24"/>
          <w:szCs w:val="24"/>
          <w:lang w:eastAsia="en-GB"/>
        </w:rPr>
        <w:t xml:space="preserve">for </w:t>
      </w:r>
      <w:r w:rsidRPr="007046CF">
        <w:rPr>
          <w:rFonts w:ascii="Times New Roman" w:hAnsi="Times New Roman" w:cs="Times New Roman"/>
          <w:noProof/>
          <w:sz w:val="24"/>
          <w:szCs w:val="24"/>
          <w:lang w:eastAsia="en-GB"/>
        </w:rPr>
        <w:t>2021 referring to 2020 data, with four more Member States delivering datasets after the deadline.</w:t>
      </w:r>
    </w:p>
    <w:p w14:paraId="77C287CC" w14:textId="17597E58" w:rsidR="00F739D0" w:rsidRPr="007046CF" w:rsidRDefault="00F739D0" w:rsidP="00F739D0">
      <w:pPr>
        <w:pStyle w:val="Heading2"/>
        <w:rPr>
          <w:noProof/>
          <w:szCs w:val="24"/>
        </w:rPr>
      </w:pPr>
      <w:r w:rsidRPr="007046CF">
        <w:rPr>
          <w:noProof/>
          <w:szCs w:val="24"/>
        </w:rPr>
        <w:t>Relevance</w:t>
      </w:r>
    </w:p>
    <w:p w14:paraId="0FEAE06E" w14:textId="76D3FB06" w:rsidR="009136AE" w:rsidRPr="007046CF" w:rsidRDefault="00490580" w:rsidP="009136AE">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w:t>
      </w:r>
      <w:r w:rsidR="009136AE" w:rsidRPr="007046CF">
        <w:rPr>
          <w:rFonts w:ascii="Times New Roman" w:hAnsi="Times New Roman" w:cs="Times New Roman"/>
          <w:noProof/>
          <w:sz w:val="24"/>
          <w:szCs w:val="24"/>
        </w:rPr>
        <w:t xml:space="preserve">Regulation (EC) No 184/2005 </w:t>
      </w:r>
      <w:r>
        <w:rPr>
          <w:rFonts w:ascii="Times New Roman" w:hAnsi="Times New Roman" w:cs="Times New Roman"/>
          <w:noProof/>
          <w:sz w:val="24"/>
          <w:szCs w:val="24"/>
        </w:rPr>
        <w:t xml:space="preserve">was intended to </w:t>
      </w:r>
      <w:r w:rsidR="009136AE" w:rsidRPr="007046CF">
        <w:rPr>
          <w:rFonts w:ascii="Times New Roman" w:hAnsi="Times New Roman" w:cs="Times New Roman"/>
          <w:noProof/>
          <w:sz w:val="24"/>
          <w:szCs w:val="24"/>
        </w:rPr>
        <w:t>respon</w:t>
      </w:r>
      <w:r>
        <w:rPr>
          <w:rFonts w:ascii="Times New Roman" w:hAnsi="Times New Roman" w:cs="Times New Roman"/>
          <w:noProof/>
          <w:sz w:val="24"/>
          <w:szCs w:val="24"/>
        </w:rPr>
        <w:t>d</w:t>
      </w:r>
      <w:r w:rsidR="009136AE" w:rsidRPr="007046CF">
        <w:rPr>
          <w:rFonts w:ascii="Times New Roman" w:hAnsi="Times New Roman" w:cs="Times New Roman"/>
          <w:noProof/>
          <w:sz w:val="24"/>
          <w:szCs w:val="24"/>
        </w:rPr>
        <w:t xml:space="preserve"> to the needs of data users, it </w:t>
      </w:r>
      <w:r>
        <w:rPr>
          <w:rFonts w:ascii="Times New Roman" w:hAnsi="Times New Roman" w:cs="Times New Roman"/>
          <w:noProof/>
          <w:sz w:val="24"/>
          <w:szCs w:val="24"/>
        </w:rPr>
        <w:t>is</w:t>
      </w:r>
      <w:r w:rsidRPr="007046CF">
        <w:rPr>
          <w:rFonts w:ascii="Times New Roman" w:hAnsi="Times New Roman" w:cs="Times New Roman"/>
          <w:noProof/>
          <w:sz w:val="24"/>
          <w:szCs w:val="24"/>
        </w:rPr>
        <w:t xml:space="preserve"> </w:t>
      </w:r>
      <w:r w:rsidR="009136AE" w:rsidRPr="007046CF">
        <w:rPr>
          <w:rFonts w:ascii="Times New Roman" w:hAnsi="Times New Roman" w:cs="Times New Roman"/>
          <w:noProof/>
          <w:sz w:val="24"/>
          <w:szCs w:val="24"/>
        </w:rPr>
        <w:t xml:space="preserve">important to analyse how these data are used and </w:t>
      </w:r>
      <w:r>
        <w:rPr>
          <w:rFonts w:ascii="Times New Roman" w:hAnsi="Times New Roman" w:cs="Times New Roman"/>
          <w:noProof/>
          <w:sz w:val="24"/>
          <w:szCs w:val="24"/>
        </w:rPr>
        <w:t>to determine</w:t>
      </w:r>
      <w:r w:rsidR="009136AE" w:rsidRPr="007046CF">
        <w:rPr>
          <w:rFonts w:ascii="Times New Roman" w:hAnsi="Times New Roman" w:cs="Times New Roman"/>
          <w:noProof/>
          <w:sz w:val="24"/>
          <w:szCs w:val="24"/>
        </w:rPr>
        <w:t xml:space="preserve"> the benefits of balance of payments statistics for users.</w:t>
      </w:r>
    </w:p>
    <w:p w14:paraId="40B0A564" w14:textId="2548C5AE" w:rsidR="009136AE" w:rsidRPr="007046CF" w:rsidRDefault="009136AE" w:rsidP="009136AE">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Balance of payments statistics are used intensively for policymaking purposes by the relevant national and international institutions. The European Commission and the Council, the European Central Bank (ECB) and the Eurosystem, the I</w:t>
      </w:r>
      <w:r w:rsidR="002D12C6">
        <w:rPr>
          <w:rFonts w:ascii="Times New Roman" w:hAnsi="Times New Roman" w:cs="Times New Roman"/>
          <w:noProof/>
          <w:sz w:val="24"/>
          <w:szCs w:val="24"/>
        </w:rPr>
        <w:t>MF</w:t>
      </w:r>
      <w:r w:rsidRPr="007046CF">
        <w:rPr>
          <w:rFonts w:ascii="Times New Roman" w:hAnsi="Times New Roman" w:cs="Times New Roman"/>
          <w:noProof/>
          <w:sz w:val="24"/>
          <w:szCs w:val="24"/>
        </w:rPr>
        <w:t>, the Bank for International Settlements (BIS), the Organisation for Economic Cooperation and Development (OECD), the G7 and G20, all make use of these statistics.</w:t>
      </w:r>
    </w:p>
    <w:p w14:paraId="53C5C777" w14:textId="408C549D" w:rsidR="009136AE" w:rsidRPr="007046CF" w:rsidRDefault="009136AE" w:rsidP="009136AE">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Balance of payments and international investment position statistics are used for monetary policy purposes. In combination with other indicators, statistics on the exchange of goods and services are used to assess inflationary pressures in the economies coming from external demand as well as to quantify the contribution of net exports to gross domestic product. Balance of payments and international investment position data are also used to assess the sustainability of the external balance of national economies having </w:t>
      </w:r>
      <w:r w:rsidR="00490580">
        <w:rPr>
          <w:rFonts w:ascii="Times New Roman" w:hAnsi="Times New Roman" w:cs="Times New Roman"/>
          <w:noProof/>
          <w:sz w:val="24"/>
          <w:szCs w:val="24"/>
        </w:rPr>
        <w:t>their</w:t>
      </w:r>
      <w:r w:rsidR="00490580" w:rsidRPr="007046CF">
        <w:rPr>
          <w:rFonts w:ascii="Times New Roman" w:hAnsi="Times New Roman" w:cs="Times New Roman"/>
          <w:noProof/>
          <w:sz w:val="24"/>
          <w:szCs w:val="24"/>
        </w:rPr>
        <w:t xml:space="preserve"> </w:t>
      </w:r>
      <w:r w:rsidRPr="007046CF">
        <w:rPr>
          <w:rFonts w:ascii="Times New Roman" w:hAnsi="Times New Roman" w:cs="Times New Roman"/>
          <w:noProof/>
          <w:sz w:val="24"/>
          <w:szCs w:val="24"/>
        </w:rPr>
        <w:t xml:space="preserve">own currency or a currency union (e.g. </w:t>
      </w:r>
      <w:r w:rsidR="00490580">
        <w:rPr>
          <w:rFonts w:ascii="Times New Roman" w:hAnsi="Times New Roman" w:cs="Times New Roman"/>
          <w:noProof/>
          <w:sz w:val="24"/>
          <w:szCs w:val="24"/>
        </w:rPr>
        <w:t xml:space="preserve">the </w:t>
      </w:r>
      <w:r w:rsidRPr="007046CF">
        <w:rPr>
          <w:rFonts w:ascii="Times New Roman" w:hAnsi="Times New Roman" w:cs="Times New Roman"/>
          <w:noProof/>
          <w:sz w:val="24"/>
          <w:szCs w:val="24"/>
        </w:rPr>
        <w:t xml:space="preserve">euro area) to which national economies belong and the possible pressures on the exchange rate. In addition, balance of payments and international investment position data are used extensively within the </w:t>
      </w:r>
      <w:r w:rsidR="002D12C6">
        <w:rPr>
          <w:rFonts w:ascii="Times New Roman" w:hAnsi="Times New Roman" w:cs="Times New Roman"/>
          <w:noProof/>
          <w:sz w:val="24"/>
          <w:szCs w:val="24"/>
        </w:rPr>
        <w:t>m</w:t>
      </w:r>
      <w:r w:rsidRPr="007046CF">
        <w:rPr>
          <w:rFonts w:ascii="Times New Roman" w:hAnsi="Times New Roman" w:cs="Times New Roman"/>
          <w:noProof/>
          <w:sz w:val="24"/>
          <w:szCs w:val="24"/>
        </w:rPr>
        <w:t xml:space="preserve">acroeconomic </w:t>
      </w:r>
      <w:r w:rsidR="002D12C6">
        <w:rPr>
          <w:rFonts w:ascii="Times New Roman" w:hAnsi="Times New Roman" w:cs="Times New Roman"/>
          <w:noProof/>
          <w:sz w:val="24"/>
          <w:szCs w:val="24"/>
        </w:rPr>
        <w:t>i</w:t>
      </w:r>
      <w:r w:rsidRPr="007046CF">
        <w:rPr>
          <w:rFonts w:ascii="Times New Roman" w:hAnsi="Times New Roman" w:cs="Times New Roman"/>
          <w:noProof/>
          <w:sz w:val="24"/>
          <w:szCs w:val="24"/>
        </w:rPr>
        <w:t xml:space="preserve">mbalances </w:t>
      </w:r>
      <w:r w:rsidR="002D12C6">
        <w:rPr>
          <w:rFonts w:ascii="Times New Roman" w:hAnsi="Times New Roman" w:cs="Times New Roman"/>
          <w:noProof/>
          <w:sz w:val="24"/>
          <w:szCs w:val="24"/>
        </w:rPr>
        <w:t>p</w:t>
      </w:r>
      <w:r w:rsidRPr="007046CF">
        <w:rPr>
          <w:rFonts w:ascii="Times New Roman" w:hAnsi="Times New Roman" w:cs="Times New Roman"/>
          <w:noProof/>
          <w:sz w:val="24"/>
          <w:szCs w:val="24"/>
        </w:rPr>
        <w:t>rocedure (MIP).</w:t>
      </w:r>
    </w:p>
    <w:p w14:paraId="65820DC6" w14:textId="6296EFE3" w:rsidR="009136AE" w:rsidRPr="007046CF" w:rsidRDefault="009136AE" w:rsidP="009136AE">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Balance of payments statistics are also included in the Convergence reports prepared and published by the European Commission and the ECB on individual Member States not yet participating in the Economic and Monetary Union (EMU).</w:t>
      </w:r>
    </w:p>
    <w:p w14:paraId="49575433" w14:textId="77777777" w:rsidR="009136AE" w:rsidRPr="007046CF" w:rsidRDefault="009136AE" w:rsidP="009136AE">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Articles 143 and 144 of the Treaty on the Functioning of the European Union refer explicitly to the balance of payments, requiring the Commission to keep the Council regularly informed on the development of the balance of payments situation in Member States not participating in the EMU.</w:t>
      </w:r>
    </w:p>
    <w:p w14:paraId="3645F841" w14:textId="537DC409" w:rsidR="009136AE" w:rsidRPr="007046CF" w:rsidRDefault="009136AE" w:rsidP="009136AE">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Current account developments in individual Member States are analysed in relation to their competitiveness, whereas direct and portfolio investment statistics are used to analyse the attractiveness of Member States for international investors.</w:t>
      </w:r>
    </w:p>
    <w:p w14:paraId="35519348" w14:textId="1AD66EAE" w:rsidR="009136AE" w:rsidRPr="007046CF" w:rsidRDefault="009136AE" w:rsidP="009136AE">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Balance of payments statistics should be consistent with other key statistics collected in related statistical </w:t>
      </w:r>
      <w:r w:rsidR="00490580">
        <w:rPr>
          <w:rFonts w:ascii="Times New Roman" w:hAnsi="Times New Roman" w:cs="Times New Roman"/>
          <w:noProof/>
          <w:sz w:val="24"/>
          <w:szCs w:val="24"/>
        </w:rPr>
        <w:t>areas</w:t>
      </w:r>
      <w:r w:rsidR="00490580" w:rsidRPr="007046CF">
        <w:rPr>
          <w:rFonts w:ascii="Times New Roman" w:hAnsi="Times New Roman" w:cs="Times New Roman"/>
          <w:noProof/>
          <w:sz w:val="24"/>
          <w:szCs w:val="24"/>
        </w:rPr>
        <w:t xml:space="preserve"> </w:t>
      </w:r>
      <w:r w:rsidRPr="007046CF">
        <w:rPr>
          <w:rFonts w:ascii="Times New Roman" w:hAnsi="Times New Roman" w:cs="Times New Roman"/>
          <w:noProof/>
          <w:sz w:val="24"/>
          <w:szCs w:val="24"/>
        </w:rPr>
        <w:t>with EU relevance, such as:</w:t>
      </w:r>
    </w:p>
    <w:p w14:paraId="158BF771" w14:textId="7BCFB8D3" w:rsidR="009136AE" w:rsidRPr="007046CF" w:rsidRDefault="00490580" w:rsidP="009136AE">
      <w:pPr>
        <w:pStyle w:val="ListDash1"/>
        <w:numPr>
          <w:ilvl w:val="0"/>
          <w:numId w:val="5"/>
        </w:numPr>
        <w:ind w:left="360"/>
        <w:rPr>
          <w:noProof/>
        </w:rPr>
      </w:pPr>
      <w:r>
        <w:rPr>
          <w:noProof/>
        </w:rPr>
        <w:t>g</w:t>
      </w:r>
      <w:r w:rsidR="009136AE" w:rsidRPr="007046CF">
        <w:rPr>
          <w:noProof/>
        </w:rPr>
        <w:t xml:space="preserve">ross </w:t>
      </w:r>
      <w:r>
        <w:rPr>
          <w:noProof/>
        </w:rPr>
        <w:t>d</w:t>
      </w:r>
      <w:r w:rsidR="009136AE" w:rsidRPr="007046CF">
        <w:rPr>
          <w:noProof/>
        </w:rPr>
        <w:t xml:space="preserve">omestic </w:t>
      </w:r>
      <w:r>
        <w:rPr>
          <w:noProof/>
        </w:rPr>
        <w:t>p</w:t>
      </w:r>
      <w:r w:rsidR="009136AE" w:rsidRPr="007046CF">
        <w:rPr>
          <w:noProof/>
        </w:rPr>
        <w:t>roduct (incorporating cross-border transactions in goods and services) including flash estimates, for which monthly balance of payments indicators are needed;</w:t>
      </w:r>
    </w:p>
    <w:p w14:paraId="35A06C10" w14:textId="7D8D3072" w:rsidR="009136AE" w:rsidRPr="007046CF" w:rsidRDefault="00490580" w:rsidP="009136AE">
      <w:pPr>
        <w:pStyle w:val="ListDash1"/>
        <w:numPr>
          <w:ilvl w:val="0"/>
          <w:numId w:val="5"/>
        </w:numPr>
        <w:ind w:left="360"/>
        <w:rPr>
          <w:noProof/>
        </w:rPr>
      </w:pPr>
      <w:r>
        <w:rPr>
          <w:noProof/>
        </w:rPr>
        <w:t>g</w:t>
      </w:r>
      <w:r w:rsidR="009136AE" w:rsidRPr="007046CF">
        <w:rPr>
          <w:noProof/>
        </w:rPr>
        <w:t xml:space="preserve">ross </w:t>
      </w:r>
      <w:r>
        <w:rPr>
          <w:noProof/>
        </w:rPr>
        <w:t>n</w:t>
      </w:r>
      <w:r w:rsidR="009136AE" w:rsidRPr="007046CF">
        <w:rPr>
          <w:noProof/>
        </w:rPr>
        <w:t xml:space="preserve">ational </w:t>
      </w:r>
      <w:r>
        <w:rPr>
          <w:noProof/>
        </w:rPr>
        <w:t>i</w:t>
      </w:r>
      <w:r w:rsidR="009136AE" w:rsidRPr="007046CF">
        <w:rPr>
          <w:noProof/>
        </w:rPr>
        <w:t>ncome (incorporating cross-border transactions in goods and services as well as income);</w:t>
      </w:r>
    </w:p>
    <w:p w14:paraId="665E7CA0" w14:textId="3377B9B2" w:rsidR="009136AE" w:rsidRPr="007046CF" w:rsidRDefault="009136AE" w:rsidP="009136AE">
      <w:pPr>
        <w:pStyle w:val="ListDash1"/>
        <w:numPr>
          <w:ilvl w:val="0"/>
          <w:numId w:val="5"/>
        </w:numPr>
        <w:ind w:left="360"/>
        <w:rPr>
          <w:noProof/>
        </w:rPr>
      </w:pPr>
      <w:r w:rsidRPr="007046CF">
        <w:rPr>
          <w:noProof/>
        </w:rPr>
        <w:t xml:space="preserve">the rest of the world </w:t>
      </w:r>
      <w:r w:rsidRPr="00CB35A6">
        <w:rPr>
          <w:noProof/>
        </w:rPr>
        <w:t>account</w:t>
      </w:r>
      <w:r w:rsidR="009F11A5">
        <w:rPr>
          <w:noProof/>
        </w:rPr>
        <w:t>s</w:t>
      </w:r>
      <w:r w:rsidRPr="007046CF">
        <w:rPr>
          <w:noProof/>
        </w:rPr>
        <w:t xml:space="preserve"> in the EU and in the euro area quarterly sector accounts, including financial accounts.</w:t>
      </w:r>
    </w:p>
    <w:p w14:paraId="51DFE5A8" w14:textId="4BE871F6" w:rsidR="009136AE" w:rsidRPr="007046CF" w:rsidRDefault="009136AE" w:rsidP="009136AE">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Apart from the main aggregates, </w:t>
      </w:r>
      <w:r w:rsidR="000531E6">
        <w:rPr>
          <w:rFonts w:ascii="Times New Roman" w:hAnsi="Times New Roman" w:cs="Times New Roman"/>
          <w:noProof/>
          <w:sz w:val="24"/>
          <w:szCs w:val="24"/>
        </w:rPr>
        <w:t xml:space="preserve">the following </w:t>
      </w:r>
      <w:r w:rsidRPr="007046CF">
        <w:rPr>
          <w:rFonts w:ascii="Times New Roman" w:hAnsi="Times New Roman" w:cs="Times New Roman"/>
          <w:noProof/>
          <w:sz w:val="24"/>
          <w:szCs w:val="24"/>
        </w:rPr>
        <w:t>specific items have particular relevance for some users:</w:t>
      </w:r>
    </w:p>
    <w:p w14:paraId="157A4E94" w14:textId="1E8F7093" w:rsidR="009136AE" w:rsidRPr="007046CF" w:rsidRDefault="000531E6" w:rsidP="009136AE">
      <w:pPr>
        <w:pStyle w:val="ListDash1"/>
        <w:numPr>
          <w:ilvl w:val="0"/>
          <w:numId w:val="5"/>
        </w:numPr>
        <w:ind w:left="360"/>
        <w:rPr>
          <w:noProof/>
        </w:rPr>
      </w:pPr>
      <w:r>
        <w:rPr>
          <w:noProof/>
        </w:rPr>
        <w:t>D</w:t>
      </w:r>
      <w:r w:rsidR="009136AE" w:rsidRPr="007046CF">
        <w:rPr>
          <w:noProof/>
        </w:rPr>
        <w:t xml:space="preserve">etailed information on international trade in services published </w:t>
      </w:r>
      <w:r>
        <w:rPr>
          <w:noProof/>
        </w:rPr>
        <w:t xml:space="preserve">annually </w:t>
      </w:r>
      <w:r w:rsidR="009136AE" w:rsidRPr="007046CF">
        <w:rPr>
          <w:noProof/>
        </w:rPr>
        <w:t>by Eurostat is important for trade negotiations and the definition of customs policies</w:t>
      </w:r>
      <w:r>
        <w:rPr>
          <w:noProof/>
        </w:rPr>
        <w:t>.</w:t>
      </w:r>
    </w:p>
    <w:p w14:paraId="10253080" w14:textId="748CA99F" w:rsidR="009136AE" w:rsidRPr="007046CF" w:rsidRDefault="000531E6" w:rsidP="009136AE">
      <w:pPr>
        <w:pStyle w:val="ListDash1"/>
        <w:numPr>
          <w:ilvl w:val="0"/>
          <w:numId w:val="5"/>
        </w:numPr>
        <w:ind w:left="360"/>
        <w:rPr>
          <w:noProof/>
        </w:rPr>
      </w:pPr>
      <w:r>
        <w:rPr>
          <w:noProof/>
        </w:rPr>
        <w:t>T</w:t>
      </w:r>
      <w:r w:rsidR="009136AE" w:rsidRPr="007046CF">
        <w:rPr>
          <w:noProof/>
        </w:rPr>
        <w:t xml:space="preserve">he geographical breakdown of balance of payments statistics </w:t>
      </w:r>
      <w:r>
        <w:rPr>
          <w:noProof/>
        </w:rPr>
        <w:t>helps</w:t>
      </w:r>
      <w:r w:rsidRPr="007046CF">
        <w:rPr>
          <w:noProof/>
        </w:rPr>
        <w:t xml:space="preserve"> </w:t>
      </w:r>
      <w:r w:rsidR="009136AE" w:rsidRPr="007046CF">
        <w:rPr>
          <w:noProof/>
        </w:rPr>
        <w:t xml:space="preserve">to monitor interactions between the EU and </w:t>
      </w:r>
      <w:r>
        <w:rPr>
          <w:noProof/>
        </w:rPr>
        <w:t>non-EU</w:t>
      </w:r>
      <w:r w:rsidRPr="007046CF">
        <w:rPr>
          <w:noProof/>
        </w:rPr>
        <w:t xml:space="preserve"> </w:t>
      </w:r>
      <w:r w:rsidR="009136AE" w:rsidRPr="007046CF">
        <w:rPr>
          <w:noProof/>
        </w:rPr>
        <w:t>countries</w:t>
      </w:r>
      <w:r>
        <w:rPr>
          <w:noProof/>
        </w:rPr>
        <w:t>.</w:t>
      </w:r>
    </w:p>
    <w:p w14:paraId="7DC262D5" w14:textId="53542316" w:rsidR="009136AE" w:rsidRPr="007046CF" w:rsidRDefault="000531E6" w:rsidP="009136AE">
      <w:pPr>
        <w:pStyle w:val="ListDash1"/>
        <w:numPr>
          <w:ilvl w:val="0"/>
          <w:numId w:val="5"/>
        </w:numPr>
        <w:ind w:left="360"/>
        <w:rPr>
          <w:noProof/>
        </w:rPr>
      </w:pPr>
      <w:r>
        <w:rPr>
          <w:noProof/>
        </w:rPr>
        <w:t>T</w:t>
      </w:r>
      <w:r w:rsidR="009136AE" w:rsidRPr="007046CF">
        <w:rPr>
          <w:noProof/>
        </w:rPr>
        <w:t>he composition of financial flows and stocks (in terms of direct investment, portfolio and other investment) is valuable for assessing financial stability.</w:t>
      </w:r>
    </w:p>
    <w:p w14:paraId="25567865" w14:textId="2FBBB53F" w:rsidR="009136AE" w:rsidRPr="007046CF" w:rsidRDefault="000531E6" w:rsidP="009136AE">
      <w:pPr>
        <w:pStyle w:val="ListDash1"/>
        <w:numPr>
          <w:ilvl w:val="0"/>
          <w:numId w:val="5"/>
        </w:numPr>
        <w:ind w:left="360"/>
        <w:rPr>
          <w:noProof/>
        </w:rPr>
      </w:pPr>
      <w:r>
        <w:rPr>
          <w:noProof/>
        </w:rPr>
        <w:t>D</w:t>
      </w:r>
      <w:r w:rsidR="009136AE" w:rsidRPr="007046CF">
        <w:rPr>
          <w:noProof/>
        </w:rPr>
        <w:t xml:space="preserve">etailed information on foreign direct investment flows is important to measure the degree of </w:t>
      </w:r>
      <w:r w:rsidR="007046CF" w:rsidRPr="007046CF">
        <w:rPr>
          <w:noProof/>
        </w:rPr>
        <w:t>openness</w:t>
      </w:r>
      <w:r w:rsidR="009136AE" w:rsidRPr="007046CF">
        <w:rPr>
          <w:noProof/>
        </w:rPr>
        <w:t xml:space="preserve"> of certain markets, or to assess the overall </w:t>
      </w:r>
      <w:r w:rsidR="00DC0C42">
        <w:rPr>
          <w:noProof/>
        </w:rPr>
        <w:t>profitability</w:t>
      </w:r>
      <w:r w:rsidR="009136AE" w:rsidRPr="007046CF">
        <w:rPr>
          <w:noProof/>
        </w:rPr>
        <w:t xml:space="preserve"> of direct investment capital invested </w:t>
      </w:r>
      <w:r w:rsidR="007046CF" w:rsidRPr="007046CF">
        <w:rPr>
          <w:noProof/>
        </w:rPr>
        <w:t>through</w:t>
      </w:r>
      <w:r w:rsidR="009136AE" w:rsidRPr="007046CF">
        <w:rPr>
          <w:noProof/>
        </w:rPr>
        <w:t xml:space="preserve"> the use of income and positions statistics.</w:t>
      </w:r>
    </w:p>
    <w:p w14:paraId="01558DA4" w14:textId="070D03EF" w:rsidR="009136AE" w:rsidRPr="007046CF" w:rsidRDefault="009136AE" w:rsidP="009136AE">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The members of the Balance of Payments Working Group (</w:t>
      </w:r>
      <w:r w:rsidR="000531E6">
        <w:rPr>
          <w:rFonts w:ascii="Times New Roman" w:hAnsi="Times New Roman" w:cs="Times New Roman"/>
          <w:noProof/>
          <w:sz w:val="24"/>
          <w:szCs w:val="24"/>
        </w:rPr>
        <w:t>the</w:t>
      </w:r>
      <w:r w:rsidRPr="007046CF">
        <w:rPr>
          <w:rFonts w:ascii="Times New Roman" w:hAnsi="Times New Roman" w:cs="Times New Roman"/>
          <w:noProof/>
          <w:sz w:val="24"/>
          <w:szCs w:val="24"/>
        </w:rPr>
        <w:t xml:space="preserve"> BOPWG) acknowledge that the implementation of Regulation (EC) No 184/2005 has triggered a number of changes that have improved the quality of balance of payments statistics from several points of view. </w:t>
      </w:r>
      <w:r w:rsidR="000531E6">
        <w:rPr>
          <w:rFonts w:ascii="Times New Roman" w:hAnsi="Times New Roman" w:cs="Times New Roman"/>
          <w:noProof/>
          <w:sz w:val="24"/>
          <w:szCs w:val="24"/>
          <w:lang w:eastAsia="en-GB"/>
        </w:rPr>
        <w:t xml:space="preserve">In </w:t>
      </w:r>
      <w:r w:rsidRPr="007046CF">
        <w:rPr>
          <w:rFonts w:ascii="Times New Roman" w:hAnsi="Times New Roman" w:cs="Times New Roman"/>
          <w:noProof/>
          <w:sz w:val="24"/>
          <w:szCs w:val="24"/>
          <w:lang w:eastAsia="en-GB"/>
        </w:rPr>
        <w:t>assess</w:t>
      </w:r>
      <w:r w:rsidR="000531E6">
        <w:rPr>
          <w:rFonts w:ascii="Times New Roman" w:hAnsi="Times New Roman" w:cs="Times New Roman"/>
          <w:noProof/>
          <w:sz w:val="24"/>
          <w:szCs w:val="24"/>
          <w:lang w:eastAsia="en-GB"/>
        </w:rPr>
        <w:t>ing</w:t>
      </w:r>
      <w:r w:rsidRPr="007046CF">
        <w:rPr>
          <w:rFonts w:ascii="Times New Roman" w:hAnsi="Times New Roman" w:cs="Times New Roman"/>
          <w:noProof/>
          <w:sz w:val="24"/>
          <w:szCs w:val="24"/>
          <w:lang w:eastAsia="en-GB"/>
        </w:rPr>
        <w:t xml:space="preserve"> the benefits </w:t>
      </w:r>
      <w:r w:rsidR="000531E6">
        <w:rPr>
          <w:rFonts w:ascii="Times New Roman" w:hAnsi="Times New Roman" w:cs="Times New Roman"/>
          <w:noProof/>
          <w:sz w:val="24"/>
          <w:szCs w:val="24"/>
          <w:lang w:eastAsia="en-GB"/>
        </w:rPr>
        <w:t xml:space="preserve">of this Regulation </w:t>
      </w:r>
      <w:r w:rsidRPr="007046CF">
        <w:rPr>
          <w:rFonts w:ascii="Times New Roman" w:hAnsi="Times New Roman" w:cs="Times New Roman"/>
          <w:noProof/>
          <w:sz w:val="24"/>
          <w:szCs w:val="24"/>
          <w:lang w:eastAsia="en-GB"/>
        </w:rPr>
        <w:t xml:space="preserve">for national data compilers and users, the members of the </w:t>
      </w:r>
      <w:r w:rsidRPr="007046CF">
        <w:rPr>
          <w:rFonts w:ascii="Times New Roman" w:hAnsi="Times New Roman" w:cs="Times New Roman"/>
          <w:noProof/>
          <w:sz w:val="24"/>
          <w:szCs w:val="24"/>
        </w:rPr>
        <w:t xml:space="preserve">BOPWG </w:t>
      </w:r>
      <w:r w:rsidRPr="007046CF">
        <w:rPr>
          <w:rFonts w:ascii="Times New Roman" w:hAnsi="Times New Roman" w:cs="Times New Roman"/>
          <w:noProof/>
          <w:sz w:val="24"/>
          <w:szCs w:val="24"/>
          <w:lang w:eastAsia="en-GB"/>
        </w:rPr>
        <w:t>were asked to give scores rang</w:t>
      </w:r>
      <w:r w:rsidR="000531E6">
        <w:rPr>
          <w:rFonts w:ascii="Times New Roman" w:hAnsi="Times New Roman" w:cs="Times New Roman"/>
          <w:noProof/>
          <w:sz w:val="24"/>
          <w:szCs w:val="24"/>
          <w:lang w:eastAsia="en-GB"/>
        </w:rPr>
        <w:t>ing</w:t>
      </w:r>
      <w:r w:rsidRPr="007046CF">
        <w:rPr>
          <w:rFonts w:ascii="Times New Roman" w:hAnsi="Times New Roman" w:cs="Times New Roman"/>
          <w:noProof/>
          <w:sz w:val="24"/>
          <w:szCs w:val="24"/>
          <w:lang w:eastAsia="en-GB"/>
        </w:rPr>
        <w:t xml:space="preserve"> from 1 to 5 (a score of 1 </w:t>
      </w:r>
      <w:r w:rsidR="00D92AA6">
        <w:rPr>
          <w:rFonts w:ascii="Times New Roman" w:hAnsi="Times New Roman" w:cs="Times New Roman"/>
          <w:noProof/>
          <w:sz w:val="24"/>
          <w:szCs w:val="24"/>
          <w:lang w:eastAsia="en-GB"/>
        </w:rPr>
        <w:t>being</w:t>
      </w:r>
      <w:r w:rsidR="00D92AA6" w:rsidRPr="007046CF">
        <w:rPr>
          <w:rFonts w:ascii="Times New Roman" w:hAnsi="Times New Roman" w:cs="Times New Roman"/>
          <w:noProof/>
          <w:sz w:val="24"/>
          <w:szCs w:val="24"/>
          <w:lang w:eastAsia="en-GB"/>
        </w:rPr>
        <w:t xml:space="preserve"> </w:t>
      </w:r>
      <w:r w:rsidR="00D92AA6">
        <w:rPr>
          <w:rFonts w:ascii="Times New Roman" w:hAnsi="Times New Roman" w:cs="Times New Roman"/>
          <w:noProof/>
          <w:sz w:val="24"/>
          <w:szCs w:val="24"/>
          <w:lang w:eastAsia="en-GB"/>
        </w:rPr>
        <w:t>the</w:t>
      </w:r>
      <w:r w:rsidR="00D92AA6" w:rsidRPr="007046CF">
        <w:rPr>
          <w:rFonts w:ascii="Times New Roman" w:hAnsi="Times New Roman" w:cs="Times New Roman"/>
          <w:noProof/>
          <w:sz w:val="24"/>
          <w:szCs w:val="24"/>
          <w:lang w:eastAsia="en-GB"/>
        </w:rPr>
        <w:t xml:space="preserve"> </w:t>
      </w:r>
      <w:r w:rsidR="00D92AA6">
        <w:rPr>
          <w:rFonts w:ascii="Times New Roman" w:hAnsi="Times New Roman" w:cs="Times New Roman"/>
          <w:noProof/>
          <w:sz w:val="24"/>
          <w:szCs w:val="24"/>
          <w:lang w:eastAsia="en-GB"/>
        </w:rPr>
        <w:t>fewest</w:t>
      </w:r>
      <w:r w:rsidRPr="007046CF">
        <w:rPr>
          <w:rFonts w:ascii="Times New Roman" w:hAnsi="Times New Roman" w:cs="Times New Roman"/>
          <w:noProof/>
          <w:sz w:val="24"/>
          <w:szCs w:val="24"/>
          <w:lang w:eastAsia="en-GB"/>
        </w:rPr>
        <w:t xml:space="preserve"> benefits, a score of 5 </w:t>
      </w:r>
      <w:r w:rsidR="00D92AA6">
        <w:rPr>
          <w:rFonts w:ascii="Times New Roman" w:hAnsi="Times New Roman" w:cs="Times New Roman"/>
          <w:noProof/>
          <w:sz w:val="24"/>
          <w:szCs w:val="24"/>
          <w:lang w:eastAsia="en-GB"/>
        </w:rPr>
        <w:t>being</w:t>
      </w:r>
      <w:r w:rsidR="00D92AA6" w:rsidRPr="007046CF">
        <w:rPr>
          <w:rFonts w:ascii="Times New Roman" w:hAnsi="Times New Roman" w:cs="Times New Roman"/>
          <w:noProof/>
          <w:sz w:val="24"/>
          <w:szCs w:val="24"/>
          <w:lang w:eastAsia="en-GB"/>
        </w:rPr>
        <w:t xml:space="preserve"> </w:t>
      </w:r>
      <w:r w:rsidR="00D92AA6">
        <w:rPr>
          <w:rFonts w:ascii="Times New Roman" w:hAnsi="Times New Roman" w:cs="Times New Roman"/>
          <w:noProof/>
          <w:sz w:val="24"/>
          <w:szCs w:val="24"/>
          <w:lang w:eastAsia="en-GB"/>
        </w:rPr>
        <w:t xml:space="preserve">the </w:t>
      </w:r>
      <w:r w:rsidRPr="007046CF">
        <w:rPr>
          <w:rFonts w:ascii="Times New Roman" w:hAnsi="Times New Roman" w:cs="Times New Roman"/>
          <w:noProof/>
          <w:sz w:val="24"/>
          <w:szCs w:val="24"/>
          <w:lang w:eastAsia="en-GB"/>
        </w:rPr>
        <w:t>highest</w:t>
      </w:r>
      <w:r w:rsidR="000531E6">
        <w:rPr>
          <w:rFonts w:ascii="Times New Roman" w:hAnsi="Times New Roman" w:cs="Times New Roman"/>
          <w:noProof/>
          <w:sz w:val="24"/>
          <w:szCs w:val="24"/>
          <w:lang w:eastAsia="en-GB"/>
        </w:rPr>
        <w:t>)</w:t>
      </w:r>
      <w:r w:rsidRPr="007046CF">
        <w:rPr>
          <w:rFonts w:ascii="Times New Roman" w:hAnsi="Times New Roman" w:cs="Times New Roman"/>
          <w:noProof/>
          <w:sz w:val="24"/>
          <w:szCs w:val="24"/>
          <w:lang w:eastAsia="en-GB"/>
        </w:rPr>
        <w:t>, with the following results:</w:t>
      </w:r>
    </w:p>
    <w:p w14:paraId="4A2782FA" w14:textId="195C8C04" w:rsidR="009136AE" w:rsidRPr="007046CF" w:rsidRDefault="009136AE" w:rsidP="009136AE">
      <w:pPr>
        <w:pStyle w:val="ListDash1"/>
        <w:numPr>
          <w:ilvl w:val="0"/>
          <w:numId w:val="6"/>
        </w:numPr>
        <w:ind w:left="360"/>
        <w:rPr>
          <w:noProof/>
        </w:rPr>
      </w:pPr>
      <w:r w:rsidRPr="007046CF">
        <w:rPr>
          <w:noProof/>
        </w:rPr>
        <w:t>The average score for the availability of more detailed data on balance of payments, international trade in services and foreign direct investment to data users is 3.8.</w:t>
      </w:r>
    </w:p>
    <w:p w14:paraId="68D885B7" w14:textId="0E744508" w:rsidR="009136AE" w:rsidRPr="007046CF" w:rsidRDefault="009136AE" w:rsidP="009136AE">
      <w:pPr>
        <w:pStyle w:val="ListDash1"/>
        <w:numPr>
          <w:ilvl w:val="0"/>
          <w:numId w:val="6"/>
        </w:numPr>
        <w:ind w:left="360"/>
        <w:rPr>
          <w:noProof/>
        </w:rPr>
      </w:pPr>
      <w:r w:rsidRPr="007046CF">
        <w:rPr>
          <w:noProof/>
        </w:rPr>
        <w:t xml:space="preserve">The average score for the availability of more timely and punctual data on balance of payments, international trade in services and </w:t>
      </w:r>
      <w:r w:rsidRPr="007046CF">
        <w:rPr>
          <w:rFonts w:eastAsia="EUAlbertina-Bold-Identity-H"/>
          <w:bCs/>
          <w:noProof/>
          <w:color w:val="231F20"/>
        </w:rPr>
        <w:t>foreign direct investment</w:t>
      </w:r>
      <w:r w:rsidRPr="007046CF">
        <w:rPr>
          <w:noProof/>
        </w:rPr>
        <w:t xml:space="preserve"> to data users is 3.9.</w:t>
      </w:r>
    </w:p>
    <w:p w14:paraId="558E9B11" w14:textId="77777777" w:rsidR="009136AE" w:rsidRPr="007046CF" w:rsidRDefault="009136AE" w:rsidP="009136AE">
      <w:pPr>
        <w:pStyle w:val="ListDash1"/>
        <w:numPr>
          <w:ilvl w:val="0"/>
          <w:numId w:val="5"/>
        </w:numPr>
        <w:ind w:left="360"/>
        <w:rPr>
          <w:noProof/>
        </w:rPr>
      </w:pPr>
      <w:r w:rsidRPr="007046CF">
        <w:rPr>
          <w:noProof/>
        </w:rPr>
        <w:t>The average score for enhanced consistency of balance of payments data with national accounts data is 4.4.</w:t>
      </w:r>
    </w:p>
    <w:p w14:paraId="5ADFAFFE" w14:textId="5A84A341" w:rsidR="009136AE" w:rsidRPr="007046CF" w:rsidRDefault="00D92AA6" w:rsidP="009136AE">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BOPWG</w:t>
      </w:r>
      <w:r w:rsidR="009136AE" w:rsidRPr="007046CF">
        <w:rPr>
          <w:rFonts w:ascii="Times New Roman" w:hAnsi="Times New Roman" w:cs="Times New Roman"/>
          <w:noProof/>
          <w:sz w:val="24"/>
          <w:szCs w:val="24"/>
        </w:rPr>
        <w:t xml:space="preserve"> further noted that the methodological changes and new standards of the BPM6, as well as the increased attention paid to international investment position data, introduced at </w:t>
      </w:r>
      <w:r>
        <w:rPr>
          <w:rFonts w:ascii="Times New Roman" w:hAnsi="Times New Roman" w:cs="Times New Roman"/>
          <w:noProof/>
          <w:sz w:val="24"/>
          <w:szCs w:val="24"/>
        </w:rPr>
        <w:t>EU</w:t>
      </w:r>
      <w:r w:rsidRPr="007046CF">
        <w:rPr>
          <w:rFonts w:ascii="Times New Roman" w:hAnsi="Times New Roman" w:cs="Times New Roman"/>
          <w:noProof/>
          <w:sz w:val="24"/>
          <w:szCs w:val="24"/>
        </w:rPr>
        <w:t xml:space="preserve"> </w:t>
      </w:r>
      <w:r w:rsidR="009136AE" w:rsidRPr="007046CF">
        <w:rPr>
          <w:rFonts w:ascii="Times New Roman" w:hAnsi="Times New Roman" w:cs="Times New Roman"/>
          <w:noProof/>
          <w:sz w:val="24"/>
          <w:szCs w:val="24"/>
        </w:rPr>
        <w:t>level in 2014 by Commission Regulation (EU) No</w:t>
      </w:r>
      <w:r w:rsidR="007046CF">
        <w:rPr>
          <w:rFonts w:ascii="Times New Roman" w:hAnsi="Times New Roman" w:cs="Times New Roman"/>
          <w:noProof/>
          <w:sz w:val="24"/>
          <w:szCs w:val="24"/>
        </w:rPr>
        <w:t> </w:t>
      </w:r>
      <w:r w:rsidR="009136AE" w:rsidRPr="007046CF">
        <w:rPr>
          <w:rFonts w:ascii="Times New Roman" w:hAnsi="Times New Roman" w:cs="Times New Roman"/>
          <w:noProof/>
          <w:sz w:val="24"/>
          <w:szCs w:val="24"/>
        </w:rPr>
        <w:t xml:space="preserve">555/2012, brought clarity and important additional information to statistical data users involved in macroeconomic policy and economic research. Another acknowledged </w:t>
      </w:r>
      <w:r>
        <w:rPr>
          <w:rFonts w:ascii="Times New Roman" w:hAnsi="Times New Roman" w:cs="Times New Roman"/>
          <w:noProof/>
          <w:sz w:val="24"/>
          <w:szCs w:val="24"/>
        </w:rPr>
        <w:t xml:space="preserve">benefit </w:t>
      </w:r>
      <w:r w:rsidR="009136AE" w:rsidRPr="007046CF">
        <w:rPr>
          <w:rFonts w:ascii="Times New Roman" w:hAnsi="Times New Roman" w:cs="Times New Roman"/>
          <w:noProof/>
          <w:sz w:val="24"/>
          <w:szCs w:val="24"/>
        </w:rPr>
        <w:t>is that the Regulation improved comparability and consistency of the data across Member States.</w:t>
      </w:r>
    </w:p>
    <w:p w14:paraId="6159F6F9" w14:textId="17397D35" w:rsidR="009136AE" w:rsidRPr="007046CF" w:rsidRDefault="009136AE" w:rsidP="009136AE">
      <w:pPr>
        <w:spacing w:after="120" w:line="240" w:lineRule="auto"/>
        <w:jc w:val="both"/>
        <w:rPr>
          <w:rFonts w:ascii="Times New Roman" w:hAnsi="Times New Roman" w:cs="Times New Roman"/>
          <w:noProof/>
          <w:sz w:val="24"/>
          <w:szCs w:val="24"/>
          <w:lang w:eastAsia="en-GB"/>
        </w:rPr>
      </w:pPr>
      <w:r w:rsidRPr="007046CF">
        <w:rPr>
          <w:rFonts w:ascii="Times New Roman" w:hAnsi="Times New Roman" w:cs="Times New Roman"/>
          <w:noProof/>
          <w:sz w:val="24"/>
          <w:szCs w:val="24"/>
        </w:rPr>
        <w:t xml:space="preserve">When analysing the completeness of the data, </w:t>
      </w:r>
      <w:r w:rsidR="00D92AA6">
        <w:rPr>
          <w:rFonts w:ascii="Times New Roman" w:hAnsi="Times New Roman" w:cs="Times New Roman"/>
          <w:noProof/>
          <w:sz w:val="24"/>
          <w:szCs w:val="24"/>
        </w:rPr>
        <w:t>the BOPWG</w:t>
      </w:r>
      <w:r w:rsidRPr="007046CF">
        <w:rPr>
          <w:rFonts w:ascii="Times New Roman" w:hAnsi="Times New Roman" w:cs="Times New Roman"/>
          <w:noProof/>
          <w:sz w:val="24"/>
          <w:szCs w:val="24"/>
        </w:rPr>
        <w:t xml:space="preserve"> observed </w:t>
      </w:r>
      <w:r w:rsidR="00D92AA6">
        <w:rPr>
          <w:rFonts w:ascii="Times New Roman" w:hAnsi="Times New Roman" w:cs="Times New Roman"/>
          <w:noProof/>
          <w:sz w:val="24"/>
          <w:szCs w:val="24"/>
        </w:rPr>
        <w:t>a</w:t>
      </w:r>
      <w:r w:rsidRPr="007046CF">
        <w:rPr>
          <w:rFonts w:ascii="Times New Roman" w:hAnsi="Times New Roman" w:cs="Times New Roman"/>
          <w:noProof/>
          <w:sz w:val="24"/>
          <w:szCs w:val="24"/>
        </w:rPr>
        <w:t xml:space="preserve"> slight improve</w:t>
      </w:r>
      <w:r w:rsidR="00D92AA6">
        <w:rPr>
          <w:rFonts w:ascii="Times New Roman" w:hAnsi="Times New Roman" w:cs="Times New Roman"/>
          <w:noProof/>
          <w:sz w:val="24"/>
          <w:szCs w:val="24"/>
        </w:rPr>
        <w:t>ment</w:t>
      </w:r>
      <w:r w:rsidRPr="007046CF">
        <w:rPr>
          <w:rFonts w:ascii="Times New Roman" w:hAnsi="Times New Roman" w:cs="Times New Roman"/>
          <w:noProof/>
          <w:sz w:val="24"/>
          <w:szCs w:val="24"/>
        </w:rPr>
        <w:t xml:space="preserve"> compared</w:t>
      </w:r>
      <w:r w:rsidRPr="007046CF">
        <w:rPr>
          <w:rFonts w:ascii="Times New Roman" w:hAnsi="Times New Roman" w:cs="Times New Roman"/>
          <w:noProof/>
          <w:sz w:val="24"/>
          <w:szCs w:val="24"/>
          <w:lang w:eastAsia="en-GB"/>
        </w:rPr>
        <w:t xml:space="preserve"> </w:t>
      </w:r>
      <w:r w:rsidRPr="007046CF">
        <w:rPr>
          <w:rFonts w:ascii="Times New Roman" w:hAnsi="Times New Roman" w:cs="Times New Roman"/>
          <w:noProof/>
          <w:sz w:val="24"/>
          <w:szCs w:val="24"/>
        </w:rPr>
        <w:t xml:space="preserve">with the previous quality report, </w:t>
      </w:r>
      <w:r w:rsidR="00D92AA6">
        <w:rPr>
          <w:rFonts w:ascii="Times New Roman" w:hAnsi="Times New Roman" w:cs="Times New Roman"/>
          <w:noProof/>
          <w:sz w:val="24"/>
          <w:szCs w:val="24"/>
        </w:rPr>
        <w:t>notably</w:t>
      </w:r>
      <w:r w:rsidRPr="007046CF">
        <w:rPr>
          <w:rFonts w:ascii="Times New Roman" w:hAnsi="Times New Roman" w:cs="Times New Roman"/>
          <w:noProof/>
          <w:sz w:val="24"/>
          <w:szCs w:val="24"/>
        </w:rPr>
        <w:t xml:space="preserve"> for quarterly balance of payments and foreign direct investment. </w:t>
      </w:r>
      <w:r w:rsidRPr="007046CF">
        <w:rPr>
          <w:rFonts w:ascii="Times New Roman" w:hAnsi="Times New Roman" w:cs="Times New Roman"/>
          <w:noProof/>
          <w:color w:val="000000"/>
          <w:sz w:val="24"/>
          <w:szCs w:val="24"/>
          <w:lang w:eastAsia="en-GB"/>
        </w:rPr>
        <w:t xml:space="preserve">Regarding monthly and quarterly </w:t>
      </w:r>
      <w:r w:rsidRPr="007046CF">
        <w:rPr>
          <w:rFonts w:ascii="Times New Roman" w:hAnsi="Times New Roman" w:cs="Times New Roman"/>
          <w:noProof/>
          <w:sz w:val="24"/>
          <w:szCs w:val="24"/>
        </w:rPr>
        <w:t>balance of payments</w:t>
      </w:r>
      <w:r w:rsidRPr="007046CF">
        <w:rPr>
          <w:rFonts w:ascii="Times New Roman" w:hAnsi="Times New Roman" w:cs="Times New Roman"/>
          <w:noProof/>
          <w:color w:val="000000"/>
          <w:sz w:val="24"/>
          <w:szCs w:val="24"/>
          <w:lang w:eastAsia="en-GB"/>
        </w:rPr>
        <w:t xml:space="preserve"> and quarterly </w:t>
      </w:r>
      <w:r w:rsidRPr="007046CF">
        <w:rPr>
          <w:rFonts w:ascii="Times New Roman" w:hAnsi="Times New Roman" w:cs="Times New Roman"/>
          <w:noProof/>
          <w:sz w:val="24"/>
          <w:szCs w:val="24"/>
          <w:lang w:eastAsia="en-GB"/>
        </w:rPr>
        <w:t>international investment position,</w:t>
      </w:r>
      <w:r w:rsidRPr="007046CF">
        <w:rPr>
          <w:rFonts w:ascii="Times New Roman" w:hAnsi="Times New Roman" w:cs="Times New Roman"/>
          <w:noProof/>
          <w:color w:val="000000"/>
          <w:sz w:val="24"/>
          <w:szCs w:val="24"/>
          <w:lang w:eastAsia="en-GB"/>
        </w:rPr>
        <w:t xml:space="preserve"> all 27 Member States were 100% compliant for reference months in 2021</w:t>
      </w:r>
      <w:r w:rsidRPr="007046CF">
        <w:rPr>
          <w:rFonts w:ascii="Times New Roman" w:hAnsi="Times New Roman" w:cs="Times New Roman"/>
          <w:noProof/>
          <w:sz w:val="24"/>
          <w:szCs w:val="24"/>
        </w:rPr>
        <w:t xml:space="preserve">. </w:t>
      </w:r>
      <w:r w:rsidRPr="007046CF">
        <w:rPr>
          <w:rFonts w:ascii="Times New Roman" w:hAnsi="Times New Roman" w:cs="Times New Roman"/>
          <w:noProof/>
          <w:color w:val="000000"/>
          <w:sz w:val="24"/>
          <w:szCs w:val="24"/>
          <w:lang w:eastAsia="en-GB"/>
        </w:rPr>
        <w:t xml:space="preserve">Completeness of data related to </w:t>
      </w:r>
      <w:r w:rsidRPr="007046CF">
        <w:rPr>
          <w:rFonts w:ascii="Times New Roman" w:hAnsi="Times New Roman" w:cs="Times New Roman"/>
          <w:noProof/>
          <w:sz w:val="24"/>
          <w:szCs w:val="24"/>
        </w:rPr>
        <w:t>international trade in services statistics</w:t>
      </w:r>
      <w:r w:rsidRPr="007046CF">
        <w:rPr>
          <w:rFonts w:ascii="Times New Roman" w:hAnsi="Times New Roman" w:cs="Times New Roman"/>
          <w:noProof/>
          <w:color w:val="000000"/>
          <w:sz w:val="24"/>
          <w:szCs w:val="24"/>
          <w:lang w:eastAsia="en-GB"/>
        </w:rPr>
        <w:t xml:space="preserve"> was 99% on average. The EU average rate of completeness was estimated at 98% for both </w:t>
      </w:r>
      <w:r w:rsidRPr="007046CF">
        <w:rPr>
          <w:rFonts w:ascii="Times New Roman" w:hAnsi="Times New Roman" w:cs="Times New Roman"/>
          <w:noProof/>
          <w:sz w:val="24"/>
          <w:szCs w:val="24"/>
        </w:rPr>
        <w:t>foreign direct investment</w:t>
      </w:r>
      <w:r w:rsidRPr="007046CF">
        <w:rPr>
          <w:rFonts w:ascii="Times New Roman" w:hAnsi="Times New Roman" w:cs="Times New Roman"/>
          <w:noProof/>
          <w:color w:val="000000"/>
          <w:sz w:val="24"/>
          <w:szCs w:val="24"/>
          <w:lang w:eastAsia="en-GB"/>
        </w:rPr>
        <w:t xml:space="preserve"> flows and </w:t>
      </w:r>
      <w:r w:rsidRPr="007046CF">
        <w:rPr>
          <w:rFonts w:ascii="Times New Roman" w:hAnsi="Times New Roman" w:cs="Times New Roman"/>
          <w:noProof/>
          <w:sz w:val="24"/>
          <w:szCs w:val="24"/>
        </w:rPr>
        <w:t xml:space="preserve">foreign direct investment </w:t>
      </w:r>
      <w:r w:rsidRPr="007046CF">
        <w:rPr>
          <w:rFonts w:ascii="Times New Roman" w:hAnsi="Times New Roman" w:cs="Times New Roman"/>
          <w:noProof/>
          <w:color w:val="000000"/>
          <w:sz w:val="24"/>
          <w:szCs w:val="24"/>
          <w:lang w:eastAsia="en-GB"/>
        </w:rPr>
        <w:t>stocks.</w:t>
      </w:r>
    </w:p>
    <w:p w14:paraId="1FB63F94" w14:textId="5ECD2481" w:rsidR="00DD271D" w:rsidRPr="007046CF" w:rsidRDefault="0098010E" w:rsidP="009136AE">
      <w:pPr>
        <w:pStyle w:val="Heading2"/>
        <w:rPr>
          <w:b w:val="0"/>
          <w:noProof/>
        </w:rPr>
      </w:pPr>
      <w:r w:rsidRPr="007046CF">
        <w:rPr>
          <w:noProof/>
        </w:rPr>
        <w:t>Accessibility</w:t>
      </w:r>
    </w:p>
    <w:p w14:paraId="2DB1C8BD" w14:textId="18616689" w:rsidR="00DD271D" w:rsidRPr="007046CF" w:rsidRDefault="00DF680E" w:rsidP="00DD271D">
      <w:pPr>
        <w:spacing w:after="120" w:line="240" w:lineRule="auto"/>
        <w:jc w:val="both"/>
        <w:rPr>
          <w:rFonts w:ascii="Times New Roman" w:hAnsi="Times New Roman" w:cs="Times New Roman"/>
          <w:noProof/>
          <w:color w:val="000000"/>
          <w:sz w:val="24"/>
          <w:szCs w:val="24"/>
        </w:rPr>
      </w:pPr>
      <w:r w:rsidRPr="00DF680E">
        <w:rPr>
          <w:rFonts w:ascii="Times New Roman" w:hAnsi="Times New Roman" w:cs="Times New Roman"/>
          <w:noProof/>
          <w:sz w:val="24"/>
          <w:szCs w:val="24"/>
        </w:rPr>
        <w:t xml:space="preserve">Data are also available on national websites and accompanied by the relevant metadata information, with some limitations due to national dissemination policies applied to national data and data sent to Eurostat. </w:t>
      </w:r>
      <w:r w:rsidR="00DD271D" w:rsidRPr="007046CF">
        <w:rPr>
          <w:rFonts w:ascii="Times New Roman" w:hAnsi="Times New Roman" w:cs="Times New Roman"/>
          <w:noProof/>
          <w:sz w:val="24"/>
          <w:szCs w:val="24"/>
        </w:rPr>
        <w:t xml:space="preserve">Eurostat publishes </w:t>
      </w:r>
      <w:r>
        <w:rPr>
          <w:rFonts w:ascii="Times New Roman" w:hAnsi="Times New Roman" w:cs="Times New Roman"/>
          <w:noProof/>
          <w:sz w:val="24"/>
          <w:szCs w:val="24"/>
        </w:rPr>
        <w:t xml:space="preserve">these </w:t>
      </w:r>
      <w:r w:rsidR="00DD271D" w:rsidRPr="007046CF">
        <w:rPr>
          <w:rFonts w:ascii="Times New Roman" w:hAnsi="Times New Roman" w:cs="Times New Roman"/>
          <w:noProof/>
          <w:sz w:val="24"/>
          <w:szCs w:val="24"/>
        </w:rPr>
        <w:t xml:space="preserve">monthly and quarterly balance of payments, quarterly </w:t>
      </w:r>
      <w:r w:rsidR="00DD271D" w:rsidRPr="007046CF">
        <w:rPr>
          <w:rFonts w:ascii="Times New Roman" w:hAnsi="Times New Roman" w:cs="Times New Roman"/>
          <w:noProof/>
          <w:sz w:val="24"/>
          <w:szCs w:val="24"/>
          <w:lang w:eastAsia="en-GB"/>
        </w:rPr>
        <w:t>international investment position</w:t>
      </w:r>
      <w:r w:rsidR="00DD271D" w:rsidRPr="007046CF">
        <w:rPr>
          <w:rFonts w:ascii="Times New Roman" w:hAnsi="Times New Roman" w:cs="Times New Roman"/>
          <w:noProof/>
          <w:sz w:val="24"/>
          <w:szCs w:val="24"/>
        </w:rPr>
        <w:t xml:space="preserve"> and revaluations, annual international trade in services statistics and foreign direct investment data in its public database. </w:t>
      </w:r>
    </w:p>
    <w:p w14:paraId="186EC870" w14:textId="6238E24C" w:rsidR="00DD271D" w:rsidRPr="000C00B7" w:rsidRDefault="00DD271D" w:rsidP="00DD271D">
      <w:pPr>
        <w:spacing w:after="120" w:line="240" w:lineRule="auto"/>
        <w:jc w:val="both"/>
        <w:rPr>
          <w:rFonts w:ascii="Times New Roman" w:hAnsi="Times New Roman" w:cs="Times New Roman"/>
          <w:noProof/>
          <w:sz w:val="24"/>
          <w:szCs w:val="24"/>
          <w:lang w:eastAsia="en-GB"/>
        </w:rPr>
      </w:pPr>
      <w:r w:rsidRPr="007046CF">
        <w:rPr>
          <w:rFonts w:ascii="Times New Roman" w:hAnsi="Times New Roman" w:cs="Times New Roman"/>
          <w:noProof/>
          <w:sz w:val="24"/>
          <w:szCs w:val="24"/>
          <w:lang w:eastAsia="en-GB"/>
        </w:rPr>
        <w:t xml:space="preserve">Data availability to the final users </w:t>
      </w:r>
      <w:r w:rsidRPr="000C00B7">
        <w:rPr>
          <w:rFonts w:ascii="Times New Roman" w:hAnsi="Times New Roman" w:cs="Times New Roman"/>
          <w:noProof/>
          <w:sz w:val="24"/>
          <w:szCs w:val="24"/>
          <w:lang w:eastAsia="en-GB"/>
        </w:rPr>
        <w:t xml:space="preserve">improved, with 23 Member States considering 100% of main items for quarterly balance of payments and 24 Member States for quarterly international investment position as publishable. </w:t>
      </w:r>
      <w:r w:rsidR="000C00B7" w:rsidRPr="000C00B7">
        <w:rPr>
          <w:rFonts w:ascii="Times New Roman" w:hAnsi="Times New Roman" w:cs="Times New Roman"/>
          <w:noProof/>
          <w:sz w:val="24"/>
          <w:szCs w:val="24"/>
        </w:rPr>
        <w:t>Some Member States flag their national data as ‘non-publishable’ or ‘confidential’. This circumstance limits the value of statistical information that can be provided to the users</w:t>
      </w:r>
      <w:r w:rsidRPr="000C00B7">
        <w:rPr>
          <w:rFonts w:ascii="Times New Roman" w:hAnsi="Times New Roman" w:cs="Times New Roman"/>
          <w:bCs/>
          <w:noProof/>
          <w:sz w:val="24"/>
          <w:szCs w:val="24"/>
        </w:rPr>
        <w:t>.</w:t>
      </w:r>
    </w:p>
    <w:p w14:paraId="6D0C38FE" w14:textId="299BAD03" w:rsidR="00DD271D" w:rsidRPr="007046CF" w:rsidRDefault="00DD271D" w:rsidP="00DD271D">
      <w:pPr>
        <w:spacing w:after="120" w:line="240" w:lineRule="auto"/>
        <w:jc w:val="both"/>
        <w:rPr>
          <w:rFonts w:ascii="Times New Roman" w:hAnsi="Times New Roman" w:cs="Times New Roman"/>
          <w:noProof/>
          <w:sz w:val="24"/>
          <w:szCs w:val="24"/>
          <w:lang w:eastAsia="en-GB"/>
        </w:rPr>
      </w:pPr>
      <w:r w:rsidRPr="000C00B7">
        <w:rPr>
          <w:rFonts w:ascii="Times New Roman" w:hAnsi="Times New Roman" w:cs="Times New Roman"/>
          <w:noProof/>
          <w:color w:val="000000"/>
          <w:sz w:val="24"/>
          <w:szCs w:val="24"/>
          <w:lang w:eastAsia="en-GB"/>
        </w:rPr>
        <w:t xml:space="preserve">Generally, balance of payments, </w:t>
      </w:r>
      <w:r w:rsidRPr="000C00B7">
        <w:rPr>
          <w:rFonts w:ascii="Times New Roman" w:hAnsi="Times New Roman" w:cs="Times New Roman"/>
          <w:noProof/>
          <w:sz w:val="24"/>
          <w:szCs w:val="24"/>
          <w:lang w:eastAsia="en-GB"/>
        </w:rPr>
        <w:t>international investment position</w:t>
      </w:r>
      <w:r w:rsidRPr="000C00B7">
        <w:rPr>
          <w:rFonts w:ascii="Times New Roman" w:hAnsi="Times New Roman" w:cs="Times New Roman"/>
          <w:noProof/>
          <w:color w:val="000000"/>
          <w:sz w:val="24"/>
          <w:szCs w:val="24"/>
          <w:lang w:eastAsia="en-GB"/>
        </w:rPr>
        <w:t xml:space="preserve">, </w:t>
      </w:r>
      <w:r w:rsidRPr="000C00B7">
        <w:rPr>
          <w:rFonts w:ascii="Times New Roman" w:hAnsi="Times New Roman" w:cs="Times New Roman"/>
          <w:noProof/>
          <w:sz w:val="24"/>
          <w:szCs w:val="24"/>
        </w:rPr>
        <w:t xml:space="preserve">international trade in services </w:t>
      </w:r>
      <w:r w:rsidRPr="000C00B7">
        <w:rPr>
          <w:rFonts w:ascii="Times New Roman" w:hAnsi="Times New Roman" w:cs="Times New Roman"/>
          <w:noProof/>
          <w:color w:val="000000"/>
          <w:sz w:val="24"/>
          <w:szCs w:val="24"/>
          <w:lang w:eastAsia="en-GB"/>
        </w:rPr>
        <w:t xml:space="preserve">and </w:t>
      </w:r>
      <w:r w:rsidRPr="000C00B7">
        <w:rPr>
          <w:rFonts w:ascii="Times New Roman" w:hAnsi="Times New Roman" w:cs="Times New Roman"/>
          <w:noProof/>
          <w:sz w:val="24"/>
          <w:szCs w:val="24"/>
        </w:rPr>
        <w:t>foreign direct investment</w:t>
      </w:r>
      <w:r w:rsidRPr="000C00B7">
        <w:rPr>
          <w:rFonts w:ascii="Times New Roman" w:hAnsi="Times New Roman" w:cs="Times New Roman"/>
          <w:noProof/>
          <w:color w:val="000000"/>
          <w:sz w:val="24"/>
          <w:szCs w:val="24"/>
          <w:lang w:eastAsia="en-GB"/>
        </w:rPr>
        <w:t xml:space="preserve"> data</w:t>
      </w:r>
      <w:r w:rsidRPr="007046CF">
        <w:rPr>
          <w:rFonts w:ascii="Times New Roman" w:hAnsi="Times New Roman" w:cs="Times New Roman"/>
          <w:noProof/>
          <w:color w:val="000000"/>
          <w:sz w:val="24"/>
          <w:szCs w:val="24"/>
          <w:lang w:eastAsia="en-GB"/>
        </w:rPr>
        <w:t xml:space="preserve"> serve a wide range of users. They are used extensively in EU policymaking, in macroeconomic analysis by business and academic users as well as by the general public.</w:t>
      </w:r>
    </w:p>
    <w:p w14:paraId="08F34CFB" w14:textId="77777777" w:rsidR="00DD271D" w:rsidRPr="007046CF" w:rsidRDefault="00DD271D" w:rsidP="00DD271D">
      <w:pPr>
        <w:pStyle w:val="Heading2"/>
        <w:rPr>
          <w:noProof/>
          <w:szCs w:val="24"/>
        </w:rPr>
      </w:pPr>
      <w:r w:rsidRPr="007046CF">
        <w:rPr>
          <w:noProof/>
          <w:szCs w:val="24"/>
        </w:rPr>
        <w:t>Accuracy and reliability</w:t>
      </w:r>
    </w:p>
    <w:p w14:paraId="78DCF174" w14:textId="0ABB12EE" w:rsidR="00DD271D" w:rsidRPr="007046CF" w:rsidRDefault="00DD271D" w:rsidP="00DD271D">
      <w:pPr>
        <w:spacing w:after="120" w:line="240" w:lineRule="auto"/>
        <w:jc w:val="both"/>
        <w:rPr>
          <w:rFonts w:ascii="Times New Roman" w:hAnsi="Times New Roman" w:cs="Times New Roman"/>
          <w:noProof/>
          <w:sz w:val="24"/>
          <w:szCs w:val="24"/>
          <w:lang w:eastAsia="en-GB"/>
        </w:rPr>
      </w:pPr>
      <w:r w:rsidRPr="007046CF">
        <w:rPr>
          <w:rFonts w:ascii="Times New Roman" w:hAnsi="Times New Roman" w:cs="Times New Roman"/>
          <w:noProof/>
          <w:sz w:val="24"/>
          <w:szCs w:val="24"/>
          <w:lang w:eastAsia="en-GB"/>
        </w:rPr>
        <w:t>In the goods, services and secondary income</w:t>
      </w:r>
      <w:r w:rsidRPr="007046CF">
        <w:rPr>
          <w:rFonts w:ascii="Times New Roman" w:hAnsi="Times New Roman" w:cs="Times New Roman"/>
          <w:b/>
          <w:noProof/>
          <w:sz w:val="24"/>
          <w:szCs w:val="24"/>
          <w:lang w:eastAsia="en-GB"/>
        </w:rPr>
        <w:t xml:space="preserve"> </w:t>
      </w:r>
      <w:r w:rsidRPr="007046CF">
        <w:rPr>
          <w:rFonts w:ascii="Times New Roman" w:hAnsi="Times New Roman" w:cs="Times New Roman"/>
          <w:noProof/>
          <w:sz w:val="24"/>
          <w:szCs w:val="24"/>
          <w:lang w:eastAsia="en-GB"/>
        </w:rPr>
        <w:t xml:space="preserve">accounts relatively small revisions were recorded for both monthly and quarterly </w:t>
      </w:r>
      <w:r w:rsidRPr="007046CF">
        <w:rPr>
          <w:rFonts w:ascii="Times New Roman" w:hAnsi="Times New Roman" w:cs="Times New Roman"/>
          <w:noProof/>
          <w:sz w:val="24"/>
          <w:szCs w:val="24"/>
        </w:rPr>
        <w:t>balance of payments</w:t>
      </w:r>
      <w:r w:rsidRPr="007046CF">
        <w:rPr>
          <w:rFonts w:ascii="Times New Roman" w:hAnsi="Times New Roman" w:cs="Times New Roman"/>
          <w:noProof/>
          <w:sz w:val="24"/>
          <w:szCs w:val="24"/>
          <w:lang w:eastAsia="en-GB"/>
        </w:rPr>
        <w:t xml:space="preserve">. The primary income account was more affected by revisions, especially due to direct investment income. One reason is that information on direct investment and its income components is more complete on an annual basis, when the annual financial statements of companies become available. Mean values of revisions were generally higher for financial account items than for current account items, while the size of revisions for main international investment position items was much less significant than in </w:t>
      </w:r>
      <w:r w:rsidRPr="007046CF">
        <w:rPr>
          <w:rFonts w:ascii="Times New Roman" w:hAnsi="Times New Roman" w:cs="Times New Roman"/>
          <w:noProof/>
          <w:sz w:val="24"/>
          <w:szCs w:val="24"/>
        </w:rPr>
        <w:t>balance of payments</w:t>
      </w:r>
      <w:r w:rsidRPr="007046CF">
        <w:rPr>
          <w:rFonts w:ascii="Times New Roman" w:hAnsi="Times New Roman" w:cs="Times New Roman"/>
          <w:noProof/>
          <w:sz w:val="24"/>
          <w:szCs w:val="24"/>
          <w:lang w:eastAsia="en-GB"/>
        </w:rPr>
        <w:t>.</w:t>
      </w:r>
    </w:p>
    <w:p w14:paraId="67F4C23A" w14:textId="4E8641A9" w:rsidR="00C43957" w:rsidRPr="007046CF" w:rsidRDefault="00C43957" w:rsidP="00C43957">
      <w:pPr>
        <w:pStyle w:val="Heading2"/>
        <w:rPr>
          <w:noProof/>
          <w:szCs w:val="24"/>
        </w:rPr>
      </w:pPr>
      <w:r w:rsidRPr="007046CF">
        <w:rPr>
          <w:noProof/>
          <w:szCs w:val="24"/>
        </w:rPr>
        <w:t>Coherence and comparability</w:t>
      </w:r>
    </w:p>
    <w:p w14:paraId="4F27D8CA" w14:textId="77777777" w:rsidR="00DD271D" w:rsidRPr="007046CF" w:rsidRDefault="00DD271D" w:rsidP="009136AE">
      <w:pPr>
        <w:pStyle w:val="Heading3"/>
        <w:rPr>
          <w:noProof/>
        </w:rPr>
      </w:pPr>
      <w:r w:rsidRPr="007046CF">
        <w:rPr>
          <w:noProof/>
        </w:rPr>
        <w:t>Internal consistency</w:t>
      </w:r>
    </w:p>
    <w:p w14:paraId="6147A9F6" w14:textId="72765F67" w:rsidR="00612378" w:rsidRPr="007046CF" w:rsidRDefault="00DD271D" w:rsidP="00DD271D">
      <w:pPr>
        <w:spacing w:after="120" w:line="240" w:lineRule="auto"/>
        <w:jc w:val="both"/>
        <w:rPr>
          <w:rFonts w:ascii="Times New Roman" w:hAnsi="Times New Roman" w:cs="Times New Roman"/>
          <w:noProof/>
          <w:sz w:val="24"/>
          <w:szCs w:val="24"/>
          <w:lang w:eastAsia="en-GB"/>
        </w:rPr>
      </w:pPr>
      <w:r w:rsidRPr="007046CF">
        <w:rPr>
          <w:rFonts w:ascii="Times New Roman" w:hAnsi="Times New Roman" w:cs="Times New Roman"/>
          <w:noProof/>
          <w:sz w:val="24"/>
          <w:szCs w:val="24"/>
          <w:lang w:eastAsia="en-GB"/>
        </w:rPr>
        <w:t>The overall consistency with integrity rules is satisfactory. T</w:t>
      </w:r>
      <w:r w:rsidRPr="007046CF">
        <w:rPr>
          <w:rFonts w:ascii="Times New Roman" w:hAnsi="Times New Roman" w:cs="Times New Roman"/>
          <w:noProof/>
          <w:sz w:val="24"/>
          <w:szCs w:val="24"/>
        </w:rPr>
        <w:t xml:space="preserve">here are almost no discrepancies for quarterly and annual international trade in services and foreign direct investment data. </w:t>
      </w:r>
      <w:r w:rsidRPr="007046CF">
        <w:rPr>
          <w:rFonts w:ascii="Times New Roman" w:hAnsi="Times New Roman" w:cs="Times New Roman"/>
          <w:noProof/>
          <w:sz w:val="24"/>
          <w:szCs w:val="24"/>
          <w:lang w:eastAsia="en-GB"/>
        </w:rPr>
        <w:t xml:space="preserve">Significant efforts have been made by the Member States to reduce the size of errors and omissions, as shown in relation to the current account and the international investment position. However, in some cases their </w:t>
      </w:r>
      <w:r w:rsidR="00612378" w:rsidRPr="007046CF">
        <w:rPr>
          <w:rFonts w:ascii="Times New Roman" w:hAnsi="Times New Roman" w:cs="Times New Roman"/>
          <w:noProof/>
          <w:sz w:val="24"/>
          <w:szCs w:val="24"/>
          <w:lang w:eastAsia="en-GB"/>
        </w:rPr>
        <w:t>size still remains substantial</w:t>
      </w:r>
      <w:r w:rsidR="00C978BA">
        <w:rPr>
          <w:rStyle w:val="FootnoteReference"/>
          <w:rFonts w:ascii="Times New Roman" w:hAnsi="Times New Roman" w:cs="Times New Roman"/>
          <w:noProof/>
          <w:sz w:val="24"/>
          <w:szCs w:val="24"/>
          <w:lang w:eastAsia="en-GB"/>
        </w:rPr>
        <w:footnoteReference w:id="10"/>
      </w:r>
      <w:r w:rsidR="00612378" w:rsidRPr="007046CF">
        <w:rPr>
          <w:rFonts w:ascii="Times New Roman" w:hAnsi="Times New Roman" w:cs="Times New Roman"/>
          <w:noProof/>
          <w:sz w:val="24"/>
          <w:szCs w:val="24"/>
          <w:lang w:eastAsia="en-GB"/>
        </w:rPr>
        <w:t>.</w:t>
      </w:r>
    </w:p>
    <w:p w14:paraId="19C6AF9F" w14:textId="77777777" w:rsidR="00DD271D" w:rsidRPr="007046CF" w:rsidRDefault="00DD271D" w:rsidP="009136AE">
      <w:pPr>
        <w:pStyle w:val="Heading3"/>
        <w:rPr>
          <w:noProof/>
        </w:rPr>
      </w:pPr>
      <w:r w:rsidRPr="007046CF">
        <w:rPr>
          <w:noProof/>
        </w:rPr>
        <w:t>External consistency</w:t>
      </w:r>
    </w:p>
    <w:p w14:paraId="764C2F11" w14:textId="3498B155" w:rsidR="00DD271D" w:rsidRPr="007046CF" w:rsidRDefault="00DD271D" w:rsidP="00DD271D">
      <w:pPr>
        <w:spacing w:after="120" w:line="240" w:lineRule="auto"/>
        <w:jc w:val="both"/>
        <w:rPr>
          <w:rFonts w:ascii="Times New Roman" w:hAnsi="Times New Roman" w:cs="Times New Roman"/>
          <w:noProof/>
          <w:sz w:val="24"/>
          <w:szCs w:val="24"/>
          <w:lang w:eastAsia="en-GB"/>
        </w:rPr>
      </w:pPr>
      <w:r w:rsidRPr="007046CF">
        <w:rPr>
          <w:rFonts w:ascii="Times New Roman" w:hAnsi="Times New Roman" w:cs="Times New Roman"/>
          <w:noProof/>
          <w:sz w:val="24"/>
          <w:szCs w:val="24"/>
          <w:lang w:eastAsia="en-GB"/>
        </w:rPr>
        <w:t xml:space="preserve">The overall EU situation for consistency between </w:t>
      </w:r>
      <w:r w:rsidRPr="007046CF">
        <w:rPr>
          <w:rFonts w:ascii="Times New Roman" w:hAnsi="Times New Roman" w:cs="Times New Roman"/>
          <w:noProof/>
          <w:sz w:val="24"/>
          <w:szCs w:val="24"/>
        </w:rPr>
        <w:t>balance of payments</w:t>
      </w:r>
      <w:r w:rsidRPr="007046CF">
        <w:rPr>
          <w:rFonts w:ascii="Times New Roman" w:hAnsi="Times New Roman" w:cs="Times New Roman"/>
          <w:noProof/>
          <w:sz w:val="24"/>
          <w:szCs w:val="24"/>
          <w:lang w:eastAsia="en-GB"/>
        </w:rPr>
        <w:t xml:space="preserve"> and </w:t>
      </w:r>
      <w:r w:rsidR="00E65EFE">
        <w:rPr>
          <w:rFonts w:ascii="Times New Roman" w:hAnsi="Times New Roman" w:cs="Times New Roman"/>
          <w:noProof/>
          <w:sz w:val="24"/>
          <w:szCs w:val="24"/>
          <w:lang w:eastAsia="en-GB"/>
        </w:rPr>
        <w:t>i</w:t>
      </w:r>
      <w:r w:rsidRPr="007046CF">
        <w:rPr>
          <w:rFonts w:ascii="Times New Roman" w:hAnsi="Times New Roman" w:cs="Times New Roman"/>
          <w:noProof/>
          <w:sz w:val="24"/>
          <w:szCs w:val="24"/>
          <w:lang w:eastAsia="en-GB"/>
        </w:rPr>
        <w:t xml:space="preserve">nternational </w:t>
      </w:r>
      <w:r w:rsidR="00E65EFE">
        <w:rPr>
          <w:rFonts w:ascii="Times New Roman" w:hAnsi="Times New Roman" w:cs="Times New Roman"/>
          <w:noProof/>
          <w:sz w:val="24"/>
          <w:szCs w:val="24"/>
          <w:lang w:eastAsia="en-GB"/>
        </w:rPr>
        <w:t>t</w:t>
      </w:r>
      <w:r w:rsidRPr="007046CF">
        <w:rPr>
          <w:rFonts w:ascii="Times New Roman" w:hAnsi="Times New Roman" w:cs="Times New Roman"/>
          <w:noProof/>
          <w:sz w:val="24"/>
          <w:szCs w:val="24"/>
          <w:lang w:eastAsia="en-GB"/>
        </w:rPr>
        <w:t xml:space="preserve">rade in </w:t>
      </w:r>
      <w:r w:rsidR="00E65EFE">
        <w:rPr>
          <w:rFonts w:ascii="Times New Roman" w:hAnsi="Times New Roman" w:cs="Times New Roman"/>
          <w:noProof/>
          <w:sz w:val="24"/>
          <w:szCs w:val="24"/>
          <w:lang w:eastAsia="en-GB"/>
        </w:rPr>
        <w:t>g</w:t>
      </w:r>
      <w:r w:rsidRPr="007046CF">
        <w:rPr>
          <w:rFonts w:ascii="Times New Roman" w:hAnsi="Times New Roman" w:cs="Times New Roman"/>
          <w:noProof/>
          <w:sz w:val="24"/>
          <w:szCs w:val="24"/>
          <w:lang w:eastAsia="en-GB"/>
        </w:rPr>
        <w:t xml:space="preserve">oods </w:t>
      </w:r>
      <w:r w:rsidR="00E65EFE">
        <w:rPr>
          <w:rFonts w:ascii="Times New Roman" w:hAnsi="Times New Roman" w:cs="Times New Roman"/>
          <w:noProof/>
          <w:sz w:val="24"/>
          <w:szCs w:val="24"/>
          <w:lang w:eastAsia="en-GB"/>
        </w:rPr>
        <w:t>s</w:t>
      </w:r>
      <w:r w:rsidRPr="007046CF">
        <w:rPr>
          <w:rFonts w:ascii="Times New Roman" w:hAnsi="Times New Roman" w:cs="Times New Roman"/>
          <w:noProof/>
          <w:sz w:val="24"/>
          <w:szCs w:val="24"/>
          <w:lang w:eastAsia="en-GB"/>
        </w:rPr>
        <w:t xml:space="preserve">tatistics (ITGS) remains good, with discrepancies usually explained by methodological differences resulting from the </w:t>
      </w:r>
      <w:r w:rsidR="00DC0C42" w:rsidRPr="00DC0C42">
        <w:rPr>
          <w:rFonts w:ascii="Times New Roman" w:hAnsi="Times New Roman" w:cs="Times New Roman"/>
          <w:noProof/>
          <w:sz w:val="24"/>
          <w:szCs w:val="24"/>
          <w:lang w:eastAsia="en-GB"/>
        </w:rPr>
        <w:t xml:space="preserve">two different recording </w:t>
      </w:r>
      <w:r w:rsidRPr="007046CF">
        <w:rPr>
          <w:rFonts w:ascii="Times New Roman" w:hAnsi="Times New Roman" w:cs="Times New Roman"/>
          <w:noProof/>
          <w:sz w:val="24"/>
          <w:szCs w:val="24"/>
          <w:lang w:eastAsia="en-GB"/>
        </w:rPr>
        <w:t>standards</w:t>
      </w:r>
      <w:r w:rsidR="00DC0C42">
        <w:rPr>
          <w:rFonts w:ascii="Times New Roman" w:hAnsi="Times New Roman" w:cs="Times New Roman"/>
          <w:noProof/>
          <w:sz w:val="24"/>
          <w:szCs w:val="24"/>
          <w:lang w:eastAsia="en-GB"/>
        </w:rPr>
        <w:t xml:space="preserve"> </w:t>
      </w:r>
      <w:r w:rsidR="00DC0C42" w:rsidRPr="00DC0C42">
        <w:rPr>
          <w:rFonts w:ascii="Times New Roman" w:hAnsi="Times New Roman" w:cs="Times New Roman"/>
          <w:noProof/>
          <w:sz w:val="24"/>
          <w:szCs w:val="24"/>
          <w:lang w:eastAsia="en-GB"/>
        </w:rPr>
        <w:t>(BPM6 and IMTS 2010)</w:t>
      </w:r>
      <w:r w:rsidRPr="007046CF">
        <w:rPr>
          <w:rFonts w:ascii="Times New Roman" w:hAnsi="Times New Roman" w:cs="Times New Roman"/>
          <w:noProof/>
          <w:sz w:val="24"/>
          <w:szCs w:val="24"/>
          <w:lang w:eastAsia="en-GB"/>
        </w:rPr>
        <w:t>. Full or very good consistency between the current account of balance of payments and national accounts could be observed in a number of Member States, while for some other Member States differences, sometimes substantial, exist.</w:t>
      </w:r>
      <w:r w:rsidR="00ED0416" w:rsidRPr="007046CF">
        <w:rPr>
          <w:rFonts w:ascii="Times New Roman" w:hAnsi="Times New Roman" w:cs="Times New Roman"/>
          <w:noProof/>
          <w:sz w:val="24"/>
          <w:szCs w:val="24"/>
          <w:lang w:eastAsia="en-GB"/>
        </w:rPr>
        <w:t xml:space="preserve"> Eurostat and Member States have identified </w:t>
      </w:r>
      <w:r w:rsidR="000E26BC">
        <w:rPr>
          <w:rFonts w:ascii="Times New Roman" w:hAnsi="Times New Roman" w:cs="Times New Roman"/>
          <w:noProof/>
          <w:sz w:val="24"/>
          <w:szCs w:val="24"/>
          <w:lang w:eastAsia="en-GB"/>
        </w:rPr>
        <w:t>several</w:t>
      </w:r>
      <w:r w:rsidR="000E26BC" w:rsidRPr="007046CF">
        <w:rPr>
          <w:rFonts w:ascii="Times New Roman" w:hAnsi="Times New Roman" w:cs="Times New Roman"/>
          <w:noProof/>
          <w:sz w:val="24"/>
          <w:szCs w:val="24"/>
          <w:lang w:eastAsia="en-GB"/>
        </w:rPr>
        <w:t xml:space="preserve"> </w:t>
      </w:r>
      <w:r w:rsidR="00ED0416" w:rsidRPr="007046CF">
        <w:rPr>
          <w:rFonts w:ascii="Times New Roman" w:hAnsi="Times New Roman" w:cs="Times New Roman"/>
          <w:noProof/>
          <w:sz w:val="24"/>
          <w:szCs w:val="24"/>
          <w:lang w:eastAsia="en-GB"/>
        </w:rPr>
        <w:t>reasons for inconsistencies</w:t>
      </w:r>
      <w:r w:rsidR="00790F7F" w:rsidRPr="007046CF">
        <w:rPr>
          <w:rFonts w:ascii="Times New Roman" w:hAnsi="Times New Roman" w:cs="Times New Roman"/>
          <w:noProof/>
          <w:sz w:val="24"/>
          <w:szCs w:val="24"/>
          <w:lang w:eastAsia="en-GB"/>
        </w:rPr>
        <w:t>, e.g.</w:t>
      </w:r>
      <w:r w:rsidR="00ED0416" w:rsidRPr="007046CF">
        <w:rPr>
          <w:rFonts w:ascii="Times New Roman" w:hAnsi="Times New Roman" w:cs="Times New Roman"/>
          <w:noProof/>
          <w:sz w:val="24"/>
          <w:szCs w:val="24"/>
          <w:lang w:eastAsia="en-GB"/>
        </w:rPr>
        <w:t xml:space="preserve"> </w:t>
      </w:r>
      <w:r w:rsidR="00790F7F" w:rsidRPr="007046CF">
        <w:rPr>
          <w:rFonts w:ascii="Times New Roman" w:hAnsi="Times New Roman" w:cs="Times New Roman"/>
          <w:noProof/>
          <w:sz w:val="24"/>
          <w:szCs w:val="24"/>
          <w:lang w:eastAsia="en-GB"/>
        </w:rPr>
        <w:t xml:space="preserve">different compilation practices, different data sources, vintage and revision effects, </w:t>
      </w:r>
      <w:r w:rsidR="00375A5E" w:rsidRPr="007046CF">
        <w:rPr>
          <w:rFonts w:ascii="Times New Roman" w:hAnsi="Times New Roman" w:cs="Times New Roman"/>
          <w:noProof/>
          <w:sz w:val="24"/>
          <w:szCs w:val="24"/>
          <w:lang w:eastAsia="en-GB"/>
        </w:rPr>
        <w:t xml:space="preserve">as well as different </w:t>
      </w:r>
      <w:r w:rsidR="00ED0416" w:rsidRPr="007046CF">
        <w:rPr>
          <w:rFonts w:ascii="Times New Roman" w:hAnsi="Times New Roman" w:cs="Times New Roman"/>
          <w:noProof/>
          <w:sz w:val="24"/>
          <w:szCs w:val="24"/>
          <w:lang w:eastAsia="en-GB"/>
        </w:rPr>
        <w:t xml:space="preserve">interpretation </w:t>
      </w:r>
      <w:r w:rsidR="00790F7F" w:rsidRPr="007046CF">
        <w:rPr>
          <w:rFonts w:ascii="Times New Roman" w:hAnsi="Times New Roman" w:cs="Times New Roman"/>
          <w:noProof/>
          <w:sz w:val="24"/>
          <w:szCs w:val="24"/>
          <w:lang w:eastAsia="en-GB"/>
        </w:rPr>
        <w:t xml:space="preserve">of </w:t>
      </w:r>
      <w:r w:rsidR="008541F3" w:rsidRPr="007046CF">
        <w:rPr>
          <w:rFonts w:ascii="Times New Roman" w:hAnsi="Times New Roman" w:cs="Times New Roman"/>
          <w:noProof/>
          <w:sz w:val="24"/>
          <w:szCs w:val="24"/>
          <w:lang w:eastAsia="en-GB"/>
        </w:rPr>
        <w:t xml:space="preserve">statistical </w:t>
      </w:r>
      <w:r w:rsidR="00790F7F" w:rsidRPr="007046CF">
        <w:rPr>
          <w:rFonts w:ascii="Times New Roman" w:hAnsi="Times New Roman" w:cs="Times New Roman"/>
          <w:noProof/>
          <w:sz w:val="24"/>
          <w:szCs w:val="24"/>
          <w:lang w:eastAsia="en-GB"/>
        </w:rPr>
        <w:t>manuals and guides</w:t>
      </w:r>
      <w:r w:rsidR="00ED0416" w:rsidRPr="007046CF">
        <w:rPr>
          <w:rFonts w:ascii="Times New Roman" w:hAnsi="Times New Roman" w:cs="Times New Roman"/>
          <w:noProof/>
          <w:sz w:val="24"/>
          <w:szCs w:val="24"/>
          <w:lang w:eastAsia="en-GB"/>
        </w:rPr>
        <w:t xml:space="preserve">. Joint efforts </w:t>
      </w:r>
      <w:r w:rsidR="00E74BCC" w:rsidRPr="007046CF">
        <w:rPr>
          <w:rFonts w:ascii="Times New Roman" w:hAnsi="Times New Roman" w:cs="Times New Roman"/>
          <w:noProof/>
          <w:sz w:val="24"/>
          <w:szCs w:val="24"/>
          <w:lang w:eastAsia="en-GB"/>
        </w:rPr>
        <w:t>from</w:t>
      </w:r>
      <w:r w:rsidR="00ED0416" w:rsidRPr="007046CF">
        <w:rPr>
          <w:rFonts w:ascii="Times New Roman" w:hAnsi="Times New Roman" w:cs="Times New Roman"/>
          <w:noProof/>
          <w:sz w:val="24"/>
          <w:szCs w:val="24"/>
          <w:lang w:eastAsia="en-GB"/>
        </w:rPr>
        <w:t xml:space="preserve"> Member States, </w:t>
      </w:r>
      <w:r w:rsidR="00E74BCC" w:rsidRPr="007046CF">
        <w:rPr>
          <w:rFonts w:ascii="Times New Roman" w:hAnsi="Times New Roman" w:cs="Times New Roman"/>
          <w:noProof/>
          <w:sz w:val="24"/>
          <w:szCs w:val="24"/>
          <w:lang w:eastAsia="en-GB"/>
        </w:rPr>
        <w:t xml:space="preserve">the </w:t>
      </w:r>
      <w:r w:rsidR="00ED0416" w:rsidRPr="007046CF">
        <w:rPr>
          <w:rFonts w:ascii="Times New Roman" w:hAnsi="Times New Roman" w:cs="Times New Roman"/>
          <w:noProof/>
          <w:sz w:val="24"/>
          <w:szCs w:val="24"/>
          <w:lang w:eastAsia="en-GB"/>
        </w:rPr>
        <w:t>ECB and Eurostat could help minimi</w:t>
      </w:r>
      <w:r w:rsidR="007046CF">
        <w:rPr>
          <w:rFonts w:ascii="Times New Roman" w:hAnsi="Times New Roman" w:cs="Times New Roman"/>
          <w:noProof/>
          <w:sz w:val="24"/>
          <w:szCs w:val="24"/>
          <w:lang w:eastAsia="en-GB"/>
        </w:rPr>
        <w:t>s</w:t>
      </w:r>
      <w:r w:rsidR="00ED0416" w:rsidRPr="007046CF">
        <w:rPr>
          <w:rFonts w:ascii="Times New Roman" w:hAnsi="Times New Roman" w:cs="Times New Roman"/>
          <w:noProof/>
          <w:sz w:val="24"/>
          <w:szCs w:val="24"/>
          <w:lang w:eastAsia="en-GB"/>
        </w:rPr>
        <w:t>e inconsistencies in future compilation rounds</w:t>
      </w:r>
      <w:r w:rsidR="0050649D" w:rsidRPr="007046CF">
        <w:rPr>
          <w:rStyle w:val="FootnoteReference"/>
          <w:rFonts w:ascii="Times New Roman" w:hAnsi="Times New Roman" w:cs="Times New Roman"/>
          <w:noProof/>
          <w:sz w:val="24"/>
          <w:szCs w:val="24"/>
          <w:lang w:eastAsia="en-GB"/>
        </w:rPr>
        <w:footnoteReference w:id="11"/>
      </w:r>
      <w:r w:rsidR="00ED0416" w:rsidRPr="007046CF">
        <w:rPr>
          <w:rFonts w:ascii="Times New Roman" w:hAnsi="Times New Roman" w:cs="Times New Roman"/>
          <w:noProof/>
          <w:sz w:val="24"/>
          <w:szCs w:val="24"/>
          <w:lang w:eastAsia="en-GB"/>
        </w:rPr>
        <w:t>.</w:t>
      </w:r>
    </w:p>
    <w:p w14:paraId="507FF013" w14:textId="77777777" w:rsidR="005F6D5C" w:rsidRPr="007046CF" w:rsidRDefault="005F6D5C" w:rsidP="005F6D5C">
      <w:pPr>
        <w:pStyle w:val="Heading3"/>
        <w:rPr>
          <w:noProof/>
          <w:szCs w:val="24"/>
        </w:rPr>
      </w:pPr>
      <w:r w:rsidRPr="007046CF">
        <w:rPr>
          <w:noProof/>
          <w:szCs w:val="24"/>
        </w:rPr>
        <w:t>Asymmetries</w:t>
      </w:r>
    </w:p>
    <w:p w14:paraId="36AAC623" w14:textId="6AAB545C" w:rsidR="005F6D5C" w:rsidRPr="007046CF" w:rsidRDefault="00ED65D2" w:rsidP="00DD271D">
      <w:pPr>
        <w:spacing w:after="120" w:line="240" w:lineRule="auto"/>
        <w:jc w:val="both"/>
        <w:rPr>
          <w:rFonts w:ascii="Times New Roman" w:hAnsi="Times New Roman" w:cs="Times New Roman"/>
          <w:noProof/>
          <w:sz w:val="24"/>
          <w:szCs w:val="24"/>
          <w:lang w:eastAsia="en-GB"/>
        </w:rPr>
      </w:pPr>
      <w:r w:rsidRPr="009316DB">
        <w:rPr>
          <w:rFonts w:ascii="Times New Roman" w:hAnsi="Times New Roman"/>
          <w:noProof/>
          <w:sz w:val="24"/>
          <w:lang w:val="fr-BE"/>
        </w:rPr>
        <w:t>I</w:t>
      </w:r>
      <w:r w:rsidR="005F6D5C" w:rsidRPr="009316DB">
        <w:rPr>
          <w:rFonts w:ascii="Times New Roman" w:hAnsi="Times New Roman"/>
          <w:noProof/>
          <w:sz w:val="24"/>
          <w:lang w:val="fr-BE"/>
        </w:rPr>
        <w:t xml:space="preserve">ntra-EU </w:t>
      </w:r>
      <w:r w:rsidR="005F6D5C" w:rsidRPr="00396CD6">
        <w:rPr>
          <w:rFonts w:ascii="Times New Roman" w:hAnsi="Times New Roman"/>
          <w:noProof/>
          <w:sz w:val="24"/>
          <w:szCs w:val="24"/>
          <w:lang w:val="fr-BE"/>
        </w:rPr>
        <w:t xml:space="preserve">asymmetries remain </w:t>
      </w:r>
      <w:r w:rsidR="009F11A5" w:rsidRPr="00396CD6">
        <w:rPr>
          <w:rFonts w:ascii="Times New Roman" w:hAnsi="Times New Roman" w:cs="Times New Roman"/>
          <w:noProof/>
          <w:sz w:val="24"/>
          <w:szCs w:val="24"/>
          <w:lang w:val="fr-BE" w:eastAsia="en-GB"/>
        </w:rPr>
        <w:t>problematic</w:t>
      </w:r>
      <w:r w:rsidRPr="00396CD6">
        <w:rPr>
          <w:rFonts w:ascii="Times New Roman" w:hAnsi="Times New Roman" w:cs="Times New Roman"/>
          <w:noProof/>
          <w:sz w:val="24"/>
          <w:szCs w:val="24"/>
          <w:lang w:val="fr-BE"/>
        </w:rPr>
        <w:t>.</w:t>
      </w:r>
      <w:r w:rsidR="005F6D5C" w:rsidRPr="00396CD6">
        <w:rPr>
          <w:rFonts w:ascii="Times New Roman" w:hAnsi="Times New Roman" w:cs="Times New Roman"/>
          <w:noProof/>
          <w:sz w:val="24"/>
          <w:szCs w:val="24"/>
          <w:lang w:val="fr-BE"/>
        </w:rPr>
        <w:t xml:space="preserve"> </w:t>
      </w:r>
      <w:r w:rsidR="00396CD6" w:rsidRPr="00396CD6">
        <w:rPr>
          <w:rFonts w:ascii="Times New Roman" w:eastAsia="Times New Roman" w:hAnsi="Times New Roman" w:cs="Times New Roman"/>
          <w:noProof/>
          <w:color w:val="000000"/>
          <w:sz w:val="24"/>
          <w:szCs w:val="24"/>
        </w:rPr>
        <w:t xml:space="preserve">Relative asymmetries in trade in services showed a median of 10% for total services of </w:t>
      </w:r>
      <w:r w:rsidR="00601FF4">
        <w:rPr>
          <w:rFonts w:ascii="Times New Roman" w:eastAsia="Times New Roman" w:hAnsi="Times New Roman" w:cs="Times New Roman"/>
          <w:noProof/>
          <w:color w:val="000000"/>
          <w:sz w:val="24"/>
          <w:szCs w:val="24"/>
        </w:rPr>
        <w:t>Member States</w:t>
      </w:r>
      <w:r w:rsidR="00396CD6" w:rsidRPr="00396CD6">
        <w:rPr>
          <w:rFonts w:ascii="Times New Roman" w:eastAsia="Times New Roman" w:hAnsi="Times New Roman" w:cs="Times New Roman"/>
          <w:noProof/>
          <w:color w:val="000000"/>
          <w:sz w:val="24"/>
          <w:szCs w:val="24"/>
        </w:rPr>
        <w:t xml:space="preserve">. The median as highest for financial services with 24%, followed with a median of 22% for telecommunications, computer and information services. </w:t>
      </w:r>
      <w:r w:rsidRPr="00396CD6">
        <w:rPr>
          <w:rFonts w:ascii="Times New Roman" w:hAnsi="Times New Roman" w:cs="Times New Roman"/>
          <w:noProof/>
          <w:sz w:val="24"/>
          <w:szCs w:val="24"/>
          <w:lang w:eastAsia="en-GB"/>
        </w:rPr>
        <w:t>F</w:t>
      </w:r>
      <w:r w:rsidR="005F6D5C" w:rsidRPr="00396CD6">
        <w:rPr>
          <w:rFonts w:ascii="Times New Roman" w:hAnsi="Times New Roman" w:cs="Times New Roman"/>
          <w:noProof/>
          <w:sz w:val="24"/>
          <w:szCs w:val="24"/>
          <w:lang w:eastAsia="en-GB"/>
        </w:rPr>
        <w:t xml:space="preserve">or current account components </w:t>
      </w:r>
      <w:r w:rsidR="00D26EAD" w:rsidRPr="00396CD6">
        <w:rPr>
          <w:rFonts w:ascii="Times New Roman" w:hAnsi="Times New Roman" w:cs="Times New Roman"/>
          <w:noProof/>
          <w:sz w:val="24"/>
          <w:szCs w:val="24"/>
          <w:lang w:eastAsia="en-GB"/>
        </w:rPr>
        <w:t xml:space="preserve">they have remained </w:t>
      </w:r>
      <w:r w:rsidR="005F6D5C" w:rsidRPr="00396CD6">
        <w:rPr>
          <w:rFonts w:ascii="Times New Roman" w:hAnsi="Times New Roman" w:cs="Times New Roman"/>
          <w:noProof/>
          <w:sz w:val="24"/>
          <w:szCs w:val="24"/>
          <w:lang w:eastAsia="en-GB"/>
        </w:rPr>
        <w:t xml:space="preserve">rather stable over time </w:t>
      </w:r>
      <w:r w:rsidR="005F6D5C" w:rsidRPr="00396CD6">
        <w:rPr>
          <w:rFonts w:ascii="Times New Roman" w:hAnsi="Times New Roman" w:cs="Times New Roman"/>
          <w:noProof/>
          <w:sz w:val="24"/>
          <w:szCs w:val="24"/>
        </w:rPr>
        <w:t xml:space="preserve">and </w:t>
      </w:r>
      <w:r w:rsidR="00D26EAD" w:rsidRPr="00396CD6">
        <w:rPr>
          <w:rFonts w:ascii="Times New Roman" w:hAnsi="Times New Roman" w:cs="Times New Roman"/>
          <w:noProof/>
          <w:sz w:val="24"/>
          <w:szCs w:val="24"/>
        </w:rPr>
        <w:t xml:space="preserve">have </w:t>
      </w:r>
      <w:r w:rsidR="005F6D5C" w:rsidRPr="00396CD6">
        <w:rPr>
          <w:rFonts w:ascii="Times New Roman" w:hAnsi="Times New Roman" w:cs="Times New Roman"/>
          <w:noProof/>
          <w:sz w:val="24"/>
          <w:szCs w:val="24"/>
        </w:rPr>
        <w:t xml:space="preserve">even </w:t>
      </w:r>
      <w:r w:rsidR="00D26EAD" w:rsidRPr="00396CD6">
        <w:rPr>
          <w:rFonts w:ascii="Times New Roman" w:hAnsi="Times New Roman" w:cs="Times New Roman"/>
          <w:noProof/>
          <w:sz w:val="24"/>
          <w:szCs w:val="24"/>
        </w:rPr>
        <w:t xml:space="preserve">increased </w:t>
      </w:r>
      <w:r w:rsidR="005F6D5C" w:rsidRPr="00396CD6">
        <w:rPr>
          <w:rFonts w:ascii="Times New Roman" w:hAnsi="Times New Roman" w:cs="Times New Roman"/>
          <w:noProof/>
          <w:sz w:val="24"/>
          <w:szCs w:val="24"/>
        </w:rPr>
        <w:t xml:space="preserve">slightly for direct investment flows. </w:t>
      </w:r>
      <w:r w:rsidR="005F6D5C" w:rsidRPr="00396CD6">
        <w:rPr>
          <w:rStyle w:val="A4"/>
          <w:rFonts w:ascii="Times New Roman" w:hAnsi="Times New Roman" w:cs="Times New Roman"/>
          <w:noProof/>
          <w:sz w:val="24"/>
          <w:szCs w:val="24"/>
        </w:rPr>
        <w:t xml:space="preserve">Persistent bilateral asymmetries and asymmetries at the level of the intra-EU aggregates </w:t>
      </w:r>
      <w:r w:rsidR="007046CF" w:rsidRPr="00396CD6">
        <w:rPr>
          <w:rStyle w:val="A4"/>
          <w:rFonts w:ascii="Times New Roman" w:hAnsi="Times New Roman" w:cs="Times New Roman"/>
          <w:noProof/>
          <w:sz w:val="24"/>
          <w:szCs w:val="24"/>
        </w:rPr>
        <w:t>–</w:t>
      </w:r>
      <w:r w:rsidR="005F6D5C" w:rsidRPr="00396CD6">
        <w:rPr>
          <w:rStyle w:val="A4"/>
          <w:rFonts w:ascii="Times New Roman" w:hAnsi="Times New Roman" w:cs="Times New Roman"/>
          <w:noProof/>
          <w:sz w:val="24"/>
          <w:szCs w:val="24"/>
        </w:rPr>
        <w:t xml:space="preserve"> differences in the statistics reported by Member States with </w:t>
      </w:r>
      <w:r w:rsidR="000E26BC" w:rsidRPr="00396CD6">
        <w:rPr>
          <w:rStyle w:val="A4"/>
          <w:rFonts w:ascii="Times New Roman" w:hAnsi="Times New Roman" w:cs="Times New Roman"/>
          <w:noProof/>
          <w:sz w:val="24"/>
          <w:szCs w:val="24"/>
        </w:rPr>
        <w:t xml:space="preserve">those reported by </w:t>
      </w:r>
      <w:r w:rsidR="005F6D5C" w:rsidRPr="00396CD6">
        <w:rPr>
          <w:rStyle w:val="A4"/>
          <w:rFonts w:ascii="Times New Roman" w:hAnsi="Times New Roman" w:cs="Times New Roman"/>
          <w:noProof/>
          <w:sz w:val="24"/>
          <w:szCs w:val="24"/>
        </w:rPr>
        <w:t xml:space="preserve">partner Member States </w:t>
      </w:r>
      <w:r w:rsidR="007046CF" w:rsidRPr="00396CD6">
        <w:rPr>
          <w:rStyle w:val="A4"/>
          <w:rFonts w:ascii="Times New Roman" w:hAnsi="Times New Roman" w:cs="Times New Roman"/>
          <w:noProof/>
          <w:sz w:val="24"/>
          <w:szCs w:val="24"/>
        </w:rPr>
        <w:t>–</w:t>
      </w:r>
      <w:r w:rsidR="005F6D5C" w:rsidRPr="00396CD6">
        <w:rPr>
          <w:rStyle w:val="A4"/>
          <w:rFonts w:ascii="Times New Roman" w:hAnsi="Times New Roman" w:cs="Times New Roman"/>
          <w:noProof/>
          <w:sz w:val="24"/>
          <w:szCs w:val="24"/>
        </w:rPr>
        <w:t xml:space="preserve"> have led to questions about the interpretation of the statistics by data users. Bilateral asymmetries, intra-EU asymmetries</w:t>
      </w:r>
      <w:r w:rsidR="005F6D5C" w:rsidRPr="007046CF">
        <w:rPr>
          <w:rStyle w:val="A4"/>
          <w:rFonts w:ascii="Times New Roman" w:hAnsi="Times New Roman" w:cs="Times New Roman"/>
          <w:noProof/>
          <w:sz w:val="24"/>
          <w:szCs w:val="24"/>
        </w:rPr>
        <w:t xml:space="preserve"> as well as extra-EU asymmetries, have </w:t>
      </w:r>
      <w:r w:rsidR="005F6D5C" w:rsidRPr="007046CF">
        <w:rPr>
          <w:rFonts w:ascii="Times New Roman" w:hAnsi="Times New Roman" w:cs="Times New Roman"/>
          <w:noProof/>
          <w:sz w:val="24"/>
          <w:szCs w:val="24"/>
        </w:rPr>
        <w:t>negative implications for cross-country and economic zones comparability and overall data quality.</w:t>
      </w:r>
      <w:r w:rsidR="005F6D5C" w:rsidRPr="007046CF">
        <w:rPr>
          <w:rStyle w:val="A4"/>
          <w:rFonts w:ascii="Times New Roman" w:hAnsi="Times New Roman" w:cs="Times New Roman"/>
          <w:noProof/>
          <w:sz w:val="24"/>
          <w:szCs w:val="24"/>
        </w:rPr>
        <w:t xml:space="preserve"> </w:t>
      </w:r>
      <w:r w:rsidR="00D26EAD">
        <w:rPr>
          <w:rStyle w:val="A4"/>
          <w:rFonts w:ascii="Times New Roman" w:hAnsi="Times New Roman" w:cs="Times New Roman"/>
          <w:noProof/>
          <w:sz w:val="24"/>
          <w:szCs w:val="24"/>
        </w:rPr>
        <w:t>R</w:t>
      </w:r>
      <w:r w:rsidR="005F6D5C" w:rsidRPr="007046CF">
        <w:rPr>
          <w:rStyle w:val="A4"/>
          <w:rFonts w:ascii="Times New Roman" w:hAnsi="Times New Roman" w:cs="Times New Roman"/>
          <w:noProof/>
          <w:sz w:val="24"/>
          <w:szCs w:val="24"/>
        </w:rPr>
        <w:t>educ</w:t>
      </w:r>
      <w:r w:rsidR="00D26EAD">
        <w:rPr>
          <w:rStyle w:val="A4"/>
          <w:rFonts w:ascii="Times New Roman" w:hAnsi="Times New Roman" w:cs="Times New Roman"/>
          <w:noProof/>
          <w:sz w:val="24"/>
          <w:szCs w:val="24"/>
        </w:rPr>
        <w:t>ing</w:t>
      </w:r>
      <w:r w:rsidR="005F6D5C" w:rsidRPr="007046CF">
        <w:rPr>
          <w:rStyle w:val="A4"/>
          <w:rFonts w:ascii="Times New Roman" w:hAnsi="Times New Roman" w:cs="Times New Roman"/>
          <w:noProof/>
          <w:sz w:val="24"/>
          <w:szCs w:val="24"/>
        </w:rPr>
        <w:t xml:space="preserve"> these asymmetries would be a major step towards increasing confidence in official statistics</w:t>
      </w:r>
      <w:r w:rsidR="00F136DF" w:rsidRPr="007046CF">
        <w:rPr>
          <w:rStyle w:val="A4"/>
          <w:rFonts w:ascii="Times New Roman" w:hAnsi="Times New Roman" w:cs="Times New Roman"/>
          <w:noProof/>
          <w:sz w:val="24"/>
          <w:szCs w:val="24"/>
        </w:rPr>
        <w:t>.</w:t>
      </w:r>
    </w:p>
    <w:p w14:paraId="5742DE48" w14:textId="6C5E5D5F" w:rsidR="00A96953" w:rsidRPr="007046CF" w:rsidRDefault="009F4C68" w:rsidP="00A96953">
      <w:pPr>
        <w:pStyle w:val="Heading2"/>
        <w:rPr>
          <w:noProof/>
          <w:szCs w:val="24"/>
        </w:rPr>
      </w:pPr>
      <w:r w:rsidRPr="007046CF">
        <w:rPr>
          <w:bCs w:val="0"/>
          <w:noProof/>
          <w:color w:val="000000"/>
          <w:szCs w:val="24"/>
        </w:rPr>
        <w:t xml:space="preserve">Production </w:t>
      </w:r>
      <w:r w:rsidRPr="007046CF">
        <w:rPr>
          <w:noProof/>
        </w:rPr>
        <w:t xml:space="preserve">and dissemination </w:t>
      </w:r>
      <w:r w:rsidRPr="007046CF">
        <w:rPr>
          <w:bCs w:val="0"/>
          <w:noProof/>
          <w:color w:val="000000"/>
          <w:szCs w:val="24"/>
        </w:rPr>
        <w:t>of balance of payments statistics during the COVID-19 lockdown</w:t>
      </w:r>
    </w:p>
    <w:p w14:paraId="78A182D7" w14:textId="3B4E7977" w:rsidR="009F4C68" w:rsidRPr="007046CF" w:rsidRDefault="009F4C68" w:rsidP="00C377D2">
      <w:pPr>
        <w:pStyle w:val="Default"/>
        <w:jc w:val="both"/>
        <w:rPr>
          <w:rFonts w:ascii="Times New Roman" w:hAnsi="Times New Roman" w:cs="Times New Roman"/>
          <w:noProof/>
        </w:rPr>
      </w:pPr>
      <w:r w:rsidRPr="007046CF">
        <w:rPr>
          <w:rFonts w:ascii="Times New Roman" w:hAnsi="Times New Roman" w:cs="Times New Roman"/>
          <w:noProof/>
        </w:rPr>
        <w:t>The impact of the C</w:t>
      </w:r>
      <w:r w:rsidR="00D26EAD">
        <w:rPr>
          <w:rFonts w:ascii="Times New Roman" w:hAnsi="Times New Roman" w:cs="Times New Roman"/>
          <w:noProof/>
        </w:rPr>
        <w:t>OVID</w:t>
      </w:r>
      <w:r w:rsidRPr="007046CF">
        <w:rPr>
          <w:rFonts w:ascii="Times New Roman" w:hAnsi="Times New Roman" w:cs="Times New Roman"/>
          <w:noProof/>
        </w:rPr>
        <w:t xml:space="preserve">-19 pandemic on official statistics has been particularly relevant for central banks and national statistical offices. Statistical compilers </w:t>
      </w:r>
      <w:r w:rsidR="00194B18">
        <w:rPr>
          <w:rFonts w:ascii="Times New Roman" w:hAnsi="Times New Roman" w:cs="Times New Roman"/>
          <w:noProof/>
        </w:rPr>
        <w:t>were</w:t>
      </w:r>
      <w:r w:rsidRPr="007046CF">
        <w:rPr>
          <w:rFonts w:ascii="Times New Roman" w:hAnsi="Times New Roman" w:cs="Times New Roman"/>
          <w:noProof/>
        </w:rPr>
        <w:t xml:space="preserve"> confronted with </w:t>
      </w:r>
      <w:r w:rsidR="000E26BC">
        <w:rPr>
          <w:rFonts w:ascii="Times New Roman" w:hAnsi="Times New Roman" w:cs="Times New Roman"/>
          <w:noProof/>
        </w:rPr>
        <w:t>source</w:t>
      </w:r>
      <w:r w:rsidR="000E26BC" w:rsidRPr="007046CF">
        <w:rPr>
          <w:rFonts w:ascii="Times New Roman" w:hAnsi="Times New Roman" w:cs="Times New Roman"/>
          <w:noProof/>
        </w:rPr>
        <w:t xml:space="preserve"> </w:t>
      </w:r>
      <w:r w:rsidRPr="007046CF">
        <w:rPr>
          <w:rFonts w:ascii="Times New Roman" w:hAnsi="Times New Roman" w:cs="Times New Roman"/>
          <w:noProof/>
        </w:rPr>
        <w:t xml:space="preserve">data gaps </w:t>
      </w:r>
      <w:r w:rsidR="000E26BC">
        <w:rPr>
          <w:rFonts w:ascii="Times New Roman" w:hAnsi="Times New Roman" w:cs="Times New Roman"/>
          <w:noProof/>
        </w:rPr>
        <w:t>which</w:t>
      </w:r>
      <w:r w:rsidR="000E26BC" w:rsidRPr="007046CF">
        <w:rPr>
          <w:rFonts w:ascii="Times New Roman" w:hAnsi="Times New Roman" w:cs="Times New Roman"/>
          <w:noProof/>
        </w:rPr>
        <w:t xml:space="preserve"> </w:t>
      </w:r>
      <w:r w:rsidR="00063EFF" w:rsidRPr="007046CF">
        <w:rPr>
          <w:rFonts w:ascii="Times New Roman" w:hAnsi="Times New Roman" w:cs="Times New Roman"/>
          <w:noProof/>
        </w:rPr>
        <w:t xml:space="preserve">became </w:t>
      </w:r>
      <w:r w:rsidR="00DC0C42">
        <w:rPr>
          <w:rFonts w:ascii="Times New Roman" w:hAnsi="Times New Roman" w:cs="Times New Roman"/>
          <w:noProof/>
        </w:rPr>
        <w:t>an issue</w:t>
      </w:r>
      <w:r w:rsidR="00063EFF" w:rsidRPr="007046CF">
        <w:rPr>
          <w:rFonts w:ascii="Times New Roman" w:hAnsi="Times New Roman" w:cs="Times New Roman"/>
          <w:noProof/>
        </w:rPr>
        <w:t xml:space="preserve"> d</w:t>
      </w:r>
      <w:r w:rsidR="0041525A" w:rsidRPr="007046CF">
        <w:rPr>
          <w:rFonts w:ascii="Times New Roman" w:hAnsi="Times New Roman" w:cs="Times New Roman"/>
          <w:noProof/>
        </w:rPr>
        <w:t>u</w:t>
      </w:r>
      <w:r w:rsidR="00063EFF" w:rsidRPr="007046CF">
        <w:rPr>
          <w:rFonts w:ascii="Times New Roman" w:hAnsi="Times New Roman" w:cs="Times New Roman"/>
          <w:noProof/>
        </w:rPr>
        <w:t>e to the pandemic</w:t>
      </w:r>
      <w:r w:rsidRPr="007046CF">
        <w:rPr>
          <w:rFonts w:ascii="Times New Roman" w:hAnsi="Times New Roman" w:cs="Times New Roman"/>
          <w:noProof/>
        </w:rPr>
        <w:t xml:space="preserve"> and </w:t>
      </w:r>
      <w:r w:rsidR="00063EFF" w:rsidRPr="007046CF">
        <w:rPr>
          <w:rFonts w:ascii="Times New Roman" w:hAnsi="Times New Roman" w:cs="Times New Roman"/>
          <w:noProof/>
        </w:rPr>
        <w:t>were</w:t>
      </w:r>
      <w:r w:rsidRPr="007046CF">
        <w:rPr>
          <w:rFonts w:ascii="Times New Roman" w:hAnsi="Times New Roman" w:cs="Times New Roman"/>
          <w:noProof/>
        </w:rPr>
        <w:t xml:space="preserve"> involved in methodological interventions to address the related challenges. </w:t>
      </w:r>
      <w:r w:rsidRPr="007046CF">
        <w:rPr>
          <w:rFonts w:ascii="Times New Roman" w:hAnsi="Times New Roman" w:cs="Times New Roman"/>
          <w:bCs/>
          <w:noProof/>
        </w:rPr>
        <w:t>BOP/IIP statistics became more difficult to compile due to the impact of COVID-19 on respondent</w:t>
      </w:r>
      <w:r w:rsidR="00194B18">
        <w:rPr>
          <w:rFonts w:ascii="Times New Roman" w:hAnsi="Times New Roman" w:cs="Times New Roman"/>
          <w:bCs/>
          <w:noProof/>
        </w:rPr>
        <w:t>s</w:t>
      </w:r>
      <w:r w:rsidRPr="007046CF">
        <w:rPr>
          <w:rFonts w:ascii="Times New Roman" w:hAnsi="Times New Roman" w:cs="Times New Roman"/>
          <w:bCs/>
          <w:noProof/>
        </w:rPr>
        <w:t>.</w:t>
      </w:r>
      <w:r w:rsidRPr="007046CF">
        <w:rPr>
          <w:rFonts w:ascii="Times New Roman" w:hAnsi="Times New Roman" w:cs="Times New Roman"/>
          <w:noProof/>
        </w:rPr>
        <w:t xml:space="preserve"> D</w:t>
      </w:r>
      <w:r w:rsidRPr="007046CF">
        <w:rPr>
          <w:rFonts w:ascii="Times New Roman" w:hAnsi="Times New Roman" w:cs="Times New Roman"/>
          <w:bCs/>
          <w:noProof/>
        </w:rPr>
        <w:t>ata</w:t>
      </w:r>
      <w:r w:rsidR="00194B18">
        <w:rPr>
          <w:rFonts w:ascii="Times New Roman" w:hAnsi="Times New Roman" w:cs="Times New Roman"/>
          <w:bCs/>
          <w:noProof/>
        </w:rPr>
        <w:t xml:space="preserve"> therefore</w:t>
      </w:r>
      <w:r w:rsidRPr="007046CF">
        <w:rPr>
          <w:rFonts w:ascii="Times New Roman" w:hAnsi="Times New Roman" w:cs="Times New Roman"/>
          <w:bCs/>
          <w:noProof/>
        </w:rPr>
        <w:t xml:space="preserve"> became less comparable across time </w:t>
      </w:r>
      <w:r w:rsidR="00194B18">
        <w:rPr>
          <w:rFonts w:ascii="Times New Roman" w:hAnsi="Times New Roman" w:cs="Times New Roman"/>
          <w:bCs/>
          <w:noProof/>
        </w:rPr>
        <w:t xml:space="preserve">frames </w:t>
      </w:r>
      <w:r w:rsidRPr="007046CF">
        <w:rPr>
          <w:rFonts w:ascii="Times New Roman" w:hAnsi="Times New Roman" w:cs="Times New Roman"/>
          <w:bCs/>
          <w:noProof/>
        </w:rPr>
        <w:t>and/or less representative. I</w:t>
      </w:r>
      <w:r w:rsidRPr="007046CF">
        <w:rPr>
          <w:rFonts w:ascii="Times New Roman" w:hAnsi="Times New Roman" w:cs="Times New Roman"/>
          <w:noProof/>
        </w:rPr>
        <w:t xml:space="preserve">mputation for missing values was based on </w:t>
      </w:r>
      <w:r w:rsidRPr="007046CF">
        <w:rPr>
          <w:rFonts w:ascii="Times New Roman" w:hAnsi="Times New Roman" w:cs="Times New Roman"/>
          <w:bCs/>
          <w:noProof/>
        </w:rPr>
        <w:t>additional data sources, sample methodology adjustments or statistical techniques. Challenges for statistical compilers and users</w:t>
      </w:r>
      <w:r w:rsidR="00194B18">
        <w:rPr>
          <w:rFonts w:ascii="Times New Roman" w:hAnsi="Times New Roman" w:cs="Times New Roman"/>
          <w:bCs/>
          <w:noProof/>
        </w:rPr>
        <w:t xml:space="preserve"> included</w:t>
      </w:r>
      <w:r w:rsidRPr="007046CF">
        <w:rPr>
          <w:rFonts w:ascii="Times New Roman" w:hAnsi="Times New Roman" w:cs="Times New Roman"/>
          <w:bCs/>
          <w:noProof/>
        </w:rPr>
        <w:t xml:space="preserve"> </w:t>
      </w:r>
      <w:r w:rsidR="0092701E" w:rsidRPr="007046CF">
        <w:rPr>
          <w:rFonts w:ascii="Times New Roman" w:hAnsi="Times New Roman" w:cs="Times New Roman"/>
          <w:bCs/>
          <w:noProof/>
        </w:rPr>
        <w:t xml:space="preserve">the </w:t>
      </w:r>
      <w:r w:rsidRPr="007046CF">
        <w:rPr>
          <w:rFonts w:ascii="Times New Roman" w:hAnsi="Times New Roman" w:cs="Times New Roman"/>
          <w:bCs/>
          <w:noProof/>
        </w:rPr>
        <w:t xml:space="preserve">accuracy of EU aggregates, delays in the availability of </w:t>
      </w:r>
      <w:r w:rsidR="005E7E76">
        <w:rPr>
          <w:rFonts w:ascii="Times New Roman" w:hAnsi="Times New Roman" w:cs="Times New Roman"/>
          <w:bCs/>
          <w:noProof/>
        </w:rPr>
        <w:t xml:space="preserve">sources for </w:t>
      </w:r>
      <w:r w:rsidRPr="007046CF">
        <w:rPr>
          <w:rFonts w:ascii="Times New Roman" w:hAnsi="Times New Roman" w:cs="Times New Roman"/>
          <w:bCs/>
          <w:noProof/>
        </w:rPr>
        <w:t>official statistics, and larger uncertainty and data revisions</w:t>
      </w:r>
      <w:r w:rsidRPr="007046CF">
        <w:rPr>
          <w:rStyle w:val="FootnoteReference"/>
          <w:rFonts w:ascii="Times New Roman" w:hAnsi="Times New Roman" w:cs="Times New Roman"/>
          <w:bCs/>
          <w:noProof/>
        </w:rPr>
        <w:footnoteReference w:id="12"/>
      </w:r>
      <w:r w:rsidR="007046CF" w:rsidRPr="007046CF">
        <w:rPr>
          <w:rFonts w:ascii="Times New Roman" w:hAnsi="Times New Roman" w:cs="Times New Roman"/>
          <w:bCs/>
          <w:noProof/>
        </w:rPr>
        <w:t>.</w:t>
      </w:r>
      <w:r w:rsidRPr="007046CF">
        <w:rPr>
          <w:rFonts w:ascii="Times New Roman" w:hAnsi="Times New Roman" w:cs="Times New Roman"/>
          <w:bCs/>
          <w:noProof/>
        </w:rPr>
        <w:t xml:space="preserve"> </w:t>
      </w:r>
      <w:r w:rsidR="005E7E76">
        <w:rPr>
          <w:rFonts w:ascii="Times New Roman" w:hAnsi="Times New Roman" w:cs="Times New Roman"/>
          <w:bCs/>
          <w:noProof/>
        </w:rPr>
        <w:t>A</w:t>
      </w:r>
      <w:r w:rsidRPr="007046CF">
        <w:rPr>
          <w:rFonts w:ascii="Times New Roman" w:hAnsi="Times New Roman" w:cs="Times New Roman"/>
          <w:bCs/>
          <w:noProof/>
        </w:rPr>
        <w:t xml:space="preserve">ccuracy and reliability </w:t>
      </w:r>
      <w:r w:rsidR="005E7E76">
        <w:rPr>
          <w:rFonts w:ascii="Times New Roman" w:hAnsi="Times New Roman" w:cs="Times New Roman"/>
          <w:bCs/>
          <w:noProof/>
        </w:rPr>
        <w:t xml:space="preserve">were mostly </w:t>
      </w:r>
      <w:r w:rsidR="00375A5E" w:rsidRPr="007046CF">
        <w:rPr>
          <w:rFonts w:ascii="Times New Roman" w:hAnsi="Times New Roman" w:cs="Times New Roman"/>
          <w:bCs/>
          <w:noProof/>
        </w:rPr>
        <w:t xml:space="preserve">affected </w:t>
      </w:r>
      <w:r w:rsidRPr="007046CF">
        <w:rPr>
          <w:rFonts w:ascii="Times New Roman" w:hAnsi="Times New Roman" w:cs="Times New Roman"/>
          <w:bCs/>
          <w:noProof/>
        </w:rPr>
        <w:t>at the beginning of the pandemic, when mitigating measures were not yet well established.</w:t>
      </w:r>
    </w:p>
    <w:p w14:paraId="6832842A" w14:textId="77777777" w:rsidR="00DD271D" w:rsidRPr="007046CF" w:rsidRDefault="00DD271D" w:rsidP="00DD271D">
      <w:pPr>
        <w:pStyle w:val="Heading1"/>
        <w:rPr>
          <w:noProof/>
          <w:szCs w:val="24"/>
        </w:rPr>
      </w:pPr>
      <w:r w:rsidRPr="007046CF">
        <w:rPr>
          <w:noProof/>
          <w:szCs w:val="24"/>
        </w:rPr>
        <w:t>Costs and burden of balance of payments statistics</w:t>
      </w:r>
    </w:p>
    <w:p w14:paraId="75052049" w14:textId="7F1E0D46" w:rsidR="00DD271D" w:rsidRPr="007046CF" w:rsidRDefault="00FF6E08" w:rsidP="00DD271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00DD271D" w:rsidRPr="007046CF">
        <w:rPr>
          <w:rFonts w:ascii="Times New Roman" w:hAnsi="Times New Roman" w:cs="Times New Roman"/>
          <w:noProof/>
          <w:sz w:val="24"/>
          <w:szCs w:val="24"/>
        </w:rPr>
        <w:t>o compile balance of payments, international trade in services and foreign direct investment statistics, national compilers indicated that they use data from primary statistics</w:t>
      </w:r>
      <w:r>
        <w:rPr>
          <w:rFonts w:ascii="Times New Roman" w:hAnsi="Times New Roman" w:cs="Times New Roman"/>
          <w:noProof/>
          <w:sz w:val="24"/>
          <w:szCs w:val="24"/>
        </w:rPr>
        <w:t>,</w:t>
      </w:r>
      <w:r w:rsidR="00DD271D" w:rsidRPr="007046CF">
        <w:rPr>
          <w:rFonts w:ascii="Times New Roman" w:hAnsi="Times New Roman" w:cs="Times New Roman"/>
          <w:noProof/>
          <w:sz w:val="24"/>
          <w:szCs w:val="24"/>
        </w:rPr>
        <w:t xml:space="preserve"> referr</w:t>
      </w:r>
      <w:r>
        <w:rPr>
          <w:rFonts w:ascii="Times New Roman" w:hAnsi="Times New Roman" w:cs="Times New Roman"/>
          <w:noProof/>
          <w:sz w:val="24"/>
          <w:szCs w:val="24"/>
        </w:rPr>
        <w:t>ing for example</w:t>
      </w:r>
      <w:r w:rsidR="00DD271D" w:rsidRPr="007046CF">
        <w:rPr>
          <w:rFonts w:ascii="Times New Roman" w:hAnsi="Times New Roman" w:cs="Times New Roman"/>
          <w:noProof/>
          <w:sz w:val="24"/>
          <w:szCs w:val="24"/>
        </w:rPr>
        <w:t xml:space="preserve"> to</w:t>
      </w:r>
      <w:r>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 xml:space="preserve">customs data, data from the survey on intracommunity trade in goods, data from business registers, tax administration, real estate data or tourism statistics. For Member States it is difficult to disentangle the specific costs of collecting and producing the data required </w:t>
      </w:r>
      <w:r>
        <w:rPr>
          <w:rFonts w:ascii="Times New Roman" w:hAnsi="Times New Roman" w:cs="Times New Roman"/>
          <w:noProof/>
          <w:sz w:val="24"/>
          <w:szCs w:val="24"/>
        </w:rPr>
        <w:t>under</w:t>
      </w:r>
      <w:r w:rsidRPr="007046CF">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Regulation (EC) No</w:t>
      </w:r>
      <w:r w:rsidR="007046CF">
        <w:rPr>
          <w:rFonts w:ascii="Times New Roman" w:hAnsi="Times New Roman" w:cs="Times New Roman"/>
          <w:noProof/>
          <w:sz w:val="24"/>
          <w:szCs w:val="24"/>
        </w:rPr>
        <w:t> </w:t>
      </w:r>
      <w:r w:rsidR="00DD271D" w:rsidRPr="007046CF">
        <w:rPr>
          <w:rFonts w:ascii="Times New Roman" w:hAnsi="Times New Roman" w:cs="Times New Roman"/>
          <w:noProof/>
          <w:sz w:val="24"/>
          <w:szCs w:val="24"/>
        </w:rPr>
        <w:t>184/2005 from the total cost incurred for data collected for other purposes.</w:t>
      </w:r>
    </w:p>
    <w:p w14:paraId="60B49956" w14:textId="2340C889"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The BOPWG members estimate the direct labour input required for the production and dissemination of balance of payments statistics in the EU at approximately 557 full time equivalents (based on </w:t>
      </w:r>
      <w:r w:rsidR="00A127F8">
        <w:rPr>
          <w:rFonts w:ascii="Times New Roman" w:hAnsi="Times New Roman" w:cs="Times New Roman"/>
          <w:noProof/>
          <w:sz w:val="24"/>
          <w:szCs w:val="24"/>
        </w:rPr>
        <w:t xml:space="preserve">information from </w:t>
      </w:r>
      <w:r w:rsidRPr="007046CF">
        <w:rPr>
          <w:rFonts w:ascii="Times New Roman" w:hAnsi="Times New Roman" w:cs="Times New Roman"/>
          <w:noProof/>
          <w:sz w:val="24"/>
          <w:szCs w:val="24"/>
        </w:rPr>
        <w:t xml:space="preserve">19 Member States). When breaking down the </w:t>
      </w:r>
      <w:r w:rsidR="007046CF" w:rsidRPr="007046CF">
        <w:rPr>
          <w:rFonts w:ascii="Times New Roman" w:hAnsi="Times New Roman" w:cs="Times New Roman"/>
          <w:noProof/>
          <w:sz w:val="24"/>
          <w:szCs w:val="24"/>
        </w:rPr>
        <w:t>response</w:t>
      </w:r>
      <w:r w:rsidRPr="007046CF">
        <w:rPr>
          <w:rFonts w:ascii="Times New Roman" w:hAnsi="Times New Roman" w:cs="Times New Roman"/>
          <w:noProof/>
          <w:sz w:val="24"/>
          <w:szCs w:val="24"/>
        </w:rPr>
        <w:t xml:space="preserve"> by sub-component of </w:t>
      </w:r>
      <w:r w:rsidR="002D12C6">
        <w:rPr>
          <w:rFonts w:ascii="Times New Roman" w:hAnsi="Times New Roman" w:cs="Times New Roman"/>
          <w:noProof/>
          <w:sz w:val="24"/>
          <w:szCs w:val="24"/>
        </w:rPr>
        <w:t>BOP, the dataset absorbing most input is the quarterly balance of payments,</w:t>
      </w:r>
      <w:r w:rsidRPr="007046CF">
        <w:rPr>
          <w:rFonts w:ascii="Times New Roman" w:hAnsi="Times New Roman" w:cs="Times New Roman"/>
          <w:noProof/>
          <w:sz w:val="24"/>
          <w:szCs w:val="24"/>
        </w:rPr>
        <w:t xml:space="preserve"> which requires 60.2% of the resources, followed by monthly balance of payments statistics (19.7%), international trade in services (11.9%) and foreign direct investment (8.1%).</w:t>
      </w:r>
    </w:p>
    <w:p w14:paraId="0B6B6C29" w14:textId="49D21E44" w:rsidR="00DD271D" w:rsidRPr="007046CF" w:rsidRDefault="00C65961" w:rsidP="00DD271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w:t>
      </w:r>
      <w:r w:rsidR="00DD271D" w:rsidRPr="007046CF">
        <w:rPr>
          <w:rFonts w:ascii="Times New Roman" w:hAnsi="Times New Roman" w:cs="Times New Roman"/>
          <w:noProof/>
          <w:sz w:val="24"/>
          <w:szCs w:val="24"/>
        </w:rPr>
        <w:t>eedback from Member States indicate</w:t>
      </w:r>
      <w:r>
        <w:rPr>
          <w:rFonts w:ascii="Times New Roman" w:hAnsi="Times New Roman" w:cs="Times New Roman"/>
          <w:noProof/>
          <w:sz w:val="24"/>
          <w:szCs w:val="24"/>
        </w:rPr>
        <w:t>s</w:t>
      </w:r>
      <w:r w:rsidR="00DD271D" w:rsidRPr="007046CF">
        <w:rPr>
          <w:rFonts w:ascii="Times New Roman" w:hAnsi="Times New Roman" w:cs="Times New Roman"/>
          <w:noProof/>
          <w:sz w:val="24"/>
          <w:szCs w:val="24"/>
        </w:rPr>
        <w:t xml:space="preserve"> that, if there was no data </w:t>
      </w:r>
      <w:r w:rsidR="00197871">
        <w:rPr>
          <w:rFonts w:ascii="Times New Roman" w:hAnsi="Times New Roman" w:cs="Times New Roman"/>
          <w:noProof/>
          <w:sz w:val="24"/>
          <w:szCs w:val="24"/>
        </w:rPr>
        <w:t>submission</w:t>
      </w:r>
      <w:r w:rsidR="00197871" w:rsidRPr="007046CF">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 xml:space="preserve">to Eurostat due to Regulation (EC) No 184/2005, possible savings would account for 13.2% of the full time equivalents. Balance of payments data are </w:t>
      </w:r>
      <w:r>
        <w:rPr>
          <w:rFonts w:ascii="Times New Roman" w:hAnsi="Times New Roman" w:cs="Times New Roman"/>
          <w:noProof/>
          <w:sz w:val="24"/>
          <w:szCs w:val="24"/>
        </w:rPr>
        <w:t xml:space="preserve">also </w:t>
      </w:r>
      <w:r w:rsidR="00DD271D" w:rsidRPr="007046CF">
        <w:rPr>
          <w:rFonts w:ascii="Times New Roman" w:hAnsi="Times New Roman" w:cs="Times New Roman"/>
          <w:noProof/>
          <w:sz w:val="24"/>
          <w:szCs w:val="24"/>
        </w:rPr>
        <w:t xml:space="preserve">needed for national purposes and </w:t>
      </w:r>
      <w:r>
        <w:rPr>
          <w:rFonts w:ascii="Times New Roman" w:hAnsi="Times New Roman" w:cs="Times New Roman"/>
          <w:noProof/>
          <w:sz w:val="24"/>
          <w:szCs w:val="24"/>
        </w:rPr>
        <w:t>were</w:t>
      </w:r>
      <w:r w:rsidRPr="007046CF">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already collected by Member States before th</w:t>
      </w:r>
      <w:r>
        <w:rPr>
          <w:rFonts w:ascii="Times New Roman" w:hAnsi="Times New Roman" w:cs="Times New Roman"/>
          <w:noProof/>
          <w:sz w:val="24"/>
          <w:szCs w:val="24"/>
        </w:rPr>
        <w:t>e</w:t>
      </w:r>
      <w:r w:rsidR="00DD271D" w:rsidRPr="007046CF">
        <w:rPr>
          <w:rFonts w:ascii="Times New Roman" w:hAnsi="Times New Roman" w:cs="Times New Roman"/>
          <w:noProof/>
          <w:sz w:val="24"/>
          <w:szCs w:val="24"/>
        </w:rPr>
        <w:t xml:space="preserve"> Regulation</w:t>
      </w:r>
      <w:r w:rsidR="005F611B" w:rsidRPr="007046CF">
        <w:rPr>
          <w:rFonts w:ascii="Times New Roman" w:hAnsi="Times New Roman" w:cs="Times New Roman"/>
          <w:noProof/>
          <w:sz w:val="24"/>
          <w:szCs w:val="24"/>
        </w:rPr>
        <w:t> </w:t>
      </w:r>
      <w:r>
        <w:rPr>
          <w:rFonts w:ascii="Times New Roman" w:hAnsi="Times New Roman" w:cs="Times New Roman"/>
          <w:noProof/>
          <w:sz w:val="24"/>
          <w:szCs w:val="24"/>
        </w:rPr>
        <w:t>came into force</w:t>
      </w:r>
      <w:r w:rsidR="00DD271D" w:rsidRPr="007046CF">
        <w:rPr>
          <w:rFonts w:ascii="Times New Roman" w:hAnsi="Times New Roman" w:cs="Times New Roman"/>
          <w:noProof/>
          <w:sz w:val="24"/>
          <w:szCs w:val="24"/>
        </w:rPr>
        <w:t>. Therefore, only limited additional resources are required to comply with its requirements. It should also be borne in mind that there is significant overlap between the requirements of Regulation (EC) No 184/2005 and the data requests of other national and international organisations (IOs), particularly those of the ECB and the IMF. The data produced by the Member States specifically for Regulation (EC) No 184/2005 are indistinguishable from others produced to comply with other data requirements.</w:t>
      </w:r>
    </w:p>
    <w:p w14:paraId="3321144C" w14:textId="6EF19B5D" w:rsidR="00DD271D" w:rsidRPr="007046CF" w:rsidRDefault="00C65961" w:rsidP="00DD271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w:t>
      </w:r>
      <w:r w:rsidR="00DD271D" w:rsidRPr="007046CF">
        <w:rPr>
          <w:rFonts w:ascii="Times New Roman" w:hAnsi="Times New Roman" w:cs="Times New Roman"/>
          <w:noProof/>
          <w:sz w:val="24"/>
          <w:szCs w:val="24"/>
        </w:rPr>
        <w:t xml:space="preserve"> </w:t>
      </w:r>
      <w:r w:rsidR="007046CF">
        <w:rPr>
          <w:rFonts w:ascii="Times New Roman" w:hAnsi="Times New Roman" w:cs="Times New Roman"/>
          <w:noProof/>
          <w:sz w:val="24"/>
          <w:szCs w:val="24"/>
        </w:rPr>
        <w:t>‘</w:t>
      </w:r>
      <w:r w:rsidR="00DD271D" w:rsidRPr="007046CF">
        <w:rPr>
          <w:rFonts w:ascii="Times New Roman" w:hAnsi="Times New Roman" w:cs="Times New Roman"/>
          <w:noProof/>
          <w:sz w:val="24"/>
          <w:szCs w:val="24"/>
        </w:rPr>
        <w:t>other costs</w:t>
      </w:r>
      <w:r w:rsidR="007046CF">
        <w:rPr>
          <w:rFonts w:ascii="Times New Roman" w:hAnsi="Times New Roman" w:cs="Times New Roman"/>
          <w:noProof/>
          <w:sz w:val="24"/>
          <w:szCs w:val="24"/>
        </w:rPr>
        <w:t>’</w:t>
      </w:r>
      <w:r w:rsidR="00DD271D" w:rsidRPr="007046CF">
        <w:rPr>
          <w:rFonts w:ascii="Times New Roman" w:hAnsi="Times New Roman" w:cs="Times New Roman"/>
          <w:noProof/>
          <w:sz w:val="24"/>
          <w:szCs w:val="24"/>
        </w:rPr>
        <w:t xml:space="preserve">, Member States were asked to assess the implications of </w:t>
      </w:r>
      <w:r w:rsidR="007046CF">
        <w:rPr>
          <w:rFonts w:ascii="Times New Roman" w:hAnsi="Times New Roman" w:cs="Times New Roman"/>
          <w:noProof/>
          <w:sz w:val="24"/>
          <w:szCs w:val="24"/>
        </w:rPr>
        <w:t>ad hoc</w:t>
      </w:r>
      <w:r w:rsidR="00DD271D" w:rsidRPr="007046CF">
        <w:rPr>
          <w:rFonts w:ascii="Times New Roman" w:hAnsi="Times New Roman" w:cs="Times New Roman"/>
          <w:noProof/>
          <w:sz w:val="24"/>
          <w:szCs w:val="24"/>
        </w:rPr>
        <w:t xml:space="preserve"> surveys.</w:t>
      </w:r>
    </w:p>
    <w:p w14:paraId="17147251" w14:textId="16133D1A" w:rsidR="00DD271D" w:rsidRPr="009F7711" w:rsidRDefault="00C65961" w:rsidP="000C5BFE">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w:t>
      </w:r>
      <w:r w:rsidR="00DD271D" w:rsidRPr="007046CF">
        <w:rPr>
          <w:rFonts w:ascii="Times New Roman" w:hAnsi="Times New Roman" w:cs="Times New Roman"/>
          <w:noProof/>
          <w:sz w:val="24"/>
          <w:szCs w:val="24"/>
        </w:rPr>
        <w:t xml:space="preserve"> the burden </w:t>
      </w:r>
      <w:r>
        <w:rPr>
          <w:rFonts w:ascii="Times New Roman" w:hAnsi="Times New Roman" w:cs="Times New Roman"/>
          <w:noProof/>
          <w:sz w:val="24"/>
          <w:szCs w:val="24"/>
        </w:rPr>
        <w:t>that</w:t>
      </w:r>
      <w:r w:rsidR="00DD271D" w:rsidRPr="007046CF">
        <w:rPr>
          <w:rFonts w:ascii="Times New Roman" w:hAnsi="Times New Roman" w:cs="Times New Roman"/>
          <w:noProof/>
          <w:sz w:val="24"/>
          <w:szCs w:val="24"/>
        </w:rPr>
        <w:t xml:space="preserve"> the collection of data on balance of payments, international trade in services and foreign direct investment</w:t>
      </w:r>
      <w:r>
        <w:rPr>
          <w:rFonts w:ascii="Times New Roman" w:hAnsi="Times New Roman" w:cs="Times New Roman"/>
          <w:noProof/>
          <w:sz w:val="24"/>
          <w:szCs w:val="24"/>
        </w:rPr>
        <w:t xml:space="preserve"> places on respondents</w:t>
      </w:r>
      <w:r w:rsidR="00DD271D" w:rsidRPr="007046CF">
        <w:rPr>
          <w:rFonts w:ascii="Times New Roman" w:hAnsi="Times New Roman" w:cs="Times New Roman"/>
          <w:noProof/>
          <w:sz w:val="24"/>
          <w:szCs w:val="24"/>
        </w:rPr>
        <w:t xml:space="preserve">, a few Member States indicated that they estimated the cost </w:t>
      </w:r>
      <w:r w:rsidR="002A3061">
        <w:rPr>
          <w:rFonts w:ascii="Times New Roman" w:hAnsi="Times New Roman" w:cs="Times New Roman"/>
          <w:noProof/>
          <w:sz w:val="24"/>
          <w:szCs w:val="24"/>
        </w:rPr>
        <w:t>to</w:t>
      </w:r>
      <w:r w:rsidR="00DD271D" w:rsidRPr="007046CF">
        <w:rPr>
          <w:rFonts w:ascii="Times New Roman" w:hAnsi="Times New Roman" w:cs="Times New Roman"/>
          <w:noProof/>
          <w:sz w:val="24"/>
          <w:szCs w:val="24"/>
        </w:rPr>
        <w:t xml:space="preserve"> respondents </w:t>
      </w:r>
      <w:r w:rsidR="002A3061">
        <w:rPr>
          <w:rFonts w:ascii="Times New Roman" w:hAnsi="Times New Roman" w:cs="Times New Roman"/>
          <w:noProof/>
          <w:sz w:val="24"/>
          <w:szCs w:val="24"/>
        </w:rPr>
        <w:t xml:space="preserve">of replying to surveys at </w:t>
      </w:r>
      <w:r w:rsidR="00DD271D" w:rsidRPr="007046CF">
        <w:rPr>
          <w:rFonts w:ascii="Times New Roman" w:hAnsi="Times New Roman" w:cs="Times New Roman"/>
          <w:noProof/>
          <w:sz w:val="24"/>
          <w:szCs w:val="24"/>
        </w:rPr>
        <w:t>between EUR 1.4 million (IT</w:t>
      </w:r>
      <w:r w:rsidR="00D57B27">
        <w:rPr>
          <w:rFonts w:ascii="Times New Roman" w:hAnsi="Times New Roman" w:cs="Times New Roman"/>
          <w:noProof/>
          <w:sz w:val="24"/>
          <w:szCs w:val="24"/>
        </w:rPr>
        <w:t xml:space="preserve"> </w:t>
      </w:r>
      <w:r w:rsidR="00DD271D" w:rsidRPr="007046CF">
        <w:rPr>
          <w:rFonts w:ascii="Times New Roman" w:hAnsi="Times New Roman" w:cs="Times New Roman"/>
          <w:noProof/>
          <w:sz w:val="24"/>
          <w:szCs w:val="24"/>
        </w:rPr>
        <w:t>surveys) and EU 22.8 million (full coverage of BOP sub-components). Member States</w:t>
      </w:r>
      <w:r w:rsidR="00D57B27">
        <w:rPr>
          <w:rFonts w:ascii="Times New Roman" w:hAnsi="Times New Roman" w:cs="Times New Roman"/>
          <w:noProof/>
          <w:sz w:val="24"/>
          <w:szCs w:val="24"/>
        </w:rPr>
        <w:t xml:space="preserve"> also </w:t>
      </w:r>
      <w:r w:rsidR="00DD271D" w:rsidRPr="007046CF">
        <w:rPr>
          <w:rFonts w:ascii="Times New Roman" w:hAnsi="Times New Roman" w:cs="Times New Roman"/>
          <w:noProof/>
          <w:sz w:val="24"/>
          <w:szCs w:val="24"/>
        </w:rPr>
        <w:t xml:space="preserve">indicated </w:t>
      </w:r>
      <w:r w:rsidR="00D57B27">
        <w:rPr>
          <w:rFonts w:ascii="Times New Roman" w:hAnsi="Times New Roman" w:cs="Times New Roman"/>
          <w:noProof/>
          <w:sz w:val="24"/>
          <w:szCs w:val="24"/>
        </w:rPr>
        <w:t xml:space="preserve">that surveys entailed a </w:t>
      </w:r>
      <w:r w:rsidR="00DD271D" w:rsidRPr="009F7711">
        <w:rPr>
          <w:rFonts w:ascii="Times New Roman" w:hAnsi="Times New Roman" w:cs="Times New Roman"/>
          <w:noProof/>
          <w:sz w:val="24"/>
          <w:szCs w:val="24"/>
        </w:rPr>
        <w:t>higher workload for small and medium size enterprises, which might be subject to various reporting obligations.</w:t>
      </w:r>
    </w:p>
    <w:p w14:paraId="252F043F" w14:textId="4D54A0BF" w:rsidR="00C23AAB" w:rsidRPr="009F7711" w:rsidRDefault="00C23AAB" w:rsidP="00F67279">
      <w:pPr>
        <w:shd w:val="clear" w:color="auto" w:fill="FFFFFF"/>
        <w:jc w:val="both"/>
        <w:rPr>
          <w:rFonts w:ascii="Times New Roman" w:hAnsi="Times New Roman" w:cs="Times New Roman"/>
          <w:noProof/>
          <w:sz w:val="24"/>
          <w:szCs w:val="24"/>
          <w:lang w:eastAsia="en-GB"/>
        </w:rPr>
      </w:pPr>
      <w:r w:rsidRPr="009F7711">
        <w:rPr>
          <w:rFonts w:ascii="Times New Roman" w:hAnsi="Times New Roman" w:cs="Times New Roman"/>
          <w:noProof/>
          <w:sz w:val="24"/>
          <w:szCs w:val="24"/>
          <w:lang w:eastAsia="en-GB"/>
        </w:rPr>
        <w:t xml:space="preserve">Since the last report on the implementation published </w:t>
      </w:r>
      <w:r w:rsidR="00C95FD1" w:rsidRPr="009F7711">
        <w:rPr>
          <w:rFonts w:ascii="Times New Roman" w:hAnsi="Times New Roman" w:cs="Times New Roman"/>
          <w:noProof/>
          <w:sz w:val="24"/>
          <w:szCs w:val="24"/>
          <w:lang w:eastAsia="en-GB"/>
        </w:rPr>
        <w:t>on 26 January</w:t>
      </w:r>
      <w:r w:rsidRPr="009F7711">
        <w:rPr>
          <w:rFonts w:ascii="Times New Roman" w:hAnsi="Times New Roman" w:cs="Times New Roman"/>
          <w:noProof/>
          <w:sz w:val="24"/>
          <w:szCs w:val="24"/>
          <w:lang w:eastAsia="en-GB"/>
        </w:rPr>
        <w:t xml:space="preserve"> 2018, Eurostat has supported Member States regarding the implementation of concepts and methods of macro-economic statistics including balance of payments </w:t>
      </w:r>
      <w:r w:rsidR="005B65F2" w:rsidRPr="009F7711">
        <w:rPr>
          <w:rFonts w:ascii="Times New Roman" w:hAnsi="Times New Roman" w:cs="Times New Roman"/>
          <w:noProof/>
          <w:sz w:val="24"/>
          <w:szCs w:val="24"/>
          <w:lang w:eastAsia="en-GB"/>
        </w:rPr>
        <w:t xml:space="preserve">statistics </w:t>
      </w:r>
      <w:r w:rsidRPr="009F7711">
        <w:rPr>
          <w:rFonts w:ascii="Times New Roman" w:hAnsi="Times New Roman" w:cs="Times New Roman"/>
          <w:noProof/>
          <w:sz w:val="24"/>
          <w:szCs w:val="24"/>
          <w:lang w:eastAsia="en-GB"/>
        </w:rPr>
        <w:t>with EUR 1.7 million.</w:t>
      </w:r>
    </w:p>
    <w:p w14:paraId="06724494" w14:textId="77777777" w:rsidR="00DD271D" w:rsidRPr="009F7711" w:rsidRDefault="00DD271D" w:rsidP="00DD271D">
      <w:pPr>
        <w:pStyle w:val="Heading1"/>
        <w:rPr>
          <w:noProof/>
          <w:szCs w:val="24"/>
        </w:rPr>
      </w:pPr>
      <w:r w:rsidRPr="009F7711">
        <w:rPr>
          <w:noProof/>
          <w:szCs w:val="24"/>
        </w:rPr>
        <w:t>Areas for potential improvements and amendments</w:t>
      </w:r>
    </w:p>
    <w:p w14:paraId="68BD8940" w14:textId="356D3D53"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In general, Member States underlined the importance of international cooperation. Eurostat’s role is appreciated in providing the </w:t>
      </w:r>
      <w:r w:rsidR="00764A7E" w:rsidRPr="007046CF">
        <w:rPr>
          <w:rFonts w:ascii="Times New Roman" w:hAnsi="Times New Roman" w:cs="Times New Roman"/>
          <w:noProof/>
          <w:sz w:val="24"/>
          <w:szCs w:val="24"/>
        </w:rPr>
        <w:t>BOPWG</w:t>
      </w:r>
      <w:r w:rsidRPr="007046CF">
        <w:rPr>
          <w:rFonts w:ascii="Times New Roman" w:hAnsi="Times New Roman" w:cs="Times New Roman"/>
          <w:noProof/>
          <w:sz w:val="24"/>
          <w:szCs w:val="24"/>
        </w:rPr>
        <w:t xml:space="preserve"> </w:t>
      </w:r>
      <w:r w:rsidR="009F11A5">
        <w:rPr>
          <w:rFonts w:ascii="Times New Roman" w:hAnsi="Times New Roman" w:cs="Times New Roman"/>
          <w:noProof/>
          <w:sz w:val="24"/>
          <w:szCs w:val="24"/>
        </w:rPr>
        <w:t xml:space="preserve">as </w:t>
      </w:r>
      <w:r w:rsidRPr="007046CF">
        <w:rPr>
          <w:rFonts w:ascii="Times New Roman" w:hAnsi="Times New Roman" w:cs="Times New Roman"/>
          <w:noProof/>
          <w:sz w:val="24"/>
          <w:szCs w:val="24"/>
        </w:rPr>
        <w:t xml:space="preserve">a forum for the structured </w:t>
      </w:r>
      <w:r w:rsidR="007046CF" w:rsidRPr="007046CF">
        <w:rPr>
          <w:rFonts w:ascii="Times New Roman" w:hAnsi="Times New Roman" w:cs="Times New Roman"/>
          <w:noProof/>
          <w:sz w:val="24"/>
          <w:szCs w:val="24"/>
        </w:rPr>
        <w:t>exchange</w:t>
      </w:r>
      <w:r w:rsidRPr="007046CF">
        <w:rPr>
          <w:rFonts w:ascii="Times New Roman" w:hAnsi="Times New Roman" w:cs="Times New Roman"/>
          <w:noProof/>
          <w:sz w:val="24"/>
          <w:szCs w:val="24"/>
        </w:rPr>
        <w:t xml:space="preserve"> of views and sharing of experiences and good practices on matters related to Regulation (EC) 184/2005. Overall, the feedback received encourages Eurostat to further cooperate with its partner </w:t>
      </w:r>
      <w:r w:rsidR="002D12C6">
        <w:rPr>
          <w:rFonts w:ascii="Times New Roman" w:hAnsi="Times New Roman" w:cs="Times New Roman"/>
          <w:noProof/>
          <w:sz w:val="24"/>
          <w:szCs w:val="24"/>
        </w:rPr>
        <w:t>IOs</w:t>
      </w:r>
      <w:r w:rsidRPr="007046CF">
        <w:rPr>
          <w:rFonts w:ascii="Times New Roman" w:hAnsi="Times New Roman" w:cs="Times New Roman"/>
          <w:noProof/>
          <w:sz w:val="24"/>
          <w:szCs w:val="24"/>
        </w:rPr>
        <w:t xml:space="preserve"> to harmonise data reporting requirements and concepts and methodology in the various statistical </w:t>
      </w:r>
      <w:r w:rsidR="00D57B27">
        <w:rPr>
          <w:rFonts w:ascii="Times New Roman" w:hAnsi="Times New Roman" w:cs="Times New Roman"/>
          <w:noProof/>
          <w:sz w:val="24"/>
          <w:szCs w:val="24"/>
        </w:rPr>
        <w:t>areas</w:t>
      </w:r>
      <w:r w:rsidRPr="007046CF">
        <w:rPr>
          <w:rFonts w:ascii="Times New Roman" w:hAnsi="Times New Roman" w:cs="Times New Roman"/>
          <w:noProof/>
          <w:sz w:val="24"/>
          <w:szCs w:val="24"/>
        </w:rPr>
        <w:t xml:space="preserve">. Some Member States stress the need </w:t>
      </w:r>
      <w:r w:rsidR="00D57B27">
        <w:rPr>
          <w:rFonts w:ascii="Times New Roman" w:hAnsi="Times New Roman" w:cs="Times New Roman"/>
          <w:noProof/>
          <w:sz w:val="24"/>
          <w:szCs w:val="24"/>
        </w:rPr>
        <w:t>for</w:t>
      </w:r>
      <w:r w:rsidRPr="007046CF">
        <w:rPr>
          <w:rFonts w:ascii="Times New Roman" w:hAnsi="Times New Roman" w:cs="Times New Roman"/>
          <w:noProof/>
          <w:sz w:val="24"/>
          <w:szCs w:val="24"/>
        </w:rPr>
        <w:t xml:space="preserve"> guidance on interpret</w:t>
      </w:r>
      <w:r w:rsidR="00D57B27">
        <w:rPr>
          <w:rFonts w:ascii="Times New Roman" w:hAnsi="Times New Roman" w:cs="Times New Roman"/>
          <w:noProof/>
          <w:sz w:val="24"/>
          <w:szCs w:val="24"/>
        </w:rPr>
        <w:t>ing</w:t>
      </w:r>
      <w:r w:rsidRPr="007046CF">
        <w:rPr>
          <w:rFonts w:ascii="Times New Roman" w:hAnsi="Times New Roman" w:cs="Times New Roman"/>
          <w:noProof/>
          <w:sz w:val="24"/>
          <w:szCs w:val="24"/>
        </w:rPr>
        <w:t xml:space="preserve"> statistical manuals and guide</w:t>
      </w:r>
      <w:r w:rsidR="00A127F8">
        <w:rPr>
          <w:rFonts w:ascii="Times New Roman" w:hAnsi="Times New Roman" w:cs="Times New Roman"/>
          <w:noProof/>
          <w:sz w:val="24"/>
          <w:szCs w:val="24"/>
        </w:rPr>
        <w:t>lines</w:t>
      </w:r>
      <w:r w:rsidRPr="007046CF">
        <w:rPr>
          <w:rFonts w:ascii="Times New Roman" w:hAnsi="Times New Roman" w:cs="Times New Roman"/>
          <w:noProof/>
          <w:sz w:val="24"/>
          <w:szCs w:val="24"/>
        </w:rPr>
        <w:t xml:space="preserve">, which confirms the </w:t>
      </w:r>
      <w:r w:rsidR="007046CF" w:rsidRPr="007046CF">
        <w:rPr>
          <w:rFonts w:ascii="Times New Roman" w:hAnsi="Times New Roman" w:cs="Times New Roman"/>
          <w:noProof/>
          <w:sz w:val="24"/>
          <w:szCs w:val="24"/>
        </w:rPr>
        <w:t>importance</w:t>
      </w:r>
      <w:r w:rsidRPr="007046CF">
        <w:rPr>
          <w:rFonts w:ascii="Times New Roman" w:hAnsi="Times New Roman" w:cs="Times New Roman"/>
          <w:noProof/>
          <w:sz w:val="24"/>
          <w:szCs w:val="24"/>
        </w:rPr>
        <w:t xml:space="preserve"> of Eurostat</w:t>
      </w:r>
      <w:r w:rsidR="00D57B27">
        <w:rPr>
          <w:rFonts w:ascii="Times New Roman" w:hAnsi="Times New Roman" w:cs="Times New Roman"/>
          <w:noProof/>
          <w:sz w:val="24"/>
          <w:szCs w:val="24"/>
        </w:rPr>
        <w:t>’s</w:t>
      </w:r>
      <w:r w:rsidRPr="007046CF">
        <w:rPr>
          <w:rFonts w:ascii="Times New Roman" w:hAnsi="Times New Roman" w:cs="Times New Roman"/>
          <w:noProof/>
          <w:sz w:val="24"/>
          <w:szCs w:val="24"/>
        </w:rPr>
        <w:t xml:space="preserve"> methodological advice on the interpretation of the ESA 2010 and the BPM6 in cooperation with </w:t>
      </w:r>
      <w:r w:rsidR="003878E0" w:rsidRPr="007046CF">
        <w:rPr>
          <w:rFonts w:ascii="Times New Roman" w:hAnsi="Times New Roman" w:cs="Times New Roman"/>
          <w:noProof/>
          <w:sz w:val="24"/>
          <w:szCs w:val="24"/>
        </w:rPr>
        <w:t xml:space="preserve">the </w:t>
      </w:r>
      <w:r w:rsidRPr="007046CF">
        <w:rPr>
          <w:rFonts w:ascii="Times New Roman" w:hAnsi="Times New Roman" w:cs="Times New Roman"/>
          <w:noProof/>
          <w:sz w:val="24"/>
          <w:szCs w:val="24"/>
        </w:rPr>
        <w:t>ECB.</w:t>
      </w:r>
    </w:p>
    <w:p w14:paraId="4A4751E3" w14:textId="4C96ADBC"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In addition, Member States preferred that international guidelines allow respondents to use their business accounting data as source data. In this regard, Eurostat has developed guidance on how to prepare statistical estimates under the accounting standards of IFRS 16, ensuring that the estimates follow the terms under the ESA 2010 and the BPM6. </w:t>
      </w:r>
      <w:r w:rsidR="0060131E" w:rsidRPr="007046CF">
        <w:rPr>
          <w:rFonts w:ascii="Times New Roman" w:hAnsi="Times New Roman" w:cs="Times New Roman"/>
          <w:noProof/>
          <w:sz w:val="24"/>
          <w:szCs w:val="24"/>
        </w:rPr>
        <w:t xml:space="preserve">Member States </w:t>
      </w:r>
      <w:r w:rsidRPr="007046CF">
        <w:rPr>
          <w:rFonts w:ascii="Times New Roman" w:hAnsi="Times New Roman" w:cs="Times New Roman"/>
          <w:noProof/>
          <w:sz w:val="24"/>
          <w:szCs w:val="24"/>
        </w:rPr>
        <w:t xml:space="preserve">call for a simplification of statistical concepts, which would reduce costs and </w:t>
      </w:r>
      <w:r w:rsidR="004006FD">
        <w:rPr>
          <w:rFonts w:ascii="Times New Roman" w:hAnsi="Times New Roman" w:cs="Times New Roman"/>
          <w:noProof/>
          <w:sz w:val="24"/>
          <w:szCs w:val="24"/>
        </w:rPr>
        <w:t xml:space="preserve">administrative </w:t>
      </w:r>
      <w:r w:rsidRPr="007046CF">
        <w:rPr>
          <w:rFonts w:ascii="Times New Roman" w:hAnsi="Times New Roman" w:cs="Times New Roman"/>
          <w:noProof/>
          <w:sz w:val="24"/>
          <w:szCs w:val="24"/>
        </w:rPr>
        <w:t>burden.</w:t>
      </w:r>
      <w:r w:rsidR="00DC0C42" w:rsidRPr="00DC0C42">
        <w:rPr>
          <w:noProof/>
        </w:rPr>
        <w:t xml:space="preserve"> During the BPM6 update process Eurostat is informing Member States on a regular basis about all relevant changes and encourages them to participate in the global consultations.</w:t>
      </w:r>
    </w:p>
    <w:p w14:paraId="2D1D520D" w14:textId="197E20D8"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Moreover, Member States </w:t>
      </w:r>
      <w:r w:rsidR="004006FD">
        <w:rPr>
          <w:rFonts w:ascii="Times New Roman" w:hAnsi="Times New Roman" w:cs="Times New Roman"/>
          <w:noProof/>
          <w:sz w:val="24"/>
          <w:szCs w:val="24"/>
        </w:rPr>
        <w:t>are in favour of</w:t>
      </w:r>
      <w:r w:rsidRPr="007046CF">
        <w:rPr>
          <w:rFonts w:ascii="Times New Roman" w:hAnsi="Times New Roman" w:cs="Times New Roman"/>
          <w:noProof/>
          <w:sz w:val="24"/>
          <w:szCs w:val="24"/>
        </w:rPr>
        <w:t xml:space="preserve"> promot</w:t>
      </w:r>
      <w:r w:rsidR="004006FD">
        <w:rPr>
          <w:rFonts w:ascii="Times New Roman" w:hAnsi="Times New Roman" w:cs="Times New Roman"/>
          <w:noProof/>
          <w:sz w:val="24"/>
          <w:szCs w:val="24"/>
        </w:rPr>
        <w:t>ing</w:t>
      </w:r>
      <w:r w:rsidRPr="007046CF">
        <w:rPr>
          <w:rFonts w:ascii="Times New Roman" w:hAnsi="Times New Roman" w:cs="Times New Roman"/>
          <w:noProof/>
          <w:sz w:val="24"/>
          <w:szCs w:val="24"/>
        </w:rPr>
        <w:t xml:space="preserve"> and shar</w:t>
      </w:r>
      <w:r w:rsidR="004006FD">
        <w:rPr>
          <w:rFonts w:ascii="Times New Roman" w:hAnsi="Times New Roman" w:cs="Times New Roman"/>
          <w:noProof/>
          <w:sz w:val="24"/>
          <w:szCs w:val="24"/>
        </w:rPr>
        <w:t>ing the</w:t>
      </w:r>
      <w:r w:rsidRPr="007046CF">
        <w:rPr>
          <w:rFonts w:ascii="Times New Roman" w:hAnsi="Times New Roman" w:cs="Times New Roman"/>
          <w:noProof/>
          <w:sz w:val="24"/>
          <w:szCs w:val="24"/>
        </w:rPr>
        <w:t xml:space="preserve"> data of </w:t>
      </w:r>
      <w:r w:rsidR="004006FD">
        <w:rPr>
          <w:rFonts w:ascii="Times New Roman" w:hAnsi="Times New Roman" w:cs="Times New Roman"/>
          <w:noProof/>
          <w:sz w:val="24"/>
          <w:szCs w:val="24"/>
        </w:rPr>
        <w:t xml:space="preserve">those </w:t>
      </w:r>
      <w:r w:rsidRPr="007046CF">
        <w:rPr>
          <w:rFonts w:ascii="Times New Roman" w:hAnsi="Times New Roman" w:cs="Times New Roman"/>
          <w:noProof/>
          <w:sz w:val="24"/>
          <w:szCs w:val="24"/>
        </w:rPr>
        <w:t xml:space="preserve">entities </w:t>
      </w:r>
      <w:r w:rsidR="004006FD">
        <w:rPr>
          <w:rFonts w:ascii="Times New Roman" w:hAnsi="Times New Roman" w:cs="Times New Roman"/>
          <w:noProof/>
          <w:sz w:val="24"/>
          <w:szCs w:val="24"/>
        </w:rPr>
        <w:t xml:space="preserve">that are </w:t>
      </w:r>
      <w:r w:rsidRPr="007046CF">
        <w:rPr>
          <w:rFonts w:ascii="Times New Roman" w:hAnsi="Times New Roman" w:cs="Times New Roman"/>
          <w:noProof/>
          <w:sz w:val="24"/>
          <w:szCs w:val="24"/>
        </w:rPr>
        <w:t xml:space="preserve">developing new businesses in several countries. Work on crypto assets, fintech, </w:t>
      </w:r>
      <w:r w:rsidR="007046CF">
        <w:rPr>
          <w:rFonts w:ascii="Times New Roman" w:hAnsi="Times New Roman" w:cs="Times New Roman"/>
          <w:noProof/>
          <w:sz w:val="24"/>
          <w:szCs w:val="24"/>
        </w:rPr>
        <w:t>online</w:t>
      </w:r>
      <w:r w:rsidRPr="007046CF">
        <w:rPr>
          <w:rFonts w:ascii="Times New Roman" w:hAnsi="Times New Roman" w:cs="Times New Roman"/>
          <w:noProof/>
          <w:sz w:val="24"/>
          <w:szCs w:val="24"/>
        </w:rPr>
        <w:t xml:space="preserve"> brokers or </w:t>
      </w:r>
      <w:r w:rsidR="000A616F" w:rsidRPr="00E46876">
        <w:rPr>
          <w:rFonts w:ascii="Times New Roman" w:hAnsi="Times New Roman" w:cs="Times New Roman"/>
          <w:noProof/>
          <w:sz w:val="24"/>
          <w:szCs w:val="24"/>
        </w:rPr>
        <w:t xml:space="preserve">online booking services for </w:t>
      </w:r>
      <w:r w:rsidR="007046CF" w:rsidRPr="007046CF">
        <w:rPr>
          <w:rFonts w:ascii="Times New Roman" w:hAnsi="Times New Roman" w:cs="Times New Roman"/>
          <w:noProof/>
          <w:sz w:val="24"/>
          <w:szCs w:val="24"/>
        </w:rPr>
        <w:t>accommodation</w:t>
      </w:r>
      <w:r w:rsidRPr="007046CF">
        <w:rPr>
          <w:rFonts w:ascii="Times New Roman" w:hAnsi="Times New Roman" w:cs="Times New Roman"/>
          <w:noProof/>
          <w:sz w:val="24"/>
          <w:szCs w:val="24"/>
        </w:rPr>
        <w:t xml:space="preserve"> would in turn close possible data gaps.</w:t>
      </w:r>
    </w:p>
    <w:p w14:paraId="58E1755E" w14:textId="0496A28A" w:rsidR="00DD271D" w:rsidRPr="007046CF" w:rsidRDefault="00DD271D" w:rsidP="00DD271D">
      <w:pPr>
        <w:spacing w:after="120" w:line="240" w:lineRule="auto"/>
        <w:jc w:val="both"/>
        <w:rPr>
          <w:rFonts w:ascii="Times New Roman" w:hAnsi="Times New Roman" w:cs="Times New Roman"/>
          <w:noProof/>
          <w:color w:val="000000" w:themeColor="text1"/>
          <w:sz w:val="24"/>
          <w:szCs w:val="24"/>
        </w:rPr>
      </w:pPr>
      <w:r w:rsidRPr="007046CF">
        <w:rPr>
          <w:rFonts w:ascii="Times New Roman" w:hAnsi="Times New Roman" w:cs="Times New Roman"/>
          <w:noProof/>
          <w:sz w:val="24"/>
          <w:szCs w:val="24"/>
        </w:rPr>
        <w:t xml:space="preserve">Several Member States stressed the importance of a broader use and exchange of micro- and macro data at national and international level. </w:t>
      </w:r>
      <w:r w:rsidR="004006FD">
        <w:rPr>
          <w:rFonts w:ascii="Times New Roman" w:hAnsi="Times New Roman" w:cs="Times New Roman"/>
          <w:noProof/>
          <w:sz w:val="24"/>
          <w:szCs w:val="24"/>
        </w:rPr>
        <w:t>A</w:t>
      </w:r>
      <w:r w:rsidRPr="007046CF">
        <w:rPr>
          <w:rFonts w:ascii="Times New Roman" w:hAnsi="Times New Roman" w:cs="Times New Roman"/>
          <w:noProof/>
          <w:sz w:val="24"/>
          <w:szCs w:val="24"/>
        </w:rPr>
        <w:t xml:space="preserve"> </w:t>
      </w:r>
      <w:r w:rsidR="004006FD">
        <w:rPr>
          <w:rFonts w:ascii="Times New Roman" w:hAnsi="Times New Roman" w:cs="Times New Roman"/>
          <w:noProof/>
          <w:sz w:val="24"/>
          <w:szCs w:val="24"/>
        </w:rPr>
        <w:t xml:space="preserve">future </w:t>
      </w:r>
      <w:r w:rsidRPr="007046CF">
        <w:rPr>
          <w:rFonts w:ascii="Times New Roman" w:hAnsi="Times New Roman" w:cs="Times New Roman"/>
          <w:noProof/>
          <w:sz w:val="24"/>
          <w:szCs w:val="24"/>
        </w:rPr>
        <w:t xml:space="preserve">legislative act enabling Member States to share data with non-member countries is seen as beneficial </w:t>
      </w:r>
      <w:r w:rsidR="004006FD">
        <w:rPr>
          <w:rFonts w:ascii="Times New Roman" w:hAnsi="Times New Roman" w:cs="Times New Roman"/>
          <w:noProof/>
          <w:sz w:val="24"/>
          <w:szCs w:val="24"/>
        </w:rPr>
        <w:t>in this respect</w:t>
      </w:r>
      <w:r w:rsidRPr="007046CF">
        <w:rPr>
          <w:rFonts w:ascii="Times New Roman" w:hAnsi="Times New Roman" w:cs="Times New Roman"/>
          <w:noProof/>
          <w:sz w:val="24"/>
          <w:szCs w:val="24"/>
        </w:rPr>
        <w:t>. For example, data needed for the compilation of FDI are currently covered by national statistical collection frameworks, taking different forms depending on the national approach. FDI is considered to qualify for a large scale data sharing system and centrali</w:t>
      </w:r>
      <w:r w:rsidR="007046CF">
        <w:rPr>
          <w:rFonts w:ascii="Times New Roman" w:hAnsi="Times New Roman" w:cs="Times New Roman"/>
          <w:noProof/>
          <w:sz w:val="24"/>
          <w:szCs w:val="24"/>
        </w:rPr>
        <w:t>s</w:t>
      </w:r>
      <w:r w:rsidRPr="007046CF">
        <w:rPr>
          <w:rFonts w:ascii="Times New Roman" w:hAnsi="Times New Roman" w:cs="Times New Roman"/>
          <w:noProof/>
          <w:sz w:val="24"/>
          <w:szCs w:val="24"/>
        </w:rPr>
        <w:t xml:space="preserve">ed reporting system for multinational enterprises. It should be assessed whether the </w:t>
      </w:r>
      <w:r w:rsidR="00826A59">
        <w:rPr>
          <w:rFonts w:ascii="Times New Roman" w:hAnsi="Times New Roman" w:cs="Times New Roman"/>
          <w:noProof/>
          <w:sz w:val="24"/>
          <w:szCs w:val="24"/>
        </w:rPr>
        <w:t>i</w:t>
      </w:r>
      <w:r w:rsidRPr="007046CF">
        <w:rPr>
          <w:rFonts w:ascii="Times New Roman" w:hAnsi="Times New Roman" w:cs="Times New Roman"/>
          <w:noProof/>
          <w:sz w:val="24"/>
          <w:szCs w:val="24"/>
        </w:rPr>
        <w:t xml:space="preserve">ntegrated </w:t>
      </w:r>
      <w:r w:rsidR="00826A59">
        <w:rPr>
          <w:rFonts w:ascii="Times New Roman" w:hAnsi="Times New Roman" w:cs="Times New Roman"/>
          <w:noProof/>
          <w:sz w:val="24"/>
          <w:szCs w:val="24"/>
        </w:rPr>
        <w:t>r</w:t>
      </w:r>
      <w:r w:rsidRPr="007046CF">
        <w:rPr>
          <w:rFonts w:ascii="Times New Roman" w:hAnsi="Times New Roman" w:cs="Times New Roman"/>
          <w:noProof/>
          <w:sz w:val="24"/>
          <w:szCs w:val="24"/>
        </w:rPr>
        <w:t xml:space="preserve">eporting </w:t>
      </w:r>
      <w:r w:rsidR="00826A59">
        <w:rPr>
          <w:rFonts w:ascii="Times New Roman" w:hAnsi="Times New Roman" w:cs="Times New Roman"/>
          <w:noProof/>
          <w:sz w:val="24"/>
          <w:szCs w:val="24"/>
        </w:rPr>
        <w:t>f</w:t>
      </w:r>
      <w:r w:rsidRPr="007046CF">
        <w:rPr>
          <w:rFonts w:ascii="Times New Roman" w:hAnsi="Times New Roman" w:cs="Times New Roman"/>
          <w:noProof/>
          <w:color w:val="000000" w:themeColor="text1"/>
          <w:sz w:val="24"/>
          <w:szCs w:val="24"/>
        </w:rPr>
        <w:t xml:space="preserve">ramework for the banking </w:t>
      </w:r>
      <w:r w:rsidR="007046CF" w:rsidRPr="007046CF">
        <w:rPr>
          <w:rFonts w:ascii="Times New Roman" w:hAnsi="Times New Roman" w:cs="Times New Roman"/>
          <w:noProof/>
          <w:color w:val="000000" w:themeColor="text1"/>
          <w:sz w:val="24"/>
          <w:szCs w:val="24"/>
        </w:rPr>
        <w:t>industry</w:t>
      </w:r>
      <w:r w:rsidRPr="007046CF">
        <w:rPr>
          <w:rFonts w:ascii="Times New Roman" w:hAnsi="Times New Roman" w:cs="Times New Roman"/>
          <w:noProof/>
          <w:color w:val="000000" w:themeColor="text1"/>
          <w:sz w:val="24"/>
          <w:szCs w:val="24"/>
        </w:rPr>
        <w:t xml:space="preserve"> (IReF) would establish a standardised solution for the reporting scheme across </w:t>
      </w:r>
      <w:r w:rsidR="009743C0" w:rsidRPr="007046CF">
        <w:rPr>
          <w:rFonts w:ascii="Times New Roman" w:hAnsi="Times New Roman" w:cs="Times New Roman"/>
          <w:noProof/>
          <w:color w:val="000000" w:themeColor="text1"/>
          <w:sz w:val="24"/>
          <w:szCs w:val="24"/>
        </w:rPr>
        <w:t>euro-area</w:t>
      </w:r>
      <w:r w:rsidR="00826A59">
        <w:rPr>
          <w:rFonts w:ascii="Times New Roman" w:hAnsi="Times New Roman" w:cs="Times New Roman"/>
          <w:noProof/>
          <w:color w:val="000000" w:themeColor="text1"/>
          <w:sz w:val="24"/>
          <w:szCs w:val="24"/>
        </w:rPr>
        <w:t xml:space="preserve"> countries</w:t>
      </w:r>
      <w:r w:rsidR="009743C0" w:rsidRPr="007046CF">
        <w:rPr>
          <w:rFonts w:ascii="Times New Roman" w:hAnsi="Times New Roman" w:cs="Times New Roman"/>
          <w:noProof/>
          <w:color w:val="000000" w:themeColor="text1"/>
          <w:sz w:val="24"/>
          <w:szCs w:val="24"/>
        </w:rPr>
        <w:t>.</w:t>
      </w:r>
    </w:p>
    <w:p w14:paraId="5C607D46" w14:textId="5DB66255" w:rsidR="00DD271D" w:rsidRPr="007046CF" w:rsidRDefault="00826A59" w:rsidP="00DD271D">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w:t>
      </w:r>
      <w:r w:rsidR="00DD271D" w:rsidRPr="007046CF">
        <w:rPr>
          <w:rFonts w:ascii="Times New Roman" w:hAnsi="Times New Roman" w:cs="Times New Roman"/>
          <w:noProof/>
          <w:color w:val="000000" w:themeColor="text1"/>
          <w:sz w:val="24"/>
          <w:szCs w:val="24"/>
        </w:rPr>
        <w:t xml:space="preserve">ome Member States </w:t>
      </w:r>
      <w:r>
        <w:rPr>
          <w:rFonts w:ascii="Times New Roman" w:hAnsi="Times New Roman" w:cs="Times New Roman"/>
          <w:noProof/>
          <w:color w:val="000000" w:themeColor="text1"/>
          <w:sz w:val="24"/>
          <w:szCs w:val="24"/>
        </w:rPr>
        <w:t>think it would be worth</w:t>
      </w:r>
      <w:r w:rsidR="00DD271D" w:rsidRPr="007046CF">
        <w:rPr>
          <w:rFonts w:ascii="Times New Roman" w:hAnsi="Times New Roman" w:cs="Times New Roman"/>
          <w:noProof/>
          <w:color w:val="000000" w:themeColor="text1"/>
          <w:sz w:val="24"/>
          <w:szCs w:val="24"/>
        </w:rPr>
        <w:t xml:space="preserve"> investigat</w:t>
      </w:r>
      <w:r>
        <w:rPr>
          <w:rFonts w:ascii="Times New Roman" w:hAnsi="Times New Roman" w:cs="Times New Roman"/>
          <w:noProof/>
          <w:color w:val="000000" w:themeColor="text1"/>
          <w:sz w:val="24"/>
          <w:szCs w:val="24"/>
        </w:rPr>
        <w:t>ing</w:t>
      </w:r>
      <w:r w:rsidR="00DD271D" w:rsidRPr="007046CF">
        <w:rPr>
          <w:rFonts w:ascii="Times New Roman" w:hAnsi="Times New Roman" w:cs="Times New Roman"/>
          <w:noProof/>
          <w:color w:val="000000" w:themeColor="text1"/>
          <w:sz w:val="24"/>
          <w:szCs w:val="24"/>
        </w:rPr>
        <w:t xml:space="preserve"> the possibilit</w:t>
      </w:r>
      <w:r>
        <w:rPr>
          <w:rFonts w:ascii="Times New Roman" w:hAnsi="Times New Roman" w:cs="Times New Roman"/>
          <w:noProof/>
          <w:color w:val="000000" w:themeColor="text1"/>
          <w:sz w:val="24"/>
          <w:szCs w:val="24"/>
        </w:rPr>
        <w:t>y of</w:t>
      </w:r>
      <w:r w:rsidR="00DD271D" w:rsidRPr="007046CF">
        <w:rPr>
          <w:rFonts w:ascii="Times New Roman" w:hAnsi="Times New Roman" w:cs="Times New Roman"/>
          <w:noProof/>
          <w:color w:val="000000" w:themeColor="text1"/>
          <w:sz w:val="24"/>
          <w:szCs w:val="24"/>
        </w:rPr>
        <w:t xml:space="preserve"> </w:t>
      </w:r>
      <w:r w:rsidR="00C61B36">
        <w:rPr>
          <w:rFonts w:ascii="Times New Roman" w:hAnsi="Times New Roman" w:cs="Times New Roman"/>
          <w:noProof/>
          <w:color w:val="000000" w:themeColor="text1"/>
          <w:sz w:val="24"/>
          <w:szCs w:val="24"/>
        </w:rPr>
        <w:t>making greater use of</w:t>
      </w:r>
      <w:r w:rsidR="00DD271D" w:rsidRPr="007046CF">
        <w:rPr>
          <w:rFonts w:ascii="Times New Roman" w:hAnsi="Times New Roman" w:cs="Times New Roman"/>
          <w:noProof/>
          <w:color w:val="000000" w:themeColor="text1"/>
          <w:sz w:val="24"/>
          <w:szCs w:val="24"/>
        </w:rPr>
        <w:t xml:space="preserve"> administrative data at European level. Eurostat</w:t>
      </w:r>
      <w:r>
        <w:rPr>
          <w:rFonts w:ascii="Times New Roman" w:hAnsi="Times New Roman" w:cs="Times New Roman"/>
          <w:noProof/>
          <w:color w:val="000000" w:themeColor="text1"/>
          <w:sz w:val="24"/>
          <w:szCs w:val="24"/>
        </w:rPr>
        <w:t>,</w:t>
      </w:r>
      <w:r w:rsidR="00DD271D" w:rsidRPr="007046CF">
        <w:rPr>
          <w:rFonts w:ascii="Times New Roman" w:hAnsi="Times New Roman" w:cs="Times New Roman"/>
          <w:noProof/>
          <w:color w:val="000000" w:themeColor="text1"/>
          <w:sz w:val="24"/>
          <w:szCs w:val="24"/>
        </w:rPr>
        <w:t xml:space="preserve"> for example</w:t>
      </w:r>
      <w:r>
        <w:rPr>
          <w:rFonts w:ascii="Times New Roman" w:hAnsi="Times New Roman" w:cs="Times New Roman"/>
          <w:noProof/>
          <w:color w:val="000000" w:themeColor="text1"/>
          <w:sz w:val="24"/>
          <w:szCs w:val="24"/>
        </w:rPr>
        <w:t>,</w:t>
      </w:r>
      <w:r w:rsidR="00DD271D" w:rsidRPr="007046CF">
        <w:rPr>
          <w:rFonts w:ascii="Times New Roman" w:hAnsi="Times New Roman" w:cs="Times New Roman"/>
          <w:noProof/>
          <w:color w:val="000000" w:themeColor="text1"/>
          <w:sz w:val="24"/>
          <w:szCs w:val="24"/>
        </w:rPr>
        <w:t xml:space="preserve"> has been discussing </w:t>
      </w:r>
      <w:r>
        <w:rPr>
          <w:rFonts w:ascii="Times New Roman" w:hAnsi="Times New Roman" w:cs="Times New Roman"/>
          <w:noProof/>
          <w:color w:val="000000" w:themeColor="text1"/>
          <w:sz w:val="24"/>
          <w:szCs w:val="24"/>
        </w:rPr>
        <w:t xml:space="preserve">with the BOPWG the possibility </w:t>
      </w:r>
      <w:r w:rsidR="00DD271D" w:rsidRPr="007046CF">
        <w:rPr>
          <w:rFonts w:ascii="Times New Roman" w:hAnsi="Times New Roman" w:cs="Times New Roman"/>
          <w:noProof/>
          <w:color w:val="000000" w:themeColor="text1"/>
          <w:sz w:val="24"/>
          <w:szCs w:val="24"/>
        </w:rPr>
        <w:t xml:space="preserve">for the services </w:t>
      </w:r>
      <w:r>
        <w:rPr>
          <w:rFonts w:ascii="Times New Roman" w:hAnsi="Times New Roman" w:cs="Times New Roman"/>
          <w:noProof/>
          <w:color w:val="000000" w:themeColor="text1"/>
          <w:sz w:val="24"/>
          <w:szCs w:val="24"/>
        </w:rPr>
        <w:t>sector</w:t>
      </w:r>
      <w:r w:rsidR="00DD271D" w:rsidRPr="007046CF">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of</w:t>
      </w:r>
      <w:r w:rsidR="00DD271D" w:rsidRPr="007046CF">
        <w:rPr>
          <w:rFonts w:ascii="Times New Roman" w:hAnsi="Times New Roman" w:cs="Times New Roman"/>
          <w:noProof/>
          <w:color w:val="000000" w:themeColor="text1"/>
          <w:sz w:val="24"/>
          <w:szCs w:val="24"/>
        </w:rPr>
        <w:t xml:space="preserve"> us</w:t>
      </w:r>
      <w:r>
        <w:rPr>
          <w:rFonts w:ascii="Times New Roman" w:hAnsi="Times New Roman" w:cs="Times New Roman"/>
          <w:noProof/>
          <w:color w:val="000000" w:themeColor="text1"/>
          <w:sz w:val="24"/>
          <w:szCs w:val="24"/>
        </w:rPr>
        <w:t xml:space="preserve">ing </w:t>
      </w:r>
      <w:r w:rsidR="00DD271D" w:rsidRPr="007046CF">
        <w:rPr>
          <w:rFonts w:ascii="Times New Roman" w:hAnsi="Times New Roman" w:cs="Times New Roman"/>
          <w:noProof/>
          <w:color w:val="000000" w:themeColor="text1"/>
          <w:sz w:val="24"/>
          <w:szCs w:val="24"/>
        </w:rPr>
        <w:t xml:space="preserve">VAT information exchange system (VIES) data to adjust the </w:t>
      </w:r>
      <w:r>
        <w:rPr>
          <w:rFonts w:ascii="Times New Roman" w:hAnsi="Times New Roman" w:cs="Times New Roman"/>
          <w:noProof/>
          <w:color w:val="000000" w:themeColor="text1"/>
          <w:sz w:val="24"/>
          <w:szCs w:val="24"/>
        </w:rPr>
        <w:t>i</w:t>
      </w:r>
      <w:r w:rsidR="00DD271D" w:rsidRPr="007046CF">
        <w:rPr>
          <w:rFonts w:ascii="Times New Roman" w:hAnsi="Times New Roman" w:cs="Times New Roman"/>
          <w:noProof/>
          <w:color w:val="000000" w:themeColor="text1"/>
          <w:sz w:val="24"/>
          <w:szCs w:val="24"/>
        </w:rPr>
        <w:t xml:space="preserve">ntra-EU total services, and </w:t>
      </w:r>
      <w:r w:rsidR="00C61B36">
        <w:rPr>
          <w:rFonts w:ascii="Times New Roman" w:hAnsi="Times New Roman" w:cs="Times New Roman"/>
          <w:noProof/>
          <w:color w:val="000000" w:themeColor="text1"/>
          <w:sz w:val="24"/>
          <w:szCs w:val="24"/>
        </w:rPr>
        <w:t xml:space="preserve">applying </w:t>
      </w:r>
      <w:r w:rsidR="00DD271D" w:rsidRPr="007046CF">
        <w:rPr>
          <w:rFonts w:ascii="Times New Roman" w:hAnsi="Times New Roman" w:cs="Times New Roman"/>
          <w:noProof/>
          <w:color w:val="000000" w:themeColor="text1"/>
          <w:sz w:val="24"/>
          <w:szCs w:val="24"/>
        </w:rPr>
        <w:t>VAT mini one</w:t>
      </w:r>
      <w:r>
        <w:rPr>
          <w:rFonts w:ascii="Times New Roman" w:hAnsi="Times New Roman" w:cs="Times New Roman"/>
          <w:noProof/>
          <w:color w:val="000000" w:themeColor="text1"/>
          <w:sz w:val="24"/>
          <w:szCs w:val="24"/>
        </w:rPr>
        <w:t>-s</w:t>
      </w:r>
      <w:r w:rsidR="00DD271D" w:rsidRPr="007046CF">
        <w:rPr>
          <w:rFonts w:ascii="Times New Roman" w:hAnsi="Times New Roman" w:cs="Times New Roman"/>
          <w:noProof/>
          <w:color w:val="000000" w:themeColor="text1"/>
          <w:sz w:val="24"/>
          <w:szCs w:val="24"/>
        </w:rPr>
        <w:t>top</w:t>
      </w:r>
      <w:r>
        <w:rPr>
          <w:rFonts w:ascii="Times New Roman" w:hAnsi="Times New Roman" w:cs="Times New Roman"/>
          <w:noProof/>
          <w:color w:val="000000" w:themeColor="text1"/>
          <w:sz w:val="24"/>
          <w:szCs w:val="24"/>
        </w:rPr>
        <w:t>-s</w:t>
      </w:r>
      <w:r w:rsidR="00DD271D" w:rsidRPr="007046CF">
        <w:rPr>
          <w:rFonts w:ascii="Times New Roman" w:hAnsi="Times New Roman" w:cs="Times New Roman"/>
          <w:noProof/>
          <w:color w:val="000000" w:themeColor="text1"/>
          <w:sz w:val="24"/>
          <w:szCs w:val="24"/>
        </w:rPr>
        <w:t>hop (MOSS)</w:t>
      </w:r>
      <w:r>
        <w:rPr>
          <w:rFonts w:ascii="Times New Roman" w:hAnsi="Times New Roman" w:cs="Times New Roman"/>
          <w:noProof/>
          <w:color w:val="000000" w:themeColor="text1"/>
          <w:sz w:val="24"/>
          <w:szCs w:val="24"/>
        </w:rPr>
        <w:t xml:space="preserve"> </w:t>
      </w:r>
      <w:r w:rsidR="00DD271D" w:rsidRPr="007046CF">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 o</w:t>
      </w:r>
      <w:r w:rsidR="00DD271D" w:rsidRPr="007046CF">
        <w:rPr>
          <w:rFonts w:ascii="Times New Roman" w:hAnsi="Times New Roman" w:cs="Times New Roman"/>
          <w:noProof/>
          <w:color w:val="000000" w:themeColor="text1"/>
          <w:sz w:val="24"/>
          <w:szCs w:val="24"/>
        </w:rPr>
        <w:t>ne</w:t>
      </w:r>
      <w:r>
        <w:rPr>
          <w:rFonts w:ascii="Times New Roman" w:hAnsi="Times New Roman" w:cs="Times New Roman"/>
          <w:noProof/>
          <w:color w:val="000000" w:themeColor="text1"/>
          <w:sz w:val="24"/>
          <w:szCs w:val="24"/>
        </w:rPr>
        <w:t>-s</w:t>
      </w:r>
      <w:r w:rsidR="00DD271D" w:rsidRPr="007046CF">
        <w:rPr>
          <w:rFonts w:ascii="Times New Roman" w:hAnsi="Times New Roman" w:cs="Times New Roman"/>
          <w:noProof/>
          <w:color w:val="000000" w:themeColor="text1"/>
          <w:sz w:val="24"/>
          <w:szCs w:val="24"/>
        </w:rPr>
        <w:t>top</w:t>
      </w:r>
      <w:r>
        <w:rPr>
          <w:rFonts w:ascii="Times New Roman" w:hAnsi="Times New Roman" w:cs="Times New Roman"/>
          <w:noProof/>
          <w:color w:val="000000" w:themeColor="text1"/>
          <w:sz w:val="24"/>
          <w:szCs w:val="24"/>
        </w:rPr>
        <w:t>-s</w:t>
      </w:r>
      <w:r w:rsidR="00DD271D" w:rsidRPr="007046CF">
        <w:rPr>
          <w:rFonts w:ascii="Times New Roman" w:hAnsi="Times New Roman" w:cs="Times New Roman"/>
          <w:noProof/>
          <w:color w:val="000000" w:themeColor="text1"/>
          <w:sz w:val="24"/>
          <w:szCs w:val="24"/>
        </w:rPr>
        <w:t>hop (OSS) data to service</w:t>
      </w:r>
      <w:r>
        <w:rPr>
          <w:rFonts w:ascii="Times New Roman" w:hAnsi="Times New Roman" w:cs="Times New Roman"/>
          <w:noProof/>
          <w:color w:val="000000" w:themeColor="text1"/>
          <w:sz w:val="24"/>
          <w:szCs w:val="24"/>
        </w:rPr>
        <w:t xml:space="preserve"> sector</w:t>
      </w:r>
      <w:r w:rsidR="00DD271D" w:rsidRPr="007046CF">
        <w:rPr>
          <w:rFonts w:ascii="Times New Roman" w:hAnsi="Times New Roman" w:cs="Times New Roman"/>
          <w:noProof/>
          <w:color w:val="000000" w:themeColor="text1"/>
          <w:sz w:val="24"/>
          <w:szCs w:val="24"/>
        </w:rPr>
        <w:t xml:space="preserve"> categories for balance of payments purposes.</w:t>
      </w:r>
    </w:p>
    <w:p w14:paraId="7CB2D65F" w14:textId="74D8D81A" w:rsidR="00DD271D" w:rsidRPr="007046CF" w:rsidRDefault="00826A59" w:rsidP="00DD271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w:t>
      </w:r>
      <w:r w:rsidR="00DD271D" w:rsidRPr="007046CF">
        <w:rPr>
          <w:rFonts w:ascii="Times New Roman" w:hAnsi="Times New Roman" w:cs="Times New Roman"/>
          <w:noProof/>
          <w:sz w:val="24"/>
          <w:szCs w:val="24"/>
        </w:rPr>
        <w:t xml:space="preserve"> the existing data requirements, Member States </w:t>
      </w:r>
      <w:r>
        <w:rPr>
          <w:rFonts w:ascii="Times New Roman" w:hAnsi="Times New Roman" w:cs="Times New Roman"/>
          <w:noProof/>
          <w:sz w:val="24"/>
          <w:szCs w:val="24"/>
        </w:rPr>
        <w:t>are in favour of</w:t>
      </w:r>
      <w:r w:rsidR="00DD271D" w:rsidRPr="007046CF">
        <w:rPr>
          <w:rFonts w:ascii="Times New Roman" w:hAnsi="Times New Roman" w:cs="Times New Roman"/>
          <w:noProof/>
          <w:sz w:val="24"/>
          <w:szCs w:val="24"/>
        </w:rPr>
        <w:t xml:space="preserve"> keep</w:t>
      </w:r>
      <w:r>
        <w:rPr>
          <w:rFonts w:ascii="Times New Roman" w:hAnsi="Times New Roman" w:cs="Times New Roman"/>
          <w:noProof/>
          <w:sz w:val="24"/>
          <w:szCs w:val="24"/>
        </w:rPr>
        <w:t>ing</w:t>
      </w:r>
      <w:r w:rsidR="00DD271D" w:rsidRPr="007046CF">
        <w:rPr>
          <w:rFonts w:ascii="Times New Roman" w:hAnsi="Times New Roman" w:cs="Times New Roman"/>
          <w:noProof/>
          <w:sz w:val="24"/>
          <w:szCs w:val="24"/>
        </w:rPr>
        <w:t xml:space="preserve"> the current obligations and avoid</w:t>
      </w:r>
      <w:r>
        <w:rPr>
          <w:rFonts w:ascii="Times New Roman" w:hAnsi="Times New Roman" w:cs="Times New Roman"/>
          <w:noProof/>
          <w:sz w:val="24"/>
          <w:szCs w:val="24"/>
        </w:rPr>
        <w:t>ing</w:t>
      </w:r>
      <w:r w:rsidR="00DD271D" w:rsidRPr="007046CF">
        <w:rPr>
          <w:rFonts w:ascii="Times New Roman" w:hAnsi="Times New Roman" w:cs="Times New Roman"/>
          <w:noProof/>
          <w:sz w:val="24"/>
          <w:szCs w:val="24"/>
        </w:rPr>
        <w:t xml:space="preserve"> an amendment of Regulation (EC) 184/2005 in the short and medium term. The current collection of monthly data was deemed burdensome and it was suggested to reduce its detail. Similarly, </w:t>
      </w:r>
      <w:r w:rsidR="00C61B36">
        <w:rPr>
          <w:rFonts w:ascii="Times New Roman" w:hAnsi="Times New Roman" w:cs="Times New Roman"/>
          <w:noProof/>
          <w:sz w:val="24"/>
          <w:szCs w:val="24"/>
        </w:rPr>
        <w:t xml:space="preserve">as </w:t>
      </w:r>
      <w:r w:rsidR="00DD271D" w:rsidRPr="007046CF">
        <w:rPr>
          <w:rFonts w:ascii="Times New Roman" w:hAnsi="Times New Roman" w:cs="Times New Roman"/>
          <w:noProof/>
          <w:sz w:val="24"/>
          <w:szCs w:val="24"/>
        </w:rPr>
        <w:t>introducing a more detailed breakdown would imply much higher costs</w:t>
      </w:r>
      <w:r w:rsidR="00C61B36">
        <w:rPr>
          <w:rFonts w:ascii="Times New Roman" w:hAnsi="Times New Roman" w:cs="Times New Roman"/>
          <w:noProof/>
          <w:sz w:val="24"/>
          <w:szCs w:val="24"/>
        </w:rPr>
        <w:t>,</w:t>
      </w:r>
      <w:r w:rsidR="00DD271D" w:rsidRPr="007046CF">
        <w:rPr>
          <w:rFonts w:ascii="Times New Roman" w:hAnsi="Times New Roman" w:cs="Times New Roman"/>
          <w:noProof/>
          <w:sz w:val="24"/>
          <w:szCs w:val="24"/>
        </w:rPr>
        <w:t xml:space="preserve"> it was also suggested that this be left out at this stage. </w:t>
      </w:r>
      <w:r w:rsidR="00C61B36">
        <w:rPr>
          <w:rFonts w:ascii="Times New Roman" w:hAnsi="Times New Roman" w:cs="Times New Roman"/>
          <w:noProof/>
          <w:sz w:val="24"/>
          <w:szCs w:val="24"/>
        </w:rPr>
        <w:t>A</w:t>
      </w:r>
      <w:r w:rsidR="00DD271D" w:rsidRPr="007046CF">
        <w:rPr>
          <w:rFonts w:ascii="Times New Roman" w:hAnsi="Times New Roman" w:cs="Times New Roman"/>
          <w:noProof/>
          <w:sz w:val="24"/>
          <w:szCs w:val="24"/>
        </w:rPr>
        <w:t xml:space="preserve"> more detailed breakdown could </w:t>
      </w:r>
      <w:r w:rsidR="00C61B36">
        <w:rPr>
          <w:rFonts w:ascii="Times New Roman" w:hAnsi="Times New Roman" w:cs="Times New Roman"/>
          <w:noProof/>
          <w:sz w:val="24"/>
          <w:szCs w:val="24"/>
        </w:rPr>
        <w:t xml:space="preserve">also </w:t>
      </w:r>
      <w:r w:rsidR="00DD271D" w:rsidRPr="007046CF">
        <w:rPr>
          <w:rFonts w:ascii="Times New Roman" w:hAnsi="Times New Roman" w:cs="Times New Roman"/>
          <w:noProof/>
          <w:sz w:val="24"/>
          <w:szCs w:val="24"/>
        </w:rPr>
        <w:t xml:space="preserve">imply more data </w:t>
      </w:r>
      <w:r w:rsidR="00C61B36">
        <w:rPr>
          <w:rFonts w:ascii="Times New Roman" w:hAnsi="Times New Roman" w:cs="Times New Roman"/>
          <w:noProof/>
          <w:sz w:val="24"/>
          <w:szCs w:val="24"/>
        </w:rPr>
        <w:t xml:space="preserve">that are </w:t>
      </w:r>
      <w:r w:rsidR="00DD271D" w:rsidRPr="007046CF">
        <w:rPr>
          <w:rFonts w:ascii="Times New Roman" w:hAnsi="Times New Roman" w:cs="Times New Roman"/>
          <w:noProof/>
          <w:sz w:val="24"/>
          <w:szCs w:val="24"/>
        </w:rPr>
        <w:t xml:space="preserve">flagged as confidential by smaller </w:t>
      </w:r>
      <w:r w:rsidR="000A63A7" w:rsidRPr="007046CF">
        <w:rPr>
          <w:rFonts w:ascii="Times New Roman" w:hAnsi="Times New Roman" w:cs="Times New Roman"/>
          <w:noProof/>
          <w:sz w:val="24"/>
          <w:szCs w:val="24"/>
        </w:rPr>
        <w:t>Member States</w:t>
      </w:r>
      <w:r w:rsidR="00DD271D" w:rsidRPr="007046CF">
        <w:rPr>
          <w:rFonts w:ascii="Times New Roman" w:hAnsi="Times New Roman" w:cs="Times New Roman"/>
          <w:noProof/>
          <w:sz w:val="24"/>
          <w:szCs w:val="24"/>
        </w:rPr>
        <w:t>.</w:t>
      </w:r>
    </w:p>
    <w:p w14:paraId="73D6E296" w14:textId="4B93E787"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Some Member States expressed a preference for a </w:t>
      </w:r>
      <w:r w:rsidR="0004307E">
        <w:rPr>
          <w:rFonts w:ascii="Times New Roman" w:hAnsi="Times New Roman" w:cs="Times New Roman"/>
          <w:noProof/>
          <w:sz w:val="24"/>
          <w:szCs w:val="24"/>
        </w:rPr>
        <w:t xml:space="preserve">possible </w:t>
      </w:r>
      <w:r w:rsidRPr="007046CF">
        <w:rPr>
          <w:rFonts w:ascii="Times New Roman" w:hAnsi="Times New Roman" w:cs="Times New Roman"/>
          <w:noProof/>
          <w:sz w:val="24"/>
          <w:szCs w:val="24"/>
        </w:rPr>
        <w:t xml:space="preserve">single data </w:t>
      </w:r>
      <w:r w:rsidR="00197871">
        <w:rPr>
          <w:rFonts w:ascii="Times New Roman" w:hAnsi="Times New Roman" w:cs="Times New Roman"/>
          <w:noProof/>
          <w:sz w:val="24"/>
          <w:szCs w:val="24"/>
        </w:rPr>
        <w:t>submission</w:t>
      </w:r>
      <w:r w:rsidRPr="007046CF">
        <w:rPr>
          <w:rFonts w:ascii="Times New Roman" w:hAnsi="Times New Roman" w:cs="Times New Roman"/>
          <w:noProof/>
          <w:sz w:val="24"/>
          <w:szCs w:val="24"/>
        </w:rPr>
        <w:t xml:space="preserve"> to save costs. </w:t>
      </w:r>
      <w:r w:rsidR="00DC0C42">
        <w:rPr>
          <w:rFonts w:ascii="Times New Roman" w:hAnsi="Times New Roman" w:cs="Times New Roman"/>
          <w:noProof/>
          <w:sz w:val="24"/>
          <w:szCs w:val="24"/>
        </w:rPr>
        <w:t>Therefore</w:t>
      </w:r>
      <w:r w:rsidRPr="007046CF">
        <w:rPr>
          <w:rFonts w:ascii="Times New Roman" w:hAnsi="Times New Roman" w:cs="Times New Roman"/>
          <w:noProof/>
          <w:sz w:val="24"/>
          <w:szCs w:val="24"/>
        </w:rPr>
        <w:t xml:space="preserve">, Eurostat receives data from Member States, and forwards the data to partner </w:t>
      </w:r>
      <w:r w:rsidR="002D12C6">
        <w:rPr>
          <w:rFonts w:ascii="Times New Roman" w:hAnsi="Times New Roman" w:cs="Times New Roman"/>
          <w:noProof/>
          <w:sz w:val="24"/>
          <w:szCs w:val="24"/>
        </w:rPr>
        <w:t>IOs</w:t>
      </w:r>
      <w:r w:rsidRPr="007046CF">
        <w:rPr>
          <w:rFonts w:ascii="Times New Roman" w:hAnsi="Times New Roman" w:cs="Times New Roman"/>
          <w:noProof/>
          <w:sz w:val="24"/>
          <w:szCs w:val="24"/>
        </w:rPr>
        <w:t>.</w:t>
      </w:r>
    </w:p>
    <w:p w14:paraId="15BF79E0" w14:textId="77777777" w:rsidR="00DD271D" w:rsidRPr="007046CF" w:rsidRDefault="00DD271D" w:rsidP="00DD271D">
      <w:pPr>
        <w:pStyle w:val="Heading1"/>
        <w:rPr>
          <w:noProof/>
          <w:szCs w:val="24"/>
        </w:rPr>
      </w:pPr>
      <w:r w:rsidRPr="007046CF">
        <w:rPr>
          <w:noProof/>
          <w:szCs w:val="24"/>
        </w:rPr>
        <w:t>Conclusions</w:t>
      </w:r>
    </w:p>
    <w:p w14:paraId="6DB330B5" w14:textId="77777777"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Regulation (EC) No 184/2005 has helped to further harmonise balance of payments, international investment position, international trade in services and foreign direct investment statistics throughout the EU, to increase the timeliness of the data and to provide the users with greater detail of the data.</w:t>
      </w:r>
    </w:p>
    <w:p w14:paraId="0E6081A6" w14:textId="77777777" w:rsidR="00DD271D"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Member States underlined that the monthly data collection is deemed burdensome and new variables would imply higher costs for statistical compilers and reporting agents. Some concerns were raised that the quality for monthly balance of payments would not improve. The favoured approach by Member States would be not to amend the Regulation (EC) 184/2005 in the short and medium term.</w:t>
      </w:r>
    </w:p>
    <w:p w14:paraId="275A7461" w14:textId="324CD979" w:rsidR="003B45BA" w:rsidRPr="007046CF" w:rsidRDefault="00DD271D" w:rsidP="00DD271D">
      <w:pPr>
        <w:spacing w:after="120" w:line="240" w:lineRule="auto"/>
        <w:jc w:val="both"/>
        <w:rPr>
          <w:rFonts w:ascii="Times New Roman" w:hAnsi="Times New Roman" w:cs="Times New Roman"/>
          <w:noProof/>
          <w:sz w:val="24"/>
          <w:szCs w:val="24"/>
        </w:rPr>
      </w:pPr>
      <w:r w:rsidRPr="007046CF">
        <w:rPr>
          <w:rFonts w:ascii="Times New Roman" w:hAnsi="Times New Roman" w:cs="Times New Roman"/>
          <w:noProof/>
          <w:sz w:val="24"/>
          <w:szCs w:val="24"/>
        </w:rPr>
        <w:t xml:space="preserve">Overall, results are fairly </w:t>
      </w:r>
      <w:r w:rsidR="002D12C6">
        <w:rPr>
          <w:rFonts w:ascii="Times New Roman" w:hAnsi="Times New Roman" w:cs="Times New Roman"/>
          <w:noProof/>
          <w:sz w:val="24"/>
          <w:szCs w:val="24"/>
        </w:rPr>
        <w:t>consistent</w:t>
      </w:r>
      <w:r w:rsidR="002D12C6" w:rsidRPr="007046CF">
        <w:rPr>
          <w:rFonts w:ascii="Times New Roman" w:hAnsi="Times New Roman" w:cs="Times New Roman"/>
          <w:noProof/>
          <w:sz w:val="24"/>
          <w:szCs w:val="24"/>
        </w:rPr>
        <w:t xml:space="preserve"> </w:t>
      </w:r>
      <w:r w:rsidRPr="007046CF">
        <w:rPr>
          <w:rFonts w:ascii="Times New Roman" w:hAnsi="Times New Roman" w:cs="Times New Roman"/>
          <w:noProof/>
          <w:sz w:val="24"/>
          <w:szCs w:val="24"/>
        </w:rPr>
        <w:t xml:space="preserve">across Member States </w:t>
      </w:r>
      <w:r w:rsidR="002D12C6">
        <w:rPr>
          <w:rFonts w:ascii="Times New Roman" w:hAnsi="Times New Roman" w:cs="Times New Roman"/>
          <w:noProof/>
          <w:sz w:val="24"/>
          <w:szCs w:val="24"/>
        </w:rPr>
        <w:t>on</w:t>
      </w:r>
      <w:r w:rsidR="002D12C6" w:rsidRPr="007046CF">
        <w:rPr>
          <w:rFonts w:ascii="Times New Roman" w:hAnsi="Times New Roman" w:cs="Times New Roman"/>
          <w:noProof/>
          <w:sz w:val="24"/>
          <w:szCs w:val="24"/>
        </w:rPr>
        <w:t xml:space="preserve"> </w:t>
      </w:r>
      <w:r w:rsidRPr="007046CF">
        <w:rPr>
          <w:rFonts w:ascii="Times New Roman" w:hAnsi="Times New Roman" w:cs="Times New Roman"/>
          <w:noProof/>
          <w:sz w:val="24"/>
          <w:szCs w:val="24"/>
        </w:rPr>
        <w:t xml:space="preserve">the importance of cooperation among Member States, Eurostat and partner </w:t>
      </w:r>
      <w:r w:rsidR="002D12C6">
        <w:rPr>
          <w:rFonts w:ascii="Times New Roman" w:hAnsi="Times New Roman" w:cs="Times New Roman"/>
          <w:noProof/>
          <w:sz w:val="24"/>
          <w:szCs w:val="24"/>
        </w:rPr>
        <w:t>international organisations</w:t>
      </w:r>
      <w:r w:rsidRPr="007046CF">
        <w:rPr>
          <w:rFonts w:ascii="Times New Roman" w:hAnsi="Times New Roman" w:cs="Times New Roman"/>
          <w:noProof/>
          <w:sz w:val="24"/>
          <w:szCs w:val="24"/>
        </w:rPr>
        <w:t xml:space="preserve">. In particular, Eurostat provides with its </w:t>
      </w:r>
      <w:r w:rsidR="005C6946" w:rsidRPr="007046CF">
        <w:rPr>
          <w:rFonts w:ascii="Times New Roman" w:hAnsi="Times New Roman" w:cs="Times New Roman"/>
          <w:noProof/>
          <w:sz w:val="24"/>
          <w:szCs w:val="24"/>
        </w:rPr>
        <w:t>BOPWG</w:t>
      </w:r>
      <w:r w:rsidRPr="007046CF">
        <w:rPr>
          <w:rFonts w:ascii="Times New Roman" w:hAnsi="Times New Roman" w:cs="Times New Roman"/>
          <w:noProof/>
          <w:sz w:val="24"/>
          <w:szCs w:val="24"/>
        </w:rPr>
        <w:t xml:space="preserve"> a forum for promoting with Member States evidenced-based policymaking and foster</w:t>
      </w:r>
      <w:r w:rsidR="00DC0C42">
        <w:rPr>
          <w:rFonts w:ascii="Times New Roman" w:hAnsi="Times New Roman" w:cs="Times New Roman"/>
          <w:noProof/>
          <w:sz w:val="24"/>
          <w:szCs w:val="24"/>
        </w:rPr>
        <w:t>ing</w:t>
      </w:r>
      <w:r w:rsidRPr="007046CF">
        <w:rPr>
          <w:rFonts w:ascii="Times New Roman" w:hAnsi="Times New Roman" w:cs="Times New Roman"/>
          <w:noProof/>
          <w:sz w:val="24"/>
          <w:szCs w:val="24"/>
        </w:rPr>
        <w:t xml:space="preserve"> macro</w:t>
      </w:r>
      <w:r w:rsidR="002D12C6">
        <w:rPr>
          <w:rFonts w:ascii="Times New Roman" w:hAnsi="Times New Roman" w:cs="Times New Roman"/>
          <w:noProof/>
          <w:sz w:val="24"/>
          <w:szCs w:val="24"/>
        </w:rPr>
        <w:t>economic</w:t>
      </w:r>
      <w:r w:rsidRPr="007046CF">
        <w:rPr>
          <w:rFonts w:ascii="Times New Roman" w:hAnsi="Times New Roman" w:cs="Times New Roman"/>
          <w:noProof/>
          <w:sz w:val="24"/>
          <w:szCs w:val="24"/>
        </w:rPr>
        <w:t xml:space="preserve"> development through the provision of robust data on </w:t>
      </w:r>
      <w:r w:rsidRPr="007046CF">
        <w:rPr>
          <w:rFonts w:ascii="Times New Roman" w:hAnsi="Times New Roman" w:cs="Times New Roman"/>
          <w:noProof/>
          <w:color w:val="000000"/>
          <w:sz w:val="24"/>
          <w:szCs w:val="24"/>
        </w:rPr>
        <w:t>balance of</w:t>
      </w:r>
      <w:r w:rsidRPr="007046CF">
        <w:rPr>
          <w:noProof/>
        </w:rPr>
        <w:t xml:space="preserve"> </w:t>
      </w:r>
      <w:r w:rsidRPr="007046CF">
        <w:rPr>
          <w:rFonts w:ascii="Times New Roman" w:hAnsi="Times New Roman" w:cs="Times New Roman"/>
          <w:noProof/>
          <w:color w:val="000000"/>
          <w:sz w:val="24"/>
          <w:szCs w:val="24"/>
        </w:rPr>
        <w:t>payments, international trade in services and foreign direct investment</w:t>
      </w:r>
      <w:r w:rsidRPr="007046CF">
        <w:rPr>
          <w:rFonts w:ascii="Times New Roman" w:hAnsi="Times New Roman" w:cs="Times New Roman"/>
          <w:noProof/>
          <w:sz w:val="24"/>
          <w:szCs w:val="24"/>
        </w:rPr>
        <w:t>.</w:t>
      </w:r>
    </w:p>
    <w:sectPr w:rsidR="003B45BA" w:rsidRPr="007046CF" w:rsidSect="000D1F39">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EBC1" w16cex:dateUtc="2022-12-13T11:17:00Z"/>
  <w16cex:commentExtensible w16cex:durableId="2742EC01" w16cex:dateUtc="2022-12-13T11:18:00Z"/>
  <w16cex:commentExtensible w16cex:durableId="2742EC2B" w16cex:dateUtc="2022-12-13T11:18:00Z"/>
  <w16cex:commentExtensible w16cex:durableId="2742C415" w16cex:dateUtc="2022-12-13T08:27:00Z"/>
  <w16cex:commentExtensible w16cex:durableId="2742C9C5" w16cex:dateUtc="2022-12-13T08:52:00Z"/>
  <w16cex:commentExtensible w16cex:durableId="2742EC85" w16cex:dateUtc="2022-12-13T11:20:00Z"/>
  <w16cex:commentExtensible w16cex:durableId="2742CF39" w16cex:dateUtc="2022-12-13T09:15:00Z"/>
  <w16cex:commentExtensible w16cex:durableId="2742CF94" w16cex:dateUtc="2022-12-13T09:16:00Z"/>
  <w16cex:commentExtensible w16cex:durableId="2742D287" w16cex:dateUtc="2022-12-13T09:29:00Z"/>
  <w16cex:commentExtensible w16cex:durableId="2742D525" w16cex:dateUtc="2022-12-13T09:40:00Z"/>
  <w16cex:commentExtensible w16cex:durableId="2742E123" w16cex:dateUtc="2022-12-13T10:31:00Z"/>
  <w16cex:commentExtensible w16cex:durableId="2742E1CD" w16cex:dateUtc="2022-12-13T10:34:00Z"/>
  <w16cex:commentExtensible w16cex:durableId="2742E238" w16cex:dateUtc="2022-12-13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702A0" w16cid:durableId="2742EBC1"/>
  <w16cid:commentId w16cid:paraId="59EFE752" w16cid:durableId="2742EC01"/>
  <w16cid:commentId w16cid:paraId="2706C46D" w16cid:durableId="2742EC2B"/>
  <w16cid:commentId w16cid:paraId="54106D23" w16cid:durableId="2742C415"/>
  <w16cid:commentId w16cid:paraId="33A5B92D" w16cid:durableId="2742C9C5"/>
  <w16cid:commentId w16cid:paraId="550E6A53" w16cid:durableId="2742EC85"/>
  <w16cid:commentId w16cid:paraId="395C6DC5" w16cid:durableId="2742CF39"/>
  <w16cid:commentId w16cid:paraId="79E8AAD6" w16cid:durableId="2742CF94"/>
  <w16cid:commentId w16cid:paraId="02AC686A" w16cid:durableId="2742D287"/>
  <w16cid:commentId w16cid:paraId="2C600B37" w16cid:durableId="2742D525"/>
  <w16cid:commentId w16cid:paraId="6EE224EF" w16cid:durableId="2742E123"/>
  <w16cid:commentId w16cid:paraId="2DE04B33" w16cid:durableId="2742E1CD"/>
  <w16cid:commentId w16cid:paraId="344CF55B" w16cid:durableId="2742E2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3FC43" w14:textId="77777777" w:rsidR="009316DB" w:rsidRPr="007046CF" w:rsidRDefault="009316DB" w:rsidP="00DB313E">
      <w:pPr>
        <w:spacing w:after="0" w:line="240" w:lineRule="auto"/>
      </w:pPr>
      <w:r w:rsidRPr="007046CF">
        <w:separator/>
      </w:r>
    </w:p>
  </w:endnote>
  <w:endnote w:type="continuationSeparator" w:id="0">
    <w:p w14:paraId="2C8D1DE8" w14:textId="77777777" w:rsidR="009316DB" w:rsidRPr="007046CF" w:rsidRDefault="009316DB" w:rsidP="00DB313E">
      <w:pPr>
        <w:spacing w:after="0" w:line="240" w:lineRule="auto"/>
      </w:pPr>
      <w:r w:rsidRPr="007046CF">
        <w:continuationSeparator/>
      </w:r>
    </w:p>
  </w:endnote>
  <w:endnote w:type="continuationNotice" w:id="1">
    <w:p w14:paraId="42C4B9A0" w14:textId="77777777" w:rsidR="009316DB" w:rsidRDefault="00931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cury Text G2">
    <w:altName w:val="Mercury Text G2"/>
    <w:panose1 w:val="00000000000000000000"/>
    <w:charset w:val="00"/>
    <w:family w:val="roman"/>
    <w:notTrueType/>
    <w:pitch w:val="default"/>
    <w:sig w:usb0="00000003" w:usb1="00000000" w:usb2="00000000" w:usb3="00000000" w:csb0="00000001"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C4EC" w14:textId="77777777" w:rsidR="002C2A2E" w:rsidRPr="002C2A2E" w:rsidRDefault="002C2A2E" w:rsidP="002C2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C7C2" w14:textId="5D9AD859" w:rsidR="00861A36" w:rsidRPr="002C2A2E" w:rsidRDefault="002C2A2E" w:rsidP="002C2A2E">
    <w:pPr>
      <w:pStyle w:val="FooterCoverPage"/>
      <w:rPr>
        <w:rFonts w:ascii="Arial" w:hAnsi="Arial" w:cs="Arial"/>
        <w:b/>
        <w:sz w:val="48"/>
      </w:rPr>
    </w:pPr>
    <w:r w:rsidRPr="002C2A2E">
      <w:rPr>
        <w:rFonts w:ascii="Arial" w:hAnsi="Arial" w:cs="Arial"/>
        <w:b/>
        <w:sz w:val="48"/>
      </w:rPr>
      <w:t>EN</w:t>
    </w:r>
    <w:r w:rsidRPr="002C2A2E">
      <w:rPr>
        <w:rFonts w:ascii="Arial" w:hAnsi="Arial" w:cs="Arial"/>
        <w:b/>
        <w:sz w:val="48"/>
      </w:rPr>
      <w:tab/>
    </w:r>
    <w:r w:rsidRPr="002C2A2E">
      <w:rPr>
        <w:rFonts w:ascii="Arial" w:hAnsi="Arial" w:cs="Arial"/>
        <w:b/>
        <w:sz w:val="48"/>
      </w:rPr>
      <w:tab/>
    </w:r>
    <w:r w:rsidRPr="002C2A2E">
      <w:tab/>
    </w:r>
    <w:r w:rsidRPr="002C2A2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D04A" w14:textId="77777777" w:rsidR="002C2A2E" w:rsidRPr="002C2A2E" w:rsidRDefault="002C2A2E" w:rsidP="002C2A2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EE8B" w14:textId="77777777" w:rsidR="00861A36" w:rsidRDefault="00861A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23897"/>
      <w:docPartObj>
        <w:docPartGallery w:val="Page Numbers (Bottom of Page)"/>
        <w:docPartUnique/>
      </w:docPartObj>
    </w:sdtPr>
    <w:sdtEndPr>
      <w:rPr>
        <w:noProof/>
      </w:rPr>
    </w:sdtEndPr>
    <w:sdtContent>
      <w:p w14:paraId="74AF0964" w14:textId="22933C14" w:rsidR="006B62EE" w:rsidRDefault="006B62EE">
        <w:pPr>
          <w:pStyle w:val="Footer"/>
          <w:jc w:val="center"/>
        </w:pPr>
        <w:r>
          <w:fldChar w:fldCharType="begin"/>
        </w:r>
        <w:r>
          <w:instrText xml:space="preserve"> PAGE   \* MERGEFORMAT </w:instrText>
        </w:r>
        <w:r>
          <w:fldChar w:fldCharType="separate"/>
        </w:r>
        <w:r w:rsidR="002C2A2E">
          <w:rPr>
            <w:noProof/>
          </w:rPr>
          <w:t>1</w:t>
        </w:r>
        <w:r>
          <w:rPr>
            <w:noProof/>
          </w:rPr>
          <w:fldChar w:fldCharType="end"/>
        </w:r>
      </w:p>
    </w:sdtContent>
  </w:sdt>
  <w:p w14:paraId="5DE8FEDF" w14:textId="77777777" w:rsidR="006B62EE" w:rsidRPr="007046CF" w:rsidRDefault="006B62EE" w:rsidP="00DB313E">
    <w:pPr>
      <w:pStyle w:val="FooterCoverPage"/>
      <w:rPr>
        <w:rFonts w:ascii="Arial" w:hAnsi="Arial" w:cs="Arial"/>
        <w:b/>
        <w:sz w:val="4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6E38" w14:textId="77777777" w:rsidR="00861A36" w:rsidRDefault="0086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C944" w14:textId="77777777" w:rsidR="009316DB" w:rsidRPr="007046CF" w:rsidRDefault="009316DB" w:rsidP="00DB313E">
      <w:pPr>
        <w:spacing w:after="0" w:line="240" w:lineRule="auto"/>
      </w:pPr>
      <w:r w:rsidRPr="007046CF">
        <w:separator/>
      </w:r>
    </w:p>
  </w:footnote>
  <w:footnote w:type="continuationSeparator" w:id="0">
    <w:p w14:paraId="1CC785F2" w14:textId="77777777" w:rsidR="009316DB" w:rsidRPr="007046CF" w:rsidRDefault="009316DB" w:rsidP="00DB313E">
      <w:pPr>
        <w:spacing w:after="0" w:line="240" w:lineRule="auto"/>
      </w:pPr>
      <w:r w:rsidRPr="007046CF">
        <w:continuationSeparator/>
      </w:r>
    </w:p>
  </w:footnote>
  <w:footnote w:type="continuationNotice" w:id="1">
    <w:p w14:paraId="4F8CB3AD" w14:textId="77777777" w:rsidR="009316DB" w:rsidRDefault="009316DB">
      <w:pPr>
        <w:spacing w:after="0" w:line="240" w:lineRule="auto"/>
      </w:pPr>
    </w:p>
  </w:footnote>
  <w:footnote w:id="2">
    <w:p w14:paraId="1A8E1E00" w14:textId="23CE47DE" w:rsidR="00DD271D" w:rsidRPr="007046CF" w:rsidRDefault="00DD271D" w:rsidP="00DD271D">
      <w:pPr>
        <w:pStyle w:val="FootnoteText"/>
        <w:rPr>
          <w:i/>
        </w:rPr>
      </w:pPr>
      <w:r w:rsidRPr="007046CF">
        <w:rPr>
          <w:rStyle w:val="FootnoteReference"/>
        </w:rPr>
        <w:footnoteRef/>
      </w:r>
      <w:r w:rsidR="00495B8B">
        <w:t xml:space="preserve"> </w:t>
      </w:r>
      <w:r w:rsidRPr="007046CF">
        <w:t>OJ L 35, 8.2.2005, p.</w:t>
      </w:r>
      <w:r w:rsidR="007046CF">
        <w:t> </w:t>
      </w:r>
      <w:r w:rsidRPr="007046CF">
        <w:t>23.</w:t>
      </w:r>
    </w:p>
  </w:footnote>
  <w:footnote w:id="3">
    <w:p w14:paraId="5921ACBB" w14:textId="0CDFB6BE" w:rsidR="00DD271D" w:rsidRPr="007046CF" w:rsidRDefault="00DD271D" w:rsidP="00C85B14">
      <w:pPr>
        <w:pStyle w:val="FootnoteText"/>
        <w:ind w:left="102" w:hanging="102"/>
      </w:pPr>
      <w:r w:rsidRPr="007046CF">
        <w:rPr>
          <w:rStyle w:val="FootnoteReference"/>
        </w:rPr>
        <w:footnoteRef/>
      </w:r>
      <w:r w:rsidR="007046CF" w:rsidRPr="007046CF">
        <w:rPr>
          <w:rStyle w:val="Emphasis"/>
        </w:rPr>
        <w:tab/>
      </w:r>
      <w:r w:rsidRPr="007046CF">
        <w:t>Commission Regulation (EC) No</w:t>
      </w:r>
      <w:r w:rsidR="007046CF">
        <w:t> </w:t>
      </w:r>
      <w:r w:rsidRPr="007046CF">
        <w:t>601/2006 of 18</w:t>
      </w:r>
      <w:r w:rsidR="007046CF">
        <w:t> </w:t>
      </w:r>
      <w:r w:rsidRPr="007046CF">
        <w:t>April 2006 implementing Regulation (EC) No 184/2005 of the European Parliament and of the Council as regards the format and the procedure for the transmission of data (</w:t>
      </w:r>
      <w:r w:rsidRPr="007046CF">
        <w:rPr>
          <w:rStyle w:val="Emphasis"/>
          <w:i w:val="0"/>
        </w:rPr>
        <w:t>OJ</w:t>
      </w:r>
      <w:r w:rsidR="007046CF" w:rsidRPr="007046CF">
        <w:rPr>
          <w:rStyle w:val="Emphasis"/>
          <w:i w:val="0"/>
        </w:rPr>
        <w:t xml:space="preserve"> </w:t>
      </w:r>
      <w:r w:rsidRPr="007046CF">
        <w:rPr>
          <w:rStyle w:val="Emphasis"/>
          <w:i w:val="0"/>
        </w:rPr>
        <w:t>L 106, 19.4.2006, p.</w:t>
      </w:r>
      <w:r w:rsidR="007046CF">
        <w:rPr>
          <w:rStyle w:val="Emphasis"/>
          <w:i w:val="0"/>
        </w:rPr>
        <w:t> </w:t>
      </w:r>
      <w:r w:rsidRPr="007046CF">
        <w:rPr>
          <w:rStyle w:val="Emphasis"/>
          <w:i w:val="0"/>
        </w:rPr>
        <w:t>7).</w:t>
      </w:r>
    </w:p>
  </w:footnote>
  <w:footnote w:id="4">
    <w:p w14:paraId="7BEC6DC1" w14:textId="7CD4FF07" w:rsidR="00DD271D" w:rsidRPr="007046CF" w:rsidRDefault="00DD271D" w:rsidP="00DD271D">
      <w:pPr>
        <w:pStyle w:val="FootnoteText"/>
        <w:ind w:left="100" w:hanging="100"/>
        <w:rPr>
          <w:i/>
        </w:rPr>
      </w:pPr>
      <w:r w:rsidRPr="007046CF">
        <w:rPr>
          <w:rStyle w:val="FootnoteReference"/>
        </w:rPr>
        <w:footnoteRef/>
      </w:r>
      <w:r w:rsidR="007046CF" w:rsidRPr="007046CF">
        <w:rPr>
          <w:rStyle w:val="Emphasis"/>
        </w:rPr>
        <w:tab/>
      </w:r>
      <w:r w:rsidRPr="007046CF">
        <w:t>Commission Regulation (EC) No</w:t>
      </w:r>
      <w:r w:rsidR="007046CF">
        <w:t> </w:t>
      </w:r>
      <w:r w:rsidRPr="007046CF">
        <w:t>602/2006 of 18</w:t>
      </w:r>
      <w:r w:rsidR="007046CF">
        <w:t> </w:t>
      </w:r>
      <w:r w:rsidRPr="007046CF">
        <w:t>April 2006 adapting Regulation (EC) No 184/2005 of the European Parliament and of the Council through the updating of data requirements</w:t>
      </w:r>
      <w:r w:rsidRPr="007046CF">
        <w:rPr>
          <w:rStyle w:val="Emphasis"/>
        </w:rPr>
        <w:t xml:space="preserve"> </w:t>
      </w:r>
      <w:r w:rsidRPr="007046CF">
        <w:rPr>
          <w:rStyle w:val="Emphasis"/>
          <w:i w:val="0"/>
        </w:rPr>
        <w:t>(OJ L 106, 19.4.2006, p.</w:t>
      </w:r>
      <w:r w:rsidR="007046CF">
        <w:rPr>
          <w:rStyle w:val="Emphasis"/>
          <w:i w:val="0"/>
        </w:rPr>
        <w:t> </w:t>
      </w:r>
      <w:r w:rsidRPr="007046CF">
        <w:rPr>
          <w:rStyle w:val="Emphasis"/>
          <w:i w:val="0"/>
        </w:rPr>
        <w:t>10).</w:t>
      </w:r>
    </w:p>
  </w:footnote>
  <w:footnote w:id="5">
    <w:p w14:paraId="383B6D90" w14:textId="096885B0" w:rsidR="00DD271D" w:rsidRPr="007046CF" w:rsidRDefault="00DD271D" w:rsidP="00DD271D">
      <w:pPr>
        <w:pStyle w:val="FootnoteText"/>
        <w:ind w:left="100" w:hanging="100"/>
        <w:rPr>
          <w:i/>
        </w:rPr>
      </w:pPr>
      <w:r w:rsidRPr="007046CF">
        <w:rPr>
          <w:rStyle w:val="FootnoteReference"/>
        </w:rPr>
        <w:footnoteRef/>
      </w:r>
      <w:r w:rsidR="007046CF" w:rsidRPr="007046CF">
        <w:tab/>
      </w:r>
      <w:r w:rsidRPr="007046CF">
        <w:t>Commission Regulation (EC) No</w:t>
      </w:r>
      <w:r w:rsidR="007046CF">
        <w:t> </w:t>
      </w:r>
      <w:r w:rsidRPr="007046CF">
        <w:t xml:space="preserve">1055/2008 of 27 October 2008 implementing Regulation (EC) No 184/2005 of the European Parliament and of the Council, as regards quality criteria and quality reporting for balance of payments statistics </w:t>
      </w:r>
      <w:r w:rsidRPr="007046CF">
        <w:rPr>
          <w:i/>
        </w:rPr>
        <w:t>(</w:t>
      </w:r>
      <w:r w:rsidRPr="007046CF">
        <w:rPr>
          <w:rStyle w:val="Emphasis"/>
          <w:i w:val="0"/>
        </w:rPr>
        <w:t>OJ L 283, 28.10.2008, p.</w:t>
      </w:r>
      <w:r w:rsidR="007046CF">
        <w:rPr>
          <w:rStyle w:val="Emphasis"/>
          <w:i w:val="0"/>
        </w:rPr>
        <w:t> </w:t>
      </w:r>
      <w:r w:rsidRPr="007046CF">
        <w:rPr>
          <w:rStyle w:val="Emphasis"/>
          <w:i w:val="0"/>
        </w:rPr>
        <w:t>3).</w:t>
      </w:r>
    </w:p>
  </w:footnote>
  <w:footnote w:id="6">
    <w:p w14:paraId="5AE70F3E" w14:textId="3F83DA68" w:rsidR="00DD271D" w:rsidRPr="007046CF" w:rsidRDefault="00DD271D" w:rsidP="00DD271D">
      <w:pPr>
        <w:pStyle w:val="FootnoteText"/>
        <w:ind w:left="100" w:hanging="100"/>
        <w:rPr>
          <w:b/>
          <w:i/>
        </w:rPr>
      </w:pPr>
      <w:r w:rsidRPr="007046CF">
        <w:rPr>
          <w:rStyle w:val="FootnoteReference"/>
        </w:rPr>
        <w:footnoteRef/>
      </w:r>
      <w:r w:rsidRPr="007046CF">
        <w:tab/>
        <w:t>Commission Regulation (EC) No</w:t>
      </w:r>
      <w:r w:rsidR="007046CF">
        <w:t> </w:t>
      </w:r>
      <w:r w:rsidRPr="007046CF">
        <w:t>707/2009 of 5 August 2009 amending Regulation (EC) No 184/2005 of the European Parliament and of the Council on Community statistics concerning balance of payments, international trade in services and foreign direct investment, as regards the update of data requirements (</w:t>
      </w:r>
      <w:r w:rsidRPr="007046CF">
        <w:rPr>
          <w:rStyle w:val="Emphasis"/>
          <w:i w:val="0"/>
        </w:rPr>
        <w:t>OJ</w:t>
      </w:r>
      <w:r w:rsidR="00F66C4C" w:rsidRPr="007046CF">
        <w:rPr>
          <w:rStyle w:val="Emphasis"/>
          <w:i w:val="0"/>
        </w:rPr>
        <w:t> </w:t>
      </w:r>
      <w:r w:rsidRPr="007046CF">
        <w:rPr>
          <w:rStyle w:val="Emphasis"/>
          <w:i w:val="0"/>
        </w:rPr>
        <w:t>L</w:t>
      </w:r>
      <w:r w:rsidR="00F66C4C" w:rsidRPr="007046CF">
        <w:rPr>
          <w:rStyle w:val="Emphasis"/>
          <w:i w:val="0"/>
        </w:rPr>
        <w:t> </w:t>
      </w:r>
      <w:r w:rsidRPr="007046CF">
        <w:rPr>
          <w:rStyle w:val="Emphasis"/>
          <w:i w:val="0"/>
        </w:rPr>
        <w:t>204,</w:t>
      </w:r>
      <w:r w:rsidR="00F66C4C" w:rsidRPr="007046CF">
        <w:rPr>
          <w:rStyle w:val="Emphasis"/>
          <w:i w:val="0"/>
        </w:rPr>
        <w:t> </w:t>
      </w:r>
      <w:r w:rsidRPr="007046CF">
        <w:rPr>
          <w:rStyle w:val="Emphasis"/>
          <w:i w:val="0"/>
        </w:rPr>
        <w:t>6.8.2009,</w:t>
      </w:r>
      <w:r w:rsidR="007046CF" w:rsidRPr="007046CF">
        <w:rPr>
          <w:rStyle w:val="Emphasis"/>
          <w:i w:val="0"/>
        </w:rPr>
        <w:t xml:space="preserve"> </w:t>
      </w:r>
      <w:r w:rsidRPr="007046CF">
        <w:rPr>
          <w:rStyle w:val="Emphasis"/>
          <w:i w:val="0"/>
        </w:rPr>
        <w:t>p.</w:t>
      </w:r>
      <w:r w:rsidR="00622C1F" w:rsidRPr="007046CF">
        <w:rPr>
          <w:rStyle w:val="Emphasis"/>
          <w:i w:val="0"/>
        </w:rPr>
        <w:t> </w:t>
      </w:r>
      <w:r w:rsidRPr="007046CF">
        <w:rPr>
          <w:rStyle w:val="Emphasis"/>
          <w:i w:val="0"/>
        </w:rPr>
        <w:t>3).</w:t>
      </w:r>
    </w:p>
  </w:footnote>
  <w:footnote w:id="7">
    <w:p w14:paraId="6D40A6DF" w14:textId="095FA2F4" w:rsidR="00DD271D" w:rsidRPr="007046CF" w:rsidRDefault="00DD271D" w:rsidP="00DD271D">
      <w:pPr>
        <w:pStyle w:val="FootnoteText"/>
        <w:ind w:left="100" w:hanging="100"/>
      </w:pPr>
      <w:r w:rsidRPr="009316DB">
        <w:rPr>
          <w:rStyle w:val="FootnoteReference"/>
        </w:rPr>
        <w:footnoteRef/>
      </w:r>
      <w:r w:rsidR="007046CF" w:rsidRPr="007046CF">
        <w:rPr>
          <w:b/>
        </w:rPr>
        <w:tab/>
      </w:r>
      <w:r w:rsidRPr="007046CF">
        <w:rPr>
          <w:rStyle w:val="Strong"/>
          <w:b w:val="0"/>
        </w:rPr>
        <w:t xml:space="preserve">Commission Regulation (EU) No 555/2012 of 22 June 2012 amending Regulation (EC) No 184/2005 of the European Parliament and of the Council on Community </w:t>
      </w:r>
      <w:r w:rsidRPr="007046CF">
        <w:rPr>
          <w:rStyle w:val="Strong"/>
          <w:b w:val="0"/>
          <w:color w:val="000000"/>
        </w:rPr>
        <w:t xml:space="preserve">statistics concerning balance of payments, international trade in services and foreign direct investment, as regards the update of data requirements and definitions </w:t>
      </w:r>
      <w:r w:rsidRPr="007046CF">
        <w:rPr>
          <w:rStyle w:val="Strong"/>
          <w:color w:val="000000"/>
        </w:rPr>
        <w:t>(</w:t>
      </w:r>
      <w:r w:rsidRPr="007046CF">
        <w:rPr>
          <w:iCs/>
        </w:rPr>
        <w:t>OJ L 166, 27.6.2012, p.</w:t>
      </w:r>
      <w:r w:rsidR="007046CF">
        <w:rPr>
          <w:iCs/>
        </w:rPr>
        <w:t> </w:t>
      </w:r>
      <w:r w:rsidRPr="007046CF">
        <w:rPr>
          <w:iCs/>
        </w:rPr>
        <w:t>22).</w:t>
      </w:r>
    </w:p>
  </w:footnote>
  <w:footnote w:id="8">
    <w:p w14:paraId="370F9243" w14:textId="17AA0028" w:rsidR="00DD271D" w:rsidRPr="007046CF" w:rsidRDefault="00DD271D" w:rsidP="00A3574A">
      <w:pPr>
        <w:pStyle w:val="FootnoteText"/>
        <w:ind w:left="100" w:hanging="100"/>
      </w:pPr>
      <w:r w:rsidRPr="007046CF">
        <w:rPr>
          <w:rStyle w:val="FootnoteReference"/>
        </w:rPr>
        <w:footnoteRef/>
      </w:r>
      <w:r w:rsidR="007046CF" w:rsidRPr="007046CF">
        <w:tab/>
      </w:r>
      <w:r w:rsidRPr="007046CF">
        <w:t>Commission Delegated Regulation (EU) 2019/505 of 19</w:t>
      </w:r>
      <w:r w:rsidR="007046CF">
        <w:t> </w:t>
      </w:r>
      <w:r w:rsidRPr="007046CF">
        <w:t>December 2018 amending Annex I to Regulation (EC) No</w:t>
      </w:r>
      <w:r w:rsidR="007046CF">
        <w:t> </w:t>
      </w:r>
      <w:r w:rsidRPr="007046CF">
        <w:t>184/2005 of the European Parliament and of the Council, as regards the geographical breakdown levels (</w:t>
      </w:r>
      <w:r w:rsidRPr="007046CF">
        <w:rPr>
          <w:rStyle w:val="Emphasis"/>
          <w:i w:val="0"/>
        </w:rPr>
        <w:t>OJ L 85, 27.3.2019, p.</w:t>
      </w:r>
      <w:r w:rsidR="007046CF">
        <w:rPr>
          <w:rStyle w:val="Emphasis"/>
          <w:i w:val="0"/>
        </w:rPr>
        <w:t> </w:t>
      </w:r>
      <w:r w:rsidRPr="007046CF">
        <w:rPr>
          <w:rStyle w:val="Emphasis"/>
          <w:i w:val="0"/>
        </w:rPr>
        <w:t>1).</w:t>
      </w:r>
    </w:p>
  </w:footnote>
  <w:footnote w:id="9">
    <w:p w14:paraId="12B81E92" w14:textId="77777777" w:rsidR="00190A31" w:rsidRPr="007046CF" w:rsidRDefault="00190A31" w:rsidP="00190A31">
      <w:pPr>
        <w:pStyle w:val="FootnoteText"/>
        <w:ind w:left="100" w:hanging="100"/>
      </w:pPr>
      <w:r w:rsidRPr="007046CF">
        <w:rPr>
          <w:rStyle w:val="FootnoteReference"/>
        </w:rPr>
        <w:footnoteRef/>
      </w:r>
      <w:r w:rsidRPr="007046CF">
        <w:tab/>
      </w:r>
      <w:r w:rsidRPr="007046CF">
        <w:rPr>
          <w:bCs/>
          <w:lang w:eastAsia="en-GB"/>
        </w:rPr>
        <w:t>Regulation (EU) 2016/1013 of the European Parliament and of the Council of 8</w:t>
      </w:r>
      <w:r>
        <w:rPr>
          <w:bCs/>
          <w:lang w:eastAsia="en-GB"/>
        </w:rPr>
        <w:t> </w:t>
      </w:r>
      <w:r w:rsidRPr="007046CF">
        <w:rPr>
          <w:bCs/>
          <w:lang w:eastAsia="en-GB"/>
        </w:rPr>
        <w:t>June 2016 amending Regulation (EC) No</w:t>
      </w:r>
      <w:r>
        <w:rPr>
          <w:bCs/>
          <w:lang w:eastAsia="en-GB"/>
        </w:rPr>
        <w:t> </w:t>
      </w:r>
      <w:r w:rsidRPr="007046CF">
        <w:rPr>
          <w:bCs/>
          <w:lang w:eastAsia="en-GB"/>
        </w:rPr>
        <w:t>184/2005 on Community statistics concerning balance of payments, international trade in services and foreign direct investment (</w:t>
      </w:r>
      <w:r w:rsidRPr="007046CF">
        <w:rPr>
          <w:iCs/>
          <w:lang w:eastAsia="en-GB"/>
        </w:rPr>
        <w:t>OJ L 171, 29.6.2016, p.</w:t>
      </w:r>
      <w:r>
        <w:rPr>
          <w:iCs/>
          <w:lang w:eastAsia="en-GB"/>
        </w:rPr>
        <w:t> </w:t>
      </w:r>
      <w:r w:rsidRPr="007046CF">
        <w:rPr>
          <w:iCs/>
          <w:lang w:eastAsia="en-GB"/>
        </w:rPr>
        <w:t>144).</w:t>
      </w:r>
    </w:p>
  </w:footnote>
  <w:footnote w:id="10">
    <w:p w14:paraId="03BF2DF8" w14:textId="07E4BD75" w:rsidR="00C978BA" w:rsidRPr="00AC2C96" w:rsidRDefault="00C978BA" w:rsidP="00AC2C96">
      <w:pPr>
        <w:pStyle w:val="Default"/>
        <w:autoSpaceDE/>
        <w:autoSpaceDN/>
        <w:adjustRightInd/>
        <w:ind w:left="102" w:hanging="102"/>
        <w:jc w:val="both"/>
        <w:rPr>
          <w:rFonts w:ascii="Times New Roman" w:hAnsi="Times New Roman" w:cs="Times New Roman"/>
          <w:sz w:val="20"/>
          <w:szCs w:val="20"/>
        </w:rPr>
      </w:pPr>
      <w:r>
        <w:rPr>
          <w:rStyle w:val="FootnoteReference"/>
        </w:rPr>
        <w:footnoteRef/>
      </w:r>
      <w:r>
        <w:t xml:space="preserve"> </w:t>
      </w:r>
      <w:hyperlink r:id="rId1" w:history="1">
        <w:r w:rsidRPr="00AC2C96">
          <w:rPr>
            <w:rStyle w:val="Hyperlink"/>
            <w:rFonts w:ascii="Times New Roman" w:hAnsi="Times New Roman" w:cs="Times New Roman"/>
            <w:sz w:val="20"/>
            <w:szCs w:val="20"/>
            <w:lang w:eastAsia="en-GB"/>
          </w:rPr>
          <w:t>Quality report on balance of payments (BOP), international investment position (IIP), international trade in services (ITS) and foreign direct investment statistics (FDI) — 2022 edition</w:t>
        </w:r>
      </w:hyperlink>
      <w:r w:rsidRPr="00AC2C96">
        <w:rPr>
          <w:rStyle w:val="Hyperlink"/>
          <w:rFonts w:ascii="Times New Roman" w:hAnsi="Times New Roman" w:cs="Times New Roman"/>
          <w:sz w:val="20"/>
          <w:szCs w:val="20"/>
          <w:lang w:eastAsia="en-GB"/>
        </w:rPr>
        <w:t>.</w:t>
      </w:r>
    </w:p>
  </w:footnote>
  <w:footnote w:id="11">
    <w:p w14:paraId="133BE4C4" w14:textId="74DFB114" w:rsidR="0050649D" w:rsidRPr="00AC2C96" w:rsidRDefault="0050649D" w:rsidP="00AC2C96">
      <w:pPr>
        <w:pStyle w:val="FootnoteText"/>
        <w:ind w:left="102" w:hanging="102"/>
      </w:pPr>
      <w:r w:rsidRPr="00AC2C96">
        <w:rPr>
          <w:rStyle w:val="FootnoteReference"/>
        </w:rPr>
        <w:footnoteRef/>
      </w:r>
      <w:r w:rsidR="00C978BA" w:rsidRPr="00AC2C96">
        <w:t xml:space="preserve"> </w:t>
      </w:r>
      <w:r w:rsidRPr="00AC2C96">
        <w:t>In January 2022</w:t>
      </w:r>
      <w:r w:rsidR="003404DC" w:rsidRPr="00AC2C96">
        <w:t>,</w:t>
      </w:r>
      <w:r w:rsidRPr="00AC2C96">
        <w:t xml:space="preserve"> </w:t>
      </w:r>
      <w:r w:rsidR="00E74BCC" w:rsidRPr="00AC2C96">
        <w:t xml:space="preserve">the </w:t>
      </w:r>
      <w:r w:rsidRPr="00AC2C96">
        <w:t>ECB and Eurostat presented for the first time a Joint ECB-Eurostat report on inconsistencies in NA-BOP concerning quarterly financial and non-financial accounts to the CMFB. This work should further support national compilers’ efforts undertaken in this context.</w:t>
      </w:r>
    </w:p>
  </w:footnote>
  <w:footnote w:id="12">
    <w:p w14:paraId="67255E73" w14:textId="02031886" w:rsidR="009F4C68" w:rsidRPr="00AC2C96" w:rsidRDefault="009F4C68" w:rsidP="00AC2C96">
      <w:pPr>
        <w:pStyle w:val="Default"/>
        <w:autoSpaceDE/>
        <w:autoSpaceDN/>
        <w:adjustRightInd/>
        <w:ind w:left="102" w:hanging="102"/>
        <w:jc w:val="both"/>
        <w:rPr>
          <w:rFonts w:ascii="Times New Roman" w:hAnsi="Times New Roman" w:cs="Times New Roman"/>
          <w:sz w:val="20"/>
          <w:szCs w:val="20"/>
        </w:rPr>
      </w:pPr>
      <w:r w:rsidRPr="00AC2C96">
        <w:rPr>
          <w:rStyle w:val="FootnoteReference"/>
          <w:rFonts w:ascii="Times New Roman" w:hAnsi="Times New Roman" w:cs="Times New Roman"/>
          <w:sz w:val="20"/>
          <w:szCs w:val="20"/>
        </w:rPr>
        <w:footnoteRef/>
      </w:r>
      <w:r w:rsidR="00FF6E08" w:rsidRPr="00AC2C96">
        <w:rPr>
          <w:rFonts w:ascii="Times New Roman" w:hAnsi="Times New Roman" w:cs="Times New Roman"/>
          <w:sz w:val="20"/>
          <w:szCs w:val="20"/>
        </w:rPr>
        <w:t xml:space="preserve"> </w:t>
      </w:r>
      <w:r w:rsidRPr="00AC2C96">
        <w:rPr>
          <w:rFonts w:ascii="Times New Roman" w:hAnsi="Times New Roman" w:cs="Times New Roman"/>
          <w:sz w:val="20"/>
          <w:szCs w:val="20"/>
        </w:rPr>
        <w:t xml:space="preserve">Eurostat and </w:t>
      </w:r>
      <w:r w:rsidR="00375A5E" w:rsidRPr="00AC2C96">
        <w:rPr>
          <w:rFonts w:ascii="Times New Roman" w:hAnsi="Times New Roman" w:cs="Times New Roman"/>
          <w:sz w:val="20"/>
          <w:szCs w:val="20"/>
        </w:rPr>
        <w:t xml:space="preserve">the </w:t>
      </w:r>
      <w:r w:rsidRPr="00AC2C96">
        <w:rPr>
          <w:rFonts w:ascii="Times New Roman" w:hAnsi="Times New Roman" w:cs="Times New Roman"/>
          <w:sz w:val="20"/>
          <w:szCs w:val="20"/>
        </w:rPr>
        <w:t xml:space="preserve">ECB published a </w:t>
      </w:r>
      <w:r w:rsidRPr="00AC2C96">
        <w:rPr>
          <w:rFonts w:ascii="Times New Roman" w:hAnsi="Times New Roman" w:cs="Times New Roman"/>
          <w:bCs/>
          <w:sz w:val="20"/>
          <w:szCs w:val="20"/>
        </w:rPr>
        <w:t xml:space="preserve">Methodological note for Member States </w:t>
      </w:r>
      <w:r w:rsidR="00375A5E" w:rsidRPr="00AC2C96">
        <w:rPr>
          <w:rFonts w:ascii="Times New Roman" w:hAnsi="Times New Roman" w:cs="Times New Roman"/>
          <w:bCs/>
          <w:sz w:val="20"/>
          <w:szCs w:val="20"/>
        </w:rPr>
        <w:t xml:space="preserve">on </w:t>
      </w:r>
      <w:r w:rsidRPr="00AC2C96">
        <w:rPr>
          <w:rFonts w:ascii="Times New Roman" w:hAnsi="Times New Roman" w:cs="Times New Roman"/>
          <w:bCs/>
          <w:sz w:val="20"/>
          <w:szCs w:val="20"/>
        </w:rPr>
        <w:t xml:space="preserve">how to address the challengers: </w:t>
      </w:r>
      <w:r w:rsidR="007046CF" w:rsidRPr="00AC2C96">
        <w:rPr>
          <w:rFonts w:ascii="Times New Roman" w:hAnsi="Times New Roman" w:cs="Times New Roman"/>
          <w:bCs/>
          <w:sz w:val="20"/>
          <w:szCs w:val="20"/>
        </w:rPr>
        <w:t>‘</w:t>
      </w:r>
      <w:r w:rsidRPr="00AC2C96">
        <w:rPr>
          <w:rFonts w:ascii="Times New Roman" w:hAnsi="Times New Roman" w:cs="Times New Roman"/>
          <w:bCs/>
          <w:sz w:val="20"/>
          <w:szCs w:val="20"/>
        </w:rPr>
        <w:t>Guidance on the compilation of balance of payments statistics in the context of the COVID-19 crisis</w:t>
      </w:r>
      <w:r w:rsidR="007046CF" w:rsidRPr="00AC2C96">
        <w:rPr>
          <w:rFonts w:ascii="Times New Roman" w:hAnsi="Times New Roman" w:cs="Times New Roman"/>
          <w:bCs/>
          <w:sz w:val="20"/>
          <w:szCs w:val="20"/>
        </w:rPr>
        <w:t>’</w:t>
      </w:r>
      <w:r w:rsidRPr="00AC2C96">
        <w:rPr>
          <w:rFonts w:ascii="Times New Roman" w:hAnsi="Times New Roman" w:cs="Times New Roman"/>
          <w:bCs/>
          <w:sz w:val="20"/>
          <w:szCs w:val="20"/>
        </w:rPr>
        <w:t xml:space="preserve"> Eurostat, Directorate C Unit C5 – Integrated global accounts and Balance of Payments - European Central Bank, Directorate General Statistics Division – External statistics and sector accounts 1</w:t>
      </w:r>
      <w:r w:rsidR="007046CF" w:rsidRPr="00AC2C96">
        <w:rPr>
          <w:rFonts w:ascii="Times New Roman" w:hAnsi="Times New Roman" w:cs="Times New Roman"/>
          <w:bCs/>
          <w:sz w:val="20"/>
          <w:szCs w:val="20"/>
        </w:rPr>
        <w:t> </w:t>
      </w:r>
      <w:r w:rsidRPr="00AC2C96">
        <w:rPr>
          <w:rFonts w:ascii="Times New Roman" w:hAnsi="Times New Roman" w:cs="Times New Roman"/>
          <w:bCs/>
          <w:sz w:val="20"/>
          <w:szCs w:val="20"/>
        </w:rPr>
        <w:t>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FA04" w14:textId="77777777" w:rsidR="002C2A2E" w:rsidRPr="002C2A2E" w:rsidRDefault="002C2A2E" w:rsidP="002C2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18AE" w14:textId="77777777" w:rsidR="002C2A2E" w:rsidRPr="002C2A2E" w:rsidRDefault="002C2A2E" w:rsidP="002C2A2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E07B" w14:textId="77777777" w:rsidR="002C2A2E" w:rsidRPr="002C2A2E" w:rsidRDefault="002C2A2E" w:rsidP="002C2A2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D536" w14:textId="77777777" w:rsidR="00861A36" w:rsidRDefault="00861A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09EA" w14:textId="77777777" w:rsidR="00861A36" w:rsidRDefault="00861A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819F" w14:textId="77777777" w:rsidR="00861A36" w:rsidRDefault="00861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AF1"/>
    <w:multiLevelType w:val="hybridMultilevel"/>
    <w:tmpl w:val="E0BC0894"/>
    <w:lvl w:ilvl="0" w:tplc="B7445198">
      <w:start w:val="1"/>
      <w:numFmt w:val="bullet"/>
      <w:lvlText w:val="-"/>
      <w:lvlJc w:val="left"/>
      <w:pPr>
        <w:ind w:left="157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D18AB"/>
    <w:multiLevelType w:val="hybridMultilevel"/>
    <w:tmpl w:val="1BA2560C"/>
    <w:lvl w:ilvl="0" w:tplc="B74451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B447E"/>
    <w:multiLevelType w:val="hybridMultilevel"/>
    <w:tmpl w:val="D4F669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B74B4"/>
    <w:multiLevelType w:val="multilevel"/>
    <w:tmpl w:val="515CB004"/>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15529FB-44A1-4F6A-BBBF-473E4B8DE3EC"/>
    <w:docVar w:name="LW_COVERPAGE_TYPE" w:val="1"/>
    <w:docVar w:name="LW_CROSSREFERENCE" w:val="&lt;UNUSED&gt;"/>
    <w:docVar w:name="LW_DocType" w:val="NORMAL"/>
    <w:docVar w:name="LW_EMISSION" w:val="27.2.2023"/>
    <w:docVar w:name="LW_EMISSION_ISODATE" w:val="2023-02-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Regulation (EC) No 184/2005 of the European Parliament and of the Council of 12 January 2005 on Community statistics concerning balance of payments, international trade in services and foreign direct investment"/>
    <w:docVar w:name="LW_TYPE.DOC.CP" w:val="REPORT FROM THE COMMISSION TO THE EUROPEAN PARLIAMENT AND THE COUNCIL"/>
    <w:docVar w:name="LwApiVersions" w:val="LW4CoDe 1.23.2.0; LW 8.0, Build 20211117"/>
    <w:docVar w:name="Stamp" w:val="\\dossiers.dgt.cec.eu.int\dossiers\ESTAT\ESTAT-2022-00213\ESTAT-2022-00213-00-00-EN-EDT-00.202212120946157781549.DOCX"/>
  </w:docVars>
  <w:rsids>
    <w:rsidRoot w:val="00DB313E"/>
    <w:rsid w:val="00017B61"/>
    <w:rsid w:val="00042B08"/>
    <w:rsid w:val="0004307E"/>
    <w:rsid w:val="00053093"/>
    <w:rsid w:val="000531E6"/>
    <w:rsid w:val="00063EFF"/>
    <w:rsid w:val="00065E17"/>
    <w:rsid w:val="00071B7A"/>
    <w:rsid w:val="000A616F"/>
    <w:rsid w:val="000A63A7"/>
    <w:rsid w:val="000C00B7"/>
    <w:rsid w:val="000C5BFE"/>
    <w:rsid w:val="000D1F39"/>
    <w:rsid w:val="000E26BC"/>
    <w:rsid w:val="0011410E"/>
    <w:rsid w:val="00114F2F"/>
    <w:rsid w:val="00137B6E"/>
    <w:rsid w:val="00146FF9"/>
    <w:rsid w:val="001477DC"/>
    <w:rsid w:val="00164C31"/>
    <w:rsid w:val="001752CD"/>
    <w:rsid w:val="00177B66"/>
    <w:rsid w:val="00190A31"/>
    <w:rsid w:val="001942FF"/>
    <w:rsid w:val="00194B18"/>
    <w:rsid w:val="00197871"/>
    <w:rsid w:val="001A37A0"/>
    <w:rsid w:val="001C3EF4"/>
    <w:rsid w:val="001C555E"/>
    <w:rsid w:val="001F7E98"/>
    <w:rsid w:val="00200D86"/>
    <w:rsid w:val="00211B2A"/>
    <w:rsid w:val="00215A07"/>
    <w:rsid w:val="0022521E"/>
    <w:rsid w:val="0025593F"/>
    <w:rsid w:val="002621A2"/>
    <w:rsid w:val="00277C96"/>
    <w:rsid w:val="002A3061"/>
    <w:rsid w:val="002C1636"/>
    <w:rsid w:val="002C2A2E"/>
    <w:rsid w:val="002D12C6"/>
    <w:rsid w:val="002E356C"/>
    <w:rsid w:val="002E44FE"/>
    <w:rsid w:val="002E663C"/>
    <w:rsid w:val="002E79E9"/>
    <w:rsid w:val="002F2130"/>
    <w:rsid w:val="0032054D"/>
    <w:rsid w:val="003404DC"/>
    <w:rsid w:val="00341ADA"/>
    <w:rsid w:val="00344AD6"/>
    <w:rsid w:val="00353A13"/>
    <w:rsid w:val="00357F01"/>
    <w:rsid w:val="00365F35"/>
    <w:rsid w:val="00375A5E"/>
    <w:rsid w:val="00376B20"/>
    <w:rsid w:val="003878E0"/>
    <w:rsid w:val="00395372"/>
    <w:rsid w:val="00396CD6"/>
    <w:rsid w:val="003A7D2B"/>
    <w:rsid w:val="003B45BA"/>
    <w:rsid w:val="003C4B95"/>
    <w:rsid w:val="003C6135"/>
    <w:rsid w:val="003E120F"/>
    <w:rsid w:val="004006FD"/>
    <w:rsid w:val="00411674"/>
    <w:rsid w:val="0041525A"/>
    <w:rsid w:val="004168F0"/>
    <w:rsid w:val="00422DD8"/>
    <w:rsid w:val="00457C00"/>
    <w:rsid w:val="00490580"/>
    <w:rsid w:val="00495B8B"/>
    <w:rsid w:val="00497ADA"/>
    <w:rsid w:val="004A47CC"/>
    <w:rsid w:val="004D203E"/>
    <w:rsid w:val="004F3210"/>
    <w:rsid w:val="0050649D"/>
    <w:rsid w:val="00523AE0"/>
    <w:rsid w:val="00533D5A"/>
    <w:rsid w:val="00562F79"/>
    <w:rsid w:val="005902F5"/>
    <w:rsid w:val="005A1575"/>
    <w:rsid w:val="005A32AB"/>
    <w:rsid w:val="005B65F2"/>
    <w:rsid w:val="005C6946"/>
    <w:rsid w:val="005D20C9"/>
    <w:rsid w:val="005D73C5"/>
    <w:rsid w:val="005E69CC"/>
    <w:rsid w:val="005E7E76"/>
    <w:rsid w:val="005F0CEE"/>
    <w:rsid w:val="005F4D39"/>
    <w:rsid w:val="005F611B"/>
    <w:rsid w:val="005F6D5C"/>
    <w:rsid w:val="0060131E"/>
    <w:rsid w:val="00601FF4"/>
    <w:rsid w:val="00612378"/>
    <w:rsid w:val="00612623"/>
    <w:rsid w:val="00614545"/>
    <w:rsid w:val="00622C1F"/>
    <w:rsid w:val="00671061"/>
    <w:rsid w:val="00684F40"/>
    <w:rsid w:val="00693CA5"/>
    <w:rsid w:val="006B62EE"/>
    <w:rsid w:val="006C1156"/>
    <w:rsid w:val="007046CF"/>
    <w:rsid w:val="00706A77"/>
    <w:rsid w:val="007070F7"/>
    <w:rsid w:val="0071033F"/>
    <w:rsid w:val="00743D91"/>
    <w:rsid w:val="00747E04"/>
    <w:rsid w:val="00752E60"/>
    <w:rsid w:val="00756072"/>
    <w:rsid w:val="00764A7E"/>
    <w:rsid w:val="00775EBD"/>
    <w:rsid w:val="00782967"/>
    <w:rsid w:val="00785234"/>
    <w:rsid w:val="00786E6A"/>
    <w:rsid w:val="00790C71"/>
    <w:rsid w:val="00790F7F"/>
    <w:rsid w:val="007A1BA5"/>
    <w:rsid w:val="007A36E1"/>
    <w:rsid w:val="007C1ED9"/>
    <w:rsid w:val="00826A59"/>
    <w:rsid w:val="00841E06"/>
    <w:rsid w:val="0084560A"/>
    <w:rsid w:val="008541F3"/>
    <w:rsid w:val="00861A36"/>
    <w:rsid w:val="008939DB"/>
    <w:rsid w:val="008A18D1"/>
    <w:rsid w:val="008A3E82"/>
    <w:rsid w:val="008A6132"/>
    <w:rsid w:val="008D0975"/>
    <w:rsid w:val="008E7AAF"/>
    <w:rsid w:val="008F6C76"/>
    <w:rsid w:val="009136AE"/>
    <w:rsid w:val="009211DD"/>
    <w:rsid w:val="009257B7"/>
    <w:rsid w:val="0092701E"/>
    <w:rsid w:val="009316DB"/>
    <w:rsid w:val="00935365"/>
    <w:rsid w:val="0094392E"/>
    <w:rsid w:val="00972FCA"/>
    <w:rsid w:val="00973E0C"/>
    <w:rsid w:val="009743C0"/>
    <w:rsid w:val="0098010E"/>
    <w:rsid w:val="009B6324"/>
    <w:rsid w:val="009E5DCB"/>
    <w:rsid w:val="009F11A5"/>
    <w:rsid w:val="009F4C68"/>
    <w:rsid w:val="009F7711"/>
    <w:rsid w:val="00A127F8"/>
    <w:rsid w:val="00A169E2"/>
    <w:rsid w:val="00A17A11"/>
    <w:rsid w:val="00A26C26"/>
    <w:rsid w:val="00A3574A"/>
    <w:rsid w:val="00A96953"/>
    <w:rsid w:val="00AC2376"/>
    <w:rsid w:val="00AC2C96"/>
    <w:rsid w:val="00AD7B07"/>
    <w:rsid w:val="00B13ED5"/>
    <w:rsid w:val="00B31D8A"/>
    <w:rsid w:val="00B37D94"/>
    <w:rsid w:val="00B93597"/>
    <w:rsid w:val="00B9651F"/>
    <w:rsid w:val="00BB2ECB"/>
    <w:rsid w:val="00BC5F97"/>
    <w:rsid w:val="00BD409A"/>
    <w:rsid w:val="00BE3E77"/>
    <w:rsid w:val="00BF0D92"/>
    <w:rsid w:val="00C23AAB"/>
    <w:rsid w:val="00C377D2"/>
    <w:rsid w:val="00C43957"/>
    <w:rsid w:val="00C43FED"/>
    <w:rsid w:val="00C518D9"/>
    <w:rsid w:val="00C61B36"/>
    <w:rsid w:val="00C65022"/>
    <w:rsid w:val="00C65961"/>
    <w:rsid w:val="00C85B14"/>
    <w:rsid w:val="00C934F9"/>
    <w:rsid w:val="00C95FD1"/>
    <w:rsid w:val="00C978BA"/>
    <w:rsid w:val="00CB35A6"/>
    <w:rsid w:val="00CE7A35"/>
    <w:rsid w:val="00D102E0"/>
    <w:rsid w:val="00D24824"/>
    <w:rsid w:val="00D26EAD"/>
    <w:rsid w:val="00D57B27"/>
    <w:rsid w:val="00D67AAC"/>
    <w:rsid w:val="00D92AA6"/>
    <w:rsid w:val="00D93481"/>
    <w:rsid w:val="00DB313E"/>
    <w:rsid w:val="00DC0C42"/>
    <w:rsid w:val="00DD271D"/>
    <w:rsid w:val="00DE6DD6"/>
    <w:rsid w:val="00DF680E"/>
    <w:rsid w:val="00E1408C"/>
    <w:rsid w:val="00E23E8E"/>
    <w:rsid w:val="00E65EFE"/>
    <w:rsid w:val="00E74BCC"/>
    <w:rsid w:val="00E84128"/>
    <w:rsid w:val="00E938DA"/>
    <w:rsid w:val="00EA5399"/>
    <w:rsid w:val="00EB1062"/>
    <w:rsid w:val="00EB443F"/>
    <w:rsid w:val="00ED0416"/>
    <w:rsid w:val="00ED5A5C"/>
    <w:rsid w:val="00ED65D2"/>
    <w:rsid w:val="00EE606A"/>
    <w:rsid w:val="00F003FC"/>
    <w:rsid w:val="00F01430"/>
    <w:rsid w:val="00F136DF"/>
    <w:rsid w:val="00F43A11"/>
    <w:rsid w:val="00F66C4C"/>
    <w:rsid w:val="00F67279"/>
    <w:rsid w:val="00F739D0"/>
    <w:rsid w:val="00F97E4D"/>
    <w:rsid w:val="00FC29B2"/>
    <w:rsid w:val="00FF44D5"/>
    <w:rsid w:val="00FF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D697D2"/>
  <w15:chartTrackingRefBased/>
  <w15:docId w15:val="{CF09230D-8E99-45B2-B00A-91D71C58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E663C"/>
    <w:pPr>
      <w:keepNext/>
      <w:numPr>
        <w:numId w:val="1"/>
      </w:numPr>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qFormat/>
    <w:rsid w:val="002E663C"/>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Normal"/>
    <w:link w:val="Heading3Char"/>
    <w:qFormat/>
    <w:rsid w:val="002E663C"/>
    <w:pPr>
      <w:keepNext/>
      <w:numPr>
        <w:ilvl w:val="2"/>
        <w:numId w:val="1"/>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rsid w:val="002E663C"/>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DB313E"/>
    <w:rPr>
      <w:color w:val="0000FF"/>
      <w:shd w:val="clear" w:color="auto" w:fill="auto"/>
    </w:rPr>
  </w:style>
  <w:style w:type="paragraph" w:styleId="Header">
    <w:name w:val="header"/>
    <w:basedOn w:val="Normal"/>
    <w:link w:val="HeaderChar"/>
    <w:uiPriority w:val="99"/>
    <w:unhideWhenUsed/>
    <w:rsid w:val="00DB3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13E"/>
  </w:style>
  <w:style w:type="paragraph" w:styleId="Footer">
    <w:name w:val="footer"/>
    <w:basedOn w:val="Normal"/>
    <w:link w:val="FooterChar"/>
    <w:uiPriority w:val="99"/>
    <w:unhideWhenUsed/>
    <w:rsid w:val="00DB3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13E"/>
  </w:style>
  <w:style w:type="paragraph" w:customStyle="1" w:styleId="Pagedecouverture">
    <w:name w:val="Page de couverture"/>
    <w:basedOn w:val="Normal"/>
    <w:next w:val="Normal"/>
    <w:rsid w:val="00DB313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DB313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B313E"/>
    <w:rPr>
      <w:rFonts w:ascii="Times New Roman" w:hAnsi="Times New Roman" w:cs="Times New Roman"/>
      <w:sz w:val="24"/>
    </w:rPr>
  </w:style>
  <w:style w:type="paragraph" w:customStyle="1" w:styleId="FooterSensitivity">
    <w:name w:val="Footer Sensitivity"/>
    <w:basedOn w:val="Normal"/>
    <w:link w:val="FooterSensitivityChar"/>
    <w:rsid w:val="00DB313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B313E"/>
    <w:rPr>
      <w:rFonts w:ascii="Times New Roman" w:hAnsi="Times New Roman" w:cs="Times New Roman"/>
      <w:b/>
      <w:sz w:val="32"/>
    </w:rPr>
  </w:style>
  <w:style w:type="paragraph" w:customStyle="1" w:styleId="HeaderCoverPage">
    <w:name w:val="Header Cover Page"/>
    <w:basedOn w:val="Normal"/>
    <w:link w:val="HeaderCoverPageChar"/>
    <w:rsid w:val="00DB313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B313E"/>
    <w:rPr>
      <w:rFonts w:ascii="Times New Roman" w:hAnsi="Times New Roman" w:cs="Times New Roman"/>
      <w:sz w:val="24"/>
    </w:rPr>
  </w:style>
  <w:style w:type="paragraph" w:customStyle="1" w:styleId="HeaderSensitivity">
    <w:name w:val="Header Sensitivity"/>
    <w:basedOn w:val="Normal"/>
    <w:link w:val="HeaderSensitivityChar"/>
    <w:rsid w:val="00DB313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B313E"/>
    <w:rPr>
      <w:rFonts w:ascii="Times New Roman" w:hAnsi="Times New Roman" w:cs="Times New Roman"/>
      <w:b/>
      <w:sz w:val="32"/>
    </w:rPr>
  </w:style>
  <w:style w:type="paragraph" w:customStyle="1" w:styleId="HeaderSensitivityRight">
    <w:name w:val="Header Sensitivity Right"/>
    <w:basedOn w:val="Normal"/>
    <w:link w:val="HeaderSensitivityRightChar"/>
    <w:rsid w:val="00DB313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B313E"/>
    <w:rPr>
      <w:rFonts w:ascii="Times New Roman" w:hAnsi="Times New Roman" w:cs="Times New Roman"/>
      <w:sz w:val="28"/>
    </w:rPr>
  </w:style>
  <w:style w:type="character" w:customStyle="1" w:styleId="Heading1Char">
    <w:name w:val="Heading 1 Char"/>
    <w:basedOn w:val="DefaultParagraphFont"/>
    <w:link w:val="Heading1"/>
    <w:rsid w:val="002E663C"/>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sid w:val="002E663C"/>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sid w:val="002E663C"/>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sid w:val="002E663C"/>
    <w:rPr>
      <w:rFonts w:ascii="Times New Roman" w:eastAsia="Times New Roman" w:hAnsi="Times New Roman" w:cs="Times New Roman"/>
      <w:bCs/>
      <w:sz w:val="24"/>
      <w:szCs w:val="28"/>
      <w:lang w:eastAsia="de-DE"/>
    </w:rPr>
  </w:style>
  <w:style w:type="paragraph" w:styleId="FootnoteText">
    <w:name w:val="footnote text"/>
    <w:basedOn w:val="Normal"/>
    <w:rsid w:val="002E663C"/>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rsid w:val="002E663C"/>
    <w:rPr>
      <w:rFonts w:ascii="Times New Roman" w:eastAsia="Times New Roman" w:hAnsi="Times New Roman" w:cs="Times New Roman"/>
      <w:sz w:val="20"/>
      <w:szCs w:val="20"/>
      <w:lang w:eastAsia="de-DE"/>
    </w:rPr>
  </w:style>
  <w:style w:type="paragraph" w:styleId="ListNumber">
    <w:name w:val="List Number"/>
    <w:basedOn w:val="Normal"/>
    <w:rsid w:val="002E663C"/>
    <w:pPr>
      <w:numPr>
        <w:numId w:val="2"/>
      </w:numPr>
      <w:spacing w:before="120" w:after="120" w:line="240" w:lineRule="auto"/>
      <w:jc w:val="both"/>
    </w:pPr>
    <w:rPr>
      <w:rFonts w:ascii="Times New Roman" w:eastAsia="Times New Roman" w:hAnsi="Times New Roman" w:cs="Times New Roman"/>
      <w:sz w:val="24"/>
      <w:szCs w:val="24"/>
      <w:lang w:eastAsia="de-DE"/>
    </w:rPr>
  </w:style>
  <w:style w:type="character" w:styleId="FootnoteReference">
    <w:name w:val="footnote reference"/>
    <w:uiPriority w:val="99"/>
    <w:rsid w:val="002E663C"/>
    <w:rPr>
      <w:vertAlign w:val="superscript"/>
    </w:rPr>
  </w:style>
  <w:style w:type="paragraph" w:customStyle="1" w:styleId="ListDash1">
    <w:name w:val="List Dash 1"/>
    <w:basedOn w:val="Normal"/>
    <w:rsid w:val="002E663C"/>
    <w:p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rsid w:val="002E663C"/>
    <w:pPr>
      <w:numPr>
        <w:ilvl w:val="1"/>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rsid w:val="002E663C"/>
    <w:pPr>
      <w:numPr>
        <w:ilvl w:val="2"/>
        <w:numId w:val="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rsid w:val="002E663C"/>
    <w:pPr>
      <w:numPr>
        <w:ilvl w:val="3"/>
        <w:numId w:val="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uiPriority w:val="22"/>
    <w:qFormat/>
    <w:rsid w:val="002E663C"/>
    <w:rPr>
      <w:b/>
      <w:bCs/>
    </w:rPr>
  </w:style>
  <w:style w:type="character" w:styleId="Emphasis">
    <w:name w:val="Emphasis"/>
    <w:uiPriority w:val="20"/>
    <w:qFormat/>
    <w:rsid w:val="002E663C"/>
    <w:rPr>
      <w:i/>
      <w:iCs/>
    </w:rPr>
  </w:style>
  <w:style w:type="character" w:styleId="CommentReference">
    <w:name w:val="annotation reference"/>
    <w:basedOn w:val="DefaultParagraphFont"/>
    <w:uiPriority w:val="99"/>
    <w:semiHidden/>
    <w:unhideWhenUsed/>
    <w:rsid w:val="00BB2ECB"/>
    <w:rPr>
      <w:sz w:val="16"/>
      <w:szCs w:val="16"/>
    </w:rPr>
  </w:style>
  <w:style w:type="paragraph" w:styleId="CommentText">
    <w:name w:val="annotation text"/>
    <w:basedOn w:val="Normal"/>
    <w:link w:val="CommentTextChar"/>
    <w:unhideWhenUsed/>
    <w:rsid w:val="00BB2ECB"/>
    <w:pPr>
      <w:spacing w:line="240" w:lineRule="auto"/>
    </w:pPr>
    <w:rPr>
      <w:sz w:val="20"/>
      <w:szCs w:val="20"/>
    </w:rPr>
  </w:style>
  <w:style w:type="character" w:customStyle="1" w:styleId="CommentTextChar">
    <w:name w:val="Comment Text Char"/>
    <w:basedOn w:val="DefaultParagraphFont"/>
    <w:link w:val="CommentText"/>
    <w:rsid w:val="00BB2ECB"/>
    <w:rPr>
      <w:sz w:val="20"/>
      <w:szCs w:val="20"/>
    </w:rPr>
  </w:style>
  <w:style w:type="paragraph" w:styleId="CommentSubject">
    <w:name w:val="annotation subject"/>
    <w:basedOn w:val="CommentText"/>
    <w:next w:val="CommentText"/>
    <w:link w:val="CommentSubjectChar"/>
    <w:uiPriority w:val="99"/>
    <w:semiHidden/>
    <w:unhideWhenUsed/>
    <w:rsid w:val="00BB2ECB"/>
    <w:rPr>
      <w:b/>
      <w:bCs/>
    </w:rPr>
  </w:style>
  <w:style w:type="character" w:customStyle="1" w:styleId="CommentSubjectChar">
    <w:name w:val="Comment Subject Char"/>
    <w:basedOn w:val="CommentTextChar"/>
    <w:link w:val="CommentSubject"/>
    <w:uiPriority w:val="99"/>
    <w:semiHidden/>
    <w:rsid w:val="00BB2ECB"/>
    <w:rPr>
      <w:b/>
      <w:bCs/>
      <w:sz w:val="20"/>
      <w:szCs w:val="20"/>
    </w:rPr>
  </w:style>
  <w:style w:type="paragraph" w:styleId="BalloonText">
    <w:name w:val="Balloon Text"/>
    <w:basedOn w:val="Normal"/>
    <w:link w:val="BalloonTextChar"/>
    <w:uiPriority w:val="99"/>
    <w:semiHidden/>
    <w:unhideWhenUsed/>
    <w:rsid w:val="00BB2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CB"/>
    <w:rPr>
      <w:rFonts w:ascii="Segoe UI" w:hAnsi="Segoe UI" w:cs="Segoe UI"/>
      <w:sz w:val="18"/>
      <w:szCs w:val="18"/>
    </w:rPr>
  </w:style>
  <w:style w:type="paragraph" w:styleId="Revision">
    <w:name w:val="Revision"/>
    <w:hidden/>
    <w:uiPriority w:val="99"/>
    <w:semiHidden/>
    <w:rsid w:val="00AD7B07"/>
    <w:pPr>
      <w:spacing w:after="0" w:line="240" w:lineRule="auto"/>
    </w:pPr>
  </w:style>
  <w:style w:type="paragraph" w:customStyle="1" w:styleId="Default">
    <w:name w:val="Default"/>
    <w:rsid w:val="00071B7A"/>
    <w:pPr>
      <w:autoSpaceDE w:val="0"/>
      <w:autoSpaceDN w:val="0"/>
      <w:adjustRightInd w:val="0"/>
      <w:spacing w:after="0" w:line="240" w:lineRule="auto"/>
    </w:pPr>
    <w:rPr>
      <w:rFonts w:ascii="Mercury Text G2" w:hAnsi="Mercury Text G2" w:cs="Mercury Text G2"/>
      <w:color w:val="000000"/>
      <w:sz w:val="24"/>
      <w:szCs w:val="24"/>
    </w:rPr>
  </w:style>
  <w:style w:type="paragraph" w:customStyle="1" w:styleId="Pa4">
    <w:name w:val="Pa4"/>
    <w:basedOn w:val="Default"/>
    <w:next w:val="Default"/>
    <w:uiPriority w:val="99"/>
    <w:rsid w:val="00071B7A"/>
    <w:pPr>
      <w:spacing w:line="201" w:lineRule="atLeast"/>
    </w:pPr>
    <w:rPr>
      <w:rFonts w:cstheme="minorBidi"/>
      <w:color w:val="auto"/>
    </w:rPr>
  </w:style>
  <w:style w:type="character" w:customStyle="1" w:styleId="A4">
    <w:name w:val="A4"/>
    <w:uiPriority w:val="99"/>
    <w:rsid w:val="00071B7A"/>
    <w:rPr>
      <w:rFonts w:cs="Mercury Text G2"/>
      <w:color w:val="000000"/>
      <w:sz w:val="18"/>
      <w:szCs w:val="18"/>
    </w:rPr>
  </w:style>
  <w:style w:type="character" w:styleId="Hyperlink">
    <w:name w:val="Hyperlink"/>
    <w:basedOn w:val="DefaultParagraphFont"/>
    <w:uiPriority w:val="99"/>
    <w:unhideWhenUsed/>
    <w:rsid w:val="00E65EFE"/>
    <w:rPr>
      <w:color w:val="0000FF"/>
      <w:u w:val="single"/>
    </w:rPr>
  </w:style>
  <w:style w:type="character" w:styleId="FollowedHyperlink">
    <w:name w:val="FollowedHyperlink"/>
    <w:basedOn w:val="DefaultParagraphFont"/>
    <w:uiPriority w:val="99"/>
    <w:semiHidden/>
    <w:unhideWhenUsed/>
    <w:rsid w:val="00931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9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products-statistical-reports/-/ks-ft-2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343F7-6C6F-4407-957B-6D8A1B2B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3828</Words>
  <Characters>22016</Characters>
  <Application>Microsoft Office Word</Application>
  <DocSecurity>0</DocSecurity>
  <Lines>328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28</cp:revision>
  <dcterms:created xsi:type="dcterms:W3CDTF">2023-02-16T11:56:00Z</dcterms:created>
  <dcterms:modified xsi:type="dcterms:W3CDTF">2023-02-20T09:52:00Z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8.1, Build 20230124</vt:lpwstr>
  </property>
  <property fmtid="{D5CDD505-2E9C-101B-9397-08002B2CF9AE}" pid="8" name="Created using">
    <vt:lpwstr>LW 8.0.1, Build 20220429</vt:lpwstr>
  </property>
  <property fmtid="{D5CDD505-2E9C-101B-9397-08002B2CF9AE}" pid="9" name="MSIP_Label_6bd9ddd1-4d20-43f6-abfa-fc3c07406f94_Enabled">
    <vt:lpwstr>true</vt:lpwstr>
  </property>
  <property fmtid="{D5CDD505-2E9C-101B-9397-08002B2CF9AE}" pid="10" name="MSIP_Label_6bd9ddd1-4d20-43f6-abfa-fc3c07406f94_SetDate">
    <vt:lpwstr>2022-12-12T08:46:33Z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99276830-7828-443c-9e5a-1431b2e1c8a9</vt:lpwstr>
  </property>
  <property fmtid="{D5CDD505-2E9C-101B-9397-08002B2CF9AE}" pid="15" name="MSIP_Label_6bd9ddd1-4d20-43f6-abfa-fc3c07406f94_ContentBits">
    <vt:lpwstr>0</vt:lpwstr>
  </property>
</Properties>
</file>