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6B" w:rsidRDefault="00E2216B" w:rsidP="00E2216B">
      <w:pPr>
        <w:pStyle w:val="Langue"/>
        <w:framePr w:wrap="notBeside" w:y="14743"/>
      </w:pPr>
    </w:p>
    <w:tbl>
      <w:tblPr>
        <w:tblW w:w="8970" w:type="dxa"/>
        <w:tblLayout w:type="fixed"/>
        <w:tblCellMar>
          <w:left w:w="0" w:type="dxa"/>
          <w:right w:w="0" w:type="dxa"/>
        </w:tblCellMar>
        <w:tblLook w:val="0000" w:firstRow="0" w:lastRow="0" w:firstColumn="0" w:lastColumn="0" w:noHBand="0" w:noVBand="0"/>
      </w:tblPr>
      <w:tblGrid>
        <w:gridCol w:w="2659"/>
        <w:gridCol w:w="2625"/>
        <w:gridCol w:w="3686"/>
      </w:tblGrid>
      <w:tr w:rsidR="00E2216B" w:rsidRPr="00776C1A" w:rsidTr="00CE6925">
        <w:trPr>
          <w:trHeight w:hRule="exact" w:val="2381"/>
        </w:trPr>
        <w:tc>
          <w:tcPr>
            <w:tcW w:w="2659" w:type="dxa"/>
            <w:vAlign w:val="bottom"/>
          </w:tcPr>
          <w:p w:rsidR="00E2216B" w:rsidRPr="00776C1A" w:rsidRDefault="00E2216B" w:rsidP="00560055">
            <w:pPr>
              <w:pStyle w:val="Nomdelinstitution"/>
              <w:spacing w:after="1080"/>
            </w:pPr>
            <w:bookmarkStart w:id="0" w:name="NOM_INST_LOGO"/>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4pt;height:61.55pt">
                  <v:imagedata r:id="rId11" o:title=""/>
                </v:shape>
              </w:pict>
            </w:r>
            <w:bookmarkEnd w:id="0"/>
          </w:p>
        </w:tc>
        <w:tc>
          <w:tcPr>
            <w:tcW w:w="2625" w:type="dxa"/>
            <w:vAlign w:val="bottom"/>
          </w:tcPr>
          <w:p w:rsidR="00E2216B" w:rsidRPr="009637B1" w:rsidRDefault="00E2216B" w:rsidP="009637B1">
            <w:pPr>
              <w:pStyle w:val="Nomdelinstitution"/>
              <w:spacing w:after="1040"/>
              <w:rPr>
                <w:sz w:val="23"/>
                <w:szCs w:val="23"/>
              </w:rPr>
            </w:pPr>
            <w:bookmarkStart w:id="1" w:name="NOM_INST"/>
            <w:bookmarkEnd w:id="1"/>
            <w:r>
              <w:rPr>
                <w:sz w:val="23"/>
              </w:rPr>
              <w:t>EUROPEAN</w:t>
            </w:r>
            <w:r>
              <w:br/>
            </w:r>
            <w:r>
              <w:rPr>
                <w:sz w:val="23"/>
              </w:rPr>
              <w:t>COMMISSION</w:t>
            </w:r>
          </w:p>
        </w:tc>
        <w:tc>
          <w:tcPr>
            <w:tcW w:w="3686" w:type="dxa"/>
            <w:vAlign w:val="bottom"/>
          </w:tcPr>
          <w:p w:rsidR="00E2216B" w:rsidRPr="009637B1" w:rsidRDefault="00E2216B" w:rsidP="00560055">
            <w:pPr>
              <w:pStyle w:val="Nomdelinstitution"/>
              <w:spacing w:after="1040"/>
              <w:jc w:val="right"/>
              <w:rPr>
                <w:sz w:val="23"/>
                <w:szCs w:val="23"/>
              </w:rPr>
            </w:pPr>
            <w:bookmarkStart w:id="2" w:name="NOM_INST_JOINT"/>
            <w:bookmarkEnd w:id="2"/>
          </w:p>
        </w:tc>
      </w:tr>
    </w:tbl>
    <w:p w:rsidR="00E2216B" w:rsidRDefault="00E2216B" w:rsidP="00AD0DD9">
      <w:pPr>
        <w:pStyle w:val="Emission"/>
      </w:pPr>
      <w:bookmarkStart w:id="3" w:name="EMISSION"/>
      <w:bookmarkEnd w:id="3"/>
      <w:r>
        <w:t xml:space="preserve">Brussels, 1.3.2023 </w:t>
      </w:r>
    </w:p>
    <w:p w:rsidR="00E2216B" w:rsidRPr="00AD0DD9" w:rsidRDefault="00E2216B" w:rsidP="00AD0DD9">
      <w:pPr>
        <w:pStyle w:val="Rfrenceinstitutionnelle"/>
      </w:pPr>
      <w:bookmarkStart w:id="4" w:name="REF_INST"/>
      <w:bookmarkEnd w:id="4"/>
      <w:r>
        <w:t>COM(2023) 128 final</w:t>
      </w:r>
    </w:p>
    <w:p w:rsidR="00E2216B" w:rsidRPr="006B5CE3" w:rsidRDefault="00E2216B" w:rsidP="00A02155">
      <w:pPr>
        <w:pStyle w:val="RfrenceinterinstitutionnellePagedecouverture"/>
      </w:pPr>
      <w:bookmarkStart w:id="5" w:name="REF_INTER_INST"/>
      <w:bookmarkEnd w:id="5"/>
      <w:r>
        <w:t>2023/0055 (COD)</w:t>
      </w:r>
    </w:p>
    <w:p w:rsidR="00E2216B" w:rsidRDefault="00E2216B" w:rsidP="00AD0DD9">
      <w:pPr>
        <w:pStyle w:val="Confidentialit"/>
      </w:pPr>
      <w:bookmarkStart w:id="6" w:name="MARKING"/>
      <w:bookmarkEnd w:id="6"/>
    </w:p>
    <w:p w:rsidR="00E2216B" w:rsidRPr="006B5CE3" w:rsidRDefault="00E2216B" w:rsidP="009A2658">
      <w:pPr>
        <w:pStyle w:val="StatutPagedecouverture"/>
      </w:pPr>
      <w:bookmarkStart w:id="7" w:name="STATUT"/>
      <w:bookmarkEnd w:id="7"/>
      <w:r>
        <w:t>Proposal for a</w:t>
      </w:r>
    </w:p>
    <w:p w:rsidR="00E2216B" w:rsidRPr="00AD0DD9" w:rsidRDefault="00E2216B" w:rsidP="00AD0DD9">
      <w:pPr>
        <w:pStyle w:val="TypedudocumentPagedecouverture"/>
      </w:pPr>
      <w:bookmarkStart w:id="8" w:name="TYPE_DU_DOCUMENT"/>
      <w:bookmarkEnd w:id="8"/>
      <w:r>
        <w:t>DIRECTIVE OF THE EUROPEAN PARLIAMENT AND OF THE COUNCIL</w:t>
      </w:r>
    </w:p>
    <w:p w:rsidR="00E2216B" w:rsidRPr="00AD0DD9" w:rsidRDefault="00E2216B" w:rsidP="00AD0DD9">
      <w:pPr>
        <w:pStyle w:val="TitreobjetPagedecouverture"/>
      </w:pPr>
      <w:bookmarkStart w:id="9" w:name="TITRE_OBJET"/>
      <w:bookmarkEnd w:id="9"/>
      <w:r>
        <w:t>on the Union-wide effect of certain driving disqualifications</w:t>
      </w:r>
    </w:p>
    <w:p w:rsidR="00E2216B" w:rsidRPr="00AD0DD9" w:rsidRDefault="00E2216B" w:rsidP="00AD0DD9">
      <w:pPr>
        <w:pStyle w:val="Rfrencecroise"/>
      </w:pPr>
      <w:bookmarkStart w:id="10" w:name="REFERENCE_CROISEES"/>
      <w:bookmarkEnd w:id="10"/>
      <w:r>
        <w:t>{SWD(2023) 128-129} - {SEC(2023) 350}</w:t>
      </w:r>
    </w:p>
    <w:p w:rsidR="00E2216B" w:rsidRDefault="00E2216B" w:rsidP="00E2216B">
      <w:pPr>
        <w:rPr>
          <w:noProof/>
        </w:rPr>
        <w:sectPr w:rsidR="00E2216B" w:rsidSect="00E2216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08"/>
          <w:docGrid w:linePitch="360"/>
        </w:sectPr>
      </w:pPr>
    </w:p>
    <w:p w:rsidR="001F5B5C" w:rsidRPr="00130E39" w:rsidRDefault="009D58A1" w:rsidP="009C601F">
      <w:pPr>
        <w:pStyle w:val="Exposdesmotifstitre"/>
        <w:rPr>
          <w:noProof/>
        </w:rPr>
      </w:pPr>
      <w:r>
        <w:rPr>
          <w:noProof/>
        </w:rPr>
        <w:t>EXPLANATORY MEMORANDUM</w:t>
      </w:r>
    </w:p>
    <w:p w:rsidR="00BD4149" w:rsidRPr="00BF1125" w:rsidRDefault="00BD4149" w:rsidP="00BD4149">
      <w:pPr>
        <w:pStyle w:val="ManualHeading1"/>
        <w:rPr>
          <w:noProof/>
        </w:rPr>
      </w:pPr>
      <w:r w:rsidRPr="00BF1125">
        <w:rPr>
          <w:noProof/>
        </w:rPr>
        <w:t>1.</w:t>
      </w:r>
      <w:r w:rsidRPr="00BF1125">
        <w:rPr>
          <w:noProof/>
        </w:rPr>
        <w:tab/>
        <w:t>CONTEXT OF THE PROPOSAL</w:t>
      </w:r>
    </w:p>
    <w:p w:rsidR="00BD4149" w:rsidRPr="00BF1125" w:rsidRDefault="00BD4149" w:rsidP="00BD4149">
      <w:pPr>
        <w:pStyle w:val="ManualHeading2"/>
        <w:rPr>
          <w:rFonts w:eastAsia="Arial Unicode MS"/>
          <w:noProof/>
        </w:rPr>
      </w:pPr>
      <w:r w:rsidRPr="00BF1125">
        <w:rPr>
          <w:rFonts w:eastAsia="Arial Unicode MS"/>
          <w:noProof/>
          <w:color w:val="000000"/>
          <w:u w:color="000000"/>
          <w:bdr w:val="nil"/>
          <w:lang w:val="en-US" w:eastAsia="en-GB"/>
        </w:rPr>
        <w:t>•</w:t>
      </w:r>
      <w:r w:rsidRPr="00BF1125">
        <w:rPr>
          <w:rFonts w:eastAsia="Arial Unicode MS"/>
          <w:noProof/>
          <w:color w:val="000000"/>
          <w:u w:color="000000"/>
          <w:bdr w:val="nil"/>
          <w:lang w:val="en-US" w:eastAsia="en-GB"/>
        </w:rPr>
        <w:tab/>
      </w:r>
      <w:r w:rsidRPr="00BF1125">
        <w:rPr>
          <w:rFonts w:eastAsia="Arial Unicode MS"/>
          <w:noProof/>
        </w:rPr>
        <w:t>Reasons for and objectives of the proposal</w:t>
      </w:r>
    </w:p>
    <w:p w:rsidR="00BD4149" w:rsidRPr="00AC01BF" w:rsidRDefault="00BD4149" w:rsidP="00BD4149">
      <w:pPr>
        <w:spacing w:before="0" w:after="160" w:line="259" w:lineRule="auto"/>
        <w:rPr>
          <w:rFonts w:eastAsia="Times New Roman"/>
          <w:noProof/>
          <w:szCs w:val="24"/>
        </w:rPr>
      </w:pPr>
      <w:r w:rsidRPr="00AC01BF">
        <w:rPr>
          <w:rFonts w:eastAsia="Times New Roman"/>
          <w:noProof/>
          <w:szCs w:val="24"/>
        </w:rPr>
        <w:t>Improving road safety is a prime objective of the Union's transport policy. The Union is pursuing a policy to improve road safety with the objective of reducing fatalities, injuries and material damage.</w:t>
      </w:r>
    </w:p>
    <w:p w:rsidR="00BD4149" w:rsidRPr="00AC01BF" w:rsidRDefault="00BD4149" w:rsidP="00BD4149">
      <w:pPr>
        <w:spacing w:before="0" w:after="160" w:line="259" w:lineRule="auto"/>
        <w:rPr>
          <w:rFonts w:eastAsia="Times New Roman"/>
          <w:noProof/>
          <w:szCs w:val="24"/>
        </w:rPr>
      </w:pPr>
      <w:r w:rsidRPr="00AC01BF">
        <w:rPr>
          <w:rFonts w:eastAsia="Times New Roman"/>
          <w:noProof/>
          <w:szCs w:val="24"/>
        </w:rPr>
        <w:t xml:space="preserve">Over the last 20 years, EU roads have become significantly safer. The number of road fatalities has gone down by 61.5% from around 51,400 in 2001 to around 19,800 in 2021. Nevertheless, the improvement in road safety has not been strong enough to meet the EU’s political ambition to decrease the number of road deaths by 50% between 2001 and 2010, and by additional 50% between 2011 and 2020 (i.e. by 75% between 2001 and 2020) stemming from a number of strategic documents issued by the Commission over the last two decades, such as the </w:t>
      </w:r>
      <w:r w:rsidRPr="00AC01BF">
        <w:rPr>
          <w:rFonts w:eastAsia="Times New Roman"/>
          <w:i/>
          <w:iCs/>
          <w:noProof/>
          <w:szCs w:val="24"/>
        </w:rPr>
        <w:t>White Paper on European Transport Policy for 2010</w:t>
      </w:r>
      <w:r>
        <w:rPr>
          <w:rStyle w:val="FootnoteReference"/>
          <w:rFonts w:eastAsia="Times New Roman"/>
          <w:noProof/>
          <w:szCs w:val="24"/>
        </w:rPr>
        <w:footnoteReference w:id="2"/>
      </w:r>
      <w:r w:rsidRPr="00AC01BF">
        <w:rPr>
          <w:rFonts w:eastAsia="Times New Roman"/>
          <w:noProof/>
          <w:szCs w:val="24"/>
        </w:rPr>
        <w:t xml:space="preserve">, or the Communication from the Commission on </w:t>
      </w:r>
      <w:r w:rsidRPr="00AC01BF">
        <w:rPr>
          <w:rFonts w:eastAsia="Times New Roman"/>
          <w:i/>
          <w:iCs/>
          <w:noProof/>
          <w:szCs w:val="24"/>
        </w:rPr>
        <w:t>Towards a European road safety area: policy orien</w:t>
      </w:r>
      <w:r>
        <w:rPr>
          <w:rFonts w:eastAsia="Times New Roman"/>
          <w:i/>
          <w:iCs/>
          <w:noProof/>
          <w:szCs w:val="24"/>
        </w:rPr>
        <w:t>tations on road safety 2011-2020</w:t>
      </w:r>
      <w:r>
        <w:rPr>
          <w:rStyle w:val="FootnoteReference"/>
          <w:rFonts w:eastAsia="Times New Roman"/>
          <w:noProof/>
          <w:szCs w:val="24"/>
        </w:rPr>
        <w:footnoteReference w:id="3"/>
      </w:r>
      <w:r w:rsidRPr="00AC01BF">
        <w:rPr>
          <w:rFonts w:eastAsia="Times New Roman"/>
          <w:noProof/>
          <w:szCs w:val="24"/>
        </w:rPr>
        <w:t xml:space="preserve">. In its </w:t>
      </w:r>
      <w:r w:rsidRPr="00AC01BF">
        <w:rPr>
          <w:rFonts w:eastAsia="Times New Roman"/>
          <w:i/>
          <w:iCs/>
          <w:noProof/>
          <w:szCs w:val="24"/>
        </w:rPr>
        <w:t>Sustain</w:t>
      </w:r>
      <w:r>
        <w:rPr>
          <w:rFonts w:eastAsia="Times New Roman"/>
          <w:i/>
          <w:iCs/>
          <w:noProof/>
          <w:szCs w:val="24"/>
        </w:rPr>
        <w:t>able and Smart Mobility Strategy</w:t>
      </w:r>
      <w:r>
        <w:rPr>
          <w:rStyle w:val="FootnoteReference"/>
          <w:rFonts w:eastAsia="Times New Roman"/>
          <w:noProof/>
          <w:szCs w:val="24"/>
        </w:rPr>
        <w:footnoteReference w:id="4"/>
      </w:r>
      <w:r w:rsidRPr="00AC01BF">
        <w:rPr>
          <w:rFonts w:eastAsia="Times New Roman"/>
          <w:noProof/>
          <w:szCs w:val="24"/>
        </w:rPr>
        <w:t xml:space="preserve"> of 2020, the Commission committed to target zero fatalities in all modes of transport by 2050.</w:t>
      </w:r>
    </w:p>
    <w:p w:rsidR="00BD4149" w:rsidRPr="00AC01BF" w:rsidRDefault="003852FF" w:rsidP="00BD4149">
      <w:pPr>
        <w:spacing w:before="0" w:after="160" w:line="259" w:lineRule="auto"/>
        <w:rPr>
          <w:rFonts w:eastAsia="Times New Roman"/>
          <w:noProof/>
          <w:szCs w:val="24"/>
          <w:lang w:val="en-US"/>
        </w:rPr>
      </w:pPr>
      <w:r w:rsidRPr="00FF5709">
        <w:rPr>
          <w:rFonts w:eastAsia="Times New Roman"/>
          <w:noProof/>
          <w:szCs w:val="24"/>
          <w:lang w:val="en-US"/>
        </w:rPr>
        <w:t>While the number of road fatalities</w:t>
      </w:r>
      <w:r w:rsidRPr="00FF5709">
        <w:rPr>
          <w:rFonts w:eastAsia="Calibri"/>
          <w:noProof/>
        </w:rPr>
        <w:t xml:space="preserve"> in 2020 was 17% lower than in 2019, this was </w:t>
      </w:r>
      <w:r w:rsidRPr="00FF5709">
        <w:rPr>
          <w:rFonts w:eastAsia="Times New Roman"/>
          <w:noProof/>
          <w:szCs w:val="24"/>
          <w:lang w:val="en-US"/>
        </w:rPr>
        <w:t>heavily influenced by an unprecedented drop in road traffic volumes in the wake of the COVID-19 pandemic</w:t>
      </w:r>
      <w:r w:rsidRPr="00FF5709">
        <w:rPr>
          <w:rFonts w:eastAsia="Times New Roman"/>
          <w:noProof/>
          <w:szCs w:val="24"/>
          <w:vertAlign w:val="superscript"/>
          <w:lang w:val="en-US"/>
        </w:rPr>
        <w:footnoteReference w:id="5"/>
      </w:r>
      <w:r w:rsidRPr="00FF5709">
        <w:rPr>
          <w:rFonts w:eastAsia="Times New Roman"/>
          <w:noProof/>
          <w:szCs w:val="24"/>
          <w:lang w:val="en-US"/>
        </w:rPr>
        <w:t xml:space="preserve">. </w:t>
      </w:r>
      <w:r w:rsidR="00CB232B">
        <w:rPr>
          <w:noProof/>
          <w:szCs w:val="24"/>
        </w:rPr>
        <w:t xml:space="preserve">In the years before 2020, there was hardly any drop in the number of road fatalities. </w:t>
      </w:r>
      <w:r w:rsidR="00CB232B" w:rsidRPr="0049243E">
        <w:rPr>
          <w:noProof/>
          <w:szCs w:val="24"/>
        </w:rPr>
        <w:t>Th</w:t>
      </w:r>
      <w:r w:rsidR="00CB232B">
        <w:rPr>
          <w:noProof/>
          <w:szCs w:val="24"/>
        </w:rPr>
        <w:t>is</w:t>
      </w:r>
      <w:r w:rsidR="00CB232B" w:rsidRPr="0049243E">
        <w:rPr>
          <w:noProof/>
          <w:szCs w:val="24"/>
        </w:rPr>
        <w:t xml:space="preserve"> slowdown</w:t>
      </w:r>
      <w:r w:rsidR="00CB232B">
        <w:rPr>
          <w:noProof/>
          <w:szCs w:val="24"/>
        </w:rPr>
        <w:t>,</w:t>
      </w:r>
      <w:r w:rsidR="00CB232B" w:rsidRPr="0049243E">
        <w:rPr>
          <w:noProof/>
          <w:szCs w:val="24"/>
        </w:rPr>
        <w:t xml:space="preserve"> that already appeared around 2014</w:t>
      </w:r>
      <w:r w:rsidR="00CB232B">
        <w:rPr>
          <w:noProof/>
          <w:szCs w:val="24"/>
        </w:rPr>
        <w:t>,</w:t>
      </w:r>
      <w:r w:rsidR="00CB232B" w:rsidRPr="0049243E">
        <w:rPr>
          <w:noProof/>
          <w:szCs w:val="24"/>
        </w:rPr>
        <w:t xml:space="preserve"> </w:t>
      </w:r>
      <w:r w:rsidR="00BD4149" w:rsidRPr="00AC01BF">
        <w:rPr>
          <w:rFonts w:eastAsia="Times New Roman"/>
          <w:noProof/>
          <w:szCs w:val="24"/>
          <w:lang w:val="en-US"/>
        </w:rPr>
        <w:t>prompted the Transport Ministers of the Member States of the Union to issue a ministerial declaration on road safety at the informal transport Council in Valletta in March 2017</w:t>
      </w:r>
      <w:r w:rsidR="00BD4149">
        <w:rPr>
          <w:rStyle w:val="FootnoteReference"/>
          <w:rFonts w:eastAsia="Times New Roman"/>
          <w:noProof/>
          <w:szCs w:val="24"/>
          <w:lang w:val="en-US"/>
        </w:rPr>
        <w:footnoteReference w:id="6"/>
      </w:r>
      <w:r w:rsidR="00BD4149" w:rsidRPr="00AC01BF">
        <w:rPr>
          <w:rFonts w:eastAsia="Times New Roman"/>
          <w:noProof/>
          <w:szCs w:val="24"/>
          <w:lang w:val="en-US"/>
        </w:rPr>
        <w:t>. In that declaration, the Member States called upon the C</w:t>
      </w:r>
      <w:bookmarkStart w:id="11" w:name="_GoBack"/>
      <w:bookmarkEnd w:id="11"/>
      <w:r w:rsidR="00BD4149" w:rsidRPr="00AC01BF">
        <w:rPr>
          <w:rFonts w:eastAsia="Times New Roman"/>
          <w:noProof/>
          <w:szCs w:val="24"/>
          <w:lang w:val="en-US"/>
        </w:rPr>
        <w:t>ommission to explore the strengthening of the Union’s road safety legal framework to reverse that stagnating trend.</w:t>
      </w:r>
    </w:p>
    <w:p w:rsidR="00BD4149" w:rsidRPr="00AC01BF" w:rsidRDefault="00BD4149" w:rsidP="00BD4149">
      <w:pPr>
        <w:spacing w:before="0" w:after="160" w:line="259" w:lineRule="auto"/>
        <w:rPr>
          <w:rFonts w:eastAsia="Times New Roman"/>
          <w:noProof/>
          <w:szCs w:val="24"/>
        </w:rPr>
      </w:pPr>
      <w:r>
        <w:rPr>
          <w:rFonts w:eastAsia="Times New Roman"/>
          <w:noProof/>
          <w:szCs w:val="24"/>
          <w:lang w:val="en-US"/>
        </w:rPr>
        <w:t>The Valletta Declaration</w:t>
      </w:r>
      <w:r>
        <w:rPr>
          <w:rStyle w:val="FootnoteReference"/>
          <w:rFonts w:eastAsia="Times New Roman"/>
          <w:noProof/>
          <w:szCs w:val="24"/>
          <w:lang w:val="en-US"/>
        </w:rPr>
        <w:footnoteReference w:id="7"/>
      </w:r>
      <w:r w:rsidRPr="00AC01BF">
        <w:rPr>
          <w:rFonts w:eastAsia="Times New Roman"/>
          <w:noProof/>
          <w:szCs w:val="24"/>
          <w:lang w:val="en-US"/>
        </w:rPr>
        <w:t xml:space="preserve"> explicitly called for </w:t>
      </w:r>
      <w:r w:rsidRPr="00AC01BF">
        <w:rPr>
          <w:rFonts w:eastAsia="Times New Roman"/>
          <w:noProof/>
          <w:szCs w:val="24"/>
        </w:rPr>
        <w:t xml:space="preserve">action on the issue of mutual recognition of driving disqualifications concerning non-resident drivers: </w:t>
      </w:r>
    </w:p>
    <w:p w:rsidR="00BD4149" w:rsidRPr="00AC01BF" w:rsidRDefault="00BD4149" w:rsidP="00BD4149">
      <w:pPr>
        <w:spacing w:before="0" w:after="160" w:line="259" w:lineRule="auto"/>
        <w:rPr>
          <w:rFonts w:eastAsia="Times New Roman"/>
          <w:noProof/>
          <w:szCs w:val="24"/>
        </w:rPr>
      </w:pPr>
      <w:r w:rsidRPr="00AC01BF">
        <w:rPr>
          <w:rFonts w:eastAsia="Times New Roman"/>
          <w:noProof/>
          <w:szCs w:val="24"/>
        </w:rPr>
        <w:t>“</w:t>
      </w:r>
      <w:r w:rsidRPr="00AC01BF">
        <w:rPr>
          <w:rFonts w:eastAsia="Times New Roman"/>
          <w:i/>
          <w:iCs/>
          <w:noProof/>
          <w:szCs w:val="24"/>
        </w:rPr>
        <w:t>The transport ministers call upon the Commission to:</w:t>
      </w:r>
      <w:r w:rsidRPr="00AC01BF">
        <w:rPr>
          <w:rFonts w:eastAsia="Times New Roman"/>
          <w:noProof/>
          <w:szCs w:val="24"/>
        </w:rPr>
        <w:t xml:space="preserve"> (…) </w:t>
      </w:r>
      <w:r w:rsidRPr="00AC01BF">
        <w:rPr>
          <w:rFonts w:eastAsia="Times New Roman"/>
          <w:i/>
          <w:iCs/>
          <w:noProof/>
          <w:szCs w:val="24"/>
        </w:rPr>
        <w:t>explore the strengthening of the Union's road safety legal framework with a particular focus on Member States' cooperation on the mutual recognition of the driving disqualifications of non-resident drivers, without prejudice to the appropriate legal base(s) for such proposals</w:t>
      </w:r>
      <w:r w:rsidRPr="00AC01BF">
        <w:rPr>
          <w:rFonts w:eastAsia="Times New Roman"/>
          <w:noProof/>
          <w:szCs w:val="24"/>
        </w:rPr>
        <w:t xml:space="preserve"> (…).”</w:t>
      </w:r>
    </w:p>
    <w:p w:rsidR="00BD4149" w:rsidRPr="00AC01BF" w:rsidRDefault="00BD4149" w:rsidP="00BD4149">
      <w:pPr>
        <w:spacing w:before="0" w:after="160" w:line="259" w:lineRule="auto"/>
        <w:rPr>
          <w:rFonts w:eastAsia="Times New Roman"/>
          <w:noProof/>
        </w:rPr>
      </w:pPr>
      <w:r w:rsidRPr="0D141AB3">
        <w:rPr>
          <w:rFonts w:eastAsia="Times New Roman"/>
          <w:noProof/>
        </w:rPr>
        <w:t xml:space="preserve">In that context, an important element of the Union’s efforts to improve road safety is the consistent enforcement of sanctions for road traffic offences committed in the Union. However, under the current legal framework, the sanction of driving disqualification cannot </w:t>
      </w:r>
      <w:r w:rsidRPr="0D141AB3">
        <w:rPr>
          <w:rFonts w:eastAsia="Times New Roman"/>
          <w:noProof/>
        </w:rPr>
        <w:lastRenderedPageBreak/>
        <w:t>be granted a Union-wide effect where the offence is committed in a Member State other than the one which issued the driving licence.</w:t>
      </w:r>
    </w:p>
    <w:p w:rsidR="00BD4149" w:rsidRPr="00AC01BF" w:rsidRDefault="00BD4149" w:rsidP="00BD4149">
      <w:pPr>
        <w:spacing w:before="0" w:after="160" w:line="259" w:lineRule="auto"/>
        <w:rPr>
          <w:rFonts w:eastAsia="Times New Roman"/>
          <w:noProof/>
          <w:lang w:val="en-US"/>
        </w:rPr>
      </w:pPr>
      <w:r w:rsidRPr="0D141AB3">
        <w:rPr>
          <w:rFonts w:eastAsia="Times New Roman"/>
          <w:noProof/>
          <w:szCs w:val="24"/>
          <w:lang w:val="en-US"/>
        </w:rPr>
        <w:t xml:space="preserve">Because the issuance of a driving licence is a sovereign act, such document cannot be withdrawn with the same effect by another Member State. </w:t>
      </w:r>
      <w:r w:rsidRPr="0EBD2282">
        <w:rPr>
          <w:rFonts w:eastAsia="Times New Roman"/>
          <w:noProof/>
          <w:lang w:val="en-US"/>
        </w:rPr>
        <w:t xml:space="preserve">Therefore, only the Member State that issued the driving license can withdraw it with a Union-wide effect. Other Member States may only restrict the right to drive as regards their respective territory, </w:t>
      </w:r>
      <w:r w:rsidRPr="0D141AB3">
        <w:rPr>
          <w:rFonts w:eastAsia="Times New Roman"/>
          <w:noProof/>
          <w:lang w:val="en-US"/>
        </w:rPr>
        <w:t>in line with the territoriality principle</w:t>
      </w:r>
      <w:r w:rsidRPr="0EBD2282">
        <w:rPr>
          <w:rStyle w:val="FootnoteReference"/>
          <w:rFonts w:eastAsia="Times New Roman"/>
          <w:noProof/>
          <w:lang w:val="en-US"/>
        </w:rPr>
        <w:footnoteReference w:id="8"/>
      </w:r>
      <w:r w:rsidRPr="0EBD2282">
        <w:rPr>
          <w:rFonts w:eastAsia="Times New Roman"/>
          <w:noProof/>
          <w:lang w:val="en-US"/>
        </w:rPr>
        <w:t>. It is therefore imperative for a Union-wide effect of driving disqualifications and to prevent the relative impunity of road traffic offenders that</w:t>
      </w:r>
      <w:r>
        <w:rPr>
          <w:rFonts w:eastAsia="Times New Roman"/>
          <w:noProof/>
          <w:lang w:val="en-US"/>
        </w:rPr>
        <w:t xml:space="preserve"> a Union framework is established.  </w:t>
      </w:r>
      <w:r w:rsidRPr="0EBD2282">
        <w:rPr>
          <w:rFonts w:eastAsia="Times New Roman"/>
          <w:noProof/>
          <w:lang w:val="en-US"/>
        </w:rPr>
        <w:t xml:space="preserve"> </w:t>
      </w:r>
    </w:p>
    <w:p w:rsidR="00BD4149" w:rsidRDefault="00BD4149" w:rsidP="00BD4149">
      <w:pPr>
        <w:spacing w:before="0" w:after="160" w:line="259" w:lineRule="auto"/>
        <w:rPr>
          <w:rFonts w:eastAsia="Times New Roman"/>
          <w:noProof/>
          <w:lang w:val="en-US"/>
        </w:rPr>
      </w:pPr>
      <w:r w:rsidRPr="0D141AB3">
        <w:rPr>
          <w:rFonts w:eastAsia="Times New Roman"/>
          <w:noProof/>
          <w:lang w:val="en-US"/>
        </w:rPr>
        <w:t>Which authorities can adopt decisions imposing driving disqualifications varies between Member States.</w:t>
      </w:r>
      <w:r>
        <w:rPr>
          <w:rFonts w:eastAsia="Times New Roman"/>
          <w:noProof/>
          <w:lang w:val="en-US"/>
        </w:rPr>
        <w:t xml:space="preserve"> Therefore</w:t>
      </w:r>
      <w:r w:rsidR="00097D41">
        <w:rPr>
          <w:rFonts w:eastAsia="Times New Roman"/>
          <w:noProof/>
          <w:lang w:val="en-US"/>
        </w:rPr>
        <w:t>,</w:t>
      </w:r>
      <w:r>
        <w:rPr>
          <w:rFonts w:eastAsia="Times New Roman"/>
          <w:noProof/>
          <w:lang w:val="en-US"/>
        </w:rPr>
        <w:t xml:space="preserve"> the imposition of the Union-wide driving disqualification should be established on the basis of </w:t>
      </w:r>
      <w:r w:rsidR="00097D41">
        <w:rPr>
          <w:rFonts w:eastAsia="Times New Roman"/>
          <w:noProof/>
          <w:lang w:val="en-US"/>
        </w:rPr>
        <w:t xml:space="preserve">national law of </w:t>
      </w:r>
      <w:r>
        <w:rPr>
          <w:rFonts w:eastAsia="Times New Roman"/>
          <w:noProof/>
          <w:lang w:val="en-US"/>
        </w:rPr>
        <w:t xml:space="preserve">the Member State that has issued the driving </w:t>
      </w:r>
      <w:r w:rsidRPr="00097D41">
        <w:rPr>
          <w:rFonts w:eastAsia="Times New Roman"/>
          <w:noProof/>
        </w:rPr>
        <w:t>licence</w:t>
      </w:r>
      <w:r>
        <w:rPr>
          <w:rFonts w:eastAsia="Times New Roman"/>
          <w:noProof/>
          <w:lang w:val="en-US"/>
        </w:rPr>
        <w:t>. Under the proposal</w:t>
      </w:r>
      <w:r w:rsidR="003852FF">
        <w:rPr>
          <w:rFonts w:eastAsia="Times New Roman"/>
          <w:noProof/>
          <w:lang w:val="en-US"/>
        </w:rPr>
        <w:t>,</w:t>
      </w:r>
      <w:r>
        <w:rPr>
          <w:rFonts w:eastAsia="Times New Roman"/>
          <w:noProof/>
          <w:lang w:val="en-US"/>
        </w:rPr>
        <w:t xml:space="preserve"> Member States will be obliged to</w:t>
      </w:r>
      <w:r w:rsidR="003852FF" w:rsidRPr="003852FF">
        <w:rPr>
          <w:rFonts w:eastAsia="Times New Roman"/>
          <w:noProof/>
          <w:lang w:val="en-US"/>
        </w:rPr>
        <w:t xml:space="preserve"> </w:t>
      </w:r>
      <w:r w:rsidR="003852FF">
        <w:rPr>
          <w:rFonts w:eastAsia="Times New Roman"/>
          <w:noProof/>
          <w:lang w:val="en-US"/>
        </w:rPr>
        <w:t>provide an auxiliary Union-wide effect</w:t>
      </w:r>
      <w:r>
        <w:rPr>
          <w:rFonts w:eastAsia="Times New Roman"/>
          <w:noProof/>
          <w:lang w:val="en-US"/>
        </w:rPr>
        <w:t xml:space="preserve">, in accordance with their own national </w:t>
      </w:r>
      <w:r w:rsidR="003852FF">
        <w:rPr>
          <w:rFonts w:eastAsia="Times New Roman"/>
          <w:noProof/>
          <w:lang w:val="en-US"/>
        </w:rPr>
        <w:t>legislation</w:t>
      </w:r>
      <w:r>
        <w:rPr>
          <w:rFonts w:eastAsia="Times New Roman"/>
          <w:noProof/>
          <w:lang w:val="en-US"/>
        </w:rPr>
        <w:t>, to a driving disqualification that was imposed by another Member State</w:t>
      </w:r>
      <w:r w:rsidRPr="0D141AB3">
        <w:rPr>
          <w:rFonts w:eastAsia="Times New Roman"/>
          <w:noProof/>
          <w:lang w:val="en-US"/>
        </w:rPr>
        <w:t xml:space="preserve">. </w:t>
      </w:r>
    </w:p>
    <w:p w:rsidR="00BD4149" w:rsidRDefault="00BD4149" w:rsidP="00BD4149">
      <w:pPr>
        <w:spacing w:before="0" w:after="160" w:line="259" w:lineRule="auto"/>
        <w:rPr>
          <w:rFonts w:eastAsia="Times New Roman"/>
          <w:noProof/>
          <w:lang w:val="en-US"/>
        </w:rPr>
      </w:pPr>
      <w:r>
        <w:rPr>
          <w:rFonts w:eastAsia="Times New Roman"/>
          <w:noProof/>
          <w:lang w:val="en-US"/>
        </w:rPr>
        <w:t xml:space="preserve">The framework should be based on the principle that effects pertaining to the withdrawal, suspension or restriction of a driving </w:t>
      </w:r>
      <w:r w:rsidRPr="00097D41">
        <w:rPr>
          <w:rFonts w:eastAsia="Times New Roman"/>
          <w:noProof/>
        </w:rPr>
        <w:t>licenc</w:t>
      </w:r>
      <w:r w:rsidR="00EB5D7F" w:rsidRPr="00097D41">
        <w:rPr>
          <w:rFonts w:eastAsia="Times New Roman"/>
          <w:noProof/>
        </w:rPr>
        <w:t>e</w:t>
      </w:r>
      <w:r>
        <w:rPr>
          <w:rFonts w:eastAsia="Times New Roman"/>
          <w:noProof/>
          <w:lang w:val="en-US"/>
        </w:rPr>
        <w:t xml:space="preserve"> should to the furthest possible extent</w:t>
      </w:r>
      <w:r w:rsidR="00EB5D7F">
        <w:rPr>
          <w:rFonts w:eastAsia="Times New Roman"/>
          <w:noProof/>
          <w:lang w:val="en-US"/>
        </w:rPr>
        <w:t xml:space="preserve"> be</w:t>
      </w:r>
      <w:r>
        <w:rPr>
          <w:rFonts w:eastAsia="Times New Roman"/>
          <w:noProof/>
          <w:lang w:val="en-US"/>
        </w:rPr>
        <w:t xml:space="preserve"> applied in the whole Union, thus establishing Union-wide disqualification. Such a framework enable</w:t>
      </w:r>
      <w:r w:rsidR="00EB5D7F">
        <w:rPr>
          <w:rFonts w:eastAsia="Times New Roman"/>
          <w:noProof/>
          <w:lang w:val="en-US"/>
        </w:rPr>
        <w:t>s</w:t>
      </w:r>
      <w:r>
        <w:rPr>
          <w:rFonts w:eastAsia="Times New Roman"/>
          <w:noProof/>
          <w:lang w:val="en-US"/>
        </w:rPr>
        <w:t xml:space="preserve"> the EU to reach similar results as if the decisions leading to driving disqualifications w</w:t>
      </w:r>
      <w:r w:rsidR="00EB5D7F">
        <w:rPr>
          <w:rFonts w:eastAsia="Times New Roman"/>
          <w:noProof/>
          <w:lang w:val="en-US"/>
        </w:rPr>
        <w:t>ere</w:t>
      </w:r>
      <w:r>
        <w:rPr>
          <w:rFonts w:eastAsia="Times New Roman"/>
          <w:noProof/>
          <w:lang w:val="en-US"/>
        </w:rPr>
        <w:t xml:space="preserve"> mutually recognized, while also catering the specificities of road transport and ensuring that there is no overlap between the Union-wide effect of driving disqualifications and the instruments used in the field of criminal cooperation.</w:t>
      </w:r>
    </w:p>
    <w:p w:rsidR="00BD4149" w:rsidRPr="00AC01BF" w:rsidRDefault="00BD4149" w:rsidP="00BD4149">
      <w:pPr>
        <w:spacing w:before="0" w:after="160" w:line="259" w:lineRule="auto"/>
        <w:rPr>
          <w:rFonts w:eastAsia="Times New Roman"/>
          <w:noProof/>
          <w:lang w:val="en-US"/>
        </w:rPr>
      </w:pPr>
      <w:r w:rsidRPr="0D141AB3">
        <w:rPr>
          <w:rFonts w:eastAsia="Times New Roman"/>
          <w:noProof/>
          <w:lang w:val="en-US"/>
        </w:rPr>
        <w:t xml:space="preserve">The scope of this initiative covers those road traffic offences that most contribute to road traffic accidents and fatalities, </w:t>
      </w:r>
      <w:r w:rsidR="00EB5D7F">
        <w:rPr>
          <w:rFonts w:eastAsia="Times New Roman"/>
          <w:noProof/>
          <w:lang w:val="en-US"/>
        </w:rPr>
        <w:t>namely</w:t>
      </w:r>
      <w:r w:rsidRPr="0D141AB3">
        <w:rPr>
          <w:rFonts w:eastAsia="Times New Roman"/>
          <w:noProof/>
          <w:lang w:val="en-US"/>
        </w:rPr>
        <w:t>: excessive speeding; dr</w:t>
      </w:r>
      <w:r w:rsidR="00E21ABB">
        <w:rPr>
          <w:rFonts w:eastAsia="Times New Roman"/>
          <w:noProof/>
          <w:lang w:val="en-US"/>
        </w:rPr>
        <w:t>ink</w:t>
      </w:r>
      <w:r w:rsidR="003424B0">
        <w:rPr>
          <w:rFonts w:eastAsia="Times New Roman"/>
          <w:noProof/>
          <w:lang w:val="en-US"/>
        </w:rPr>
        <w:t>-</w:t>
      </w:r>
      <w:r w:rsidRPr="0D141AB3">
        <w:rPr>
          <w:rFonts w:eastAsia="Times New Roman"/>
          <w:noProof/>
          <w:lang w:val="en-US"/>
        </w:rPr>
        <w:t xml:space="preserve">driving; </w:t>
      </w:r>
      <w:r w:rsidRPr="0D141AB3">
        <w:rPr>
          <w:noProof/>
          <w:lang w:val="en-US"/>
        </w:rPr>
        <w:t>driving under the influence of drugs and causing death or serious bodily injury as a result of any road safety related traffic offence</w:t>
      </w:r>
      <w:r w:rsidRPr="0D141AB3">
        <w:rPr>
          <w:rFonts w:eastAsia="Times New Roman"/>
          <w:noProof/>
          <w:lang w:val="en-US"/>
        </w:rPr>
        <w:t xml:space="preserve">.  </w:t>
      </w:r>
    </w:p>
    <w:p w:rsidR="00BD4149" w:rsidRPr="00AC01BF" w:rsidRDefault="00BD4149" w:rsidP="00BD4149">
      <w:pPr>
        <w:spacing w:before="0" w:after="160" w:line="259" w:lineRule="auto"/>
        <w:rPr>
          <w:rFonts w:eastAsia="Times New Roman"/>
          <w:noProof/>
          <w:szCs w:val="24"/>
        </w:rPr>
      </w:pPr>
      <w:r w:rsidRPr="00AC01BF">
        <w:rPr>
          <w:rFonts w:eastAsia="Times New Roman"/>
          <w:noProof/>
          <w:szCs w:val="24"/>
          <w:lang w:val="en-US"/>
        </w:rPr>
        <w:t>Speed not only has a direct influence on collision occurrence and the severity of collisions, but speeding is actually by</w:t>
      </w:r>
      <w:r w:rsidRPr="00AC01BF">
        <w:rPr>
          <w:rFonts w:eastAsia="Times New Roman"/>
          <w:noProof/>
          <w:szCs w:val="24"/>
        </w:rPr>
        <w:t xml:space="preserve"> far the most recorded road traffic offence on average</w:t>
      </w:r>
      <w:r>
        <w:rPr>
          <w:rStyle w:val="FootnoteReference"/>
          <w:rFonts w:eastAsia="Times New Roman"/>
          <w:noProof/>
          <w:szCs w:val="24"/>
        </w:rPr>
        <w:footnoteReference w:id="9"/>
      </w:r>
      <w:r w:rsidRPr="00AC01BF">
        <w:rPr>
          <w:rFonts w:eastAsia="Times New Roman"/>
          <w:noProof/>
          <w:szCs w:val="24"/>
        </w:rPr>
        <w:t>. The number of collisions and the severity of those collisions increase exponentially as driving speed increases. Likewise, reducing speed by only a few km/h can significantly reduce the number and severity of collisions</w:t>
      </w:r>
      <w:r>
        <w:rPr>
          <w:rStyle w:val="FootnoteReference"/>
          <w:rFonts w:eastAsia="Times New Roman"/>
          <w:noProof/>
          <w:szCs w:val="24"/>
        </w:rPr>
        <w:footnoteReference w:id="10"/>
      </w:r>
      <w:r w:rsidRPr="00AC01BF">
        <w:rPr>
          <w:rFonts w:eastAsia="Times New Roman"/>
          <w:noProof/>
          <w:szCs w:val="24"/>
        </w:rPr>
        <w:t>.</w:t>
      </w:r>
    </w:p>
    <w:p w:rsidR="00BD4149" w:rsidRPr="00AC01BF" w:rsidRDefault="00BD4149" w:rsidP="00BD4149">
      <w:pPr>
        <w:spacing w:before="0" w:after="160" w:line="259" w:lineRule="auto"/>
        <w:rPr>
          <w:rFonts w:eastAsia="Times New Roman"/>
          <w:noProof/>
        </w:rPr>
      </w:pPr>
      <w:r w:rsidRPr="67C01949">
        <w:rPr>
          <w:rFonts w:eastAsia="Times New Roman"/>
          <w:noProof/>
        </w:rPr>
        <w:t>The share of speeding offences committed by non-resident drivers can differ greatly across Member States. On average, around 18% of all speeding offences are committed by non-resident drivers. This means that there is a material group of drivers who commit serious traffic offences in other Member States but are not (fully) held accountable for them. Speed enforcement aims to deter drivers from exceeding speed limits by penalising those that do. This not only affects the speed of drivers who feel typified by those that actually get sanctioned (specific deterrence), but also those who see or hear that drivers keep being penalised (general deterrence)</w:t>
      </w:r>
      <w:r>
        <w:rPr>
          <w:rStyle w:val="FootnoteReference"/>
          <w:rFonts w:eastAsia="Times New Roman"/>
          <w:noProof/>
        </w:rPr>
        <w:footnoteReference w:id="11"/>
      </w:r>
      <w:r w:rsidRPr="67C01949">
        <w:rPr>
          <w:rFonts w:eastAsia="Times New Roman"/>
          <w:noProof/>
        </w:rPr>
        <w:t>.</w:t>
      </w:r>
    </w:p>
    <w:p w:rsidR="00BD4149" w:rsidRPr="00AC01BF" w:rsidRDefault="00BD4149" w:rsidP="00BD4149">
      <w:pPr>
        <w:spacing w:before="0" w:after="160" w:line="259" w:lineRule="auto"/>
        <w:rPr>
          <w:rFonts w:eastAsia="Times New Roman"/>
          <w:noProof/>
        </w:rPr>
      </w:pPr>
      <w:r w:rsidRPr="67C01949">
        <w:rPr>
          <w:rFonts w:eastAsia="Times New Roman"/>
          <w:noProof/>
        </w:rPr>
        <w:t>By partially removing the existing impunity of these offenders through allowing Member States to mutually recognize driving disqualifications stemming from speeding, it is expected that their driving speed will lessen, as they will feel the need to comply with speed regulations abroad to the same extent they do in</w:t>
      </w:r>
      <w:r w:rsidR="004F2E05">
        <w:rPr>
          <w:rFonts w:eastAsia="Times New Roman"/>
          <w:noProof/>
        </w:rPr>
        <w:t xml:space="preserve"> their</w:t>
      </w:r>
      <w:r w:rsidRPr="67C01949">
        <w:rPr>
          <w:rFonts w:eastAsia="Times New Roman"/>
          <w:noProof/>
        </w:rPr>
        <w:t xml:space="preserve"> own Member State. In fact, especially considering that speeding is the most committed road traffic offence, the mutual recognition of driving disqualifications stemming from its commission is expected to have a significant effect on road safety alone, as for example certain stakeholders estimate that 2,100 lives could be saved each year if the average speed dropped by only 1 km/h on all roads across the EU</w:t>
      </w:r>
      <w:r>
        <w:rPr>
          <w:rStyle w:val="FootnoteReference"/>
          <w:rFonts w:eastAsia="Times New Roman"/>
          <w:noProof/>
        </w:rPr>
        <w:footnoteReference w:id="12"/>
      </w:r>
      <w:r w:rsidRPr="67C01949">
        <w:rPr>
          <w:rFonts w:eastAsia="Times New Roman"/>
          <w:noProof/>
        </w:rPr>
        <w:t>.</w:t>
      </w:r>
    </w:p>
    <w:p w:rsidR="00BD4149" w:rsidRPr="00AC01BF" w:rsidRDefault="00BD4149" w:rsidP="00BD4149">
      <w:pPr>
        <w:spacing w:before="0" w:after="160" w:line="259" w:lineRule="auto"/>
        <w:rPr>
          <w:rFonts w:eastAsia="Times New Roman"/>
          <w:noProof/>
        </w:rPr>
      </w:pPr>
      <w:r w:rsidRPr="0D141AB3">
        <w:rPr>
          <w:rFonts w:eastAsia="Times New Roman"/>
          <w:noProof/>
        </w:rPr>
        <w:t>The same logic applies to dr</w:t>
      </w:r>
      <w:r w:rsidR="004F2E05">
        <w:rPr>
          <w:rFonts w:eastAsia="Times New Roman"/>
          <w:noProof/>
        </w:rPr>
        <w:t>i</w:t>
      </w:r>
      <w:r w:rsidRPr="0D141AB3">
        <w:rPr>
          <w:rFonts w:eastAsia="Times New Roman"/>
          <w:noProof/>
        </w:rPr>
        <w:t>nk driving. The number of dr</w:t>
      </w:r>
      <w:r w:rsidR="004417D2">
        <w:rPr>
          <w:rFonts w:eastAsia="Times New Roman"/>
          <w:noProof/>
        </w:rPr>
        <w:t>i</w:t>
      </w:r>
      <w:r w:rsidRPr="0D141AB3">
        <w:rPr>
          <w:rFonts w:eastAsia="Times New Roman"/>
          <w:noProof/>
        </w:rPr>
        <w:t>nk driving offences is estimated at 1.2 million in 2019 and it is projected to increase to 1.5 million by 2030 and 2.4 million by 2050, drawing on the development of enforcement intensity over the period 2010-2019</w:t>
      </w:r>
      <w:r w:rsidR="00F25241">
        <w:rPr>
          <w:rStyle w:val="FootnoteReference"/>
          <w:rFonts w:eastAsia="Times New Roman"/>
          <w:noProof/>
        </w:rPr>
        <w:footnoteReference w:id="13"/>
      </w:r>
      <w:r w:rsidRPr="0D141AB3">
        <w:rPr>
          <w:rFonts w:eastAsia="Times New Roman"/>
          <w:noProof/>
        </w:rPr>
        <w:t>. A recent study</w:t>
      </w:r>
      <w:r w:rsidR="00E16C5B">
        <w:rPr>
          <w:rFonts w:eastAsia="Times New Roman"/>
          <w:noProof/>
        </w:rPr>
        <w:t xml:space="preserve"> </w:t>
      </w:r>
      <w:r w:rsidR="00E16C5B" w:rsidRPr="00FF5709">
        <w:rPr>
          <w:rFonts w:eastAsia="Times New Roman"/>
          <w:noProof/>
        </w:rPr>
        <w:t>carried out in the context of the</w:t>
      </w:r>
      <w:r w:rsidRPr="0D141AB3">
        <w:rPr>
          <w:rFonts w:eastAsia="Times New Roman"/>
          <w:noProof/>
        </w:rPr>
        <w:t xml:space="preserve"> DRUID (Driving under the Influence of Drugs, Alcohol and Medicines)</w:t>
      </w:r>
      <w:r w:rsidR="00E16C5B">
        <w:rPr>
          <w:rFonts w:eastAsia="Times New Roman"/>
          <w:noProof/>
        </w:rPr>
        <w:t xml:space="preserve"> project</w:t>
      </w:r>
      <w:r w:rsidRPr="0D141AB3">
        <w:rPr>
          <w:rFonts w:eastAsia="Times New Roman"/>
          <w:noProof/>
        </w:rPr>
        <w:t xml:space="preserve"> was used to estimate the share of offences in which the tested blood alcohol concentration (BAC) was higher than 0.8</w:t>
      </w:r>
      <w:r w:rsidR="00E16C5B">
        <w:rPr>
          <w:rStyle w:val="FootnoteReference"/>
          <w:rFonts w:eastAsia="Times New Roman"/>
          <w:noProof/>
        </w:rPr>
        <w:footnoteReference w:id="14"/>
      </w:r>
      <w:r w:rsidR="00FC3AB8">
        <w:rPr>
          <w:rFonts w:eastAsia="Times New Roman"/>
          <w:noProof/>
        </w:rPr>
        <w:t>.</w:t>
      </w:r>
      <w:r w:rsidRPr="0D141AB3">
        <w:rPr>
          <w:rFonts w:eastAsia="Times New Roman"/>
          <w:noProof/>
        </w:rPr>
        <w:t xml:space="preserve"> At EU level, some 26% of all alcohol offences were estimated to be severe, with a possible loss of licence as a consequence. In addition, it has been estimated that non-resident drivers commit around 15% of all traffic offences</w:t>
      </w:r>
      <w:r w:rsidR="00FC3AB8">
        <w:rPr>
          <w:rStyle w:val="FootnoteReference"/>
          <w:rFonts w:eastAsia="Times New Roman"/>
          <w:noProof/>
        </w:rPr>
        <w:footnoteReference w:id="15"/>
      </w:r>
      <w:r w:rsidRPr="0D141AB3">
        <w:rPr>
          <w:rFonts w:eastAsia="Times New Roman"/>
          <w:noProof/>
        </w:rPr>
        <w:t>.</w:t>
      </w:r>
    </w:p>
    <w:p w:rsidR="00BD4149" w:rsidRPr="00A35B16" w:rsidRDefault="00BD4149" w:rsidP="00BD4149">
      <w:pPr>
        <w:rPr>
          <w:noProof/>
        </w:rPr>
      </w:pPr>
      <w:r>
        <w:rPr>
          <w:noProof/>
        </w:rPr>
        <w:t xml:space="preserve">Similarly, drugs can affect mental and physiological functions, causing impairment. In fact </w:t>
      </w:r>
      <w:r w:rsidRPr="3897124F">
        <w:rPr>
          <w:noProof/>
          <w:lang w:val="en-US"/>
        </w:rPr>
        <w:t>based on epidemiological studies of road fatalities at national level it is estimated that the share of road fatalities with involvement of drugs (including medicines) is 15-25%</w:t>
      </w:r>
      <w:r w:rsidRPr="00DD7480">
        <w:rPr>
          <w:rStyle w:val="FootnoteReference"/>
          <w:noProof/>
        </w:rPr>
        <w:footnoteReference w:id="16"/>
      </w:r>
      <w:r>
        <w:rPr>
          <w:noProof/>
        </w:rPr>
        <w:t>. According to</w:t>
      </w:r>
      <w:r w:rsidR="00FC3AB8">
        <w:rPr>
          <w:noProof/>
        </w:rPr>
        <w:t xml:space="preserve"> </w:t>
      </w:r>
      <w:r w:rsidR="00FC3AB8" w:rsidRPr="00FF5709">
        <w:rPr>
          <w:rFonts w:eastAsia="Calibri"/>
          <w:noProof/>
        </w:rPr>
        <w:t>another report of</w:t>
      </w:r>
      <w:r>
        <w:rPr>
          <w:noProof/>
        </w:rPr>
        <w:t xml:space="preserve"> the DRUID project</w:t>
      </w:r>
      <w:r w:rsidRPr="00DD7480">
        <w:rPr>
          <w:rStyle w:val="FootnoteReference"/>
          <w:noProof/>
        </w:rPr>
        <w:footnoteReference w:id="17"/>
      </w:r>
      <w:r w:rsidR="00FC3AB8">
        <w:rPr>
          <w:noProof/>
        </w:rPr>
        <w:t>,</w:t>
      </w:r>
      <w:r>
        <w:rPr>
          <w:noProof/>
        </w:rPr>
        <w:t xml:space="preserve"> the primary general deterrent factor concerning drug-driving is the perceived risk of detection, however, a survey carried out in 2018 showed that only 14% of the general driving population believe it likely that they are going to be checked for the use of illegal drugs</w:t>
      </w:r>
      <w:r w:rsidRPr="00DD7480">
        <w:rPr>
          <w:rStyle w:val="FootnoteReference"/>
          <w:noProof/>
        </w:rPr>
        <w:footnoteReference w:id="18"/>
      </w:r>
      <w:r>
        <w:rPr>
          <w:noProof/>
        </w:rPr>
        <w:t>. The visibility of enforcement of offences related to driving while influenced by drugs should therefore be raised. On that consideration, and concerning the link between drugs and alcohol (commonly referred together as “driving under the influence” or “DUI”)</w:t>
      </w:r>
      <w:r w:rsidR="000C23CF">
        <w:rPr>
          <w:noProof/>
        </w:rPr>
        <w:t>,</w:t>
      </w:r>
      <w:r>
        <w:rPr>
          <w:noProof/>
        </w:rPr>
        <w:t xml:space="preserve"> it is necessary to include the offence of driving under the influence of drugs </w:t>
      </w:r>
      <w:r w:rsidR="00E21ABB">
        <w:rPr>
          <w:noProof/>
        </w:rPr>
        <w:t xml:space="preserve">in </w:t>
      </w:r>
      <w:r>
        <w:rPr>
          <w:noProof/>
        </w:rPr>
        <w:t xml:space="preserve">the proposed Directive. </w:t>
      </w:r>
    </w:p>
    <w:p w:rsidR="00BD4149" w:rsidRPr="008C2C22" w:rsidRDefault="00BD4149" w:rsidP="00BD4149">
      <w:pPr>
        <w:spacing w:before="0" w:after="160" w:line="259" w:lineRule="auto"/>
        <w:rPr>
          <w:noProof/>
        </w:rPr>
      </w:pPr>
      <w:r>
        <w:rPr>
          <w:noProof/>
        </w:rPr>
        <w:t>Apart from offences related to speeding and driving under the influence,</w:t>
      </w:r>
      <w:r w:rsidR="00FC3AB8">
        <w:rPr>
          <w:noProof/>
        </w:rPr>
        <w:t xml:space="preserve"> other</w:t>
      </w:r>
      <w:r>
        <w:rPr>
          <w:noProof/>
        </w:rPr>
        <w:t xml:space="preserve"> conducts that infringe road traffic regulations, can</w:t>
      </w:r>
      <w:r w:rsidR="00FC3AB8">
        <w:rPr>
          <w:noProof/>
        </w:rPr>
        <w:t xml:space="preserve"> also</w:t>
      </w:r>
      <w:r>
        <w:rPr>
          <w:noProof/>
        </w:rPr>
        <w:t xml:space="preserve"> lead to serious bodily injury or even fatalities</w:t>
      </w:r>
      <w:r w:rsidR="009162B2">
        <w:rPr>
          <w:noProof/>
        </w:rPr>
        <w:t>,</w:t>
      </w:r>
      <w:r>
        <w:rPr>
          <w:noProof/>
        </w:rPr>
        <w:t xml:space="preserve"> </w:t>
      </w:r>
      <w:r w:rsidR="009162B2">
        <w:rPr>
          <w:noProof/>
        </w:rPr>
        <w:t>i</w:t>
      </w:r>
      <w:r>
        <w:rPr>
          <w:noProof/>
        </w:rPr>
        <w:t>n particular</w:t>
      </w:r>
      <w:r w:rsidR="009162B2">
        <w:rPr>
          <w:noProof/>
        </w:rPr>
        <w:t xml:space="preserve"> of</w:t>
      </w:r>
      <w:r>
        <w:rPr>
          <w:noProof/>
        </w:rPr>
        <w:t xml:space="preserve"> vulnerable road users such as children, pedestrians, cyclists, and people on (electric) scooters and</w:t>
      </w:r>
      <w:r w:rsidR="009162B2">
        <w:rPr>
          <w:noProof/>
        </w:rPr>
        <w:t xml:space="preserve"> those</w:t>
      </w:r>
      <w:r>
        <w:rPr>
          <w:noProof/>
        </w:rPr>
        <w:t xml:space="preserve"> whose mobility is reduced. On those considerations, the proposed Directive provides for the</w:t>
      </w:r>
      <w:r w:rsidR="009162B2">
        <w:rPr>
          <w:noProof/>
        </w:rPr>
        <w:t xml:space="preserve"> extension</w:t>
      </w:r>
      <w:r>
        <w:rPr>
          <w:noProof/>
        </w:rPr>
        <w:t xml:space="preserve"> of </w:t>
      </w:r>
      <w:r w:rsidR="009162B2">
        <w:rPr>
          <w:noProof/>
        </w:rPr>
        <w:t xml:space="preserve">the effect of </w:t>
      </w:r>
      <w:r>
        <w:rPr>
          <w:noProof/>
        </w:rPr>
        <w:t xml:space="preserve"> driving disqualifications arising from those conducts</w:t>
      </w:r>
      <w:r w:rsidR="009162B2">
        <w:rPr>
          <w:noProof/>
        </w:rPr>
        <w:t xml:space="preserve"> </w:t>
      </w:r>
      <w:r w:rsidR="009162B2" w:rsidRPr="00FF5709">
        <w:rPr>
          <w:rFonts w:eastAsia="Calibri"/>
          <w:noProof/>
        </w:rPr>
        <w:t>to the EU as a whole</w:t>
      </w:r>
      <w:r>
        <w:rPr>
          <w:noProof/>
        </w:rPr>
        <w:t>.</w:t>
      </w:r>
    </w:p>
    <w:p w:rsidR="00BD4149" w:rsidRDefault="00BD4149" w:rsidP="00BD4149">
      <w:pPr>
        <w:spacing w:before="0" w:after="160" w:line="259" w:lineRule="auto"/>
        <w:rPr>
          <w:rFonts w:eastAsia="Times New Roman"/>
          <w:noProof/>
        </w:rPr>
      </w:pPr>
      <w:r w:rsidRPr="0D141AB3">
        <w:rPr>
          <w:rFonts w:eastAsia="Times New Roman"/>
          <w:noProof/>
        </w:rPr>
        <w:t>The evaluation of Directive 2006/126/EC</w:t>
      </w:r>
      <w:r w:rsidRPr="0D141AB3">
        <w:rPr>
          <w:rStyle w:val="FootnoteReference"/>
          <w:rFonts w:eastAsia="Times New Roman"/>
          <w:noProof/>
        </w:rPr>
        <w:footnoteReference w:id="19"/>
      </w:r>
      <w:r w:rsidRPr="0D141AB3">
        <w:rPr>
          <w:rFonts w:eastAsia="Times New Roman"/>
          <w:noProof/>
        </w:rPr>
        <w:t xml:space="preserve"> concluded that the absence of a specific and efficient EU framework for driving disqualification</w:t>
      </w:r>
      <w:r>
        <w:rPr>
          <w:rFonts w:eastAsia="Times New Roman"/>
          <w:noProof/>
        </w:rPr>
        <w:t>s</w:t>
      </w:r>
      <w:r w:rsidRPr="0D141AB3">
        <w:rPr>
          <w:rFonts w:eastAsia="Times New Roman"/>
          <w:noProof/>
        </w:rPr>
        <w:t xml:space="preserve"> poses challenges when it comes to preventing abuses by drivers that commit offences on the territory of one Member State but then can continue to drive in another Member State without bearing consequences of the offences. This was corroborated by the views of 16 out of 21 respondents representing national authorities who saw the fact that residents and non-residents </w:t>
      </w:r>
      <w:r w:rsidRPr="67C01949">
        <w:rPr>
          <w:rFonts w:eastAsia="Times New Roman"/>
          <w:noProof/>
        </w:rPr>
        <w:t xml:space="preserve">of the Member State where the offence was committed </w:t>
      </w:r>
      <w:r w:rsidRPr="0D141AB3">
        <w:rPr>
          <w:rFonts w:eastAsia="Times New Roman"/>
          <w:noProof/>
        </w:rPr>
        <w:t xml:space="preserve">do not face the same consequences regarding driving disqualification, as a generally important problem. When asked about the absence of </w:t>
      </w:r>
      <w:r>
        <w:rPr>
          <w:rFonts w:eastAsia="Times New Roman"/>
          <w:noProof/>
        </w:rPr>
        <w:t xml:space="preserve">a Union-wide </w:t>
      </w:r>
      <w:r w:rsidRPr="0D141AB3">
        <w:rPr>
          <w:rFonts w:eastAsia="Times New Roman"/>
          <w:noProof/>
        </w:rPr>
        <w:t>driving disqualification</w:t>
      </w:r>
      <w:r>
        <w:rPr>
          <w:rFonts w:eastAsia="Times New Roman"/>
          <w:noProof/>
        </w:rPr>
        <w:t xml:space="preserve"> provided through the means of mutual recognition of decisions</w:t>
      </w:r>
      <w:r w:rsidRPr="0D141AB3">
        <w:rPr>
          <w:rFonts w:eastAsia="Times New Roman"/>
          <w:noProof/>
        </w:rPr>
        <w:t>, some Member States confirmed that it renders difficult the enforcement of disqualification across borders and hence poses a risk to road safety in the EU, especially in cases where the banning from driving resulted from serious offences (e.g. driving under the influence of alcohol). The targeted survey with national authorities</w:t>
      </w:r>
      <w:r w:rsidR="009162B2">
        <w:rPr>
          <w:rFonts w:eastAsia="Times New Roman"/>
          <w:noProof/>
        </w:rPr>
        <w:t xml:space="preserve"> </w:t>
      </w:r>
      <w:r w:rsidR="009162B2" w:rsidRPr="00FF5709">
        <w:rPr>
          <w:rFonts w:eastAsia="Times New Roman"/>
          <w:noProof/>
        </w:rPr>
        <w:t>carried out in the context of the evaluation</w:t>
      </w:r>
      <w:r w:rsidRPr="0D141AB3">
        <w:rPr>
          <w:rFonts w:eastAsia="Times New Roman"/>
          <w:noProof/>
        </w:rPr>
        <w:t xml:space="preserve"> broadly confirmed that there may be a negative impact on road safety and driving licence tourism resulting from the absence of an EU framework for</w:t>
      </w:r>
      <w:r>
        <w:rPr>
          <w:rFonts w:eastAsia="Times New Roman"/>
          <w:noProof/>
        </w:rPr>
        <w:t xml:space="preserve"> </w:t>
      </w:r>
      <w:r w:rsidRPr="0D141AB3">
        <w:rPr>
          <w:rFonts w:eastAsia="Times New Roman"/>
          <w:noProof/>
        </w:rPr>
        <w:t>driving disqualifications though</w:t>
      </w:r>
      <w:r w:rsidR="009162B2">
        <w:rPr>
          <w:rFonts w:eastAsia="Times New Roman"/>
          <w:noProof/>
        </w:rPr>
        <w:t xml:space="preserve"> its</w:t>
      </w:r>
      <w:r w:rsidRPr="0D141AB3">
        <w:rPr>
          <w:rFonts w:eastAsia="Times New Roman"/>
          <w:noProof/>
        </w:rPr>
        <w:t xml:space="preserve"> impact </w:t>
      </w:r>
      <w:r w:rsidR="009162B2">
        <w:rPr>
          <w:rFonts w:eastAsia="Times New Roman"/>
          <w:noProof/>
        </w:rPr>
        <w:t>would be</w:t>
      </w:r>
      <w:r w:rsidRPr="0D141AB3">
        <w:rPr>
          <w:rFonts w:eastAsia="Times New Roman"/>
          <w:noProof/>
        </w:rPr>
        <w:t xml:space="preserve"> difficult to assess.</w:t>
      </w:r>
    </w:p>
    <w:p w:rsidR="00BD4149" w:rsidRPr="00AC01BF" w:rsidRDefault="009162B2" w:rsidP="00BD4149">
      <w:pPr>
        <w:spacing w:before="0" w:after="160" w:line="259" w:lineRule="auto"/>
        <w:rPr>
          <w:rFonts w:eastAsia="Times New Roman"/>
          <w:noProof/>
        </w:rPr>
      </w:pPr>
      <w:r>
        <w:rPr>
          <w:rFonts w:eastAsia="Times New Roman"/>
          <w:noProof/>
        </w:rPr>
        <w:t>W</w:t>
      </w:r>
      <w:r w:rsidR="00BD4149">
        <w:rPr>
          <w:rFonts w:eastAsia="Times New Roman"/>
          <w:noProof/>
        </w:rPr>
        <w:t>hen this Expl</w:t>
      </w:r>
      <w:r>
        <w:rPr>
          <w:rFonts w:eastAsia="Times New Roman"/>
          <w:noProof/>
        </w:rPr>
        <w:t>a</w:t>
      </w:r>
      <w:r w:rsidR="00BD4149">
        <w:rPr>
          <w:rFonts w:eastAsia="Times New Roman"/>
          <w:noProof/>
        </w:rPr>
        <w:t>natory Memorandum refers to the mutual recognition of driving disqualifications in the context of the preparatory work</w:t>
      </w:r>
      <w:r>
        <w:rPr>
          <w:rFonts w:eastAsia="Times New Roman"/>
          <w:noProof/>
        </w:rPr>
        <w:t>,</w:t>
      </w:r>
      <w:r w:rsidR="00BD4149">
        <w:rPr>
          <w:rFonts w:eastAsia="Times New Roman"/>
          <w:noProof/>
        </w:rPr>
        <w:t xml:space="preserve"> it should be read as the policy objective to provide for a Union-wide effect of driving disqualifications, as </w:t>
      </w:r>
      <w:r>
        <w:rPr>
          <w:rFonts w:eastAsia="Times New Roman"/>
          <w:noProof/>
        </w:rPr>
        <w:t>that</w:t>
      </w:r>
      <w:r w:rsidR="00BD4149">
        <w:rPr>
          <w:rFonts w:eastAsia="Times New Roman"/>
          <w:noProof/>
        </w:rPr>
        <w:t xml:space="preserve"> was always the original purpose of the initiative.</w:t>
      </w:r>
    </w:p>
    <w:p w:rsidR="00BD4149" w:rsidRDefault="00BD4149" w:rsidP="00BD4149">
      <w:pPr>
        <w:rPr>
          <w:noProof/>
        </w:rPr>
      </w:pPr>
      <w:r>
        <w:rPr>
          <w:noProof/>
        </w:rPr>
        <w:t>More</w:t>
      </w:r>
      <w:r w:rsidR="009162B2">
        <w:rPr>
          <w:noProof/>
        </w:rPr>
        <w:t>o</w:t>
      </w:r>
      <w:r>
        <w:rPr>
          <w:noProof/>
        </w:rPr>
        <w:t xml:space="preserve">ver, providing for a Union-wide effect of </w:t>
      </w:r>
      <w:r w:rsidRPr="0D141AB3">
        <w:rPr>
          <w:noProof/>
        </w:rPr>
        <w:t>driving disqualification</w:t>
      </w:r>
      <w:r>
        <w:rPr>
          <w:noProof/>
        </w:rPr>
        <w:t xml:space="preserve"> through the means of mutual recognition of decisions,</w:t>
      </w:r>
      <w:r w:rsidRPr="0D141AB3" w:rsidDel="000A3D2F">
        <w:rPr>
          <w:noProof/>
        </w:rPr>
        <w:t xml:space="preserve"> </w:t>
      </w:r>
      <w:r w:rsidRPr="0D141AB3">
        <w:rPr>
          <w:noProof/>
        </w:rPr>
        <w:t>has also</w:t>
      </w:r>
      <w:r>
        <w:rPr>
          <w:noProof/>
        </w:rPr>
        <w:t xml:space="preserve"> been</w:t>
      </w:r>
      <w:r w:rsidRPr="0D141AB3">
        <w:rPr>
          <w:noProof/>
        </w:rPr>
        <w:t xml:space="preserve"> examined in the context of the preparatory work for Directive 2015/413</w:t>
      </w:r>
      <w:r w:rsidRPr="0D141AB3">
        <w:rPr>
          <w:rStyle w:val="FootnoteReference"/>
          <w:rFonts w:eastAsia="Times New Roman"/>
          <w:noProof/>
        </w:rPr>
        <w:footnoteReference w:id="20"/>
      </w:r>
      <w:r w:rsidRPr="0D141AB3">
        <w:rPr>
          <w:noProof/>
        </w:rPr>
        <w:t xml:space="preserve">. </w:t>
      </w:r>
    </w:p>
    <w:p w:rsidR="00BD4149" w:rsidRPr="00AC01BF" w:rsidRDefault="009162B2" w:rsidP="00BD4149">
      <w:pPr>
        <w:rPr>
          <w:noProof/>
        </w:rPr>
      </w:pPr>
      <w:r>
        <w:rPr>
          <w:noProof/>
        </w:rPr>
        <w:t>In</w:t>
      </w:r>
      <w:r w:rsidR="00BD4149">
        <w:rPr>
          <w:noProof/>
        </w:rPr>
        <w:t xml:space="preserve"> the preparatory work of the revision of Directive 2006/126/EC the</w:t>
      </w:r>
      <w:r w:rsidR="00BD4149" w:rsidRPr="0D141AB3">
        <w:rPr>
          <w:noProof/>
        </w:rPr>
        <w:t xml:space="preserve"> large majority of respondents to the Open Public Consultation (OPC) (68%, 5</w:t>
      </w:r>
      <w:r>
        <w:rPr>
          <w:noProof/>
        </w:rPr>
        <w:t>,</w:t>
      </w:r>
      <w:r w:rsidR="00BD4149" w:rsidRPr="0D141AB3">
        <w:rPr>
          <w:noProof/>
        </w:rPr>
        <w:t>146 out of 7</w:t>
      </w:r>
      <w:r>
        <w:rPr>
          <w:noProof/>
        </w:rPr>
        <w:t>,</w:t>
      </w:r>
      <w:r w:rsidR="00BD4149" w:rsidRPr="0D141AB3">
        <w:rPr>
          <w:noProof/>
        </w:rPr>
        <w:t>532) stated that it is either very important or important that the scope of th</w:t>
      </w:r>
      <w:r w:rsidR="00BD4149">
        <w:rPr>
          <w:noProof/>
        </w:rPr>
        <w:t>at</w:t>
      </w:r>
      <w:r w:rsidR="00BD4149" w:rsidRPr="0D141AB3">
        <w:rPr>
          <w:noProof/>
        </w:rPr>
        <w:t xml:space="preserve"> Directive is expanded to include rules on the mutual recognition of driving disqualification. Most stakeholders</w:t>
      </w:r>
      <w:r w:rsidR="00BD4149" w:rsidRPr="0D141AB3">
        <w:rPr>
          <w:rStyle w:val="FootnoteReference"/>
          <w:rFonts w:eastAsia="Times New Roman"/>
          <w:noProof/>
        </w:rPr>
        <w:footnoteReference w:id="21"/>
      </w:r>
      <w:r w:rsidR="00BD4149" w:rsidRPr="0D141AB3">
        <w:rPr>
          <w:noProof/>
        </w:rPr>
        <w:t xml:space="preserve"> supported </w:t>
      </w:r>
      <w:r w:rsidR="00BD4149" w:rsidRPr="76DD42A3">
        <w:rPr>
          <w:noProof/>
          <w:szCs w:val="24"/>
        </w:rPr>
        <w:t>during the workshop and the targeted interviews t</w:t>
      </w:r>
      <w:r w:rsidR="00BD4149" w:rsidRPr="00521BCB">
        <w:rPr>
          <w:noProof/>
          <w:szCs w:val="24"/>
        </w:rPr>
        <w:t xml:space="preserve">o develop the concept </w:t>
      </w:r>
      <w:r w:rsidR="000C23CF" w:rsidRPr="00521BCB">
        <w:rPr>
          <w:noProof/>
          <w:szCs w:val="24"/>
        </w:rPr>
        <w:t xml:space="preserve">of </w:t>
      </w:r>
      <w:r w:rsidR="00BD4149" w:rsidRPr="00635D0C">
        <w:rPr>
          <w:noProof/>
        </w:rPr>
        <w:t xml:space="preserve">the mutual recognition of driving disqualifications. However, the Netherlands </w:t>
      </w:r>
      <w:r w:rsidR="000C23CF" w:rsidRPr="000D47BA">
        <w:rPr>
          <w:noProof/>
        </w:rPr>
        <w:t>mentioned</w:t>
      </w:r>
      <w:r w:rsidR="00BD4149" w:rsidRPr="003424B0">
        <w:rPr>
          <w:noProof/>
        </w:rPr>
        <w:t xml:space="preserve"> some legal concerns</w:t>
      </w:r>
      <w:r w:rsidR="00BD4149" w:rsidRPr="00521BCB">
        <w:rPr>
          <w:rStyle w:val="FootnoteReference"/>
          <w:rFonts w:eastAsia="Times New Roman"/>
          <w:noProof/>
        </w:rPr>
        <w:footnoteReference w:id="22"/>
      </w:r>
      <w:r w:rsidR="00BD4149" w:rsidRPr="00521BCB">
        <w:rPr>
          <w:noProof/>
        </w:rPr>
        <w:t xml:space="preserve">, while Germany </w:t>
      </w:r>
      <w:r w:rsidR="00521BCB" w:rsidRPr="003056ED">
        <w:rPr>
          <w:noProof/>
        </w:rPr>
        <w:t>had some concerns at least in the initial phase</w:t>
      </w:r>
      <w:r w:rsidR="00BD4149" w:rsidRPr="000D47BA">
        <w:rPr>
          <w:noProof/>
        </w:rPr>
        <w:t>.</w:t>
      </w:r>
      <w:r w:rsidR="00BD4149" w:rsidRPr="0D141AB3">
        <w:rPr>
          <w:noProof/>
        </w:rPr>
        <w:t xml:space="preserve"> </w:t>
      </w:r>
    </w:p>
    <w:p w:rsidR="00BD4149" w:rsidRPr="00AC01BF" w:rsidRDefault="00BD4149" w:rsidP="00BD4149">
      <w:pPr>
        <w:spacing w:before="0" w:after="160" w:line="259" w:lineRule="auto"/>
        <w:rPr>
          <w:rFonts w:eastAsia="Times New Roman"/>
          <w:noProof/>
        </w:rPr>
      </w:pPr>
      <w:r w:rsidRPr="0D141AB3">
        <w:rPr>
          <w:rFonts w:eastAsia="Times New Roman"/>
          <w:noProof/>
        </w:rPr>
        <w:t>Overall, many stakeholders were supportive of the</w:t>
      </w:r>
      <w:r w:rsidRPr="009F17A8">
        <w:rPr>
          <w:noProof/>
        </w:rPr>
        <w:t xml:space="preserve"> </w:t>
      </w:r>
      <w:r w:rsidRPr="009F17A8">
        <w:rPr>
          <w:rFonts w:eastAsia="Times New Roman"/>
          <w:noProof/>
        </w:rPr>
        <w:t>Union-wide driving disqualification provided through the means of mutual recognition of decisions</w:t>
      </w:r>
      <w:r w:rsidRPr="0D141AB3">
        <w:rPr>
          <w:rFonts w:eastAsia="Times New Roman"/>
          <w:noProof/>
        </w:rPr>
        <w:t>, especially when it comes to offenses related to speeding and drink</w:t>
      </w:r>
      <w:r w:rsidR="003424B0">
        <w:rPr>
          <w:rFonts w:eastAsia="Times New Roman"/>
          <w:noProof/>
        </w:rPr>
        <w:t>-</w:t>
      </w:r>
      <w:r w:rsidRPr="0D141AB3">
        <w:rPr>
          <w:rFonts w:eastAsia="Times New Roman"/>
          <w:noProof/>
        </w:rPr>
        <w:t xml:space="preserve"> driving. </w:t>
      </w:r>
      <w:r w:rsidRPr="00D618E4">
        <w:rPr>
          <w:rFonts w:eastAsia="Times New Roman"/>
          <w:noProof/>
        </w:rPr>
        <w:t>This</w:t>
      </w:r>
      <w:r w:rsidRPr="0D141AB3">
        <w:rPr>
          <w:rFonts w:eastAsia="Times New Roman"/>
          <w:noProof/>
        </w:rPr>
        <w:t xml:space="preserve"> was confirmed in the OPC, where about 6</w:t>
      </w:r>
      <w:r w:rsidR="009162B2">
        <w:rPr>
          <w:rFonts w:eastAsia="Times New Roman"/>
          <w:noProof/>
        </w:rPr>
        <w:t>,</w:t>
      </w:r>
      <w:r w:rsidRPr="0D141AB3">
        <w:rPr>
          <w:rFonts w:eastAsia="Times New Roman"/>
          <w:noProof/>
        </w:rPr>
        <w:t>106 (81%) and 4</w:t>
      </w:r>
      <w:r w:rsidR="009162B2">
        <w:rPr>
          <w:rFonts w:eastAsia="Times New Roman"/>
          <w:noProof/>
        </w:rPr>
        <w:t>,</w:t>
      </w:r>
      <w:r w:rsidRPr="0D141AB3">
        <w:rPr>
          <w:rFonts w:eastAsia="Times New Roman"/>
          <w:noProof/>
        </w:rPr>
        <w:t>966 (66%) out of 7</w:t>
      </w:r>
      <w:r w:rsidR="009162B2">
        <w:rPr>
          <w:rFonts w:eastAsia="Times New Roman"/>
          <w:noProof/>
        </w:rPr>
        <w:t>,</w:t>
      </w:r>
      <w:r w:rsidRPr="0D141AB3">
        <w:rPr>
          <w:rFonts w:eastAsia="Times New Roman"/>
          <w:noProof/>
        </w:rPr>
        <w:t xml:space="preserve">532 respondents, considered </w:t>
      </w:r>
      <w:r>
        <w:rPr>
          <w:rFonts w:eastAsia="Times New Roman"/>
          <w:noProof/>
        </w:rPr>
        <w:t xml:space="preserve">a </w:t>
      </w:r>
      <w:r w:rsidRPr="009F17A8">
        <w:rPr>
          <w:rFonts w:eastAsia="Times New Roman"/>
          <w:noProof/>
        </w:rPr>
        <w:t>Union-wide driving disqualification provided through the means of mutual recognition of decisions</w:t>
      </w:r>
      <w:r>
        <w:rPr>
          <w:rFonts w:eastAsia="Times New Roman"/>
          <w:noProof/>
        </w:rPr>
        <w:t xml:space="preserve"> </w:t>
      </w:r>
      <w:r w:rsidRPr="0D141AB3">
        <w:rPr>
          <w:rFonts w:eastAsia="Times New Roman"/>
          <w:noProof/>
        </w:rPr>
        <w:t xml:space="preserve">resulting from driving under the influence of alcohol or of drugs and from speeding as </w:t>
      </w:r>
      <w:r w:rsidRPr="76DD42A3">
        <w:rPr>
          <w:rFonts w:eastAsia="Times New Roman"/>
          <w:noProof/>
        </w:rPr>
        <w:t xml:space="preserve">either very important or important </w:t>
      </w:r>
      <w:r w:rsidRPr="0D141AB3">
        <w:rPr>
          <w:rFonts w:eastAsia="Times New Roman"/>
          <w:noProof/>
        </w:rPr>
        <w:t>for the revision of Directive 2006/126/EC respectively. In particular, when asked which offences should be</w:t>
      </w:r>
      <w:r>
        <w:rPr>
          <w:rFonts w:eastAsia="Times New Roman"/>
          <w:noProof/>
        </w:rPr>
        <w:t xml:space="preserve"> provided such an effect</w:t>
      </w:r>
      <w:r w:rsidRPr="0D141AB3">
        <w:rPr>
          <w:rFonts w:eastAsia="Times New Roman"/>
          <w:noProof/>
        </w:rPr>
        <w:t xml:space="preserve"> in the EU, 87% of respondents to the OPC (6</w:t>
      </w:r>
      <w:r w:rsidR="003E1C28">
        <w:rPr>
          <w:rFonts w:eastAsia="Times New Roman"/>
          <w:noProof/>
        </w:rPr>
        <w:t>,</w:t>
      </w:r>
      <w:r w:rsidRPr="0D141AB3">
        <w:rPr>
          <w:rFonts w:eastAsia="Times New Roman"/>
          <w:noProof/>
        </w:rPr>
        <w:t>586 out of 7</w:t>
      </w:r>
      <w:r w:rsidR="003E1C28">
        <w:rPr>
          <w:rFonts w:eastAsia="Times New Roman"/>
          <w:noProof/>
        </w:rPr>
        <w:t>,</w:t>
      </w:r>
      <w:r w:rsidRPr="0D141AB3">
        <w:rPr>
          <w:rFonts w:eastAsia="Times New Roman"/>
          <w:noProof/>
        </w:rPr>
        <w:t>532) chose driving under the influence of alcohol and drugs and 46% (3</w:t>
      </w:r>
      <w:r w:rsidR="003E1C28">
        <w:rPr>
          <w:rFonts w:eastAsia="Times New Roman"/>
          <w:noProof/>
        </w:rPr>
        <w:t>,</w:t>
      </w:r>
      <w:r w:rsidRPr="0D141AB3">
        <w:rPr>
          <w:rFonts w:eastAsia="Times New Roman"/>
          <w:noProof/>
        </w:rPr>
        <w:t>470 out of 7</w:t>
      </w:r>
      <w:r w:rsidR="003E1C28">
        <w:rPr>
          <w:rFonts w:eastAsia="Times New Roman"/>
          <w:noProof/>
        </w:rPr>
        <w:t>,</w:t>
      </w:r>
      <w:r w:rsidRPr="0D141AB3">
        <w:rPr>
          <w:rFonts w:eastAsia="Times New Roman"/>
          <w:noProof/>
        </w:rPr>
        <w:t>532) selected speeding. In the targeted interviews,</w:t>
      </w:r>
      <w:r w:rsidRPr="76DD42A3">
        <w:rPr>
          <w:rFonts w:eastAsia="Times New Roman"/>
          <w:noProof/>
          <w:szCs w:val="24"/>
        </w:rPr>
        <w:t xml:space="preserve"> some stakeholders</w:t>
      </w:r>
      <w:r w:rsidRPr="76DD42A3">
        <w:rPr>
          <w:rStyle w:val="FootnoteReference"/>
          <w:rFonts w:eastAsia="Times New Roman"/>
          <w:noProof/>
        </w:rPr>
        <w:footnoteReference w:id="23"/>
      </w:r>
      <w:r w:rsidRPr="0D141AB3">
        <w:rPr>
          <w:rFonts w:eastAsia="Times New Roman"/>
          <w:noProof/>
        </w:rPr>
        <w:t xml:space="preserve"> </w:t>
      </w:r>
      <w:r w:rsidRPr="76DD42A3">
        <w:rPr>
          <w:rFonts w:eastAsiaTheme="minorEastAsia"/>
          <w:noProof/>
        </w:rPr>
        <w:t>expr</w:t>
      </w:r>
      <w:r w:rsidRPr="0D141AB3">
        <w:rPr>
          <w:rFonts w:eastAsia="Times New Roman"/>
          <w:noProof/>
        </w:rPr>
        <w:t>essed support for</w:t>
      </w:r>
      <w:r>
        <w:rPr>
          <w:rFonts w:eastAsia="Times New Roman"/>
          <w:noProof/>
        </w:rPr>
        <w:t xml:space="preserve"> providing a</w:t>
      </w:r>
      <w:r w:rsidRPr="0D141AB3">
        <w:rPr>
          <w:rFonts w:eastAsia="Times New Roman"/>
          <w:noProof/>
        </w:rPr>
        <w:t xml:space="preserve"> </w:t>
      </w:r>
      <w:r w:rsidRPr="009F17A8">
        <w:rPr>
          <w:rFonts w:eastAsia="Times New Roman"/>
          <w:noProof/>
        </w:rPr>
        <w:t>Union</w:t>
      </w:r>
      <w:r>
        <w:rPr>
          <w:rFonts w:eastAsia="Times New Roman"/>
          <w:noProof/>
        </w:rPr>
        <w:t>-wide driving disqualification</w:t>
      </w:r>
      <w:r w:rsidRPr="009F17A8">
        <w:rPr>
          <w:rFonts w:eastAsia="Times New Roman"/>
          <w:noProof/>
        </w:rPr>
        <w:t xml:space="preserve"> through the means of mutual recognition of decisions</w:t>
      </w:r>
      <w:r w:rsidRPr="0D141AB3" w:rsidDel="00D618E4">
        <w:rPr>
          <w:rFonts w:eastAsia="Times New Roman"/>
          <w:noProof/>
        </w:rPr>
        <w:t xml:space="preserve"> </w:t>
      </w:r>
      <w:r w:rsidRPr="0D141AB3">
        <w:rPr>
          <w:rFonts w:eastAsia="Times New Roman"/>
          <w:noProof/>
        </w:rPr>
        <w:t>resulting from speeding, drink</w:t>
      </w:r>
      <w:r w:rsidR="003424B0">
        <w:rPr>
          <w:rFonts w:eastAsia="Times New Roman"/>
          <w:noProof/>
        </w:rPr>
        <w:t>-</w:t>
      </w:r>
      <w:r w:rsidRPr="0D141AB3">
        <w:rPr>
          <w:rFonts w:eastAsia="Times New Roman"/>
          <w:noProof/>
        </w:rPr>
        <w:t xml:space="preserve"> driving. Sweden, Slovenia and Belgium were also supportive, despite acknowledging the difficulties in finding an agreement with other Member States and with the actual implementation.  </w:t>
      </w:r>
    </w:p>
    <w:p w:rsidR="00BD4149" w:rsidRPr="00AC01BF" w:rsidRDefault="00BD4149" w:rsidP="00BD4149">
      <w:pPr>
        <w:spacing w:before="0" w:after="160" w:line="259" w:lineRule="auto"/>
        <w:rPr>
          <w:rFonts w:eastAsia="Times New Roman"/>
          <w:noProof/>
        </w:rPr>
      </w:pPr>
      <w:r w:rsidRPr="0D141AB3">
        <w:rPr>
          <w:rFonts w:eastAsia="Times New Roman"/>
          <w:noProof/>
        </w:rPr>
        <w:t>The absence of a clear EU framework for</w:t>
      </w:r>
      <w:r>
        <w:rPr>
          <w:rFonts w:eastAsia="Times New Roman"/>
          <w:noProof/>
        </w:rPr>
        <w:t xml:space="preserve"> a</w:t>
      </w:r>
      <w:r w:rsidRPr="0D141AB3">
        <w:rPr>
          <w:rFonts w:eastAsia="Times New Roman"/>
          <w:noProof/>
        </w:rPr>
        <w:t xml:space="preserve"> </w:t>
      </w:r>
      <w:r w:rsidRPr="009F17A8">
        <w:rPr>
          <w:rFonts w:eastAsia="Times New Roman"/>
          <w:noProof/>
        </w:rPr>
        <w:t>Union-wide driving disqualification provided through the means of mutual recognition of decisions</w:t>
      </w:r>
      <w:r w:rsidRPr="0D141AB3" w:rsidDel="00041BFC">
        <w:rPr>
          <w:rFonts w:eastAsia="Times New Roman"/>
          <w:noProof/>
        </w:rPr>
        <w:t xml:space="preserve"> </w:t>
      </w:r>
      <w:r w:rsidRPr="0D141AB3">
        <w:rPr>
          <w:rFonts w:eastAsia="Times New Roman"/>
          <w:noProof/>
        </w:rPr>
        <w:t>poses challenges when it comes to preventing abuse by drivers and impacts road safety. This finding was also corroborated by Member States during the targeted interviews. Reducing both dangerous behaviours by drivers and the number of unlicensed drivers seem to be relevant factors for stakeholders that responded to the OPC. In effect, about 55% (5</w:t>
      </w:r>
      <w:r w:rsidR="003E1C28">
        <w:rPr>
          <w:rFonts w:eastAsia="Times New Roman"/>
          <w:noProof/>
        </w:rPr>
        <w:t>,</w:t>
      </w:r>
      <w:r w:rsidRPr="0D141AB3">
        <w:rPr>
          <w:rFonts w:eastAsia="Times New Roman"/>
          <w:noProof/>
        </w:rPr>
        <w:t>063 out of 7</w:t>
      </w:r>
      <w:r w:rsidR="003E1C28">
        <w:rPr>
          <w:rFonts w:eastAsia="Times New Roman"/>
          <w:noProof/>
        </w:rPr>
        <w:t>,</w:t>
      </w:r>
      <w:r w:rsidRPr="0D141AB3">
        <w:rPr>
          <w:rFonts w:eastAsia="Times New Roman"/>
          <w:noProof/>
        </w:rPr>
        <w:t>532) and 69% (5</w:t>
      </w:r>
      <w:r w:rsidR="003E1C28">
        <w:rPr>
          <w:rFonts w:eastAsia="Times New Roman"/>
          <w:noProof/>
        </w:rPr>
        <w:t>,</w:t>
      </w:r>
      <w:r w:rsidRPr="0D141AB3">
        <w:rPr>
          <w:rFonts w:eastAsia="Times New Roman"/>
          <w:noProof/>
        </w:rPr>
        <w:t>201 out of 7</w:t>
      </w:r>
      <w:r w:rsidR="003E1C28">
        <w:rPr>
          <w:rFonts w:eastAsia="Times New Roman"/>
          <w:noProof/>
        </w:rPr>
        <w:t>,</w:t>
      </w:r>
      <w:r w:rsidRPr="0D141AB3">
        <w:rPr>
          <w:rFonts w:eastAsia="Times New Roman"/>
          <w:noProof/>
        </w:rPr>
        <w:t>532) of them, respectively, rated them as either extremely or</w:t>
      </w:r>
      <w:r w:rsidR="003E1C28">
        <w:rPr>
          <w:rFonts w:eastAsia="Times New Roman"/>
          <w:noProof/>
        </w:rPr>
        <w:t xml:space="preserve"> </w:t>
      </w:r>
      <w:r w:rsidRPr="0D141AB3">
        <w:rPr>
          <w:rFonts w:eastAsia="Times New Roman"/>
          <w:noProof/>
        </w:rPr>
        <w:t xml:space="preserve">very important.  </w:t>
      </w:r>
    </w:p>
    <w:p w:rsidR="00BD4149" w:rsidRPr="00AC01BF" w:rsidRDefault="00BD4149" w:rsidP="00BD4149">
      <w:pPr>
        <w:spacing w:before="0" w:after="160" w:line="257" w:lineRule="auto"/>
        <w:rPr>
          <w:rFonts w:eastAsia="Times New Roman"/>
          <w:noProof/>
        </w:rPr>
      </w:pPr>
      <w:r w:rsidRPr="0D141AB3">
        <w:rPr>
          <w:rFonts w:eastAsia="Times New Roman"/>
          <w:noProof/>
        </w:rPr>
        <w:t xml:space="preserve">In the targeted survey, a large majority of representatives from national authorities identified the fact that residents and non-residents of the Member State where the offence was committed do not face the same consequences regarding driving disqualification in the EU as a generally important problem (16/21). In the targeted survey, respondents from non-governmental organisations agreed that residents and non-residents not facing the same consequences regarding driving disqualification is an important problem in relation to road safety (64%). Similarly, they agreed that residents and non-residents not facing the same consequences regarding penalty/demerit points is an important problem in relation to road safety (64%).  </w:t>
      </w:r>
    </w:p>
    <w:p w:rsidR="00BD4149" w:rsidRPr="00AC01BF" w:rsidRDefault="00BD4149" w:rsidP="00BD4149">
      <w:pPr>
        <w:spacing w:before="0" w:after="160" w:line="259" w:lineRule="auto"/>
        <w:rPr>
          <w:rFonts w:ascii="Segoe UI" w:eastAsia="Segoe UI" w:hAnsi="Segoe UI" w:cs="Segoe UI"/>
          <w:noProof/>
          <w:sz w:val="18"/>
          <w:szCs w:val="18"/>
        </w:rPr>
      </w:pPr>
      <w:r w:rsidRPr="0D141AB3">
        <w:rPr>
          <w:rFonts w:eastAsia="Times New Roman"/>
          <w:noProof/>
        </w:rPr>
        <w:t xml:space="preserve">National authorities estimated that, on average, the number of offences resulting in driving disqualifications committed per year is in the range of 25,000 to above 50,000. The number of driving disqualifications for resident drivers (e.g. driving licence is issued in the same Member State that imposes the disqualification) was estimated in the range of 0 to 5,000. The number of driving disqualifications for non-resident drivers (e.g. driving licence is not issued in the Member State that imposes the disqualification) was estimated in the range of 0 to 5,000. More respondents estimated the number of offences resulting in penalty/demerit points committed per year in the range of 0 to 1,000. Slightly more respondents estimated the number of offences resulting in penalty/demerit points for resident drivers (e.g. driving licence is issued in the same Member State that imposes the penalty/demerit point) in the range of 0 to 1,000. The number of offences resulting in penalty/demerit points for drivers resident in another EU Member State (e.g. driving licence is not issued in the Member State that imposes the disqualification) was estimated in the range of 0 to 5,000. </w:t>
      </w:r>
    </w:p>
    <w:p w:rsidR="00BD4149" w:rsidRPr="00AC01BF" w:rsidRDefault="00BD4149" w:rsidP="00BD4149">
      <w:pPr>
        <w:spacing w:before="0" w:after="160" w:line="259" w:lineRule="auto"/>
        <w:rPr>
          <w:rFonts w:eastAsia="Times New Roman"/>
          <w:noProof/>
          <w:lang w:val="en-US"/>
        </w:rPr>
      </w:pPr>
      <w:r w:rsidRPr="00530F86">
        <w:rPr>
          <w:rFonts w:eastAsia="Times New Roman"/>
          <w:noProof/>
          <w:color w:val="000000" w:themeColor="text1"/>
        </w:rPr>
        <w:t>In light of the preparatory</w:t>
      </w:r>
      <w:r w:rsidRPr="0D141AB3">
        <w:rPr>
          <w:rFonts w:eastAsia="Times New Roman"/>
          <w:noProof/>
          <w:color w:val="000000" w:themeColor="text1"/>
        </w:rPr>
        <w:t xml:space="preserve"> work, it is confirmed that e</w:t>
      </w:r>
      <w:r w:rsidRPr="0D141AB3">
        <w:rPr>
          <w:rFonts w:eastAsia="Times New Roman"/>
          <w:noProof/>
        </w:rPr>
        <w:t>stablishing a specific and efficient system for</w:t>
      </w:r>
      <w:r w:rsidR="003E1C28">
        <w:rPr>
          <w:rFonts w:eastAsia="Times New Roman"/>
          <w:noProof/>
        </w:rPr>
        <w:t xml:space="preserve"> the</w:t>
      </w:r>
      <w:r>
        <w:rPr>
          <w:rFonts w:eastAsia="Times New Roman"/>
          <w:noProof/>
        </w:rPr>
        <w:t xml:space="preserve"> provi</w:t>
      </w:r>
      <w:r w:rsidR="003E1C28">
        <w:rPr>
          <w:rFonts w:eastAsia="Times New Roman"/>
          <w:noProof/>
        </w:rPr>
        <w:t>sion of</w:t>
      </w:r>
      <w:r>
        <w:rPr>
          <w:rFonts w:eastAsia="Times New Roman"/>
          <w:noProof/>
        </w:rPr>
        <w:t xml:space="preserve"> Union-wide effects of</w:t>
      </w:r>
      <w:r w:rsidRPr="0D141AB3">
        <w:rPr>
          <w:rFonts w:eastAsia="Times New Roman"/>
          <w:noProof/>
        </w:rPr>
        <w:t xml:space="preserve"> driving disqualifications </w:t>
      </w:r>
      <w:r>
        <w:rPr>
          <w:rFonts w:eastAsia="Times New Roman"/>
          <w:noProof/>
        </w:rPr>
        <w:t>is</w:t>
      </w:r>
      <w:r w:rsidRPr="76DD42A3">
        <w:rPr>
          <w:rFonts w:eastAsia="Times New Roman"/>
          <w:noProof/>
        </w:rPr>
        <w:t xml:space="preserve"> likely to </w:t>
      </w:r>
      <w:r w:rsidRPr="0D141AB3">
        <w:rPr>
          <w:rFonts w:eastAsia="Times New Roman"/>
          <w:noProof/>
        </w:rPr>
        <w:t xml:space="preserve">have a significant effect on road safety. Furthermore, this proposal forms part of </w:t>
      </w:r>
      <w:r w:rsidRPr="0D141AB3">
        <w:rPr>
          <w:rFonts w:eastAsia="Times New Roman"/>
          <w:noProof/>
          <w:lang w:val="en-US"/>
        </w:rPr>
        <w:t xml:space="preserve">a package that concerns the revision of two other related directives: </w:t>
      </w:r>
    </w:p>
    <w:p w:rsidR="00BD4149" w:rsidRPr="00C13ABF" w:rsidRDefault="00BD4149" w:rsidP="00F859AD">
      <w:pPr>
        <w:pStyle w:val="Bullet1"/>
        <w:numPr>
          <w:ilvl w:val="0"/>
          <w:numId w:val="9"/>
        </w:numPr>
        <w:rPr>
          <w:rFonts w:eastAsia="Times New Roman"/>
          <w:noProof/>
        </w:rPr>
      </w:pPr>
      <w:r w:rsidRPr="0D141AB3">
        <w:rPr>
          <w:rFonts w:eastAsia="Times New Roman"/>
          <w:noProof/>
          <w:lang w:val="en-US"/>
        </w:rPr>
        <w:t xml:space="preserve">Directive </w:t>
      </w:r>
      <w:r w:rsidR="003E1C28">
        <w:rPr>
          <w:rFonts w:eastAsia="Times New Roman"/>
          <w:noProof/>
          <w:lang w:val="en-US"/>
        </w:rPr>
        <w:t>(EU)</w:t>
      </w:r>
      <w:r w:rsidRPr="0D141AB3">
        <w:rPr>
          <w:rFonts w:eastAsia="Times New Roman"/>
          <w:noProof/>
          <w:lang w:val="en-US"/>
        </w:rPr>
        <w:t xml:space="preserve"> 2015/413 </w:t>
      </w:r>
      <w:r w:rsidRPr="0D141AB3">
        <w:rPr>
          <w:rFonts w:eastAsia="Times New Roman"/>
          <w:noProof/>
        </w:rPr>
        <w:t>facilitating cross-border exchange of information on road-safety-related traffic offences</w:t>
      </w:r>
      <w:r w:rsidRPr="0D141AB3">
        <w:rPr>
          <w:rStyle w:val="FootnoteReference"/>
          <w:rFonts w:eastAsia="Times New Roman"/>
          <w:noProof/>
        </w:rPr>
        <w:footnoteReference w:id="24"/>
      </w:r>
      <w:r w:rsidRPr="0D141AB3">
        <w:rPr>
          <w:rFonts w:eastAsia="Times New Roman"/>
          <w:noProof/>
        </w:rPr>
        <w:t xml:space="preserve">  and </w:t>
      </w:r>
    </w:p>
    <w:p w:rsidR="00BD4149" w:rsidRPr="00C13ABF" w:rsidRDefault="00BD4149" w:rsidP="00BD4149">
      <w:pPr>
        <w:pStyle w:val="Bullet1"/>
        <w:rPr>
          <w:rFonts w:eastAsia="Times New Roman"/>
          <w:noProof/>
          <w:lang w:val="en-US"/>
        </w:rPr>
      </w:pPr>
      <w:r w:rsidRPr="0D141AB3">
        <w:rPr>
          <w:rFonts w:eastAsia="Times New Roman"/>
          <w:noProof/>
        </w:rPr>
        <w:t xml:space="preserve">Directive 2006/126/EC </w:t>
      </w:r>
      <w:r w:rsidRPr="0D141AB3">
        <w:rPr>
          <w:rFonts w:eastAsia="Times New Roman"/>
          <w:noProof/>
          <w:lang w:val="en-US"/>
        </w:rPr>
        <w:t>on driving licences</w:t>
      </w:r>
      <w:r w:rsidRPr="0D141AB3">
        <w:rPr>
          <w:rStyle w:val="FootnoteReference"/>
          <w:rFonts w:eastAsia="Times New Roman"/>
          <w:noProof/>
          <w:lang w:val="en-US"/>
        </w:rPr>
        <w:footnoteReference w:id="25"/>
      </w:r>
      <w:r w:rsidRPr="0D141AB3">
        <w:rPr>
          <w:rFonts w:eastAsia="Times New Roman"/>
          <w:noProof/>
          <w:lang w:val="en-US"/>
        </w:rPr>
        <w:t>.</w:t>
      </w:r>
    </w:p>
    <w:p w:rsidR="00BD4149" w:rsidRPr="00BF1125" w:rsidRDefault="00BD4149" w:rsidP="00BD4149">
      <w:pPr>
        <w:rPr>
          <w:rFonts w:eastAsia="Arial Unicode MS"/>
          <w:noProof/>
        </w:rPr>
      </w:pPr>
      <w:r w:rsidRPr="0D141AB3">
        <w:rPr>
          <w:noProof/>
        </w:rPr>
        <w:t xml:space="preserve">Directive </w:t>
      </w:r>
      <w:r w:rsidR="003E1C28">
        <w:rPr>
          <w:noProof/>
        </w:rPr>
        <w:t>(EU)</w:t>
      </w:r>
      <w:r w:rsidRPr="0D141AB3">
        <w:rPr>
          <w:noProof/>
        </w:rPr>
        <w:t xml:space="preserve"> 2015/413 is one of the cornerstones of the enforcement of certain well-defined road traffic offences, where such offences were committed with a vehicle registered in another Member State than where the offence was committed, which in most cases also indicates commission by a non-resident </w:t>
      </w:r>
      <w:r w:rsidRPr="003720F8">
        <w:rPr>
          <w:noProof/>
        </w:rPr>
        <w:t>offender. It was therefore important to align the scope of this proposal to the offences of that initiative</w:t>
      </w:r>
      <w:r w:rsidRPr="008C2C22">
        <w:rPr>
          <w:noProof/>
        </w:rPr>
        <w:t xml:space="preserve"> </w:t>
      </w:r>
      <w:r w:rsidR="003E1C28">
        <w:rPr>
          <w:noProof/>
        </w:rPr>
        <w:t>as much as</w:t>
      </w:r>
      <w:r w:rsidRPr="008C2C22">
        <w:rPr>
          <w:noProof/>
        </w:rPr>
        <w:t xml:space="preserve"> possible</w:t>
      </w:r>
      <w:r w:rsidRPr="003720F8">
        <w:rPr>
          <w:noProof/>
        </w:rPr>
        <w:t>. Otherwise, enforcement authorities might not have sufficient tools to actually conduct the investigation that would end in a driving</w:t>
      </w:r>
      <w:r w:rsidR="00DD4D9F">
        <w:rPr>
          <w:noProof/>
        </w:rPr>
        <w:t xml:space="preserve"> </w:t>
      </w:r>
      <w:r w:rsidRPr="003720F8">
        <w:rPr>
          <w:noProof/>
        </w:rPr>
        <w:t>disqualification</w:t>
      </w:r>
      <w:r w:rsidR="00DD4D9F">
        <w:rPr>
          <w:noProof/>
        </w:rPr>
        <w:t>. Moreover,</w:t>
      </w:r>
      <w:r w:rsidRPr="003720F8">
        <w:rPr>
          <w:noProof/>
        </w:rPr>
        <w:t xml:space="preserve"> non-</w:t>
      </w:r>
      <w:r w:rsidRPr="0088689D">
        <w:rPr>
          <w:noProof/>
        </w:rPr>
        <w:t>resident</w:t>
      </w:r>
      <w:r w:rsidRPr="00367BDD">
        <w:rPr>
          <w:noProof/>
        </w:rPr>
        <w:t xml:space="preserve"> offenders might not enjoy the same level of procedural safeguards </w:t>
      </w:r>
      <w:r w:rsidR="00DD4D9F">
        <w:rPr>
          <w:noProof/>
        </w:rPr>
        <w:t>as</w:t>
      </w:r>
      <w:r w:rsidRPr="00367BDD">
        <w:rPr>
          <w:noProof/>
        </w:rPr>
        <w:t xml:space="preserve"> their resident</w:t>
      </w:r>
      <w:r w:rsidRPr="0D141AB3">
        <w:rPr>
          <w:noProof/>
        </w:rPr>
        <w:t xml:space="preserve"> counterparts</w:t>
      </w:r>
      <w:r w:rsidR="00DD4D9F">
        <w:rPr>
          <w:noProof/>
        </w:rPr>
        <w:t>,</w:t>
      </w:r>
      <w:r w:rsidRPr="0D141AB3">
        <w:rPr>
          <w:noProof/>
        </w:rPr>
        <w:t xml:space="preserve"> which the revision of that directive aims to better guarantee. During the preparatory works </w:t>
      </w:r>
      <w:r w:rsidR="00DD4D9F">
        <w:rPr>
          <w:noProof/>
        </w:rPr>
        <w:t>for</w:t>
      </w:r>
      <w:r w:rsidRPr="0D141AB3">
        <w:rPr>
          <w:noProof/>
        </w:rPr>
        <w:t xml:space="preserve"> this proposal</w:t>
      </w:r>
      <w:r w:rsidR="00DD4D9F">
        <w:rPr>
          <w:noProof/>
        </w:rPr>
        <w:t>,</w:t>
      </w:r>
      <w:r w:rsidRPr="0D141AB3">
        <w:rPr>
          <w:noProof/>
        </w:rPr>
        <w:t xml:space="preserve"> it became clear that, while the applicable thresholds that lead to driving disqualifications</w:t>
      </w:r>
      <w:r w:rsidR="00DD4D9F">
        <w:rPr>
          <w:noProof/>
        </w:rPr>
        <w:t xml:space="preserve"> differ significantly between</w:t>
      </w:r>
      <w:r w:rsidRPr="0D141AB3">
        <w:rPr>
          <w:noProof/>
        </w:rPr>
        <w:t xml:space="preserve"> Member State</w:t>
      </w:r>
      <w:r w:rsidR="00DD4D9F">
        <w:rPr>
          <w:noProof/>
        </w:rPr>
        <w:t>s</w:t>
      </w:r>
      <w:r w:rsidRPr="0D141AB3">
        <w:rPr>
          <w:noProof/>
        </w:rPr>
        <w:t>,</w:t>
      </w:r>
      <w:r w:rsidR="00DD4D9F">
        <w:rPr>
          <w:noProof/>
        </w:rPr>
        <w:t xml:space="preserve"> </w:t>
      </w:r>
      <w:r w:rsidRPr="0D141AB3">
        <w:rPr>
          <w:noProof/>
        </w:rPr>
        <w:t>certain road</w:t>
      </w:r>
      <w:r w:rsidR="00DD4D9F">
        <w:rPr>
          <w:noProof/>
        </w:rPr>
        <w:t xml:space="preserve"> </w:t>
      </w:r>
      <w:r w:rsidRPr="0D141AB3">
        <w:rPr>
          <w:noProof/>
        </w:rPr>
        <w:t xml:space="preserve">safety related </w:t>
      </w:r>
      <w:r w:rsidR="001C5D31">
        <w:rPr>
          <w:noProof/>
        </w:rPr>
        <w:t xml:space="preserve">traffic </w:t>
      </w:r>
      <w:r w:rsidRPr="0D141AB3">
        <w:rPr>
          <w:noProof/>
        </w:rPr>
        <w:t>offences trigger driving disqualifications in all</w:t>
      </w:r>
      <w:r>
        <w:rPr>
          <w:noProof/>
        </w:rPr>
        <w:t xml:space="preserve"> or most</w:t>
      </w:r>
      <w:r w:rsidRPr="0D141AB3">
        <w:rPr>
          <w:noProof/>
        </w:rPr>
        <w:t xml:space="preserve"> Member States. </w:t>
      </w:r>
    </w:p>
    <w:p w:rsidR="00BD4149" w:rsidRPr="00BF1125" w:rsidRDefault="00BD4149" w:rsidP="00BD4149">
      <w:pPr>
        <w:rPr>
          <w:rFonts w:eastAsia="Arial Unicode MS"/>
          <w:noProof/>
        </w:rPr>
      </w:pPr>
      <w:r w:rsidRPr="00BF1125">
        <w:rPr>
          <w:rFonts w:eastAsia="Arial Unicode MS"/>
          <w:noProof/>
          <w:color w:val="000000"/>
          <w:bdr w:val="nil"/>
          <w:lang w:val="en-US" w:eastAsia="en-GB"/>
        </w:rPr>
        <w:t>•</w:t>
      </w:r>
      <w:r w:rsidRPr="00BF1125">
        <w:rPr>
          <w:rFonts w:eastAsia="Arial Unicode MS"/>
          <w:noProof/>
          <w:color w:val="000000"/>
          <w:u w:color="000000"/>
          <w:bdr w:val="nil"/>
          <w:lang w:val="en-US" w:eastAsia="en-GB"/>
        </w:rPr>
        <w:tab/>
      </w:r>
      <w:r w:rsidRPr="008C2C22">
        <w:rPr>
          <w:rFonts w:eastAsia="Arial Unicode MS"/>
          <w:b/>
          <w:bCs/>
          <w:noProof/>
        </w:rPr>
        <w:t>Consistency with existing policy provisions in the policy area.</w:t>
      </w:r>
    </w:p>
    <w:p w:rsidR="00BD4149" w:rsidRPr="00CB083E" w:rsidRDefault="00BD4149" w:rsidP="00BD4149">
      <w:pPr>
        <w:spacing w:before="0" w:after="160" w:line="259" w:lineRule="auto"/>
        <w:rPr>
          <w:rFonts w:eastAsia="Times New Roman"/>
          <w:noProof/>
          <w:lang w:val="en-IE"/>
        </w:rPr>
      </w:pPr>
      <w:r w:rsidRPr="76DD42A3">
        <w:rPr>
          <w:rFonts w:eastAsia="Times New Roman"/>
          <w:noProof/>
          <w:lang w:val="en-IE"/>
        </w:rPr>
        <w:t xml:space="preserve">Providing for a system of </w:t>
      </w:r>
      <w:r>
        <w:rPr>
          <w:rFonts w:eastAsia="Times New Roman"/>
          <w:noProof/>
          <w:lang w:val="en-IE"/>
        </w:rPr>
        <w:t>Union-wide effect</w:t>
      </w:r>
      <w:r w:rsidRPr="76DD42A3">
        <w:rPr>
          <w:rFonts w:eastAsia="Times New Roman"/>
          <w:noProof/>
          <w:lang w:val="en-IE"/>
        </w:rPr>
        <w:t xml:space="preserve"> of the driving disqualification of non-resident </w:t>
      </w:r>
      <w:r w:rsidR="00715BB3">
        <w:rPr>
          <w:rFonts w:eastAsia="Times New Roman"/>
          <w:noProof/>
          <w:lang w:val="en-IE"/>
        </w:rPr>
        <w:t>offenders</w:t>
      </w:r>
      <w:r w:rsidRPr="76DD42A3">
        <w:rPr>
          <w:rFonts w:eastAsia="Times New Roman"/>
          <w:noProof/>
          <w:lang w:val="en-IE"/>
        </w:rPr>
        <w:t xml:space="preserve"> has continuously been a focal point of the initiative to revise Directive 2006/126/EC</w:t>
      </w:r>
      <w:r w:rsidR="00564C44">
        <w:rPr>
          <w:rStyle w:val="FootnoteReference"/>
          <w:rFonts w:eastAsia="Times New Roman"/>
          <w:noProof/>
        </w:rPr>
        <w:footnoteReference w:id="26"/>
      </w:r>
      <w:r w:rsidRPr="00E25855">
        <w:rPr>
          <w:rFonts w:eastAsia="Times New Roman"/>
          <w:noProof/>
          <w:lang w:val="en-IE"/>
        </w:rPr>
        <w:t xml:space="preserve">. </w:t>
      </w:r>
    </w:p>
    <w:p w:rsidR="00BD4149" w:rsidRDefault="00BD4149" w:rsidP="00BD4149">
      <w:pPr>
        <w:spacing w:before="0" w:after="160" w:line="259" w:lineRule="auto"/>
        <w:rPr>
          <w:rFonts w:eastAsia="Times New Roman"/>
          <w:noProof/>
        </w:rPr>
      </w:pPr>
      <w:r w:rsidRPr="0D141AB3">
        <w:rPr>
          <w:rFonts w:eastAsia="Times New Roman"/>
          <w:noProof/>
        </w:rPr>
        <w:t>Article 11(4) of</w:t>
      </w:r>
      <w:r w:rsidR="00564C44">
        <w:rPr>
          <w:rFonts w:eastAsia="Times New Roman"/>
          <w:noProof/>
        </w:rPr>
        <w:t xml:space="preserve"> that</w:t>
      </w:r>
      <w:r w:rsidRPr="0D141AB3">
        <w:rPr>
          <w:rFonts w:eastAsia="Times New Roman"/>
          <w:noProof/>
        </w:rPr>
        <w:t xml:space="preserve"> Directive governs certain elements of driving disqualifications. </w:t>
      </w:r>
      <w:r w:rsidRPr="00367BDD">
        <w:rPr>
          <w:rFonts w:eastAsia="Times New Roman"/>
          <w:noProof/>
        </w:rPr>
        <w:t>The revision of Directive</w:t>
      </w:r>
      <w:r w:rsidRPr="0D141AB3">
        <w:rPr>
          <w:rFonts w:eastAsia="Times New Roman"/>
          <w:noProof/>
        </w:rPr>
        <w:t xml:space="preserve"> 2006/126/EC</w:t>
      </w:r>
      <w:r w:rsidR="00564C44">
        <w:rPr>
          <w:rFonts w:eastAsia="Times New Roman"/>
          <w:noProof/>
        </w:rPr>
        <w:t xml:space="preserve">, </w:t>
      </w:r>
      <w:r w:rsidR="00564C44" w:rsidRPr="00FF5709">
        <w:rPr>
          <w:rFonts w:eastAsia="Times New Roman"/>
          <w:noProof/>
        </w:rPr>
        <w:t>carried out in parallel to this initiative for reasons of legal consistency and coherence</w:t>
      </w:r>
      <w:r w:rsidR="00564C44">
        <w:rPr>
          <w:rFonts w:eastAsia="Times New Roman"/>
          <w:noProof/>
        </w:rPr>
        <w:t>,</w:t>
      </w:r>
      <w:r w:rsidRPr="0D141AB3">
        <w:rPr>
          <w:rFonts w:eastAsia="Times New Roman"/>
          <w:noProof/>
        </w:rPr>
        <w:t xml:space="preserve"> will cover the issuance of driving licences to drivers who have been </w:t>
      </w:r>
      <w:r w:rsidRPr="00367BDD">
        <w:rPr>
          <w:rFonts w:eastAsia="Times New Roman"/>
          <w:noProof/>
        </w:rPr>
        <w:t>disqualified and the</w:t>
      </w:r>
      <w:r>
        <w:rPr>
          <w:rFonts w:eastAsia="Times New Roman"/>
          <w:noProof/>
        </w:rPr>
        <w:t xml:space="preserve"> exem</w:t>
      </w:r>
      <w:r w:rsidR="00564C44">
        <w:rPr>
          <w:rFonts w:eastAsia="Times New Roman"/>
          <w:noProof/>
        </w:rPr>
        <w:t>p</w:t>
      </w:r>
      <w:r>
        <w:rPr>
          <w:rFonts w:eastAsia="Times New Roman"/>
          <w:noProof/>
        </w:rPr>
        <w:t>tions of the</w:t>
      </w:r>
      <w:r w:rsidRPr="00367BDD">
        <w:rPr>
          <w:rFonts w:eastAsia="Times New Roman"/>
          <w:noProof/>
        </w:rPr>
        <w:t xml:space="preserve"> mutual recognition of (the validity of) driving licences when the holder is subject to a</w:t>
      </w:r>
      <w:r w:rsidRPr="0D141AB3">
        <w:rPr>
          <w:rFonts w:eastAsia="Times New Roman"/>
          <w:noProof/>
        </w:rPr>
        <w:t xml:space="preserve"> disqualification in a Member State</w:t>
      </w:r>
      <w:r w:rsidR="00375AF9">
        <w:rPr>
          <w:rFonts w:eastAsia="Times New Roman"/>
          <w:noProof/>
        </w:rPr>
        <w:t xml:space="preserve"> other</w:t>
      </w:r>
      <w:r w:rsidRPr="0D141AB3">
        <w:rPr>
          <w:rFonts w:eastAsia="Times New Roman"/>
          <w:noProof/>
        </w:rPr>
        <w:t xml:space="preserve"> than the one that issued the driving licence. Moreover, it will contain provisions facilitating the enforcement of partial driving disqualifications t</w:t>
      </w:r>
      <w:r w:rsidR="00375AF9">
        <w:rPr>
          <w:rFonts w:eastAsia="Times New Roman"/>
          <w:noProof/>
        </w:rPr>
        <w:t>h</w:t>
      </w:r>
      <w:r w:rsidRPr="0D141AB3">
        <w:rPr>
          <w:rFonts w:eastAsia="Times New Roman"/>
          <w:noProof/>
        </w:rPr>
        <w:t>rough the possibility of endorsements</w:t>
      </w:r>
      <w:r>
        <w:rPr>
          <w:rFonts w:eastAsia="Times New Roman"/>
          <w:noProof/>
        </w:rPr>
        <w:t>.</w:t>
      </w:r>
      <w:r w:rsidRPr="0D141AB3">
        <w:rPr>
          <w:rFonts w:eastAsia="Times New Roman"/>
          <w:noProof/>
        </w:rPr>
        <w:t xml:space="preserve"> </w:t>
      </w:r>
    </w:p>
    <w:p w:rsidR="00BD4149" w:rsidRPr="00CB083E" w:rsidRDefault="00BD4149" w:rsidP="00BD4149">
      <w:pPr>
        <w:spacing w:before="0" w:after="160" w:line="259" w:lineRule="auto"/>
        <w:rPr>
          <w:rFonts w:eastAsia="Times New Roman"/>
          <w:noProof/>
          <w:szCs w:val="24"/>
        </w:rPr>
      </w:pPr>
      <w:r w:rsidRPr="0D141AB3">
        <w:rPr>
          <w:rFonts w:eastAsia="Times New Roman"/>
          <w:noProof/>
        </w:rPr>
        <w:t>Proposing a specific legal act to</w:t>
      </w:r>
      <w:r>
        <w:rPr>
          <w:rFonts w:eastAsia="Times New Roman"/>
          <w:noProof/>
        </w:rPr>
        <w:t xml:space="preserve"> provide a</w:t>
      </w:r>
      <w:r w:rsidRPr="0D141AB3">
        <w:rPr>
          <w:rFonts w:eastAsia="Times New Roman"/>
          <w:noProof/>
        </w:rPr>
        <w:t xml:space="preserve"> </w:t>
      </w:r>
      <w:r w:rsidRPr="009F17A8">
        <w:rPr>
          <w:rFonts w:eastAsia="Times New Roman"/>
          <w:noProof/>
        </w:rPr>
        <w:t>Union-wide</w:t>
      </w:r>
      <w:r>
        <w:rPr>
          <w:rFonts w:eastAsia="Times New Roman"/>
          <w:noProof/>
        </w:rPr>
        <w:t xml:space="preserve"> effect of</w:t>
      </w:r>
      <w:r w:rsidRPr="009F17A8">
        <w:rPr>
          <w:rFonts w:eastAsia="Times New Roman"/>
          <w:noProof/>
        </w:rPr>
        <w:t xml:space="preserve"> dr</w:t>
      </w:r>
      <w:r>
        <w:rPr>
          <w:rFonts w:eastAsia="Times New Roman"/>
          <w:noProof/>
        </w:rPr>
        <w:t xml:space="preserve">iving disqualification </w:t>
      </w:r>
      <w:r w:rsidRPr="009F17A8">
        <w:rPr>
          <w:rFonts w:eastAsia="Times New Roman"/>
          <w:noProof/>
        </w:rPr>
        <w:t>through the means of mutual recognition of decisions</w:t>
      </w:r>
      <w:r>
        <w:rPr>
          <w:rFonts w:eastAsia="Times New Roman"/>
          <w:noProof/>
        </w:rPr>
        <w:t xml:space="preserve"> has also been</w:t>
      </w:r>
      <w:r w:rsidRPr="0D141AB3">
        <w:rPr>
          <w:rFonts w:eastAsia="Times New Roman"/>
          <w:noProof/>
        </w:rPr>
        <w:t xml:space="preserve"> a recurring aim of the Commission</w:t>
      </w:r>
      <w:r w:rsidR="00AD6300">
        <w:rPr>
          <w:rFonts w:eastAsia="Times New Roman"/>
          <w:noProof/>
        </w:rPr>
        <w:t>.</w:t>
      </w:r>
      <w:r w:rsidRPr="0D141AB3">
        <w:rPr>
          <w:rFonts w:eastAsia="Times New Roman"/>
          <w:noProof/>
        </w:rPr>
        <w:t xml:space="preserve"> </w:t>
      </w:r>
      <w:r w:rsidR="00AD6300">
        <w:rPr>
          <w:rFonts w:eastAsia="Times New Roman"/>
          <w:noProof/>
        </w:rPr>
        <w:t xml:space="preserve">In </w:t>
      </w:r>
      <w:r w:rsidRPr="0D141AB3">
        <w:rPr>
          <w:rFonts w:eastAsia="Times New Roman"/>
          <w:noProof/>
        </w:rPr>
        <w:t>2006</w:t>
      </w:r>
      <w:r w:rsidR="00AD6300">
        <w:rPr>
          <w:rFonts w:eastAsia="Times New Roman"/>
          <w:noProof/>
        </w:rPr>
        <w:t xml:space="preserve">, </w:t>
      </w:r>
      <w:r w:rsidRPr="0D141AB3">
        <w:rPr>
          <w:rFonts w:eastAsia="Times New Roman"/>
          <w:noProof/>
        </w:rPr>
        <w:t>the Commission indicated</w:t>
      </w:r>
      <w:r w:rsidR="00AD6300">
        <w:rPr>
          <w:rFonts w:eastAsia="Times New Roman"/>
          <w:noProof/>
        </w:rPr>
        <w:t xml:space="preserve"> </w:t>
      </w:r>
      <w:r w:rsidR="00AD6300" w:rsidRPr="00AD6300">
        <w:rPr>
          <w:rFonts w:eastAsia="Times New Roman"/>
          <w:noProof/>
        </w:rPr>
        <w:t>in a Communication on disqualifications arising from criminal convictions</w:t>
      </w:r>
      <w:r w:rsidR="00AD6300" w:rsidRPr="00AD6300">
        <w:rPr>
          <w:rFonts w:eastAsia="Times New Roman"/>
          <w:noProof/>
          <w:vertAlign w:val="superscript"/>
        </w:rPr>
        <w:footnoteReference w:id="27"/>
      </w:r>
      <w:r w:rsidR="00AD6300" w:rsidRPr="00AD6300">
        <w:rPr>
          <w:rFonts w:eastAsia="Times New Roman"/>
          <w:noProof/>
        </w:rPr>
        <w:t xml:space="preserve"> that it was</w:t>
      </w:r>
      <w:r w:rsidRPr="0D141AB3">
        <w:rPr>
          <w:rFonts w:eastAsia="Times New Roman"/>
          <w:noProof/>
        </w:rPr>
        <w:t xml:space="preserve"> considering to propose a legal act to replace the 1998 Convention concerning driving disqualifications</w:t>
      </w:r>
      <w:r w:rsidR="00AD6300">
        <w:rPr>
          <w:rStyle w:val="FootnoteReference"/>
          <w:rFonts w:eastAsia="Times New Roman"/>
          <w:noProof/>
        </w:rPr>
        <w:footnoteReference w:id="28"/>
      </w:r>
      <w:r w:rsidRPr="0D141AB3">
        <w:rPr>
          <w:rFonts w:eastAsia="Times New Roman"/>
          <w:noProof/>
        </w:rPr>
        <w:t>. As regards</w:t>
      </w:r>
      <w:r w:rsidR="00AD6300">
        <w:rPr>
          <w:rFonts w:eastAsia="Times New Roman"/>
          <w:noProof/>
        </w:rPr>
        <w:t xml:space="preserve"> the</w:t>
      </w:r>
      <w:r w:rsidRPr="0D141AB3">
        <w:rPr>
          <w:rFonts w:eastAsia="Times New Roman"/>
          <w:noProof/>
        </w:rPr>
        <w:t xml:space="preserve"> mutual recognition of disqualifications</w:t>
      </w:r>
      <w:r>
        <w:rPr>
          <w:rFonts w:eastAsia="Times New Roman"/>
          <w:noProof/>
        </w:rPr>
        <w:t xml:space="preserve"> in general</w:t>
      </w:r>
      <w:r w:rsidRPr="0D141AB3">
        <w:rPr>
          <w:rFonts w:eastAsia="Times New Roman"/>
          <w:noProof/>
        </w:rPr>
        <w:t xml:space="preserve">, the Commission declared as part of </w:t>
      </w:r>
      <w:r w:rsidR="00AD6300">
        <w:rPr>
          <w:rFonts w:eastAsia="Times New Roman"/>
          <w:noProof/>
        </w:rPr>
        <w:t>that</w:t>
      </w:r>
      <w:r w:rsidRPr="0D141AB3">
        <w:rPr>
          <w:rFonts w:eastAsia="Times New Roman"/>
          <w:noProof/>
        </w:rPr>
        <w:t xml:space="preserve"> Communication that i</w:t>
      </w:r>
      <w:r w:rsidR="00AD6300">
        <w:rPr>
          <w:rFonts w:eastAsia="Times New Roman"/>
          <w:noProof/>
        </w:rPr>
        <w:t>t</w:t>
      </w:r>
      <w:r w:rsidRPr="0D141AB3">
        <w:rPr>
          <w:rFonts w:eastAsia="Times New Roman"/>
          <w:noProof/>
        </w:rPr>
        <w:t xml:space="preserve"> favour</w:t>
      </w:r>
      <w:r w:rsidR="00AD6300">
        <w:rPr>
          <w:rFonts w:eastAsia="Times New Roman"/>
          <w:noProof/>
        </w:rPr>
        <w:t>ed</w:t>
      </w:r>
      <w:r w:rsidRPr="0D141AB3">
        <w:rPr>
          <w:rFonts w:eastAsia="Times New Roman"/>
          <w:noProof/>
        </w:rPr>
        <w:t xml:space="preserve"> a sectoral approach, in sectors where a common basis exists between the Member States (such as driving disqualifications).</w:t>
      </w:r>
    </w:p>
    <w:p w:rsidR="00BD4149" w:rsidRPr="00BF1125" w:rsidRDefault="00BD4149" w:rsidP="00BD4149">
      <w:pPr>
        <w:pStyle w:val="ManualHeading2"/>
        <w:rPr>
          <w:rFonts w:eastAsia="Arial Unicode MS"/>
          <w:noProof/>
        </w:rPr>
      </w:pPr>
      <w:r w:rsidRPr="00BF1125">
        <w:rPr>
          <w:rFonts w:eastAsia="Arial Unicode MS"/>
          <w:noProof/>
          <w:color w:val="000000"/>
          <w:u w:color="000000"/>
          <w:bdr w:val="nil"/>
          <w:lang w:val="en-US" w:eastAsia="en-GB"/>
        </w:rPr>
        <w:t>•</w:t>
      </w:r>
      <w:r w:rsidRPr="00BF1125">
        <w:rPr>
          <w:rFonts w:eastAsia="Arial Unicode MS"/>
          <w:noProof/>
          <w:color w:val="000000"/>
          <w:u w:color="000000"/>
          <w:bdr w:val="nil"/>
          <w:lang w:val="en-US" w:eastAsia="en-GB"/>
        </w:rPr>
        <w:tab/>
      </w:r>
      <w:r w:rsidRPr="00BF1125">
        <w:rPr>
          <w:rFonts w:eastAsia="Arial Unicode MS"/>
          <w:noProof/>
        </w:rPr>
        <w:t>Consistency with other Union policies</w:t>
      </w:r>
    </w:p>
    <w:p w:rsidR="00BD4149" w:rsidRPr="00CB083E" w:rsidRDefault="00BD4149" w:rsidP="00BD4149">
      <w:pPr>
        <w:spacing w:before="0" w:after="160" w:line="259" w:lineRule="auto"/>
        <w:rPr>
          <w:rFonts w:eastAsia="Times New Roman"/>
          <w:noProof/>
          <w:szCs w:val="24"/>
        </w:rPr>
      </w:pPr>
      <w:r w:rsidRPr="00CB083E">
        <w:rPr>
          <w:rFonts w:eastAsia="Times New Roman"/>
          <w:noProof/>
          <w:szCs w:val="24"/>
        </w:rPr>
        <w:t xml:space="preserve">The proposal is also fully consistent with the main acquis on road safety. </w:t>
      </w:r>
    </w:p>
    <w:p w:rsidR="00BD4149" w:rsidRPr="00CB083E" w:rsidRDefault="00BD4149" w:rsidP="00BD4149">
      <w:pPr>
        <w:spacing w:before="0" w:after="160" w:line="259" w:lineRule="auto"/>
        <w:rPr>
          <w:rFonts w:eastAsia="Times New Roman"/>
          <w:noProof/>
          <w:lang w:val="en-US"/>
        </w:rPr>
      </w:pPr>
      <w:r w:rsidRPr="0D141AB3">
        <w:rPr>
          <w:rFonts w:eastAsia="Times New Roman"/>
          <w:noProof/>
        </w:rPr>
        <w:t>It has no significant bearing on Directive</w:t>
      </w:r>
      <w:r w:rsidR="00F84744">
        <w:rPr>
          <w:rFonts w:eastAsia="Times New Roman"/>
          <w:noProof/>
        </w:rPr>
        <w:t xml:space="preserve"> (EU)</w:t>
      </w:r>
      <w:r w:rsidRPr="0D141AB3">
        <w:rPr>
          <w:rFonts w:eastAsia="Times New Roman"/>
          <w:noProof/>
        </w:rPr>
        <w:t xml:space="preserve"> 2022/2561 of the European Parliament and of the Council</w:t>
      </w:r>
      <w:r w:rsidRPr="0D141AB3">
        <w:rPr>
          <w:rStyle w:val="FootnoteReference"/>
          <w:rFonts w:eastAsia="Times New Roman"/>
          <w:noProof/>
        </w:rPr>
        <w:footnoteReference w:id="29"/>
      </w:r>
      <w:r w:rsidRPr="0D141AB3">
        <w:rPr>
          <w:rFonts w:eastAsia="Times New Roman"/>
          <w:noProof/>
        </w:rPr>
        <w:t xml:space="preserve"> and on Regulation</w:t>
      </w:r>
      <w:r w:rsidR="00F84744">
        <w:rPr>
          <w:rFonts w:eastAsia="Times New Roman"/>
          <w:noProof/>
        </w:rPr>
        <w:t xml:space="preserve"> (EU)</w:t>
      </w:r>
      <w:r w:rsidRPr="0D141AB3">
        <w:rPr>
          <w:rFonts w:eastAsia="Times New Roman"/>
          <w:noProof/>
        </w:rPr>
        <w:t xml:space="preserve"> 2019/2144</w:t>
      </w:r>
      <w:r w:rsidR="00F84744">
        <w:rPr>
          <w:rFonts w:eastAsia="Times New Roman"/>
          <w:noProof/>
        </w:rPr>
        <w:t xml:space="preserve"> </w:t>
      </w:r>
      <w:r w:rsidR="00F84744" w:rsidRPr="00FF5709">
        <w:rPr>
          <w:rFonts w:eastAsia="Times New Roman"/>
          <w:noProof/>
        </w:rPr>
        <w:t>of the European Parliament and of the Council</w:t>
      </w:r>
      <w:r w:rsidR="00F84744" w:rsidRPr="0D141AB3">
        <w:rPr>
          <w:rStyle w:val="FootnoteReference"/>
          <w:rFonts w:eastAsia="Times New Roman"/>
          <w:noProof/>
        </w:rPr>
        <w:t xml:space="preserve"> </w:t>
      </w:r>
      <w:r w:rsidRPr="0D141AB3">
        <w:rPr>
          <w:rStyle w:val="FootnoteReference"/>
          <w:rFonts w:eastAsia="Times New Roman"/>
          <w:noProof/>
        </w:rPr>
        <w:footnoteReference w:id="30"/>
      </w:r>
      <w:r w:rsidRPr="0D141AB3">
        <w:rPr>
          <w:rFonts w:eastAsia="Times New Roman"/>
          <w:noProof/>
        </w:rPr>
        <w:t xml:space="preserve">. It is also consistent with the </w:t>
      </w:r>
      <w:r w:rsidRPr="1003313E">
        <w:rPr>
          <w:rFonts w:eastAsia="Times New Roman"/>
          <w:i/>
          <w:iCs/>
          <w:noProof/>
        </w:rPr>
        <w:t>EU Road Safety Policy Framework 2021-2030 - Next steps towards "Vision Zero"</w:t>
      </w:r>
      <w:r w:rsidRPr="1003313E">
        <w:rPr>
          <w:rStyle w:val="FootnoteReference"/>
          <w:rFonts w:eastAsia="Times New Roman"/>
          <w:noProof/>
        </w:rPr>
        <w:footnoteReference w:id="31"/>
      </w:r>
      <w:r w:rsidRPr="0D141AB3">
        <w:rPr>
          <w:rFonts w:eastAsia="Times New Roman"/>
          <w:noProof/>
          <w:lang w:val="en-US"/>
        </w:rPr>
        <w:t xml:space="preserve"> .</w:t>
      </w:r>
    </w:p>
    <w:p w:rsidR="00BD4149" w:rsidRPr="00CB083E" w:rsidRDefault="00BD4149" w:rsidP="00BD4149">
      <w:pPr>
        <w:spacing w:before="0" w:after="160" w:line="259" w:lineRule="auto"/>
        <w:rPr>
          <w:rFonts w:eastAsia="Times New Roman"/>
          <w:noProof/>
        </w:rPr>
      </w:pPr>
      <w:r>
        <w:rPr>
          <w:rFonts w:eastAsia="Times New Roman"/>
          <w:noProof/>
          <w:lang w:val="en-US"/>
        </w:rPr>
        <w:t xml:space="preserve">As mentioned above, </w:t>
      </w:r>
      <w:r w:rsidRPr="1003313E">
        <w:rPr>
          <w:rFonts w:eastAsia="Times New Roman"/>
          <w:noProof/>
          <w:lang w:val="en-US"/>
        </w:rPr>
        <w:t>Directive</w:t>
      </w:r>
      <w:r w:rsidR="00F84744">
        <w:rPr>
          <w:rFonts w:eastAsia="Times New Roman"/>
          <w:noProof/>
          <w:lang w:val="en-US"/>
        </w:rPr>
        <w:t xml:space="preserve"> (EU)</w:t>
      </w:r>
      <w:r w:rsidRPr="1003313E">
        <w:rPr>
          <w:rFonts w:eastAsia="Times New Roman"/>
          <w:noProof/>
          <w:lang w:val="en-US"/>
        </w:rPr>
        <w:t xml:space="preserve"> 2015/413 is </w:t>
      </w:r>
      <w:r w:rsidRPr="1003313E">
        <w:rPr>
          <w:rFonts w:eastAsia="Times New Roman"/>
          <w:noProof/>
          <w:lang w:val="en-IE"/>
        </w:rPr>
        <w:t>being revised in parallel to this proposal, for reasons of legal consistency</w:t>
      </w:r>
      <w:r>
        <w:rPr>
          <w:rFonts w:eastAsia="Times New Roman"/>
          <w:noProof/>
          <w:lang w:val="en-IE"/>
        </w:rPr>
        <w:t xml:space="preserve"> and coherence</w:t>
      </w:r>
      <w:r w:rsidRPr="1003313E">
        <w:rPr>
          <w:rFonts w:eastAsia="Times New Roman"/>
          <w:noProof/>
          <w:lang w:val="en-IE"/>
        </w:rPr>
        <w:t xml:space="preserve">. </w:t>
      </w:r>
      <w:r w:rsidRPr="1003313E">
        <w:rPr>
          <w:rFonts w:eastAsia="Times New Roman"/>
          <w:noProof/>
        </w:rPr>
        <w:t>In that regard</w:t>
      </w:r>
      <w:r>
        <w:rPr>
          <w:rFonts w:eastAsia="Times New Roman"/>
          <w:noProof/>
        </w:rPr>
        <w:t xml:space="preserve"> it should be reiterated that</w:t>
      </w:r>
      <w:r w:rsidRPr="1003313E">
        <w:rPr>
          <w:rFonts w:eastAsia="Times New Roman"/>
          <w:noProof/>
        </w:rPr>
        <w:t xml:space="preserve"> Directive </w:t>
      </w:r>
      <w:r w:rsidR="00F84744">
        <w:rPr>
          <w:rFonts w:eastAsia="Times New Roman"/>
          <w:noProof/>
        </w:rPr>
        <w:t xml:space="preserve">(EU) </w:t>
      </w:r>
      <w:r w:rsidRPr="1003313E">
        <w:rPr>
          <w:rFonts w:eastAsia="Times New Roman"/>
          <w:noProof/>
        </w:rPr>
        <w:t xml:space="preserve">2015/413 is expected to become the cornerstone of the investigation, and thus indirectly also contribute to the enforcement in </w:t>
      </w:r>
      <w:r w:rsidR="00F84744">
        <w:rPr>
          <w:rFonts w:eastAsia="Times New Roman"/>
          <w:noProof/>
        </w:rPr>
        <w:t>particular in</w:t>
      </w:r>
      <w:r w:rsidRPr="1003313E">
        <w:rPr>
          <w:rFonts w:eastAsia="Times New Roman"/>
          <w:noProof/>
        </w:rPr>
        <w:t xml:space="preserve"> cases where the offender</w:t>
      </w:r>
      <w:r w:rsidR="00F84744">
        <w:rPr>
          <w:rFonts w:eastAsia="Times New Roman"/>
          <w:noProof/>
        </w:rPr>
        <w:t xml:space="preserve"> has been</w:t>
      </w:r>
      <w:r w:rsidRPr="1003313E">
        <w:rPr>
          <w:rFonts w:eastAsia="Times New Roman"/>
          <w:noProof/>
        </w:rPr>
        <w:t xml:space="preserve"> detected remotely. As the revised Directive</w:t>
      </w:r>
      <w:r w:rsidR="00F84744">
        <w:rPr>
          <w:rFonts w:eastAsia="Times New Roman"/>
          <w:noProof/>
        </w:rPr>
        <w:t xml:space="preserve"> (EU)</w:t>
      </w:r>
      <w:r w:rsidRPr="1003313E">
        <w:rPr>
          <w:rFonts w:eastAsia="Times New Roman"/>
          <w:noProof/>
        </w:rPr>
        <w:t xml:space="preserve"> 2015/413 aims to expand the information exchange and mutual assistance between the Member States, an assumption can be made that the</w:t>
      </w:r>
      <w:r w:rsidR="00F84744">
        <w:rPr>
          <w:rFonts w:eastAsia="Times New Roman"/>
          <w:noProof/>
        </w:rPr>
        <w:t xml:space="preserve"> number of</w:t>
      </w:r>
      <w:r w:rsidRPr="1003313E">
        <w:rPr>
          <w:rFonts w:eastAsia="Times New Roman"/>
          <w:noProof/>
        </w:rPr>
        <w:t xml:space="preserve"> successfully investigated offences, and as a result also the imposed driving disqualifications, will substantially increase.</w:t>
      </w:r>
    </w:p>
    <w:p w:rsidR="00BD4149" w:rsidRPr="008C2C22" w:rsidRDefault="00BD4149" w:rsidP="00BD4149">
      <w:pPr>
        <w:spacing w:before="0" w:after="160" w:line="259" w:lineRule="auto"/>
        <w:rPr>
          <w:rFonts w:eastAsia="Times New Roman"/>
          <w:noProof/>
          <w:highlight w:val="yellow"/>
        </w:rPr>
      </w:pPr>
      <w:r w:rsidRPr="0D141AB3">
        <w:rPr>
          <w:rFonts w:eastAsia="Times New Roman"/>
          <w:noProof/>
        </w:rPr>
        <w:t>Similarly, the revision of Directive</w:t>
      </w:r>
      <w:r w:rsidR="00F84744">
        <w:rPr>
          <w:rFonts w:eastAsia="Times New Roman"/>
          <w:noProof/>
        </w:rPr>
        <w:t xml:space="preserve"> (EU)</w:t>
      </w:r>
      <w:r w:rsidRPr="0D141AB3">
        <w:rPr>
          <w:rFonts w:eastAsia="Times New Roman"/>
          <w:noProof/>
        </w:rPr>
        <w:t xml:space="preserve"> 2015/413 aims to grant a higher level of procedural and fundamental rights protection to the pursued or caught non-resident offenders, regardless of whether the offence is remotely detected or the offender is apprehended before leaving the Member State in which the offence was committed.</w:t>
      </w:r>
    </w:p>
    <w:p w:rsidR="00BD4149" w:rsidRPr="008C2C22" w:rsidRDefault="00BD4149" w:rsidP="00BD4149">
      <w:pPr>
        <w:spacing w:before="0" w:after="160" w:line="259" w:lineRule="auto"/>
        <w:rPr>
          <w:rFonts w:eastAsia="Times New Roman"/>
          <w:noProof/>
          <w:highlight w:val="yellow"/>
          <w:lang w:val="en-US"/>
        </w:rPr>
      </w:pPr>
      <w:r w:rsidRPr="0D141AB3">
        <w:rPr>
          <w:rFonts w:eastAsia="Times New Roman"/>
          <w:noProof/>
          <w:lang w:val="en-US"/>
        </w:rPr>
        <w:t>The revision of Directive 2006/126/EC</w:t>
      </w:r>
      <w:r>
        <w:rPr>
          <w:rFonts w:eastAsia="Times New Roman"/>
          <w:noProof/>
          <w:lang w:val="en-US"/>
        </w:rPr>
        <w:t xml:space="preserve"> and</w:t>
      </w:r>
      <w:r w:rsidRPr="0D141AB3">
        <w:rPr>
          <w:rFonts w:eastAsia="Times New Roman"/>
          <w:noProof/>
          <w:lang w:val="en-US"/>
        </w:rPr>
        <w:t xml:space="preserve"> the Union’s driving licence framework will</w:t>
      </w:r>
      <w:r>
        <w:rPr>
          <w:rFonts w:eastAsia="Times New Roman"/>
          <w:noProof/>
          <w:lang w:val="en-US"/>
        </w:rPr>
        <w:t xml:space="preserve"> also</w:t>
      </w:r>
      <w:r w:rsidRPr="0D141AB3">
        <w:rPr>
          <w:rFonts w:eastAsia="Times New Roman"/>
          <w:noProof/>
          <w:lang w:val="en-US"/>
        </w:rPr>
        <w:t xml:space="preserve"> complement </w:t>
      </w:r>
      <w:r w:rsidRPr="00BD6253">
        <w:rPr>
          <w:rFonts w:eastAsia="Times New Roman"/>
          <w:noProof/>
          <w:lang w:val="en-US"/>
        </w:rPr>
        <w:t>the rules laid down by the proposed Directive</w:t>
      </w:r>
      <w:r>
        <w:rPr>
          <w:rFonts w:eastAsia="Times New Roman"/>
          <w:noProof/>
          <w:lang w:val="en-US"/>
        </w:rPr>
        <w:t xml:space="preserve"> as mentioned above.</w:t>
      </w:r>
      <w:r w:rsidRPr="0D141AB3">
        <w:rPr>
          <w:rFonts w:eastAsia="Times New Roman"/>
          <w:noProof/>
          <w:lang w:val="en-US"/>
        </w:rPr>
        <w:t xml:space="preserve"> Moreover, the revised </w:t>
      </w:r>
      <w:r w:rsidR="00147D92">
        <w:rPr>
          <w:rFonts w:eastAsia="Times New Roman"/>
          <w:noProof/>
          <w:lang w:val="en-US"/>
        </w:rPr>
        <w:t xml:space="preserve">driving licence </w:t>
      </w:r>
      <w:r w:rsidR="00635D0C">
        <w:rPr>
          <w:rFonts w:eastAsia="Times New Roman"/>
          <w:noProof/>
          <w:lang w:val="en-US"/>
        </w:rPr>
        <w:t>D</w:t>
      </w:r>
      <w:r w:rsidR="00147D92">
        <w:rPr>
          <w:rFonts w:eastAsia="Times New Roman"/>
          <w:noProof/>
          <w:lang w:val="en-US"/>
        </w:rPr>
        <w:t xml:space="preserve">irective </w:t>
      </w:r>
      <w:r w:rsidRPr="0D141AB3">
        <w:rPr>
          <w:rFonts w:eastAsia="Times New Roman"/>
          <w:noProof/>
          <w:lang w:val="en-US"/>
        </w:rPr>
        <w:t xml:space="preserve"> will help in the practical enforcement of partial restrictions placed on the driver and reinforce the possibility for the Member State of</w:t>
      </w:r>
      <w:r w:rsidR="00147D92">
        <w:rPr>
          <w:rFonts w:eastAsia="Times New Roman"/>
          <w:noProof/>
          <w:lang w:val="en-US"/>
        </w:rPr>
        <w:t xml:space="preserve"> the offence</w:t>
      </w:r>
      <w:r w:rsidRPr="0D141AB3">
        <w:rPr>
          <w:rFonts w:eastAsia="Times New Roman"/>
          <w:noProof/>
          <w:lang w:val="en-US"/>
        </w:rPr>
        <w:t xml:space="preserve"> </w:t>
      </w:r>
      <w:r w:rsidRPr="00C544A1">
        <w:rPr>
          <w:rFonts w:eastAsia="Times New Roman"/>
          <w:noProof/>
          <w:lang w:val="en-US"/>
        </w:rPr>
        <w:t>not to recognize the validity of the driving licence of the offender in the cases where the proposed Directive is not applicable.</w:t>
      </w:r>
      <w:r w:rsidRPr="0D141AB3">
        <w:rPr>
          <w:rFonts w:eastAsia="Times New Roman"/>
          <w:noProof/>
          <w:lang w:val="en-US"/>
        </w:rPr>
        <w:t xml:space="preserve">  </w:t>
      </w:r>
    </w:p>
    <w:p w:rsidR="00BD4149" w:rsidRPr="00CB083E" w:rsidRDefault="00BD4149" w:rsidP="00BD4149">
      <w:pPr>
        <w:spacing w:before="0" w:after="160" w:line="259" w:lineRule="auto"/>
        <w:rPr>
          <w:rFonts w:eastAsia="Times New Roman"/>
          <w:noProof/>
          <w:szCs w:val="24"/>
          <w:lang w:val="en-US"/>
        </w:rPr>
      </w:pPr>
      <w:r w:rsidRPr="00CB083E">
        <w:rPr>
          <w:rFonts w:eastAsia="Times New Roman"/>
          <w:noProof/>
          <w:szCs w:val="24"/>
        </w:rPr>
        <w:t>In addition, rules on</w:t>
      </w:r>
      <w:r w:rsidR="00147D92">
        <w:rPr>
          <w:rFonts w:eastAsia="Times New Roman"/>
          <w:noProof/>
          <w:szCs w:val="24"/>
        </w:rPr>
        <w:t xml:space="preserve"> the</w:t>
      </w:r>
      <w:r w:rsidRPr="00CB083E">
        <w:rPr>
          <w:rFonts w:eastAsia="Times New Roman"/>
          <w:noProof/>
          <w:szCs w:val="24"/>
        </w:rPr>
        <w:t xml:space="preserve"> protection of personal data also apply to the exchange of information related to driving licences, in particular:</w:t>
      </w:r>
      <w:r w:rsidRPr="00CB083E">
        <w:rPr>
          <w:rFonts w:eastAsia="Times New Roman"/>
          <w:noProof/>
          <w:szCs w:val="24"/>
          <w:lang w:val="en-US"/>
        </w:rPr>
        <w:t xml:space="preserve"> </w:t>
      </w:r>
    </w:p>
    <w:p w:rsidR="00BD4149" w:rsidRPr="002E0003" w:rsidRDefault="00BD4149" w:rsidP="00BD4149">
      <w:pPr>
        <w:pStyle w:val="Bullet1"/>
        <w:rPr>
          <w:rFonts w:eastAsia="Times New Roman"/>
          <w:noProof/>
          <w:lang w:val="en-US"/>
        </w:rPr>
      </w:pPr>
      <w:r w:rsidRPr="0D141AB3">
        <w:rPr>
          <w:rFonts w:eastAsia="Times New Roman"/>
          <w:noProof/>
          <w:lang w:val="en-US"/>
        </w:rPr>
        <w:t>Regulation</w:t>
      </w:r>
      <w:r w:rsidR="00F15FAA">
        <w:rPr>
          <w:rFonts w:eastAsia="Times New Roman"/>
          <w:noProof/>
          <w:lang w:val="en-US"/>
        </w:rPr>
        <w:t xml:space="preserve"> (EU)</w:t>
      </w:r>
      <w:r w:rsidRPr="0D141AB3">
        <w:rPr>
          <w:rFonts w:eastAsia="Times New Roman"/>
          <w:noProof/>
          <w:lang w:val="en-US"/>
        </w:rPr>
        <w:t xml:space="preserve"> 2016/679 of the European Parliament and the Council (General Data Protection Regulation)</w:t>
      </w:r>
      <w:r w:rsidRPr="0D141AB3">
        <w:rPr>
          <w:rStyle w:val="FootnoteReference"/>
          <w:rFonts w:eastAsia="Times New Roman"/>
          <w:noProof/>
          <w:lang w:val="en-US"/>
        </w:rPr>
        <w:footnoteReference w:id="32"/>
      </w:r>
      <w:r w:rsidRPr="0D141AB3">
        <w:rPr>
          <w:rFonts w:eastAsia="Times New Roman"/>
          <w:noProof/>
          <w:lang w:val="en-US"/>
        </w:rPr>
        <w:t>; and</w:t>
      </w:r>
    </w:p>
    <w:p w:rsidR="00BD4149" w:rsidRPr="00985363" w:rsidRDefault="00BD4149" w:rsidP="00BD4149">
      <w:pPr>
        <w:pStyle w:val="Bullet1"/>
        <w:rPr>
          <w:rFonts w:eastAsia="Times New Roman"/>
          <w:noProof/>
          <w:lang w:val="en-US"/>
        </w:rPr>
      </w:pPr>
      <w:r w:rsidRPr="0D141AB3">
        <w:rPr>
          <w:rFonts w:eastAsia="Times New Roman"/>
          <w:noProof/>
          <w:lang w:val="en-US"/>
        </w:rPr>
        <w:t>Directive</w:t>
      </w:r>
      <w:r w:rsidR="00F15FAA">
        <w:rPr>
          <w:rFonts w:eastAsia="Times New Roman"/>
          <w:noProof/>
          <w:lang w:val="en-US"/>
        </w:rPr>
        <w:t xml:space="preserve"> (EU)</w:t>
      </w:r>
      <w:r w:rsidRPr="0D141AB3">
        <w:rPr>
          <w:rFonts w:eastAsia="Times New Roman"/>
          <w:noProof/>
          <w:lang w:val="en-US"/>
        </w:rPr>
        <w:t xml:space="preserve"> 2016/680 of the European Parliament and of the Council</w:t>
      </w:r>
      <w:r w:rsidRPr="0D141AB3">
        <w:rPr>
          <w:rStyle w:val="FootnoteReference"/>
          <w:rFonts w:eastAsia="Times New Roman"/>
          <w:noProof/>
          <w:lang w:val="en-US"/>
        </w:rPr>
        <w:footnoteReference w:id="33"/>
      </w:r>
      <w:r>
        <w:rPr>
          <w:rFonts w:eastAsia="Times New Roman"/>
          <w:noProof/>
          <w:lang w:val="en-US"/>
        </w:rPr>
        <w:t>.</w:t>
      </w:r>
    </w:p>
    <w:p w:rsidR="00BD4149" w:rsidRPr="00CB083E" w:rsidRDefault="00BD4149" w:rsidP="00BD4149">
      <w:pPr>
        <w:spacing w:before="0" w:after="160" w:line="259" w:lineRule="auto"/>
        <w:rPr>
          <w:rFonts w:eastAsia="Times New Roman"/>
          <w:noProof/>
        </w:rPr>
      </w:pPr>
      <w:r w:rsidRPr="0D141AB3">
        <w:rPr>
          <w:rFonts w:eastAsia="Times New Roman"/>
          <w:noProof/>
        </w:rPr>
        <w:t>The proposal is also consistent with other instruments allowing the mutual recognition of judgements or judicial decisions in criminal matters. It fills a gap with regard to driving disqualifications deriving f</w:t>
      </w:r>
      <w:r w:rsidRPr="003558B2">
        <w:rPr>
          <w:rFonts w:eastAsia="Times New Roman"/>
          <w:noProof/>
        </w:rPr>
        <w:t xml:space="preserve">rom judicial decisions in criminal matters. In </w:t>
      </w:r>
      <w:r>
        <w:rPr>
          <w:rFonts w:eastAsia="Times New Roman"/>
          <w:noProof/>
        </w:rPr>
        <w:t>order to avoid possible overlaps between the proposed Directive and the Justice and Home Affairs acquis of the Union</w:t>
      </w:r>
      <w:r w:rsidR="00F15FAA">
        <w:rPr>
          <w:rFonts w:eastAsia="Times New Roman"/>
          <w:noProof/>
        </w:rPr>
        <w:t>,</w:t>
      </w:r>
      <w:r>
        <w:rPr>
          <w:rFonts w:eastAsia="Times New Roman"/>
          <w:noProof/>
        </w:rPr>
        <w:t xml:space="preserve"> it is clarified that the proposal is without prejudice to those instruments.</w:t>
      </w:r>
    </w:p>
    <w:p w:rsidR="00BD4149" w:rsidRPr="00BF1125" w:rsidRDefault="00BD4149" w:rsidP="00BD4149">
      <w:pPr>
        <w:pStyle w:val="ManualHeading1"/>
        <w:rPr>
          <w:noProof/>
        </w:rPr>
      </w:pPr>
      <w:r w:rsidRPr="00BF1125">
        <w:rPr>
          <w:noProof/>
        </w:rPr>
        <w:t>2.</w:t>
      </w:r>
      <w:r w:rsidRPr="00BF1125">
        <w:rPr>
          <w:noProof/>
        </w:rPr>
        <w:tab/>
        <w:t>LEGAL BASIS, SUBSIDIARITY AND PROPORTIONALITY</w:t>
      </w:r>
    </w:p>
    <w:p w:rsidR="00BD4149" w:rsidRPr="00BF1125" w:rsidRDefault="00BD4149" w:rsidP="00BD4149">
      <w:pPr>
        <w:pStyle w:val="ManualHeading2"/>
        <w:rPr>
          <w:rFonts w:eastAsia="Arial Unicode MS"/>
          <w:noProof/>
          <w:u w:color="000000"/>
          <w:bdr w:val="nil"/>
          <w:lang w:val="en-US" w:eastAsia="en-GB"/>
        </w:rPr>
      </w:pPr>
      <w:r w:rsidRPr="00BF1125">
        <w:rPr>
          <w:rFonts w:eastAsia="Arial Unicode MS"/>
          <w:noProof/>
          <w:u w:color="000000"/>
          <w:bdr w:val="nil"/>
          <w:lang w:val="en-US" w:eastAsia="en-GB"/>
        </w:rPr>
        <w:t>•</w:t>
      </w:r>
      <w:r w:rsidRPr="00BF1125">
        <w:rPr>
          <w:rFonts w:eastAsia="Arial Unicode MS"/>
          <w:noProof/>
          <w:u w:color="000000"/>
          <w:bdr w:val="nil"/>
          <w:lang w:val="en-US" w:eastAsia="en-GB"/>
        </w:rPr>
        <w:tab/>
        <w:t>Legal basis</w:t>
      </w:r>
    </w:p>
    <w:p w:rsidR="00BD4149" w:rsidRDefault="00BD4149" w:rsidP="00BD4149">
      <w:pPr>
        <w:spacing w:before="0" w:after="160" w:line="259" w:lineRule="auto"/>
        <w:rPr>
          <w:rFonts w:eastAsia="Times New Roman"/>
          <w:noProof/>
        </w:rPr>
      </w:pPr>
      <w:r>
        <w:rPr>
          <w:rFonts w:eastAsia="Times New Roman"/>
          <w:noProof/>
          <w:lang w:val="en-US"/>
        </w:rPr>
        <w:t>T</w:t>
      </w:r>
      <w:r w:rsidRPr="00DE00B6">
        <w:rPr>
          <w:rFonts w:eastAsia="Times New Roman"/>
          <w:noProof/>
        </w:rPr>
        <w:t xml:space="preserve">he </w:t>
      </w:r>
      <w:r>
        <w:rPr>
          <w:rFonts w:eastAsia="Times New Roman"/>
          <w:noProof/>
        </w:rPr>
        <w:t xml:space="preserve">primary </w:t>
      </w:r>
      <w:r w:rsidRPr="00DE00B6">
        <w:rPr>
          <w:rFonts w:eastAsia="Times New Roman"/>
          <w:noProof/>
        </w:rPr>
        <w:t xml:space="preserve">objective of the proposal is </w:t>
      </w:r>
      <w:r>
        <w:rPr>
          <w:rFonts w:eastAsia="Times New Roman"/>
          <w:noProof/>
        </w:rPr>
        <w:t xml:space="preserve">to improve road safety and </w:t>
      </w:r>
      <w:r w:rsidR="00F15FAA">
        <w:rPr>
          <w:rFonts w:eastAsia="Times New Roman"/>
          <w:noProof/>
        </w:rPr>
        <w:t>to ensure</w:t>
      </w:r>
      <w:r w:rsidRPr="00DE00B6">
        <w:rPr>
          <w:rFonts w:eastAsia="Times New Roman"/>
          <w:noProof/>
        </w:rPr>
        <w:t xml:space="preserve"> a high level of protection for all road users in the Union</w:t>
      </w:r>
      <w:r>
        <w:rPr>
          <w:rFonts w:eastAsia="Times New Roman"/>
          <w:noProof/>
        </w:rPr>
        <w:t xml:space="preserve">, which was also highlighted in </w:t>
      </w:r>
      <w:r w:rsidRPr="00DE00B6">
        <w:rPr>
          <w:rFonts w:eastAsia="Times New Roman"/>
          <w:noProof/>
        </w:rPr>
        <w:t>the call of the EU Transport Ministers in the Valletta Declaration</w:t>
      </w:r>
      <w:r>
        <w:rPr>
          <w:rFonts w:eastAsia="Times New Roman"/>
          <w:noProof/>
        </w:rPr>
        <w:t>.</w:t>
      </w:r>
    </w:p>
    <w:p w:rsidR="00BD4149" w:rsidRDefault="00BD4149" w:rsidP="00BD4149">
      <w:pPr>
        <w:spacing w:before="0" w:after="160" w:line="259" w:lineRule="auto"/>
        <w:rPr>
          <w:rFonts w:eastAsia="Times New Roman"/>
          <w:noProof/>
          <w:lang w:val="en-US"/>
        </w:rPr>
      </w:pPr>
      <w:r>
        <w:rPr>
          <w:rFonts w:eastAsia="Times New Roman"/>
          <w:noProof/>
          <w:lang w:val="en-US"/>
        </w:rPr>
        <w:t xml:space="preserve">According to the case law of the Court of Justice of the European Union (CJEU), </w:t>
      </w:r>
      <w:r>
        <w:rPr>
          <w:rFonts w:eastAsia="Times New Roman"/>
          <w:noProof/>
        </w:rPr>
        <w:t>the Union legislator enjoys wide legislative powers as regards the adoption of appropriate common rules to establish a common transport policy</w:t>
      </w:r>
      <w:r w:rsidRPr="00DD7480">
        <w:rPr>
          <w:rStyle w:val="FootnoteReference"/>
          <w:noProof/>
        </w:rPr>
        <w:footnoteReference w:id="34"/>
      </w:r>
      <w:r>
        <w:rPr>
          <w:rFonts w:eastAsia="Times New Roman"/>
          <w:noProof/>
          <w:lang w:val="en-US"/>
        </w:rPr>
        <w:t>. I</w:t>
      </w:r>
      <w:r w:rsidRPr="00144E63">
        <w:rPr>
          <w:rFonts w:eastAsia="Times New Roman"/>
          <w:noProof/>
          <w:lang w:val="en-US"/>
        </w:rPr>
        <w:t>mprov</w:t>
      </w:r>
      <w:r>
        <w:rPr>
          <w:rFonts w:eastAsia="Times New Roman"/>
          <w:noProof/>
          <w:lang w:val="en-US"/>
        </w:rPr>
        <w:t>ing</w:t>
      </w:r>
      <w:r w:rsidRPr="00144E63">
        <w:rPr>
          <w:rFonts w:eastAsia="Times New Roman"/>
          <w:noProof/>
          <w:lang w:val="en-US"/>
        </w:rPr>
        <w:t xml:space="preserve"> road safety </w:t>
      </w:r>
      <w:r>
        <w:rPr>
          <w:rFonts w:eastAsia="Times New Roman"/>
          <w:noProof/>
          <w:lang w:val="en-US"/>
        </w:rPr>
        <w:t xml:space="preserve">is a prime objective of the Union’s transport policy. Measures pursuing that objective </w:t>
      </w:r>
      <w:r w:rsidRPr="00144E63">
        <w:rPr>
          <w:rFonts w:eastAsia="Times New Roman"/>
          <w:noProof/>
          <w:lang w:val="en-US"/>
        </w:rPr>
        <w:t xml:space="preserve">may therefore be adopted on the basis of Article 91(1)(c) </w:t>
      </w:r>
      <w:r w:rsidRPr="0D141AB3">
        <w:rPr>
          <w:rFonts w:eastAsia="Times New Roman"/>
          <w:noProof/>
          <w:lang w:val="en-US"/>
        </w:rPr>
        <w:t>Treaty on the Functioning of the European Union (</w:t>
      </w:r>
      <w:r w:rsidRPr="00144E63">
        <w:rPr>
          <w:rFonts w:eastAsia="Times New Roman"/>
          <w:noProof/>
          <w:lang w:val="en-US"/>
        </w:rPr>
        <w:t>TFEU</w:t>
      </w:r>
      <w:r>
        <w:rPr>
          <w:rFonts w:eastAsia="Times New Roman"/>
          <w:noProof/>
          <w:lang w:val="en-US"/>
        </w:rPr>
        <w:t>)</w:t>
      </w:r>
      <w:r>
        <w:rPr>
          <w:rStyle w:val="FootnoteReference"/>
          <w:rFonts w:eastAsia="Times New Roman"/>
          <w:noProof/>
          <w:lang w:val="en-US"/>
        </w:rPr>
        <w:footnoteReference w:id="35"/>
      </w:r>
      <w:r>
        <w:rPr>
          <w:rFonts w:eastAsia="Times New Roman"/>
          <w:noProof/>
          <w:lang w:val="en-US"/>
        </w:rPr>
        <w:t>.</w:t>
      </w:r>
    </w:p>
    <w:p w:rsidR="00BD4149" w:rsidRDefault="00BD4149" w:rsidP="00BD4149">
      <w:pPr>
        <w:spacing w:before="0" w:after="160" w:line="259" w:lineRule="auto"/>
        <w:rPr>
          <w:rFonts w:eastAsia="Times New Roman"/>
          <w:noProof/>
          <w:lang w:val="en-US"/>
        </w:rPr>
      </w:pPr>
      <w:r>
        <w:rPr>
          <w:rFonts w:eastAsia="Times New Roman"/>
          <w:noProof/>
        </w:rPr>
        <w:t xml:space="preserve">Therefore, </w:t>
      </w:r>
      <w:r>
        <w:rPr>
          <w:rFonts w:eastAsia="Times New Roman"/>
          <w:noProof/>
          <w:lang w:val="en-US"/>
        </w:rPr>
        <w:t>the appropriate legal basis for the proposed Directive is Article 91</w:t>
      </w:r>
      <w:r w:rsidRPr="0D141AB3">
        <w:rPr>
          <w:rFonts w:eastAsia="Times New Roman"/>
          <w:noProof/>
          <w:lang w:val="en-US"/>
        </w:rPr>
        <w:t>(1)</w:t>
      </w:r>
      <w:r>
        <w:rPr>
          <w:rFonts w:eastAsia="Times New Roman"/>
          <w:noProof/>
          <w:lang w:val="en-US"/>
        </w:rPr>
        <w:t>(c)</w:t>
      </w:r>
      <w:r w:rsidRPr="0D141AB3">
        <w:rPr>
          <w:rFonts w:eastAsia="Times New Roman"/>
          <w:noProof/>
          <w:lang w:val="en-US"/>
        </w:rPr>
        <w:t xml:space="preserve"> of the TFEU</w:t>
      </w:r>
      <w:r>
        <w:rPr>
          <w:rFonts w:eastAsia="Times New Roman"/>
          <w:noProof/>
          <w:lang w:val="en-US"/>
        </w:rPr>
        <w:t xml:space="preserve">. </w:t>
      </w:r>
    </w:p>
    <w:p w:rsidR="00BD4149" w:rsidRPr="00BF1125" w:rsidRDefault="00BD4149" w:rsidP="00BD4149">
      <w:pPr>
        <w:pStyle w:val="ManualHeading2"/>
        <w:rPr>
          <w:rFonts w:eastAsia="Arial Unicode MS"/>
          <w:noProof/>
          <w:u w:color="000000"/>
          <w:bdr w:val="nil"/>
          <w:lang w:val="en-US" w:eastAsia="en-GB"/>
        </w:rPr>
      </w:pPr>
      <w:r w:rsidRPr="00BF1125">
        <w:rPr>
          <w:rFonts w:eastAsia="Arial Unicode MS"/>
          <w:noProof/>
          <w:u w:color="000000"/>
          <w:bdr w:val="nil"/>
          <w:lang w:val="en-US" w:eastAsia="en-GB"/>
        </w:rPr>
        <w:t>•</w:t>
      </w:r>
      <w:r w:rsidRPr="00BF1125">
        <w:rPr>
          <w:rFonts w:eastAsia="Arial Unicode MS"/>
          <w:noProof/>
          <w:u w:color="000000"/>
          <w:bdr w:val="nil"/>
          <w:lang w:val="en-US" w:eastAsia="en-GB"/>
        </w:rPr>
        <w:tab/>
        <w:t>Choice of the instrument</w:t>
      </w:r>
    </w:p>
    <w:p w:rsidR="00BD4149" w:rsidRPr="00EC7E4D" w:rsidRDefault="00BD4149" w:rsidP="00BD4149">
      <w:pPr>
        <w:spacing w:before="0" w:after="160" w:line="257" w:lineRule="auto"/>
        <w:rPr>
          <w:rFonts w:eastAsia="Times New Roman"/>
          <w:noProof/>
          <w:szCs w:val="24"/>
          <w:lang w:val="en-US"/>
        </w:rPr>
      </w:pPr>
      <w:r w:rsidRPr="0D141AB3">
        <w:rPr>
          <w:rFonts w:eastAsia="Times New Roman"/>
          <w:noProof/>
          <w:lang w:val="en-US"/>
        </w:rPr>
        <w:t xml:space="preserve">Article </w:t>
      </w:r>
      <w:r>
        <w:rPr>
          <w:rFonts w:eastAsia="Times New Roman"/>
          <w:noProof/>
          <w:lang w:val="en-US"/>
        </w:rPr>
        <w:t>91</w:t>
      </w:r>
      <w:r w:rsidRPr="0D141AB3">
        <w:rPr>
          <w:rFonts w:eastAsia="Times New Roman"/>
          <w:noProof/>
          <w:lang w:val="en-US"/>
        </w:rPr>
        <w:t>(1)</w:t>
      </w:r>
      <w:r>
        <w:rPr>
          <w:rFonts w:eastAsia="Times New Roman"/>
          <w:noProof/>
          <w:lang w:val="en-US"/>
        </w:rPr>
        <w:t>(c)</w:t>
      </w:r>
      <w:r w:rsidRPr="0D141AB3">
        <w:rPr>
          <w:rFonts w:eastAsia="Times New Roman"/>
          <w:noProof/>
          <w:lang w:val="en-US"/>
        </w:rPr>
        <w:t xml:space="preserve"> TFEU gives the EU legislator the possibility to adopt</w:t>
      </w:r>
      <w:r>
        <w:rPr>
          <w:rFonts w:eastAsia="Times New Roman"/>
          <w:noProof/>
          <w:lang w:val="en-US"/>
        </w:rPr>
        <w:t xml:space="preserve"> both</w:t>
      </w:r>
      <w:r w:rsidRPr="0D141AB3">
        <w:rPr>
          <w:rFonts w:eastAsia="Times New Roman"/>
          <w:noProof/>
          <w:lang w:val="en-US"/>
        </w:rPr>
        <w:t xml:space="preserve"> regulations and directives.</w:t>
      </w:r>
      <w:r>
        <w:rPr>
          <w:noProof/>
        </w:rPr>
        <w:br/>
      </w:r>
      <w:r w:rsidRPr="0D141AB3">
        <w:rPr>
          <w:rFonts w:eastAsia="Times New Roman"/>
          <w:noProof/>
          <w:lang w:val="en-US"/>
        </w:rPr>
        <w:t xml:space="preserve"> </w:t>
      </w:r>
      <w:r>
        <w:rPr>
          <w:noProof/>
        </w:rPr>
        <w:br/>
      </w:r>
      <w:r w:rsidRPr="0D141AB3">
        <w:rPr>
          <w:rFonts w:eastAsia="Times New Roman"/>
          <w:noProof/>
          <w:lang w:val="en-US"/>
        </w:rPr>
        <w:t>For this proposal, a directive is the most appropriate form of instrument to be used, as t</w:t>
      </w:r>
      <w:r>
        <w:rPr>
          <w:rFonts w:eastAsia="Times New Roman"/>
          <w:noProof/>
          <w:lang w:val="en-US"/>
        </w:rPr>
        <w:t>o cater to the</w:t>
      </w:r>
      <w:r w:rsidRPr="0D141AB3">
        <w:rPr>
          <w:rFonts w:eastAsia="Times New Roman"/>
          <w:noProof/>
          <w:lang w:val="en-US"/>
        </w:rPr>
        <w:t xml:space="preserve"> differences in the</w:t>
      </w:r>
      <w:r>
        <w:rPr>
          <w:rFonts w:eastAsia="Times New Roman"/>
          <w:noProof/>
          <w:lang w:val="en-US"/>
        </w:rPr>
        <w:t xml:space="preserve"> applicable</w:t>
      </w:r>
      <w:r w:rsidRPr="0D141AB3">
        <w:rPr>
          <w:rFonts w:eastAsia="Times New Roman"/>
          <w:noProof/>
          <w:lang w:val="en-US"/>
        </w:rPr>
        <w:t xml:space="preserve"> rules on</w:t>
      </w:r>
      <w:r>
        <w:rPr>
          <w:rFonts w:eastAsia="Times New Roman"/>
          <w:noProof/>
          <w:lang w:val="en-US"/>
        </w:rPr>
        <w:t xml:space="preserve"> the imposition and</w:t>
      </w:r>
      <w:r w:rsidRPr="0D141AB3">
        <w:rPr>
          <w:rFonts w:eastAsia="Times New Roman"/>
          <w:noProof/>
          <w:lang w:val="en-US"/>
        </w:rPr>
        <w:t xml:space="preserve"> enforcement of driving disqualifications within Member States.</w:t>
      </w:r>
      <w:r w:rsidRPr="76DD42A3">
        <w:rPr>
          <w:rFonts w:eastAsia="Times New Roman"/>
          <w:noProof/>
          <w:lang w:val="en-US"/>
        </w:rPr>
        <w:t xml:space="preserve"> </w:t>
      </w:r>
    </w:p>
    <w:p w:rsidR="00BD4149" w:rsidRPr="00CB083E" w:rsidRDefault="00BD4149" w:rsidP="00BD4149">
      <w:pPr>
        <w:spacing w:before="0" w:after="160" w:line="259" w:lineRule="auto"/>
        <w:ind w:left="850" w:hanging="850"/>
        <w:rPr>
          <w:rFonts w:eastAsia="Times New Roman"/>
          <w:b/>
          <w:bCs/>
          <w:noProof/>
          <w:szCs w:val="24"/>
          <w:lang w:val="en-US"/>
        </w:rPr>
      </w:pPr>
      <w:r w:rsidRPr="00CB083E">
        <w:rPr>
          <w:rFonts w:eastAsia="Times New Roman"/>
          <w:b/>
          <w:bCs/>
          <w:noProof/>
          <w:szCs w:val="24"/>
          <w:lang w:val="en-US"/>
        </w:rPr>
        <w:t>•</w:t>
      </w:r>
      <w:r w:rsidRPr="00CB083E">
        <w:rPr>
          <w:rFonts w:ascii="Calibri" w:hAnsi="Calibri" w:cs="Arial"/>
          <w:noProof/>
          <w:sz w:val="22"/>
          <w:lang w:val="en-US"/>
        </w:rPr>
        <w:tab/>
      </w:r>
      <w:r w:rsidRPr="00CB083E">
        <w:rPr>
          <w:rFonts w:eastAsia="Times New Roman"/>
          <w:b/>
          <w:bCs/>
          <w:noProof/>
          <w:szCs w:val="24"/>
          <w:lang w:val="en-US"/>
        </w:rPr>
        <w:t xml:space="preserve">Subsidiarity (for non-exclusive competence) </w:t>
      </w:r>
    </w:p>
    <w:p w:rsidR="00BD4149" w:rsidRPr="00CB083E" w:rsidRDefault="00BD4149" w:rsidP="00BD4149">
      <w:pPr>
        <w:spacing w:before="0" w:after="160" w:line="259" w:lineRule="auto"/>
        <w:rPr>
          <w:rFonts w:eastAsia="Times New Roman"/>
          <w:noProof/>
        </w:rPr>
      </w:pPr>
      <w:r w:rsidRPr="1003313E">
        <w:rPr>
          <w:rFonts w:eastAsia="Times New Roman"/>
          <w:noProof/>
        </w:rPr>
        <w:t>Under Article 5(3) TEU, the Union shall only act if the proposed action cannot be sufficiently achieved by the Member States. Under the current legislative framework</w:t>
      </w:r>
      <w:r w:rsidR="001129B9">
        <w:rPr>
          <w:rFonts w:eastAsia="Times New Roman"/>
          <w:noProof/>
        </w:rPr>
        <w:t>,</w:t>
      </w:r>
      <w:r w:rsidRPr="1003313E">
        <w:rPr>
          <w:rFonts w:eastAsia="Times New Roman"/>
          <w:noProof/>
        </w:rPr>
        <w:t xml:space="preserve"> resident drivers who commit even the most reprehensible road traffic offences retain their right to drive in all Member States other than the Member State where the offence was committed, even if that Member State restricts such rights. The only situation where a driving disqualification has Union-wide effect is where the Member State that applies the driving disqualification was the one that issued the driving licence to the offender.</w:t>
      </w:r>
    </w:p>
    <w:p w:rsidR="00BD4149" w:rsidRPr="00CB083E" w:rsidRDefault="00BD4149" w:rsidP="00BD4149">
      <w:pPr>
        <w:spacing w:before="0" w:after="160" w:line="259" w:lineRule="auto"/>
        <w:rPr>
          <w:rFonts w:eastAsia="Times New Roman"/>
          <w:noProof/>
          <w:szCs w:val="24"/>
        </w:rPr>
      </w:pPr>
      <w:r w:rsidRPr="00CB083E">
        <w:rPr>
          <w:rFonts w:eastAsia="Times New Roman"/>
          <w:noProof/>
          <w:szCs w:val="24"/>
        </w:rPr>
        <w:t>For reasons of road safety, it is of utmost importance that a Union-wide effect be given to driving disqualifications within the European Union.</w:t>
      </w:r>
      <w:r w:rsidRPr="00CB083E">
        <w:rPr>
          <w:rFonts w:eastAsia="Times New Roman"/>
          <w:noProof/>
          <w:color w:val="0078D4"/>
          <w:szCs w:val="24"/>
        </w:rPr>
        <w:t xml:space="preserve"> </w:t>
      </w:r>
      <w:r w:rsidRPr="00CB083E">
        <w:rPr>
          <w:rFonts w:eastAsia="Times New Roman"/>
          <w:noProof/>
          <w:szCs w:val="24"/>
        </w:rPr>
        <w:t xml:space="preserve">This can only be achieved through an EU legal instrument. The decision to issue a driving licence or to deprive a person of their right by disposing the validity of that licence forms part of a Member State’s sovereignty. As such, the Union-wide effects of a driving disqualification will always be dependent on the actions of the Member State that issued the driving licence, who does not have the necessary information, legal instruments or incentive to act without Union intervention. </w:t>
      </w:r>
    </w:p>
    <w:p w:rsidR="00BD4149" w:rsidRPr="00CB083E" w:rsidRDefault="00BD4149" w:rsidP="00BD4149">
      <w:pPr>
        <w:spacing w:before="0" w:after="160" w:line="259" w:lineRule="auto"/>
        <w:ind w:left="850" w:hanging="850"/>
        <w:rPr>
          <w:rFonts w:eastAsia="Times New Roman"/>
          <w:b/>
          <w:bCs/>
          <w:noProof/>
          <w:sz w:val="20"/>
          <w:szCs w:val="20"/>
          <w:lang w:val="en-US"/>
        </w:rPr>
      </w:pPr>
      <w:r w:rsidRPr="00CB083E">
        <w:rPr>
          <w:rFonts w:eastAsia="Times New Roman"/>
          <w:b/>
          <w:bCs/>
          <w:noProof/>
          <w:sz w:val="20"/>
          <w:szCs w:val="20"/>
          <w:lang w:val="en-US"/>
        </w:rPr>
        <w:t>•</w:t>
      </w:r>
      <w:r w:rsidRPr="00CB083E">
        <w:rPr>
          <w:rFonts w:ascii="Calibri" w:hAnsi="Calibri" w:cs="Arial"/>
          <w:noProof/>
          <w:sz w:val="22"/>
          <w:lang w:val="en-US"/>
        </w:rPr>
        <w:tab/>
      </w:r>
      <w:r w:rsidRPr="00CB083E">
        <w:rPr>
          <w:rFonts w:eastAsia="Times New Roman"/>
          <w:b/>
          <w:bCs/>
          <w:noProof/>
          <w:szCs w:val="24"/>
          <w:lang w:val="en-US"/>
        </w:rPr>
        <w:t>Proportionality</w:t>
      </w:r>
    </w:p>
    <w:p w:rsidR="00BD4149" w:rsidRPr="00BF1125" w:rsidRDefault="00BD4149" w:rsidP="00BD4149">
      <w:pPr>
        <w:spacing w:line="257" w:lineRule="auto"/>
        <w:rPr>
          <w:rFonts w:eastAsia="Times New Roman"/>
          <w:noProof/>
        </w:rPr>
      </w:pPr>
      <w:r w:rsidRPr="67C01949">
        <w:rPr>
          <w:rFonts w:eastAsia="Times New Roman"/>
          <w:noProof/>
        </w:rPr>
        <w:t xml:space="preserve">The measures of this initiative do not go beyond what is necessary to achieve the objective of improving road safety through giving a Union-wide effect to driving disqualifications resulting from the commission of </w:t>
      </w:r>
      <w:r w:rsidR="000D47BA">
        <w:rPr>
          <w:rFonts w:eastAsia="Times New Roman"/>
          <w:noProof/>
        </w:rPr>
        <w:t xml:space="preserve">certain </w:t>
      </w:r>
      <w:r w:rsidRPr="67C01949">
        <w:rPr>
          <w:rFonts w:eastAsia="Times New Roman"/>
          <w:noProof/>
        </w:rPr>
        <w:t>road safety related offences. The Directive provides for the  transmission of the driving disqualification to the Member State that issued the driving licence only as regards those</w:t>
      </w:r>
      <w:r>
        <w:rPr>
          <w:rFonts w:eastAsia="Times New Roman"/>
          <w:noProof/>
        </w:rPr>
        <w:t xml:space="preserve"> major</w:t>
      </w:r>
      <w:r w:rsidRPr="67C01949">
        <w:rPr>
          <w:rFonts w:eastAsia="Times New Roman"/>
          <w:noProof/>
        </w:rPr>
        <w:t xml:space="preserve"> road</w:t>
      </w:r>
      <w:r w:rsidR="00A23C67">
        <w:rPr>
          <w:rFonts w:eastAsia="Times New Roman"/>
          <w:noProof/>
        </w:rPr>
        <w:t>-</w:t>
      </w:r>
      <w:r w:rsidRPr="67C01949">
        <w:rPr>
          <w:rFonts w:eastAsia="Times New Roman"/>
          <w:noProof/>
        </w:rPr>
        <w:t>safety</w:t>
      </w:r>
      <w:r w:rsidR="00A23C67">
        <w:rPr>
          <w:rFonts w:eastAsia="Times New Roman"/>
          <w:noProof/>
        </w:rPr>
        <w:t>-</w:t>
      </w:r>
      <w:r w:rsidRPr="67C01949">
        <w:rPr>
          <w:rFonts w:eastAsia="Times New Roman"/>
          <w:noProof/>
        </w:rPr>
        <w:t>related traffic offences, which constitute the main causes of road traffic accidents and fatalities within the EU, namely the offences of drink</w:t>
      </w:r>
      <w:r w:rsidR="003424B0">
        <w:rPr>
          <w:rFonts w:eastAsia="Times New Roman"/>
          <w:noProof/>
        </w:rPr>
        <w:t>-</w:t>
      </w:r>
      <w:r w:rsidRPr="00346BD0">
        <w:rPr>
          <w:rFonts w:eastAsia="Times New Roman"/>
          <w:noProof/>
        </w:rPr>
        <w:t>driving (driving with a blood alcohol level that surpasses the maximum value allowed by the law) and speeding</w:t>
      </w:r>
      <w:r w:rsidRPr="67C01949">
        <w:rPr>
          <w:rFonts w:eastAsia="Times New Roman"/>
          <w:noProof/>
        </w:rPr>
        <w:t xml:space="preserve"> (exceeding the speed limits in force for the road or type of vehicle concerned), as well as the offence of driving under the influence of drugs. The driving disqualification can also be transmitted if it relates to a traffic offence which has caused death or serious bodily injury.</w:t>
      </w:r>
    </w:p>
    <w:p w:rsidR="00BD4149" w:rsidRPr="00BF1125" w:rsidRDefault="00BD4149" w:rsidP="00BD4149">
      <w:pPr>
        <w:pStyle w:val="ManualHeading1"/>
        <w:rPr>
          <w:noProof/>
        </w:rPr>
      </w:pPr>
      <w:r w:rsidRPr="00BF1125">
        <w:rPr>
          <w:noProof/>
        </w:rPr>
        <w:t>3.</w:t>
      </w:r>
      <w:r w:rsidRPr="00BF1125">
        <w:rPr>
          <w:noProof/>
        </w:rPr>
        <w:tab/>
        <w:t>RESULTS OF EX-POST EVALUATIONS, STAKEHOLDER CONSULTATIONS AND IMPACT ASSESSMENTS</w:t>
      </w:r>
    </w:p>
    <w:p w:rsidR="00BD4149" w:rsidRPr="00BF1125" w:rsidRDefault="00BD4149" w:rsidP="00BD4149">
      <w:pPr>
        <w:pStyle w:val="ManualHeading2"/>
        <w:rPr>
          <w:rFonts w:eastAsia="Arial Unicode MS"/>
          <w:noProof/>
          <w:u w:color="000000"/>
          <w:bdr w:val="nil"/>
          <w:lang w:val="en-US" w:eastAsia="en-GB"/>
        </w:rPr>
      </w:pPr>
      <w:r w:rsidRPr="00BF1125">
        <w:rPr>
          <w:rFonts w:eastAsia="Arial Unicode MS"/>
          <w:noProof/>
          <w:u w:color="000000"/>
          <w:bdr w:val="nil"/>
          <w:lang w:val="en-US" w:eastAsia="en-GB"/>
        </w:rPr>
        <w:t>•</w:t>
      </w:r>
      <w:r w:rsidRPr="00BF1125">
        <w:rPr>
          <w:rFonts w:eastAsia="Arial Unicode MS"/>
          <w:noProof/>
          <w:u w:color="000000"/>
          <w:bdr w:val="nil"/>
          <w:lang w:val="en-US" w:eastAsia="en-GB"/>
        </w:rPr>
        <w:tab/>
        <w:t>Ex-post evaluations/fitness checks of existing legislation</w:t>
      </w:r>
    </w:p>
    <w:p w:rsidR="00BD4149" w:rsidRPr="0036155A" w:rsidRDefault="00BD4149" w:rsidP="00BD4149">
      <w:pPr>
        <w:spacing w:before="0" w:after="160" w:line="259" w:lineRule="auto"/>
        <w:rPr>
          <w:rFonts w:eastAsia="Times New Roman"/>
          <w:noProof/>
        </w:rPr>
      </w:pPr>
      <w:r w:rsidRPr="0D141AB3">
        <w:rPr>
          <w:rFonts w:eastAsia="Times New Roman"/>
          <w:noProof/>
        </w:rPr>
        <w:t>In 2012, a legal study</w:t>
      </w:r>
      <w:r w:rsidRPr="0D141AB3">
        <w:rPr>
          <w:rStyle w:val="FootnoteReference"/>
          <w:rFonts w:eastAsia="Times New Roman"/>
          <w:noProof/>
        </w:rPr>
        <w:footnoteReference w:id="36"/>
      </w:r>
      <w:r w:rsidRPr="0D141AB3">
        <w:rPr>
          <w:rFonts w:eastAsia="Times New Roman"/>
          <w:noProof/>
        </w:rPr>
        <w:t xml:space="preserve"> was carried out by the Commission as its principal, on the state</w:t>
      </w:r>
      <w:r w:rsidR="00A23C67">
        <w:rPr>
          <w:rFonts w:eastAsia="Times New Roman"/>
          <w:noProof/>
        </w:rPr>
        <w:t>-</w:t>
      </w:r>
      <w:r w:rsidRPr="0D141AB3">
        <w:rPr>
          <w:rFonts w:eastAsia="Times New Roman"/>
          <w:noProof/>
        </w:rPr>
        <w:t>of</w:t>
      </w:r>
      <w:r w:rsidR="00A23C67">
        <w:rPr>
          <w:rFonts w:eastAsia="Times New Roman"/>
          <w:noProof/>
        </w:rPr>
        <w:t>-</w:t>
      </w:r>
      <w:r w:rsidRPr="0D141AB3">
        <w:rPr>
          <w:rFonts w:eastAsia="Times New Roman"/>
          <w:noProof/>
        </w:rPr>
        <w:t xml:space="preserve">play of intra-EU disqualifications of three predefined areas, including driving disqualifications. The study analysed not only the relevant EU legal framework, but also the existing multinational and bilateral treaties and conventions. The study, </w:t>
      </w:r>
      <w:r w:rsidRPr="0D141AB3">
        <w:rPr>
          <w:rFonts w:eastAsia="Times New Roman"/>
          <w:i/>
          <w:iCs/>
          <w:noProof/>
        </w:rPr>
        <w:t>inter alia</w:t>
      </w:r>
      <w:r w:rsidRPr="0D141AB3">
        <w:rPr>
          <w:rFonts w:eastAsia="Times New Roman"/>
          <w:noProof/>
        </w:rPr>
        <w:t xml:space="preserve">, </w:t>
      </w:r>
      <w:r w:rsidRPr="76DD42A3">
        <w:rPr>
          <w:rFonts w:eastAsia="Times New Roman"/>
          <w:noProof/>
          <w:szCs w:val="24"/>
        </w:rPr>
        <w:t xml:space="preserve">concluded </w:t>
      </w:r>
      <w:r w:rsidRPr="0D141AB3">
        <w:rPr>
          <w:rFonts w:eastAsia="Times New Roman"/>
          <w:noProof/>
        </w:rPr>
        <w:t>that a new Directive</w:t>
      </w:r>
      <w:r>
        <w:rPr>
          <w:rFonts w:eastAsia="Times New Roman"/>
          <w:noProof/>
        </w:rPr>
        <w:t xml:space="preserve"> should</w:t>
      </w:r>
      <w:r w:rsidRPr="0D141AB3">
        <w:rPr>
          <w:rFonts w:eastAsia="Times New Roman"/>
          <w:noProof/>
        </w:rPr>
        <w:t xml:space="preserve"> be adopted,</w:t>
      </w:r>
      <w:r>
        <w:rPr>
          <w:rFonts w:eastAsia="Times New Roman"/>
          <w:noProof/>
        </w:rPr>
        <w:t xml:space="preserve"> to</w:t>
      </w:r>
      <w:r w:rsidRPr="0D141AB3">
        <w:rPr>
          <w:rFonts w:eastAsia="Times New Roman"/>
          <w:noProof/>
        </w:rPr>
        <w:t xml:space="preserve"> regulat</w:t>
      </w:r>
      <w:r>
        <w:rPr>
          <w:rFonts w:eastAsia="Times New Roman"/>
          <w:noProof/>
        </w:rPr>
        <w:t>e</w:t>
      </w:r>
      <w:r w:rsidRPr="0D141AB3">
        <w:rPr>
          <w:rFonts w:eastAsia="Times New Roman"/>
          <w:noProof/>
        </w:rPr>
        <w:t xml:space="preserve"> the cross-border enforcement of driving disqualifications.</w:t>
      </w:r>
    </w:p>
    <w:p w:rsidR="00BD4149" w:rsidRPr="0036155A" w:rsidRDefault="00BD4149" w:rsidP="00BD4149">
      <w:pPr>
        <w:spacing w:before="0" w:after="160" w:line="259" w:lineRule="auto"/>
        <w:rPr>
          <w:rFonts w:eastAsia="Times New Roman"/>
          <w:noProof/>
        </w:rPr>
      </w:pPr>
      <w:r w:rsidRPr="0D141AB3">
        <w:rPr>
          <w:rFonts w:eastAsia="Times New Roman"/>
          <w:noProof/>
        </w:rPr>
        <w:t>In 2022, the Commission has contracted a consortium composed of the companies Ecorys, Wavestone and Grimaldi to support</w:t>
      </w:r>
      <w:r w:rsidRPr="0D141AB3">
        <w:rPr>
          <w:rStyle w:val="FootnoteReference"/>
          <w:rFonts w:eastAsia="Times New Roman"/>
          <w:noProof/>
        </w:rPr>
        <w:footnoteReference w:id="37"/>
      </w:r>
      <w:r w:rsidRPr="0D141AB3">
        <w:rPr>
          <w:rFonts w:eastAsia="Times New Roman"/>
          <w:noProof/>
        </w:rPr>
        <w:t xml:space="preserve"> the Impact Assessment in the revision of Directive </w:t>
      </w:r>
      <w:r w:rsidR="00A23C67">
        <w:rPr>
          <w:rFonts w:eastAsia="Times New Roman"/>
          <w:noProof/>
        </w:rPr>
        <w:t>(EU)</w:t>
      </w:r>
      <w:r w:rsidRPr="0D141AB3">
        <w:rPr>
          <w:rFonts w:eastAsia="Times New Roman"/>
          <w:noProof/>
        </w:rPr>
        <w:t xml:space="preserve"> 2015/413. As part of th</w:t>
      </w:r>
      <w:r w:rsidR="00A23C67">
        <w:rPr>
          <w:rFonts w:eastAsia="Times New Roman"/>
          <w:noProof/>
        </w:rPr>
        <w:t>at</w:t>
      </w:r>
      <w:r w:rsidRPr="0D141AB3">
        <w:rPr>
          <w:rFonts w:eastAsia="Times New Roman"/>
          <w:noProof/>
        </w:rPr>
        <w:t xml:space="preserve"> study</w:t>
      </w:r>
      <w:r w:rsidR="00A23C67">
        <w:rPr>
          <w:rFonts w:eastAsia="Times New Roman"/>
          <w:noProof/>
        </w:rPr>
        <w:t>, an</w:t>
      </w:r>
      <w:r w:rsidRPr="0D141AB3">
        <w:rPr>
          <w:rFonts w:eastAsia="Times New Roman"/>
          <w:noProof/>
        </w:rPr>
        <w:t xml:space="preserve"> extensive research was carried out on the regulatory framework and CJEU jurisprudence concerning driving disqualifications. The conclusion</w:t>
      </w:r>
      <w:r w:rsidR="00A23C67">
        <w:rPr>
          <w:rFonts w:eastAsia="Times New Roman"/>
          <w:noProof/>
        </w:rPr>
        <w:t xml:space="preserve"> of</w:t>
      </w:r>
      <w:r w:rsidRPr="0D141AB3">
        <w:rPr>
          <w:rFonts w:eastAsia="Times New Roman"/>
          <w:noProof/>
        </w:rPr>
        <w:t xml:space="preserve"> th</w:t>
      </w:r>
      <w:r w:rsidR="00A23C67">
        <w:rPr>
          <w:rFonts w:eastAsia="Times New Roman"/>
          <w:noProof/>
        </w:rPr>
        <w:t>at</w:t>
      </w:r>
      <w:r w:rsidRPr="0D141AB3">
        <w:rPr>
          <w:rFonts w:eastAsia="Times New Roman"/>
          <w:noProof/>
        </w:rPr>
        <w:t xml:space="preserve"> research </w:t>
      </w:r>
      <w:r>
        <w:rPr>
          <w:rFonts w:eastAsia="Times New Roman"/>
          <w:noProof/>
        </w:rPr>
        <w:t>also</w:t>
      </w:r>
      <w:r w:rsidRPr="0D141AB3">
        <w:rPr>
          <w:rFonts w:eastAsia="Times New Roman"/>
          <w:noProof/>
        </w:rPr>
        <w:t xml:space="preserve"> support</w:t>
      </w:r>
      <w:r>
        <w:rPr>
          <w:rFonts w:eastAsia="Times New Roman"/>
          <w:noProof/>
        </w:rPr>
        <w:t>ed</w:t>
      </w:r>
      <w:r w:rsidRPr="0D141AB3">
        <w:rPr>
          <w:rFonts w:eastAsia="Times New Roman"/>
          <w:noProof/>
        </w:rPr>
        <w:t xml:space="preserve"> the creation of a new legal act to </w:t>
      </w:r>
      <w:r>
        <w:rPr>
          <w:rFonts w:eastAsia="Times New Roman"/>
          <w:noProof/>
        </w:rPr>
        <w:t>provide a</w:t>
      </w:r>
      <w:r w:rsidRPr="0D141AB3">
        <w:rPr>
          <w:rFonts w:eastAsia="Times New Roman"/>
          <w:noProof/>
        </w:rPr>
        <w:t xml:space="preserve"> </w:t>
      </w:r>
      <w:r w:rsidRPr="009F17A8">
        <w:rPr>
          <w:rFonts w:eastAsia="Times New Roman"/>
          <w:noProof/>
        </w:rPr>
        <w:t>Union-wide</w:t>
      </w:r>
      <w:r>
        <w:rPr>
          <w:rFonts w:eastAsia="Times New Roman"/>
          <w:noProof/>
        </w:rPr>
        <w:t xml:space="preserve"> effect of</w:t>
      </w:r>
      <w:r w:rsidRPr="009F17A8">
        <w:rPr>
          <w:rFonts w:eastAsia="Times New Roman"/>
          <w:noProof/>
        </w:rPr>
        <w:t xml:space="preserve"> dr</w:t>
      </w:r>
      <w:r>
        <w:rPr>
          <w:rFonts w:eastAsia="Times New Roman"/>
          <w:noProof/>
        </w:rPr>
        <w:t>iving disqualification</w:t>
      </w:r>
      <w:r w:rsidR="00A23C67">
        <w:rPr>
          <w:rFonts w:eastAsia="Times New Roman"/>
          <w:noProof/>
        </w:rPr>
        <w:t>s</w:t>
      </w:r>
      <w:r>
        <w:rPr>
          <w:rFonts w:eastAsia="Times New Roman"/>
          <w:noProof/>
        </w:rPr>
        <w:t xml:space="preserve"> </w:t>
      </w:r>
      <w:r w:rsidRPr="009F17A8">
        <w:rPr>
          <w:rFonts w:eastAsia="Times New Roman"/>
          <w:noProof/>
        </w:rPr>
        <w:t xml:space="preserve">through the means of mutual recognition of </w:t>
      </w:r>
      <w:r w:rsidR="00A23C67">
        <w:rPr>
          <w:rFonts w:eastAsia="Times New Roman"/>
          <w:noProof/>
        </w:rPr>
        <w:t xml:space="preserve">such </w:t>
      </w:r>
      <w:r w:rsidRPr="009F17A8">
        <w:rPr>
          <w:rFonts w:eastAsia="Times New Roman"/>
          <w:noProof/>
        </w:rPr>
        <w:t>decisions</w:t>
      </w:r>
      <w:r w:rsidRPr="0D141AB3">
        <w:rPr>
          <w:rFonts w:eastAsia="Times New Roman"/>
          <w:noProof/>
        </w:rPr>
        <w:t>.</w:t>
      </w:r>
    </w:p>
    <w:p w:rsidR="00BD4149" w:rsidRPr="0036155A" w:rsidRDefault="00BD4149" w:rsidP="00BD4149">
      <w:pPr>
        <w:spacing w:before="0" w:after="160" w:line="259" w:lineRule="auto"/>
        <w:rPr>
          <w:rFonts w:eastAsia="Times New Roman"/>
          <w:noProof/>
          <w:lang w:val="en-US"/>
        </w:rPr>
      </w:pPr>
      <w:r>
        <w:rPr>
          <w:rFonts w:eastAsia="Times New Roman"/>
          <w:noProof/>
        </w:rPr>
        <w:t>As mentioned above, t</w:t>
      </w:r>
      <w:r w:rsidRPr="76DD42A3">
        <w:rPr>
          <w:rFonts w:eastAsia="Times New Roman"/>
          <w:noProof/>
        </w:rPr>
        <w:t xml:space="preserve">he situation in which a Member State suspends, pursuant to its national legislation and on account of unlawful conduct in its territory, the right to drive of the holder of a driving licence issued by another Member State is at present partially governed by </w:t>
      </w:r>
      <w:r w:rsidRPr="76DD42A3">
        <w:rPr>
          <w:rFonts w:eastAsia="Times New Roman"/>
          <w:noProof/>
          <w:lang w:val="en-US"/>
        </w:rPr>
        <w:t>Directive 2006/126/EC.</w:t>
      </w:r>
    </w:p>
    <w:p w:rsidR="00BD4149" w:rsidRPr="00CB083E" w:rsidRDefault="00BD4149" w:rsidP="00BD4149">
      <w:pPr>
        <w:spacing w:before="0" w:after="160" w:line="259" w:lineRule="auto"/>
        <w:rPr>
          <w:rFonts w:eastAsia="Times New Roman"/>
          <w:noProof/>
        </w:rPr>
      </w:pPr>
      <w:r w:rsidRPr="0D141AB3">
        <w:rPr>
          <w:rFonts w:eastAsia="Times New Roman"/>
          <w:noProof/>
        </w:rPr>
        <w:t>The European Commission has published in 2022 an ex-post evaluation</w:t>
      </w:r>
      <w:r w:rsidRPr="0D141AB3">
        <w:rPr>
          <w:rStyle w:val="FootnoteReference"/>
          <w:rFonts w:eastAsia="Times New Roman"/>
          <w:noProof/>
        </w:rPr>
        <w:footnoteReference w:id="38"/>
      </w:r>
      <w:r w:rsidRPr="0D141AB3">
        <w:rPr>
          <w:rFonts w:eastAsia="Times New Roman"/>
          <w:noProof/>
        </w:rPr>
        <w:t xml:space="preserve"> of</w:t>
      </w:r>
      <w:r w:rsidR="00D34BE4">
        <w:rPr>
          <w:rFonts w:eastAsia="Times New Roman"/>
          <w:noProof/>
        </w:rPr>
        <w:t xml:space="preserve"> that</w:t>
      </w:r>
      <w:r w:rsidRPr="0D141AB3">
        <w:rPr>
          <w:rFonts w:eastAsia="Times New Roman"/>
          <w:noProof/>
        </w:rPr>
        <w:t xml:space="preserve"> Directive. </w:t>
      </w:r>
      <w:r w:rsidR="00D34BE4">
        <w:rPr>
          <w:rFonts w:eastAsia="Times New Roman"/>
          <w:noProof/>
          <w:lang w:val="en-US"/>
        </w:rPr>
        <w:t>It</w:t>
      </w:r>
      <w:r w:rsidRPr="0D141AB3">
        <w:rPr>
          <w:rFonts w:eastAsia="Times New Roman"/>
          <w:noProof/>
        </w:rPr>
        <w:t xml:space="preserve"> demonstrated that the combined action of Directive 2006/126/EC and its two predecessors </w:t>
      </w:r>
      <w:r w:rsidRPr="76DD42A3">
        <w:rPr>
          <w:rFonts w:eastAsia="Times New Roman"/>
          <w:noProof/>
          <w:szCs w:val="24"/>
        </w:rPr>
        <w:t xml:space="preserve">on driving licences </w:t>
      </w:r>
      <w:r w:rsidRPr="0D141AB3">
        <w:rPr>
          <w:rFonts w:eastAsia="Times New Roman"/>
          <w:noProof/>
        </w:rPr>
        <w:t>resulted in a common safety level for road users within the Union and has facilitated free movement. It also showed that there is scope for further enhancing the level of road safety within the Union as well as the efficiency and proportionality of some of the regulatory requirements.</w:t>
      </w:r>
    </w:p>
    <w:p w:rsidR="00BD4149" w:rsidRPr="00BF1125" w:rsidRDefault="00BD4149" w:rsidP="00BD4149">
      <w:pPr>
        <w:pStyle w:val="ManualHeading2"/>
        <w:rPr>
          <w:rFonts w:eastAsia="Arial Unicode MS"/>
          <w:noProof/>
          <w:u w:color="000000"/>
          <w:bdr w:val="nil"/>
          <w:lang w:val="en-US" w:eastAsia="en-GB"/>
        </w:rPr>
      </w:pPr>
      <w:r w:rsidRPr="00BF1125">
        <w:rPr>
          <w:rFonts w:eastAsia="Arial Unicode MS"/>
          <w:noProof/>
          <w:u w:color="000000"/>
          <w:bdr w:val="nil"/>
          <w:lang w:val="en-US" w:eastAsia="en-GB"/>
        </w:rPr>
        <w:t>•</w:t>
      </w:r>
      <w:r w:rsidRPr="00BF1125">
        <w:rPr>
          <w:rFonts w:eastAsia="Arial Unicode MS"/>
          <w:noProof/>
          <w:u w:color="000000"/>
          <w:bdr w:val="nil"/>
          <w:lang w:val="en-US" w:eastAsia="en-GB"/>
        </w:rPr>
        <w:tab/>
        <w:t>Stakeholder consultations</w:t>
      </w:r>
    </w:p>
    <w:p w:rsidR="00BD4149" w:rsidRPr="00CB083E" w:rsidRDefault="00BD4149" w:rsidP="00BD4149">
      <w:pPr>
        <w:spacing w:before="0" w:after="160" w:line="259" w:lineRule="auto"/>
        <w:rPr>
          <w:rFonts w:eastAsia="Times New Roman"/>
          <w:noProof/>
          <w:lang w:val="en-US"/>
        </w:rPr>
      </w:pPr>
      <w:r w:rsidRPr="0D141AB3">
        <w:rPr>
          <w:rFonts w:eastAsia="Times New Roman"/>
          <w:noProof/>
          <w:lang w:val="en-US"/>
        </w:rPr>
        <w:t>In line with the Better Regulation Guidelines</w:t>
      </w:r>
      <w:r w:rsidRPr="0D141AB3">
        <w:rPr>
          <w:rStyle w:val="FootnoteReference"/>
          <w:rFonts w:eastAsia="Times New Roman"/>
          <w:noProof/>
          <w:lang w:val="en-US"/>
        </w:rPr>
        <w:footnoteReference w:id="39"/>
      </w:r>
      <w:r w:rsidRPr="0D141AB3">
        <w:rPr>
          <w:rFonts w:eastAsia="Times New Roman"/>
          <w:noProof/>
          <w:lang w:val="en-US"/>
        </w:rPr>
        <w:t xml:space="preserve"> </w:t>
      </w:r>
      <w:r w:rsidRPr="76DD42A3">
        <w:rPr>
          <w:rFonts w:eastAsia="Times New Roman"/>
          <w:noProof/>
          <w:szCs w:val="24"/>
          <w:lang w:val="en-US"/>
        </w:rPr>
        <w:t>during the ex-post evaluation of Directive 2006/126/EC and the impact assessment</w:t>
      </w:r>
      <w:r w:rsidR="00D34BE4">
        <w:rPr>
          <w:rFonts w:eastAsia="Times New Roman"/>
          <w:noProof/>
          <w:szCs w:val="24"/>
          <w:lang w:val="en-US"/>
        </w:rPr>
        <w:t xml:space="preserve"> </w:t>
      </w:r>
      <w:r w:rsidR="00D34BE4" w:rsidRPr="00FF5709">
        <w:rPr>
          <w:rFonts w:eastAsia="Times New Roman"/>
          <w:noProof/>
          <w:szCs w:val="24"/>
          <w:lang w:val="en-US"/>
        </w:rPr>
        <w:t xml:space="preserve">on the revision of that directive, </w:t>
      </w:r>
      <w:r w:rsidR="00D34BE4" w:rsidRPr="00FF5709">
        <w:rPr>
          <w:rFonts w:eastAsia="Times New Roman"/>
          <w:noProof/>
          <w:lang w:val="en-US"/>
        </w:rPr>
        <w:t>stakeholder</w:t>
      </w:r>
      <w:r w:rsidRPr="76DD42A3">
        <w:rPr>
          <w:rFonts w:eastAsia="Times New Roman"/>
          <w:noProof/>
          <w:szCs w:val="24"/>
          <w:lang w:val="en-US"/>
        </w:rPr>
        <w:t xml:space="preserve"> </w:t>
      </w:r>
      <w:r w:rsidRPr="0D141AB3">
        <w:rPr>
          <w:rFonts w:eastAsia="Times New Roman"/>
          <w:noProof/>
          <w:lang w:val="en-US"/>
        </w:rPr>
        <w:t>consultations were carried out</w:t>
      </w:r>
      <w:r w:rsidR="00D34BE4">
        <w:rPr>
          <w:rFonts w:eastAsia="Times New Roman"/>
          <w:noProof/>
          <w:lang w:val="en-US"/>
        </w:rPr>
        <w:t xml:space="preserve"> </w:t>
      </w:r>
      <w:r w:rsidR="00D34BE4" w:rsidRPr="00FF5709">
        <w:rPr>
          <w:rFonts w:eastAsia="Times New Roman"/>
          <w:noProof/>
          <w:lang w:val="en-US"/>
        </w:rPr>
        <w:t>also with regard to</w:t>
      </w:r>
      <w:r w:rsidRPr="0D141AB3">
        <w:rPr>
          <w:rFonts w:eastAsia="Times New Roman"/>
          <w:noProof/>
          <w:lang w:val="en-US"/>
        </w:rPr>
        <w:t xml:space="preserve"> this proposal.</w:t>
      </w:r>
    </w:p>
    <w:p w:rsidR="00BD4149" w:rsidRPr="00CB083E" w:rsidRDefault="00BD4149" w:rsidP="00BD4149">
      <w:pPr>
        <w:spacing w:before="0" w:after="160" w:line="259" w:lineRule="auto"/>
        <w:rPr>
          <w:rFonts w:eastAsia="Times New Roman"/>
          <w:noProof/>
        </w:rPr>
      </w:pPr>
      <w:r w:rsidRPr="76DD42A3">
        <w:rPr>
          <w:rFonts w:eastAsia="Times New Roman"/>
          <w:noProof/>
          <w:lang w:val="en-US"/>
        </w:rPr>
        <w:t>During the</w:t>
      </w:r>
      <w:r w:rsidR="009D0FDC">
        <w:rPr>
          <w:rFonts w:eastAsia="Times New Roman"/>
          <w:noProof/>
          <w:lang w:val="en-US"/>
        </w:rPr>
        <w:t xml:space="preserve"> </w:t>
      </w:r>
      <w:r w:rsidR="009D0FDC" w:rsidRPr="00FF5709">
        <w:rPr>
          <w:rFonts w:eastAsia="Times New Roman"/>
          <w:noProof/>
          <w:lang w:val="en-US"/>
        </w:rPr>
        <w:t>preparatory phase of the</w:t>
      </w:r>
      <w:r w:rsidRPr="76DD42A3">
        <w:rPr>
          <w:rFonts w:eastAsia="Times New Roman"/>
          <w:noProof/>
          <w:lang w:val="en-US"/>
        </w:rPr>
        <w:t xml:space="preserve"> ex-post evaluation, a </w:t>
      </w:r>
      <w:r w:rsidRPr="76DD42A3">
        <w:rPr>
          <w:rFonts w:eastAsia="Times New Roman"/>
          <w:noProof/>
        </w:rPr>
        <w:t xml:space="preserve">stakeholder workshop was conducted on 16 October 2020, for the purpose of gathering evidence, confirming identified findings, seeking feedback on emerging findings and collecting views. </w:t>
      </w:r>
    </w:p>
    <w:p w:rsidR="00BD4149" w:rsidRPr="00CB083E" w:rsidRDefault="00BD4149" w:rsidP="00BD4149">
      <w:pPr>
        <w:spacing w:before="0" w:after="160" w:line="259" w:lineRule="auto"/>
        <w:rPr>
          <w:rFonts w:eastAsia="Times New Roman"/>
          <w:noProof/>
          <w:szCs w:val="24"/>
        </w:rPr>
      </w:pPr>
      <w:r w:rsidRPr="00CB083E">
        <w:rPr>
          <w:rFonts w:eastAsia="Times New Roman"/>
          <w:noProof/>
          <w:szCs w:val="24"/>
        </w:rPr>
        <w:t>An open public consultation was then held between 28 October 2020 and 20 January 2021, allowing the interested public and stakeholders to express their views on the rules in force.</w:t>
      </w:r>
    </w:p>
    <w:p w:rsidR="00BD4149" w:rsidRPr="00CB083E" w:rsidRDefault="00BD4149" w:rsidP="00BD4149">
      <w:pPr>
        <w:spacing w:before="0" w:after="160" w:line="259" w:lineRule="auto"/>
        <w:rPr>
          <w:rFonts w:eastAsia="Times New Roman"/>
          <w:noProof/>
          <w:szCs w:val="24"/>
        </w:rPr>
      </w:pPr>
      <w:r w:rsidRPr="00CB083E">
        <w:rPr>
          <w:rFonts w:eastAsia="Times New Roman"/>
          <w:noProof/>
          <w:szCs w:val="24"/>
        </w:rPr>
        <w:t>During the</w:t>
      </w:r>
      <w:r w:rsidR="00632D08">
        <w:rPr>
          <w:rFonts w:eastAsia="Times New Roman"/>
          <w:noProof/>
          <w:szCs w:val="24"/>
        </w:rPr>
        <w:t xml:space="preserve"> </w:t>
      </w:r>
      <w:r w:rsidR="00632D08" w:rsidRPr="00FF5709">
        <w:rPr>
          <w:rFonts w:eastAsia="Times New Roman"/>
          <w:noProof/>
          <w:szCs w:val="24"/>
        </w:rPr>
        <w:t>preparatory phase of the</w:t>
      </w:r>
      <w:r w:rsidRPr="00CB083E">
        <w:rPr>
          <w:rFonts w:eastAsia="Times New Roman"/>
          <w:noProof/>
          <w:szCs w:val="24"/>
        </w:rPr>
        <w:t xml:space="preserve"> impact assessment, interested parties had the possibility to provide feedback on the Inception Impact Assessment (Q2 2021). Subsequently, the following targeted consultation activities were carried out:</w:t>
      </w:r>
    </w:p>
    <w:p w:rsidR="00BD4149" w:rsidRPr="00632D08" w:rsidRDefault="00BD4149" w:rsidP="00632D08">
      <w:pPr>
        <w:pStyle w:val="ListParagraph"/>
        <w:numPr>
          <w:ilvl w:val="0"/>
          <w:numId w:val="48"/>
        </w:numPr>
        <w:spacing w:line="259" w:lineRule="auto"/>
        <w:rPr>
          <w:rFonts w:eastAsia="Times New Roman"/>
          <w:noProof/>
          <w:szCs w:val="24"/>
        </w:rPr>
      </w:pPr>
      <w:r w:rsidRPr="00632D08">
        <w:rPr>
          <w:rFonts w:eastAsia="Times New Roman"/>
          <w:noProof/>
          <w:sz w:val="24"/>
          <w:szCs w:val="24"/>
        </w:rPr>
        <w:t>Two rounds of interviews:</w:t>
      </w:r>
    </w:p>
    <w:p w:rsidR="00BD4149" w:rsidRPr="005E60F2" w:rsidRDefault="00BD4149" w:rsidP="00BD4149">
      <w:pPr>
        <w:pStyle w:val="Bullet1"/>
        <w:rPr>
          <w:noProof/>
        </w:rPr>
      </w:pPr>
      <w:r w:rsidRPr="005E60F2">
        <w:rPr>
          <w:noProof/>
        </w:rPr>
        <w:t>Exploratory interviews during the inception phase (Q1 and Q2 2022)</w:t>
      </w:r>
    </w:p>
    <w:p w:rsidR="00BD4149" w:rsidRPr="005E60F2" w:rsidRDefault="00BD4149" w:rsidP="00BD4149">
      <w:pPr>
        <w:pStyle w:val="Bullet1"/>
        <w:rPr>
          <w:noProof/>
        </w:rPr>
      </w:pPr>
      <w:r w:rsidRPr="005E60F2">
        <w:rPr>
          <w:noProof/>
        </w:rPr>
        <w:t>In-depth interviews to plug information gaps and assess the expected impacts of policy measures (Q2 and Q3 2021).</w:t>
      </w:r>
    </w:p>
    <w:p w:rsidR="00BD4149" w:rsidRPr="00CB083E" w:rsidRDefault="00BD4149" w:rsidP="00632D08">
      <w:pPr>
        <w:pStyle w:val="ListParagraph"/>
        <w:numPr>
          <w:ilvl w:val="0"/>
          <w:numId w:val="48"/>
        </w:numPr>
        <w:spacing w:line="259" w:lineRule="auto"/>
        <w:rPr>
          <w:rFonts w:eastAsia="Times New Roman"/>
          <w:noProof/>
          <w:szCs w:val="24"/>
        </w:rPr>
      </w:pPr>
      <w:r w:rsidRPr="00632D08">
        <w:rPr>
          <w:rFonts w:eastAsia="Times New Roman"/>
          <w:noProof/>
          <w:sz w:val="24"/>
          <w:szCs w:val="24"/>
        </w:rPr>
        <w:t>Two rounds of surveys:</w:t>
      </w:r>
    </w:p>
    <w:p w:rsidR="00BD4149" w:rsidRPr="005E60F2" w:rsidRDefault="00BD4149" w:rsidP="00BD4149">
      <w:pPr>
        <w:pStyle w:val="Bullet1"/>
        <w:rPr>
          <w:noProof/>
        </w:rPr>
      </w:pPr>
      <w:r w:rsidRPr="005E60F2">
        <w:rPr>
          <w:noProof/>
        </w:rPr>
        <w:t xml:space="preserve">A survey to substantiate the problem analysis (Q2 2022). </w:t>
      </w:r>
    </w:p>
    <w:p w:rsidR="00BD4149" w:rsidRPr="005E60F2" w:rsidRDefault="00BD4149" w:rsidP="00BD4149">
      <w:pPr>
        <w:pStyle w:val="Bullet1"/>
        <w:rPr>
          <w:noProof/>
        </w:rPr>
      </w:pPr>
      <w:r w:rsidRPr="005E60F2">
        <w:rPr>
          <w:noProof/>
        </w:rPr>
        <w:t>A survey to assess the impact of policy measures (Q2 and Q3 2022).</w:t>
      </w:r>
    </w:p>
    <w:p w:rsidR="00BD4149" w:rsidRPr="00CB083E" w:rsidRDefault="00BD4149" w:rsidP="00BD4149">
      <w:pPr>
        <w:spacing w:before="0" w:after="160" w:line="259" w:lineRule="auto"/>
        <w:rPr>
          <w:rFonts w:eastAsia="Times New Roman"/>
          <w:noProof/>
          <w:szCs w:val="24"/>
        </w:rPr>
      </w:pPr>
      <w:r w:rsidRPr="00CB083E">
        <w:rPr>
          <w:rFonts w:eastAsia="Times New Roman"/>
          <w:noProof/>
          <w:szCs w:val="24"/>
        </w:rPr>
        <w:t>Finally, a new open public consultation took place in Q3 2022.</w:t>
      </w:r>
    </w:p>
    <w:p w:rsidR="00BD4149" w:rsidRPr="00CB083E" w:rsidRDefault="00BD4149" w:rsidP="00BD4149">
      <w:pPr>
        <w:spacing w:before="0" w:after="160" w:line="259" w:lineRule="auto"/>
        <w:rPr>
          <w:rFonts w:eastAsia="Times New Roman"/>
          <w:noProof/>
          <w:lang w:val="en-US"/>
        </w:rPr>
      </w:pPr>
      <w:r w:rsidRPr="0D141AB3">
        <w:rPr>
          <w:rFonts w:eastAsia="Times New Roman"/>
          <w:noProof/>
          <w:lang w:val="en-US"/>
        </w:rPr>
        <w:t>The European Parliament is in favour of a strengthening</w:t>
      </w:r>
      <w:r w:rsidR="00632D08">
        <w:rPr>
          <w:rFonts w:eastAsia="Times New Roman"/>
          <w:noProof/>
          <w:lang w:val="en-US"/>
        </w:rPr>
        <w:t xml:space="preserve"> of the</w:t>
      </w:r>
      <w:r w:rsidRPr="0D141AB3">
        <w:rPr>
          <w:rFonts w:eastAsia="Times New Roman"/>
          <w:noProof/>
          <w:lang w:val="en-US"/>
        </w:rPr>
        <w:t xml:space="preserve"> road safety</w:t>
      </w:r>
      <w:r w:rsidR="00632D08">
        <w:rPr>
          <w:rFonts w:eastAsia="Times New Roman"/>
          <w:noProof/>
          <w:lang w:val="en-US"/>
        </w:rPr>
        <w:t xml:space="preserve"> framework</w:t>
      </w:r>
      <w:r w:rsidRPr="0D141AB3">
        <w:rPr>
          <w:rFonts w:eastAsia="Times New Roman"/>
          <w:noProof/>
          <w:lang w:val="en-US"/>
        </w:rPr>
        <w:t xml:space="preserve"> notably by introducing an instrument for the mutual recognition of driving disqualifications</w:t>
      </w:r>
      <w:r w:rsidR="00632D08">
        <w:rPr>
          <w:rStyle w:val="FootnoteReference"/>
          <w:rFonts w:eastAsia="Times New Roman"/>
          <w:noProof/>
          <w:lang w:val="en-US"/>
        </w:rPr>
        <w:footnoteReference w:id="40"/>
      </w:r>
      <w:r w:rsidRPr="0D141AB3">
        <w:rPr>
          <w:rFonts w:eastAsia="Times New Roman"/>
          <w:noProof/>
          <w:lang w:val="en-US"/>
        </w:rPr>
        <w:t>.</w:t>
      </w:r>
    </w:p>
    <w:p w:rsidR="00BD4149" w:rsidRPr="00BF1125" w:rsidRDefault="00BD4149" w:rsidP="00BD4149">
      <w:pPr>
        <w:pStyle w:val="ManualHeading2"/>
        <w:rPr>
          <w:rFonts w:eastAsia="Arial Unicode MS"/>
          <w:noProof/>
          <w:u w:color="000000"/>
          <w:bdr w:val="nil"/>
          <w:lang w:val="en-US" w:eastAsia="en-GB"/>
        </w:rPr>
      </w:pPr>
      <w:r w:rsidRPr="00BF1125">
        <w:rPr>
          <w:rFonts w:eastAsia="Arial Unicode MS"/>
          <w:noProof/>
          <w:u w:color="000000"/>
          <w:bdr w:val="nil"/>
          <w:lang w:val="en-US" w:eastAsia="en-GB"/>
        </w:rPr>
        <w:t>•</w:t>
      </w:r>
      <w:r w:rsidRPr="00BF1125">
        <w:rPr>
          <w:rFonts w:eastAsia="Arial Unicode MS"/>
          <w:noProof/>
          <w:u w:color="000000"/>
          <w:bdr w:val="nil"/>
          <w:lang w:val="en-US" w:eastAsia="en-GB"/>
        </w:rPr>
        <w:tab/>
        <w:t>Collection and use of expertise</w:t>
      </w:r>
    </w:p>
    <w:p w:rsidR="00BD4149" w:rsidRPr="00CB083E" w:rsidRDefault="00BD4149" w:rsidP="00BD4149">
      <w:pPr>
        <w:spacing w:before="0" w:after="160" w:line="259" w:lineRule="auto"/>
        <w:rPr>
          <w:rFonts w:eastAsia="Times New Roman"/>
          <w:noProof/>
        </w:rPr>
      </w:pPr>
      <w:r w:rsidRPr="76DD42A3">
        <w:rPr>
          <w:rFonts w:eastAsia="Times New Roman"/>
          <w:noProof/>
        </w:rPr>
        <w:t xml:space="preserve">During the </w:t>
      </w:r>
      <w:r w:rsidRPr="76DD42A3">
        <w:rPr>
          <w:rFonts w:eastAsia="Times New Roman"/>
          <w:noProof/>
          <w:lang w:val="en-US"/>
        </w:rPr>
        <w:t xml:space="preserve">impact assessment phase, </w:t>
      </w:r>
      <w:r w:rsidRPr="76DD42A3">
        <w:rPr>
          <w:rFonts w:eastAsia="Times New Roman"/>
          <w:noProof/>
        </w:rPr>
        <w:t>an expert workshop on the consequences of road traffic offences and medical fitness (Q2 2022) took place.</w:t>
      </w:r>
    </w:p>
    <w:p w:rsidR="00BD4149" w:rsidRPr="00BF1125" w:rsidRDefault="00BD4149" w:rsidP="00BD4149">
      <w:pPr>
        <w:spacing w:before="0" w:after="160" w:line="259" w:lineRule="auto"/>
        <w:rPr>
          <w:rFonts w:eastAsia="Times New Roman"/>
          <w:noProof/>
        </w:rPr>
      </w:pPr>
      <w:r w:rsidRPr="76DD42A3">
        <w:rPr>
          <w:rFonts w:eastAsia="Times New Roman"/>
          <w:noProof/>
        </w:rPr>
        <w:t>During the</w:t>
      </w:r>
      <w:r w:rsidR="00BE2FFD">
        <w:rPr>
          <w:rFonts w:eastAsia="Times New Roman"/>
          <w:noProof/>
        </w:rPr>
        <w:t xml:space="preserve"> </w:t>
      </w:r>
      <w:r w:rsidR="00BE2FFD" w:rsidRPr="00FF5709">
        <w:rPr>
          <w:rFonts w:eastAsia="Times New Roman"/>
          <w:noProof/>
        </w:rPr>
        <w:t>preparatory phases of both the</w:t>
      </w:r>
      <w:r w:rsidRPr="76DD42A3">
        <w:rPr>
          <w:rFonts w:eastAsia="Times New Roman"/>
          <w:noProof/>
        </w:rPr>
        <w:t xml:space="preserve"> ex-post evaluation phase and </w:t>
      </w:r>
      <w:r w:rsidR="00BE2FFD">
        <w:rPr>
          <w:rFonts w:eastAsia="Times New Roman"/>
          <w:noProof/>
        </w:rPr>
        <w:t xml:space="preserve">the </w:t>
      </w:r>
      <w:r w:rsidRPr="76DD42A3">
        <w:rPr>
          <w:rFonts w:eastAsia="Times New Roman"/>
          <w:noProof/>
        </w:rPr>
        <w:t>impact assessment, the committee on driving licences established under Article 9 of Directive 2006/</w:t>
      </w:r>
      <w:r w:rsidR="00BE2FFD">
        <w:rPr>
          <w:rFonts w:eastAsia="Times New Roman"/>
          <w:noProof/>
        </w:rPr>
        <w:t>126/</w:t>
      </w:r>
      <w:r w:rsidRPr="76DD42A3">
        <w:rPr>
          <w:rFonts w:eastAsia="Times New Roman"/>
          <w:noProof/>
        </w:rPr>
        <w:t>EC, composed essentially by Member States experts, was constantly informed and consulted.</w:t>
      </w:r>
    </w:p>
    <w:p w:rsidR="00BD4149" w:rsidRPr="00BF1125" w:rsidRDefault="00BD4149" w:rsidP="00BD4149">
      <w:pPr>
        <w:pStyle w:val="ManualHeading2"/>
        <w:rPr>
          <w:rFonts w:eastAsia="Arial Unicode MS"/>
          <w:noProof/>
          <w:u w:color="000000"/>
          <w:bdr w:val="nil"/>
          <w:lang w:val="en-US" w:eastAsia="en-GB"/>
        </w:rPr>
      </w:pPr>
      <w:r w:rsidRPr="00BF1125">
        <w:rPr>
          <w:rFonts w:eastAsia="Arial Unicode MS"/>
          <w:noProof/>
          <w:u w:color="000000"/>
          <w:bdr w:val="nil"/>
          <w:lang w:val="en-US" w:eastAsia="en-GB"/>
        </w:rPr>
        <w:t>•</w:t>
      </w:r>
      <w:r w:rsidRPr="00BF1125">
        <w:rPr>
          <w:rFonts w:eastAsia="Arial Unicode MS"/>
          <w:noProof/>
          <w:u w:color="000000"/>
          <w:bdr w:val="nil"/>
          <w:lang w:val="en-US" w:eastAsia="en-GB"/>
        </w:rPr>
        <w:tab/>
        <w:t>Impact assessment</w:t>
      </w:r>
    </w:p>
    <w:p w:rsidR="00BD4149" w:rsidRPr="00CB083E" w:rsidRDefault="00BD4149" w:rsidP="00BD4149">
      <w:pPr>
        <w:spacing w:before="0" w:after="160" w:line="259" w:lineRule="auto"/>
        <w:rPr>
          <w:rFonts w:eastAsia="Times New Roman"/>
          <w:noProof/>
        </w:rPr>
      </w:pPr>
      <w:r w:rsidRPr="0D141AB3">
        <w:rPr>
          <w:rFonts w:eastAsia="Times New Roman"/>
          <w:noProof/>
        </w:rPr>
        <w:t>An impact assessment has been carried out</w:t>
      </w:r>
      <w:r w:rsidRPr="0D141AB3">
        <w:rPr>
          <w:rStyle w:val="FootnoteReference"/>
          <w:rFonts w:eastAsia="Times New Roman"/>
          <w:noProof/>
        </w:rPr>
        <w:footnoteReference w:id="41"/>
      </w:r>
      <w:r w:rsidRPr="0D141AB3">
        <w:rPr>
          <w:rFonts w:eastAsia="Times New Roman"/>
          <w:noProof/>
        </w:rPr>
        <w:t xml:space="preserve"> on the revision of Directive 2006/126/EC, including elements on driving disqualifications. The impact assessment was approved by written procedure and received a positive opinion without comments by the Regulatory Scrutiny Board on 18 November 2022</w:t>
      </w:r>
      <w:r w:rsidRPr="0D141AB3">
        <w:rPr>
          <w:rStyle w:val="FootnoteReference"/>
          <w:rFonts w:eastAsia="Times New Roman"/>
          <w:noProof/>
        </w:rPr>
        <w:footnoteReference w:id="42"/>
      </w:r>
      <w:r w:rsidRPr="0D141AB3">
        <w:rPr>
          <w:rFonts w:eastAsia="Times New Roman"/>
          <w:noProof/>
        </w:rPr>
        <w:t xml:space="preserve">. Furthermore, the preparatory work on the </w:t>
      </w:r>
      <w:r w:rsidR="00336BF4">
        <w:rPr>
          <w:rFonts w:eastAsia="Times New Roman"/>
          <w:noProof/>
        </w:rPr>
        <w:t>r</w:t>
      </w:r>
      <w:r w:rsidRPr="0D141AB3">
        <w:rPr>
          <w:rFonts w:eastAsia="Times New Roman"/>
          <w:noProof/>
        </w:rPr>
        <w:t>evision of Directive</w:t>
      </w:r>
      <w:r w:rsidR="00336BF4">
        <w:rPr>
          <w:rFonts w:eastAsia="Times New Roman"/>
          <w:noProof/>
        </w:rPr>
        <w:t xml:space="preserve"> (EU)</w:t>
      </w:r>
      <w:r w:rsidRPr="0D141AB3">
        <w:rPr>
          <w:rFonts w:eastAsia="Times New Roman"/>
          <w:noProof/>
        </w:rPr>
        <w:t xml:space="preserve"> 2015/413 has also substantially dealt with the matter of</w:t>
      </w:r>
      <w:r>
        <w:rPr>
          <w:rFonts w:eastAsia="Times New Roman"/>
          <w:noProof/>
        </w:rPr>
        <w:t xml:space="preserve"> providing a</w:t>
      </w:r>
      <w:r w:rsidRPr="0D141AB3">
        <w:rPr>
          <w:rFonts w:eastAsia="Times New Roman"/>
          <w:noProof/>
        </w:rPr>
        <w:t xml:space="preserve"> </w:t>
      </w:r>
      <w:r w:rsidRPr="009F17A8">
        <w:rPr>
          <w:rFonts w:eastAsia="Times New Roman"/>
          <w:noProof/>
        </w:rPr>
        <w:t>Union-wide</w:t>
      </w:r>
      <w:r>
        <w:rPr>
          <w:rFonts w:eastAsia="Times New Roman"/>
          <w:noProof/>
        </w:rPr>
        <w:t xml:space="preserve"> effect of</w:t>
      </w:r>
      <w:r w:rsidRPr="009F17A8">
        <w:rPr>
          <w:rFonts w:eastAsia="Times New Roman"/>
          <w:noProof/>
        </w:rPr>
        <w:t xml:space="preserve"> dr</w:t>
      </w:r>
      <w:r>
        <w:rPr>
          <w:rFonts w:eastAsia="Times New Roman"/>
          <w:noProof/>
        </w:rPr>
        <w:t xml:space="preserve">iving disqualification </w:t>
      </w:r>
      <w:r w:rsidRPr="009F17A8">
        <w:rPr>
          <w:rFonts w:eastAsia="Times New Roman"/>
          <w:noProof/>
        </w:rPr>
        <w:t>through the means of mutual recognition of decisions</w:t>
      </w:r>
      <w:r w:rsidRPr="0D141AB3">
        <w:rPr>
          <w:rFonts w:eastAsia="Times New Roman"/>
          <w:noProof/>
        </w:rPr>
        <w:t xml:space="preserve">. The outcome of the research work confirmed that driving disqualification should be </w:t>
      </w:r>
      <w:r>
        <w:rPr>
          <w:rFonts w:eastAsia="Times New Roman"/>
          <w:noProof/>
        </w:rPr>
        <w:t>included in</w:t>
      </w:r>
      <w:r w:rsidRPr="0D141AB3">
        <w:rPr>
          <w:rFonts w:eastAsia="Times New Roman"/>
          <w:noProof/>
        </w:rPr>
        <w:t xml:space="preserve"> the revision of Directive 2006/126/EC</w:t>
      </w:r>
      <w:r>
        <w:rPr>
          <w:rFonts w:eastAsia="Times New Roman"/>
          <w:noProof/>
        </w:rPr>
        <w:t>, especially as it would not fall within the scope of</w:t>
      </w:r>
      <w:r w:rsidRPr="0D141AB3">
        <w:rPr>
          <w:rFonts w:eastAsia="Times New Roman"/>
          <w:noProof/>
        </w:rPr>
        <w:t xml:space="preserve"> Directive</w:t>
      </w:r>
      <w:r w:rsidR="00336BF4">
        <w:rPr>
          <w:rFonts w:eastAsia="Times New Roman"/>
          <w:noProof/>
        </w:rPr>
        <w:t xml:space="preserve"> (EU)</w:t>
      </w:r>
      <w:r w:rsidRPr="0D141AB3">
        <w:rPr>
          <w:rFonts w:eastAsia="Times New Roman"/>
          <w:noProof/>
        </w:rPr>
        <w:t xml:space="preserve"> 2015/413. Nevertheless, while developing the policy options, the Commission has made use of the information gathered during the evaluation and assessment phase for both Directives</w:t>
      </w:r>
      <w:r w:rsidRPr="0D141AB3">
        <w:rPr>
          <w:rStyle w:val="FootnoteReference"/>
          <w:rFonts w:eastAsia="Times New Roman"/>
          <w:noProof/>
        </w:rPr>
        <w:footnoteReference w:id="43"/>
      </w:r>
      <w:r w:rsidRPr="0D141AB3">
        <w:rPr>
          <w:rFonts w:eastAsia="Times New Roman"/>
          <w:noProof/>
        </w:rPr>
        <w:t xml:space="preserve">. </w:t>
      </w:r>
    </w:p>
    <w:p w:rsidR="00BD4149" w:rsidRPr="00CB083E" w:rsidRDefault="00BD4149" w:rsidP="00BD4149">
      <w:pPr>
        <w:spacing w:before="0" w:after="160" w:line="259" w:lineRule="auto"/>
        <w:rPr>
          <w:rFonts w:eastAsia="Times New Roman"/>
          <w:noProof/>
          <w:color w:val="000000"/>
          <w:szCs w:val="24"/>
          <w:vertAlign w:val="superscript"/>
          <w:lang w:val="hr"/>
        </w:rPr>
      </w:pPr>
      <w:r w:rsidRPr="76DD42A3">
        <w:rPr>
          <w:rFonts w:eastAsia="Times New Roman"/>
          <w:noProof/>
          <w:color w:val="000000" w:themeColor="text1"/>
        </w:rPr>
        <w:t>T</w:t>
      </w:r>
      <w:r w:rsidRPr="0D141AB3">
        <w:rPr>
          <w:rFonts w:eastAsia="Times New Roman"/>
          <w:noProof/>
        </w:rPr>
        <w:t>he final</w:t>
      </w:r>
      <w:r w:rsidR="00336BF4">
        <w:rPr>
          <w:rFonts w:eastAsia="Times New Roman"/>
          <w:noProof/>
        </w:rPr>
        <w:t xml:space="preserve"> </w:t>
      </w:r>
      <w:r w:rsidR="00336BF4" w:rsidRPr="00FF5709">
        <w:rPr>
          <w:rFonts w:eastAsia="Times New Roman"/>
          <w:noProof/>
        </w:rPr>
        <w:t>report of the support study for the</w:t>
      </w:r>
      <w:r w:rsidRPr="0D141AB3">
        <w:rPr>
          <w:rFonts w:eastAsia="Times New Roman"/>
          <w:noProof/>
        </w:rPr>
        <w:t xml:space="preserve"> impact assessment</w:t>
      </w:r>
      <w:r>
        <w:rPr>
          <w:rFonts w:eastAsia="Times New Roman"/>
          <w:noProof/>
        </w:rPr>
        <w:t xml:space="preserve"> for the initiative to revise Direc</w:t>
      </w:r>
      <w:r w:rsidR="00336BF4">
        <w:rPr>
          <w:rFonts w:eastAsia="Times New Roman"/>
          <w:noProof/>
        </w:rPr>
        <w:t>t</w:t>
      </w:r>
      <w:r>
        <w:rPr>
          <w:rFonts w:eastAsia="Times New Roman"/>
          <w:noProof/>
        </w:rPr>
        <w:t>ive 2006/126/EC which</w:t>
      </w:r>
      <w:r w:rsidR="00336BF4">
        <w:rPr>
          <w:rFonts w:eastAsia="Times New Roman"/>
          <w:noProof/>
        </w:rPr>
        <w:t xml:space="preserve"> also covers</w:t>
      </w:r>
      <w:r>
        <w:rPr>
          <w:rFonts w:eastAsia="Times New Roman"/>
          <w:noProof/>
        </w:rPr>
        <w:t xml:space="preserve"> this proposal,</w:t>
      </w:r>
      <w:r w:rsidRPr="0D141AB3">
        <w:rPr>
          <w:rFonts w:eastAsia="Times New Roman"/>
          <w:noProof/>
        </w:rPr>
        <w:t xml:space="preserve"> includes a comprehensive description and assessment of the initiative’s added value and its links with other policy initiatives. These can be found in Sections 3.3 and 1.3 and 1.5 of </w:t>
      </w:r>
      <w:r w:rsidR="00336BF4">
        <w:rPr>
          <w:rFonts w:eastAsia="Times New Roman"/>
          <w:noProof/>
        </w:rPr>
        <w:t>that</w:t>
      </w:r>
      <w:r w:rsidRPr="0D141AB3">
        <w:rPr>
          <w:rFonts w:eastAsia="Times New Roman"/>
          <w:noProof/>
        </w:rPr>
        <w:t xml:space="preserve"> report. A detailed description of the policy options is included in Section 5.2 and 8.1, while a comprehensive analysis of the impacts of all options is presented in Section 6. The summary of examined policy options can be consulted in the Explanatory Memorandum accompanying the proposal on the </w:t>
      </w:r>
      <w:r w:rsidR="00CD11E1">
        <w:rPr>
          <w:rFonts w:eastAsia="Times New Roman"/>
          <w:noProof/>
        </w:rPr>
        <w:t>r</w:t>
      </w:r>
      <w:r w:rsidRPr="0D141AB3">
        <w:rPr>
          <w:rFonts w:eastAsia="Times New Roman"/>
          <w:noProof/>
        </w:rPr>
        <w:t>evision of</w:t>
      </w:r>
      <w:r w:rsidRPr="0D141AB3">
        <w:rPr>
          <w:rFonts w:eastAsia="Times New Roman"/>
          <w:noProof/>
          <w:lang w:val="en-US"/>
        </w:rPr>
        <w:t xml:space="preserve"> Directive 2006/126/EC</w:t>
      </w:r>
      <w:r w:rsidRPr="0D141AB3">
        <w:rPr>
          <w:rStyle w:val="FootnoteReference"/>
          <w:rFonts w:eastAsia="Times New Roman"/>
          <w:noProof/>
          <w:lang w:val="en-US"/>
        </w:rPr>
        <w:footnoteReference w:id="44"/>
      </w:r>
      <w:r w:rsidRPr="0D141AB3">
        <w:rPr>
          <w:rFonts w:eastAsia="Times New Roman"/>
          <w:noProof/>
          <w:lang w:val="en-US"/>
        </w:rPr>
        <w:t>.</w:t>
      </w:r>
      <w:r w:rsidRPr="0D141AB3">
        <w:rPr>
          <w:rFonts w:eastAsia="Times New Roman"/>
          <w:noProof/>
        </w:rPr>
        <w:t xml:space="preserve"> </w:t>
      </w:r>
      <w:r w:rsidRPr="00F41496">
        <w:rPr>
          <w:rFonts w:eastAsia="Times New Roman"/>
          <w:noProof/>
          <w:color w:val="000000"/>
        </w:rPr>
        <w:t>An EU framework for uniform cross-border enforcement of driving disqualifications was proposed in the Convention on driving disqualifications of 1998 (Council Act of 17 June 1998)</w:t>
      </w:r>
      <w:r w:rsidRPr="00F41496">
        <w:rPr>
          <w:rStyle w:val="FootnoteReference"/>
          <w:rFonts w:eastAsia="Times New Roman"/>
          <w:noProof/>
          <w:color w:val="000000"/>
        </w:rPr>
        <w:footnoteReference w:id="45"/>
      </w:r>
      <w:r w:rsidRPr="00F41496">
        <w:rPr>
          <w:rFonts w:eastAsia="Times New Roman"/>
          <w:noProof/>
          <w:color w:val="000000"/>
        </w:rPr>
        <w:t>, which did not enter into force due to lack of ratifications by Member States (only seven Member States ratified it</w:t>
      </w:r>
      <w:r w:rsidRPr="00F41496">
        <w:rPr>
          <w:rStyle w:val="FootnoteReference"/>
          <w:rFonts w:eastAsia="Times New Roman"/>
          <w:noProof/>
          <w:color w:val="000000"/>
        </w:rPr>
        <w:footnoteReference w:id="46"/>
      </w:r>
      <w:r w:rsidRPr="00F41496">
        <w:rPr>
          <w:rFonts w:eastAsia="Times New Roman"/>
          <w:noProof/>
          <w:color w:val="000000"/>
        </w:rPr>
        <w:t>). For this reason, it was repealed in 2016.</w:t>
      </w:r>
      <w:r w:rsidRPr="00F41496">
        <w:rPr>
          <w:rStyle w:val="FootnoteReference"/>
          <w:rFonts w:eastAsia="Times New Roman"/>
          <w:noProof/>
          <w:color w:val="000000"/>
        </w:rPr>
        <w:footnoteReference w:id="47"/>
      </w:r>
    </w:p>
    <w:p w:rsidR="00BD4149" w:rsidRPr="008C2C22" w:rsidRDefault="00BD4149" w:rsidP="00BD4149">
      <w:pPr>
        <w:spacing w:before="0" w:after="160" w:line="259" w:lineRule="auto"/>
        <w:rPr>
          <w:rFonts w:eastAsia="Times New Roman"/>
          <w:noProof/>
          <w:color w:val="000000"/>
          <w:highlight w:val="yellow"/>
          <w:lang w:val="hr"/>
        </w:rPr>
      </w:pPr>
      <w:r w:rsidRPr="0D141AB3">
        <w:rPr>
          <w:rFonts w:eastAsia="Times New Roman"/>
          <w:noProof/>
          <w:lang w:val="hr"/>
        </w:rPr>
        <w:t>A</w:t>
      </w:r>
      <w:r w:rsidRPr="0D141AB3">
        <w:rPr>
          <w:rFonts w:eastAsia="Times New Roman"/>
          <w:noProof/>
          <w:lang w:val="en-US"/>
        </w:rPr>
        <w:t xml:space="preserve"> step towards</w:t>
      </w:r>
      <w:r>
        <w:rPr>
          <w:rFonts w:eastAsia="Times New Roman"/>
          <w:noProof/>
          <w:lang w:val="en-US"/>
        </w:rPr>
        <w:t xml:space="preserve"> providing a Union-wide effect of driving disqualifications</w:t>
      </w:r>
      <w:r w:rsidRPr="0D141AB3">
        <w:rPr>
          <w:rFonts w:eastAsia="Times New Roman"/>
          <w:noProof/>
          <w:lang w:val="en-US"/>
        </w:rPr>
        <w:t xml:space="preserve"> seems to have been </w:t>
      </w:r>
      <w:r>
        <w:rPr>
          <w:rFonts w:eastAsia="Times New Roman"/>
          <w:noProof/>
          <w:lang w:val="en-US"/>
        </w:rPr>
        <w:t>taken</w:t>
      </w:r>
      <w:r w:rsidRPr="0D141AB3">
        <w:rPr>
          <w:rFonts w:eastAsia="Times New Roman"/>
          <w:noProof/>
          <w:lang w:val="en-US"/>
        </w:rPr>
        <w:t xml:space="preserve"> </w:t>
      </w:r>
      <w:r w:rsidR="0088371A">
        <w:rPr>
          <w:rFonts w:eastAsia="Times New Roman"/>
          <w:noProof/>
          <w:lang w:val="en-US"/>
        </w:rPr>
        <w:t>with</w:t>
      </w:r>
      <w:r w:rsidRPr="0D141AB3">
        <w:rPr>
          <w:rFonts w:eastAsia="Times New Roman"/>
          <w:noProof/>
          <w:lang w:val="en-US"/>
        </w:rPr>
        <w:t xml:space="preserve"> the </w:t>
      </w:r>
      <w:r w:rsidR="0088371A">
        <w:rPr>
          <w:rFonts w:eastAsia="Times New Roman"/>
          <w:noProof/>
          <w:lang w:val="en-US"/>
        </w:rPr>
        <w:t>adoption</w:t>
      </w:r>
      <w:r w:rsidRPr="0D141AB3">
        <w:rPr>
          <w:rFonts w:eastAsia="Times New Roman"/>
          <w:noProof/>
          <w:lang w:val="en-US"/>
        </w:rPr>
        <w:t xml:space="preserve"> of Directive 2006/126/EC, where the relevant provisions</w:t>
      </w:r>
      <w:r>
        <w:rPr>
          <w:rFonts w:eastAsia="Times New Roman"/>
          <w:noProof/>
          <w:lang w:val="en-US"/>
        </w:rPr>
        <w:t xml:space="preserve"> of the previous Directive on driving licences</w:t>
      </w:r>
      <w:r w:rsidR="0088371A">
        <w:rPr>
          <w:rFonts w:eastAsia="Times New Roman"/>
          <w:noProof/>
          <w:lang w:val="en-US"/>
        </w:rPr>
        <w:t xml:space="preserve"> </w:t>
      </w:r>
      <w:r w:rsidR="0088371A" w:rsidRPr="00FF5709">
        <w:rPr>
          <w:rFonts w:eastAsia="Times New Roman"/>
          <w:noProof/>
          <w:lang w:val="en-US"/>
        </w:rPr>
        <w:t>(Article 8 of Directive 91/439/EEC)</w:t>
      </w:r>
      <w:r>
        <w:rPr>
          <w:rStyle w:val="FootnoteReference"/>
          <w:rFonts w:eastAsia="Times New Roman"/>
          <w:noProof/>
          <w:lang w:val="en-US"/>
        </w:rPr>
        <w:footnoteReference w:id="48"/>
      </w:r>
      <w:r w:rsidRPr="0D141AB3">
        <w:rPr>
          <w:rFonts w:eastAsia="Times New Roman"/>
          <w:noProof/>
          <w:lang w:val="en-US"/>
        </w:rPr>
        <w:t xml:space="preserve"> were partially amended</w:t>
      </w:r>
      <w:r>
        <w:rPr>
          <w:rFonts w:eastAsia="Times New Roman"/>
          <w:noProof/>
          <w:lang w:val="en-US"/>
        </w:rPr>
        <w:t>, in order to mitigate the phenomen</w:t>
      </w:r>
      <w:r w:rsidR="0088371A">
        <w:rPr>
          <w:rFonts w:eastAsia="Times New Roman"/>
          <w:noProof/>
          <w:lang w:val="en-US"/>
        </w:rPr>
        <w:t>on</w:t>
      </w:r>
      <w:r>
        <w:rPr>
          <w:rFonts w:eastAsia="Times New Roman"/>
          <w:noProof/>
          <w:lang w:val="en-US"/>
        </w:rPr>
        <w:t xml:space="preserve"> of “driving licence tourism”.</w:t>
      </w:r>
      <w:r w:rsidRPr="0D141AB3">
        <w:rPr>
          <w:rFonts w:eastAsia="Times New Roman"/>
          <w:noProof/>
          <w:lang w:val="en-US"/>
        </w:rPr>
        <w:t xml:space="preserve"> However, the wording of </w:t>
      </w:r>
      <w:r>
        <w:rPr>
          <w:rFonts w:eastAsia="Times New Roman"/>
          <w:noProof/>
          <w:lang w:val="en-US"/>
        </w:rPr>
        <w:t xml:space="preserve">the </w:t>
      </w:r>
      <w:r w:rsidRPr="0D141AB3">
        <w:rPr>
          <w:rFonts w:eastAsia="Times New Roman"/>
          <w:noProof/>
          <w:lang w:val="en-US"/>
        </w:rPr>
        <w:t>new provision, Article 11</w:t>
      </w:r>
      <w:r>
        <w:rPr>
          <w:rFonts w:eastAsia="Times New Roman"/>
          <w:noProof/>
          <w:lang w:val="en-US"/>
        </w:rPr>
        <w:t>(4)</w:t>
      </w:r>
      <w:r w:rsidR="0088371A">
        <w:rPr>
          <w:rFonts w:eastAsia="Times New Roman"/>
          <w:noProof/>
          <w:lang w:val="en-US"/>
        </w:rPr>
        <w:t xml:space="preserve"> of</w:t>
      </w:r>
      <w:r w:rsidRPr="0D141AB3">
        <w:rPr>
          <w:rFonts w:eastAsia="Times New Roman"/>
          <w:noProof/>
          <w:lang w:val="en-US"/>
        </w:rPr>
        <w:t xml:space="preserve"> Directive 2006/126/EC</w:t>
      </w:r>
      <w:r w:rsidR="0088371A">
        <w:rPr>
          <w:rFonts w:eastAsia="Times New Roman"/>
          <w:noProof/>
          <w:lang w:val="en-US"/>
        </w:rPr>
        <w:t>,</w:t>
      </w:r>
      <w:r w:rsidRPr="0D141AB3">
        <w:rPr>
          <w:rFonts w:eastAsia="Times New Roman"/>
          <w:noProof/>
          <w:lang w:val="en-US"/>
        </w:rPr>
        <w:t xml:space="preserve"> </w:t>
      </w:r>
      <w:r>
        <w:rPr>
          <w:rFonts w:eastAsia="Times New Roman"/>
          <w:noProof/>
          <w:lang w:val="en-US"/>
        </w:rPr>
        <w:t>did</w:t>
      </w:r>
      <w:r w:rsidRPr="0D141AB3">
        <w:rPr>
          <w:rFonts w:eastAsia="Times New Roman"/>
          <w:noProof/>
          <w:lang w:val="en-US"/>
        </w:rPr>
        <w:t xml:space="preserve"> not</w:t>
      </w:r>
      <w:r>
        <w:rPr>
          <w:rFonts w:eastAsia="Times New Roman"/>
          <w:noProof/>
          <w:lang w:val="en-US"/>
        </w:rPr>
        <w:t xml:space="preserve"> provide the necessary clarity</w:t>
      </w:r>
      <w:r w:rsidRPr="0D141AB3">
        <w:rPr>
          <w:rFonts w:eastAsia="Times New Roman"/>
          <w:noProof/>
          <w:lang w:val="en-US"/>
        </w:rPr>
        <w:t>. The</w:t>
      </w:r>
      <w:r>
        <w:rPr>
          <w:rFonts w:eastAsia="Times New Roman"/>
          <w:noProof/>
          <w:lang w:val="en-US"/>
        </w:rPr>
        <w:t xml:space="preserve"> </w:t>
      </w:r>
      <w:r w:rsidR="0088371A">
        <w:rPr>
          <w:rFonts w:eastAsia="Times New Roman"/>
          <w:noProof/>
          <w:lang w:val="en-US"/>
        </w:rPr>
        <w:t>provision</w:t>
      </w:r>
      <w:r>
        <w:rPr>
          <w:rFonts w:eastAsia="Times New Roman"/>
          <w:noProof/>
          <w:lang w:val="en-US"/>
        </w:rPr>
        <w:t xml:space="preserve"> in question</w:t>
      </w:r>
      <w:r w:rsidRPr="0D141AB3">
        <w:rPr>
          <w:rFonts w:eastAsia="Times New Roman"/>
          <w:noProof/>
          <w:lang w:val="en-US"/>
        </w:rPr>
        <w:t xml:space="preserve">, has been </w:t>
      </w:r>
      <w:r>
        <w:rPr>
          <w:rFonts w:eastAsia="Times New Roman"/>
          <w:noProof/>
          <w:lang w:val="en-US"/>
        </w:rPr>
        <w:t>interpreted by</w:t>
      </w:r>
      <w:r w:rsidRPr="0D141AB3">
        <w:rPr>
          <w:rFonts w:eastAsia="Times New Roman"/>
          <w:noProof/>
          <w:lang w:val="en-US"/>
        </w:rPr>
        <w:t xml:space="preserve"> the </w:t>
      </w:r>
      <w:r>
        <w:rPr>
          <w:rFonts w:eastAsia="Times New Roman"/>
          <w:noProof/>
          <w:lang w:val="en-US"/>
        </w:rPr>
        <w:t>CJEU</w:t>
      </w:r>
      <w:r w:rsidRPr="0D141AB3">
        <w:rPr>
          <w:rStyle w:val="FootnoteReference"/>
          <w:rFonts w:eastAsia="Times New Roman"/>
          <w:noProof/>
          <w:lang w:val="en-US"/>
        </w:rPr>
        <w:footnoteReference w:id="49"/>
      </w:r>
      <w:r w:rsidRPr="0D141AB3">
        <w:rPr>
          <w:rFonts w:eastAsia="Times New Roman"/>
          <w:noProof/>
          <w:lang w:val="en-US"/>
        </w:rPr>
        <w:t xml:space="preserve"> </w:t>
      </w:r>
      <w:r>
        <w:rPr>
          <w:rFonts w:eastAsia="Times New Roman"/>
          <w:noProof/>
          <w:lang w:val="en-US"/>
        </w:rPr>
        <w:t>on</w:t>
      </w:r>
      <w:r w:rsidRPr="0D141AB3">
        <w:rPr>
          <w:rFonts w:eastAsia="Times New Roman"/>
          <w:noProof/>
          <w:lang w:val="en-US"/>
        </w:rPr>
        <w:t xml:space="preserve"> several occasions, due to doubts stemming from</w:t>
      </w:r>
      <w:r>
        <w:rPr>
          <w:rFonts w:eastAsia="Times New Roman"/>
          <w:noProof/>
          <w:lang w:val="en-US"/>
        </w:rPr>
        <w:t xml:space="preserve"> its</w:t>
      </w:r>
      <w:r w:rsidRPr="0D141AB3">
        <w:rPr>
          <w:rFonts w:eastAsia="Times New Roman"/>
          <w:noProof/>
          <w:lang w:val="en-US"/>
        </w:rPr>
        <w:t xml:space="preserve"> wording and to the different </w:t>
      </w:r>
      <w:r>
        <w:rPr>
          <w:rFonts w:eastAsia="Times New Roman"/>
          <w:noProof/>
          <w:lang w:val="en-US"/>
        </w:rPr>
        <w:t>situations applying for the</w:t>
      </w:r>
      <w:r w:rsidRPr="0D141AB3">
        <w:rPr>
          <w:rFonts w:eastAsia="Times New Roman"/>
          <w:noProof/>
          <w:lang w:val="en-US"/>
        </w:rPr>
        <w:t xml:space="preserve"> disqualifications imposed on residents and non-residents.</w:t>
      </w:r>
      <w:r w:rsidRPr="0D141AB3">
        <w:rPr>
          <w:rFonts w:eastAsia="Times New Roman"/>
          <w:noProof/>
          <w:color w:val="000000"/>
          <w:lang w:val="en-US"/>
        </w:rPr>
        <w:t xml:space="preserve"> </w:t>
      </w:r>
      <w:r w:rsidRPr="0D141AB3">
        <w:rPr>
          <w:rFonts w:eastAsia="Times New Roman"/>
          <w:noProof/>
          <w:lang w:val="en-US"/>
        </w:rPr>
        <w:t>Furthermore, as also stressed by the CJ</w:t>
      </w:r>
      <w:r>
        <w:rPr>
          <w:rFonts w:eastAsia="Times New Roman"/>
          <w:noProof/>
          <w:lang w:val="en-US"/>
        </w:rPr>
        <w:t>EU</w:t>
      </w:r>
      <w:r>
        <w:rPr>
          <w:rStyle w:val="FootnoteReference"/>
          <w:rFonts w:eastAsia="Times New Roman"/>
          <w:noProof/>
          <w:lang w:val="en-US"/>
        </w:rPr>
        <w:footnoteReference w:id="50"/>
      </w:r>
      <w:r w:rsidRPr="0D141AB3">
        <w:rPr>
          <w:rFonts w:eastAsia="Times New Roman"/>
          <w:noProof/>
          <w:lang w:val="en-US"/>
        </w:rPr>
        <w:t>, such an obligation is not effective and enforceable until a system for the exchange of information on disqualifications between Member States is implemented, enabling all Member States to actually verify if a disqualification imposed abroad is pending or has been imposed on a driving licence applicant.</w:t>
      </w:r>
    </w:p>
    <w:p w:rsidR="00BD4149" w:rsidRPr="0088371A" w:rsidRDefault="00BD4149" w:rsidP="00BD4149">
      <w:pPr>
        <w:spacing w:before="0" w:after="160" w:line="259" w:lineRule="auto"/>
        <w:rPr>
          <w:rFonts w:eastAsia="Times New Roman"/>
          <w:noProof/>
          <w:color w:val="000000"/>
        </w:rPr>
      </w:pPr>
      <w:r w:rsidRPr="0088371A">
        <w:rPr>
          <w:rFonts w:eastAsia="Times New Roman"/>
          <w:noProof/>
          <w:color w:val="000000" w:themeColor="text1"/>
        </w:rPr>
        <w:t>As a result of the problems described above, under the current framework non-resident offenders are only disqualified from driving in the country where they have committed an offence but can still drive in all other EU Member States, except when the disqualification is imposed by their Member State of issuance. This is a major issue, if one considers the serious risk on road safety of drivers circulating within the EU who have their driving licence suspended, restricted or withdrawn in one of the Member States for serious and reiterate breaches to road</w:t>
      </w:r>
      <w:r w:rsidR="0088371A" w:rsidRPr="0088371A">
        <w:rPr>
          <w:rFonts w:eastAsia="Times New Roman"/>
          <w:noProof/>
          <w:color w:val="000000" w:themeColor="text1"/>
        </w:rPr>
        <w:t xml:space="preserve"> traffic</w:t>
      </w:r>
      <w:r w:rsidRPr="0088371A">
        <w:rPr>
          <w:rFonts w:eastAsia="Times New Roman"/>
          <w:noProof/>
          <w:color w:val="000000" w:themeColor="text1"/>
        </w:rPr>
        <w:t xml:space="preserve"> rules.</w:t>
      </w:r>
    </w:p>
    <w:p w:rsidR="00BD4149" w:rsidRPr="0088371A" w:rsidRDefault="00BD4149" w:rsidP="00BD4149">
      <w:pPr>
        <w:spacing w:before="0" w:after="160" w:line="259" w:lineRule="auto"/>
        <w:rPr>
          <w:rFonts w:eastAsia="Times New Roman"/>
          <w:noProof/>
          <w:color w:val="000000"/>
          <w:szCs w:val="24"/>
        </w:rPr>
      </w:pPr>
      <w:r w:rsidRPr="0088371A">
        <w:rPr>
          <w:rFonts w:eastAsia="Times New Roman"/>
          <w:noProof/>
          <w:color w:val="000000"/>
          <w:szCs w:val="24"/>
        </w:rPr>
        <w:t>All the more, outside an express ban to this effect (or when other Member States are not duly informed of a pending ban) the non-resident driver will be able to apply for a new licence in his country of residence, to recover the right to drive everywhere, as the new permit is to be recognised, in principle, even in the country of offence. The same might be done by a driver disqualified in his own country, by changing his residence before applying for a new permit.</w:t>
      </w:r>
    </w:p>
    <w:p w:rsidR="00BD4149" w:rsidRPr="0088371A" w:rsidRDefault="00BD4149" w:rsidP="00BD4149">
      <w:pPr>
        <w:spacing w:before="0" w:after="160" w:line="259" w:lineRule="auto"/>
        <w:rPr>
          <w:rFonts w:eastAsia="Times New Roman"/>
          <w:noProof/>
          <w:color w:val="000000"/>
        </w:rPr>
      </w:pPr>
      <w:r w:rsidRPr="0088371A">
        <w:rPr>
          <w:rFonts w:eastAsia="Times New Roman"/>
          <w:noProof/>
          <w:color w:val="000000"/>
        </w:rPr>
        <w:t>The legal basis for an EU-wide exchange of information on driving disqualifications is indeed already enshrined in</w:t>
      </w:r>
      <w:r w:rsidRPr="0088371A">
        <w:rPr>
          <w:rFonts w:eastAsia="Times New Roman"/>
          <w:noProof/>
          <w:color w:val="000000" w:themeColor="text1"/>
        </w:rPr>
        <w:t xml:space="preserve"> Directive 2006/126/EC</w:t>
      </w:r>
      <w:r w:rsidRPr="0088371A">
        <w:rPr>
          <w:rStyle w:val="FootnoteReference"/>
          <w:rFonts w:eastAsia="Times New Roman"/>
          <w:noProof/>
          <w:color w:val="000000"/>
        </w:rPr>
        <w:footnoteReference w:id="51"/>
      </w:r>
      <w:r w:rsidRPr="0088371A">
        <w:rPr>
          <w:rFonts w:eastAsia="Times New Roman"/>
          <w:noProof/>
          <w:color w:val="000000"/>
        </w:rPr>
        <w:t>, which expressly requires that Member States assist one another in the implementation of its measures and exchange information on the licences they have issued, exchanged, replaced, renewed or revoked, by using the EU driving licence network set up for these purposes (i.e. RESPER).</w:t>
      </w:r>
      <w:r w:rsidRPr="0088371A">
        <w:rPr>
          <w:rFonts w:eastAsia="Times New Roman"/>
          <w:noProof/>
          <w:color w:val="000000" w:themeColor="text1"/>
        </w:rPr>
        <w:t xml:space="preserve"> In addition, Directive</w:t>
      </w:r>
      <w:r w:rsidR="0002205F">
        <w:rPr>
          <w:rFonts w:eastAsia="Times New Roman"/>
          <w:noProof/>
          <w:color w:val="000000" w:themeColor="text1"/>
        </w:rPr>
        <w:t xml:space="preserve"> (EU)</w:t>
      </w:r>
      <w:r w:rsidRPr="0088371A">
        <w:rPr>
          <w:rFonts w:eastAsia="Times New Roman"/>
          <w:noProof/>
          <w:color w:val="000000" w:themeColor="text1"/>
        </w:rPr>
        <w:t xml:space="preserve"> 2015/413 could also facilitate enforcement by requiring the Member State in the territory of which the offence was committed to inform the offender about any disqualification that accompany the offence allegedly committed.</w:t>
      </w:r>
    </w:p>
    <w:p w:rsidR="00BD4149" w:rsidRPr="00CB083E" w:rsidRDefault="00BD4149" w:rsidP="00BD4149">
      <w:pPr>
        <w:spacing w:before="0" w:after="160" w:line="259" w:lineRule="auto"/>
        <w:rPr>
          <w:rFonts w:eastAsia="Times New Roman"/>
          <w:noProof/>
          <w:szCs w:val="24"/>
          <w:lang w:val="en-US"/>
        </w:rPr>
      </w:pPr>
      <w:r w:rsidRPr="00CB083E">
        <w:rPr>
          <w:rFonts w:eastAsia="Times New Roman"/>
          <w:b/>
          <w:bCs/>
          <w:noProof/>
          <w:szCs w:val="24"/>
        </w:rPr>
        <w:t>Assessment of measures and policy options</w:t>
      </w:r>
      <w:r w:rsidRPr="00CB083E">
        <w:rPr>
          <w:rFonts w:eastAsia="Times New Roman"/>
          <w:noProof/>
          <w:szCs w:val="24"/>
          <w:lang w:val="en-US"/>
        </w:rPr>
        <w:t xml:space="preserve"> </w:t>
      </w:r>
    </w:p>
    <w:p w:rsidR="00BD4149" w:rsidRPr="00CB083E" w:rsidRDefault="00BD4149" w:rsidP="00BD4149">
      <w:pPr>
        <w:spacing w:before="0" w:after="160" w:line="259" w:lineRule="auto"/>
        <w:rPr>
          <w:rFonts w:eastAsia="Times New Roman"/>
          <w:noProof/>
          <w:lang w:val="en-US"/>
        </w:rPr>
      </w:pPr>
      <w:r w:rsidRPr="76DD42A3">
        <w:rPr>
          <w:rFonts w:eastAsia="Times New Roman"/>
          <w:noProof/>
        </w:rPr>
        <w:t>The measures under the different policy options have been subject to</w:t>
      </w:r>
      <w:r w:rsidR="0002205F">
        <w:rPr>
          <w:rFonts w:eastAsia="Times New Roman"/>
          <w:noProof/>
        </w:rPr>
        <w:t xml:space="preserve"> a</w:t>
      </w:r>
      <w:r w:rsidRPr="76DD42A3">
        <w:rPr>
          <w:rFonts w:eastAsia="Times New Roman"/>
          <w:noProof/>
        </w:rPr>
        <w:t xml:space="preserve"> quantitative and qualitative assessment of economic, social (road safety) and fundamental rights impacts. The 2025-2050 time horizon has been selected for assessing the impacts, in line with the baseline projections. </w:t>
      </w:r>
      <w:r w:rsidRPr="00B820BE">
        <w:rPr>
          <w:rFonts w:eastAsia="Times New Roman"/>
          <w:noProof/>
        </w:rPr>
        <w:t>Regarding fundamental rights, the effects will remain controlled by a strict implementation of rules on data protection</w:t>
      </w:r>
      <w:r w:rsidRPr="76DD42A3">
        <w:rPr>
          <w:rFonts w:eastAsia="Times New Roman"/>
          <w:noProof/>
        </w:rPr>
        <w:t>, notably in RESPER.</w:t>
      </w:r>
      <w:r w:rsidRPr="76DD42A3">
        <w:rPr>
          <w:rFonts w:eastAsia="Times New Roman"/>
          <w:noProof/>
          <w:lang w:val="en-US"/>
        </w:rPr>
        <w:t xml:space="preserve"> </w:t>
      </w:r>
    </w:p>
    <w:p w:rsidR="00BD4149" w:rsidRPr="00CB083E" w:rsidRDefault="00BD4149" w:rsidP="00BD4149">
      <w:pPr>
        <w:spacing w:before="0" w:after="160" w:line="259" w:lineRule="auto"/>
        <w:rPr>
          <w:rFonts w:eastAsia="Times New Roman"/>
          <w:noProof/>
          <w:szCs w:val="24"/>
          <w:lang w:val="en-US"/>
        </w:rPr>
      </w:pPr>
      <w:r w:rsidRPr="00CB083E">
        <w:rPr>
          <w:rFonts w:eastAsia="Times New Roman"/>
          <w:noProof/>
          <w:szCs w:val="24"/>
          <w:lang w:val="en-US"/>
        </w:rPr>
        <w:t>The economic and social impact of the preferred option in relation to</w:t>
      </w:r>
      <w:r>
        <w:rPr>
          <w:rFonts w:eastAsia="Times New Roman"/>
          <w:noProof/>
          <w:szCs w:val="24"/>
          <w:lang w:val="en-US"/>
        </w:rPr>
        <w:t xml:space="preserve"> providing a Union-wide effect of</w:t>
      </w:r>
      <w:r w:rsidRPr="00CB083E">
        <w:rPr>
          <w:rFonts w:eastAsia="Times New Roman"/>
          <w:noProof/>
          <w:szCs w:val="24"/>
          <w:lang w:val="en-US"/>
        </w:rPr>
        <w:t xml:space="preserve"> driving disqualifications is expected to be overall positive</w:t>
      </w:r>
      <w:r>
        <w:rPr>
          <w:rFonts w:eastAsia="Times New Roman"/>
          <w:noProof/>
          <w:szCs w:val="24"/>
          <w:lang w:val="en-US"/>
        </w:rPr>
        <w:t xml:space="preserve"> and the initiative should raise</w:t>
      </w:r>
      <w:r w:rsidRPr="00CB083E">
        <w:rPr>
          <w:rFonts w:eastAsia="Times New Roman"/>
          <w:noProof/>
          <w:szCs w:val="24"/>
          <w:lang w:val="en-US"/>
        </w:rPr>
        <w:t xml:space="preserve"> road safety across Member States. Increasing the likelihood of</w:t>
      </w:r>
      <w:r w:rsidR="00643EF3">
        <w:rPr>
          <w:rFonts w:eastAsia="Times New Roman"/>
          <w:noProof/>
          <w:szCs w:val="24"/>
          <w:lang w:val="en-US"/>
        </w:rPr>
        <w:t xml:space="preserve"> an</w:t>
      </w:r>
      <w:r w:rsidRPr="00CB083E">
        <w:rPr>
          <w:rFonts w:eastAsia="Times New Roman"/>
          <w:noProof/>
          <w:szCs w:val="24"/>
          <w:lang w:val="en-US"/>
        </w:rPr>
        <w:t xml:space="preserve"> efficient execution of a driving disqualification issued in</w:t>
      </w:r>
      <w:r w:rsidR="00643EF3">
        <w:rPr>
          <w:rFonts w:eastAsia="Times New Roman"/>
          <w:noProof/>
          <w:szCs w:val="24"/>
          <w:lang w:val="en-US"/>
        </w:rPr>
        <w:t xml:space="preserve"> a</w:t>
      </w:r>
      <w:r w:rsidRPr="00CB083E">
        <w:rPr>
          <w:rFonts w:eastAsia="Times New Roman"/>
          <w:noProof/>
          <w:szCs w:val="24"/>
          <w:lang w:val="en-US"/>
        </w:rPr>
        <w:t xml:space="preserve"> cross-border context also increases the deterrent effect on committing a road safety crime regardless of Member States borders. The social impact would be overall very positive as victims can be ensured that measures linked to road traffic offences committed by a foreigner will not be left unexecuted. </w:t>
      </w:r>
    </w:p>
    <w:p w:rsidR="00BD4149" w:rsidRPr="00CB083E" w:rsidRDefault="00BD4149" w:rsidP="00BD4149">
      <w:pPr>
        <w:spacing w:before="0" w:after="160" w:line="259" w:lineRule="auto"/>
        <w:rPr>
          <w:rFonts w:eastAsia="Times New Roman"/>
          <w:noProof/>
          <w:lang w:val="en-US"/>
        </w:rPr>
      </w:pPr>
      <w:r w:rsidRPr="76DD42A3">
        <w:rPr>
          <w:rFonts w:eastAsia="Times New Roman"/>
          <w:noProof/>
          <w:lang w:val="en-US"/>
        </w:rPr>
        <w:t xml:space="preserve">The </w:t>
      </w:r>
      <w:r>
        <w:rPr>
          <w:rFonts w:eastAsia="Times New Roman"/>
          <w:noProof/>
          <w:lang w:val="en-US"/>
        </w:rPr>
        <w:t>goals of the initiative</w:t>
      </w:r>
      <w:r w:rsidRPr="76DD42A3">
        <w:rPr>
          <w:rFonts w:eastAsia="Times New Roman"/>
          <w:noProof/>
          <w:lang w:val="en-US"/>
        </w:rPr>
        <w:t xml:space="preserve"> will lead to a limited increase in the</w:t>
      </w:r>
      <w:r>
        <w:rPr>
          <w:rFonts w:eastAsia="Times New Roman"/>
          <w:noProof/>
          <w:lang w:val="en-US"/>
        </w:rPr>
        <w:t xml:space="preserve"> operational</w:t>
      </w:r>
      <w:r w:rsidRPr="76DD42A3">
        <w:rPr>
          <w:rFonts w:eastAsia="Times New Roman"/>
          <w:noProof/>
          <w:lang w:val="en-US"/>
        </w:rPr>
        <w:t xml:space="preserve"> costs</w:t>
      </w:r>
      <w:r>
        <w:rPr>
          <w:rFonts w:eastAsia="Times New Roman"/>
          <w:noProof/>
          <w:lang w:val="en-US"/>
        </w:rPr>
        <w:t xml:space="preserve"> of RESPER.</w:t>
      </w:r>
      <w:r w:rsidRPr="76DD42A3">
        <w:rPr>
          <w:rFonts w:eastAsia="Times New Roman"/>
          <w:noProof/>
          <w:szCs w:val="24"/>
          <w:lang w:val="en-US"/>
        </w:rPr>
        <w:t xml:space="preserve"> </w:t>
      </w:r>
      <w:r w:rsidRPr="76DD42A3">
        <w:rPr>
          <w:rFonts w:eastAsia="Times New Roman"/>
          <w:noProof/>
          <w:lang w:val="en-US"/>
        </w:rPr>
        <w:t>However, this should be more than offset by the</w:t>
      </w:r>
      <w:r w:rsidR="00643EF3">
        <w:rPr>
          <w:rFonts w:eastAsia="Times New Roman"/>
          <w:noProof/>
          <w:lang w:val="en-US"/>
        </w:rPr>
        <w:t xml:space="preserve"> </w:t>
      </w:r>
      <w:r w:rsidR="00643EF3" w:rsidRPr="00FF5709">
        <w:rPr>
          <w:rFonts w:eastAsia="Times New Roman"/>
          <w:noProof/>
          <w:lang w:val="en-US"/>
        </w:rPr>
        <w:t>benefits from saving human lives due to</w:t>
      </w:r>
      <w:r w:rsidRPr="76DD42A3">
        <w:rPr>
          <w:rFonts w:eastAsia="Times New Roman"/>
          <w:noProof/>
          <w:lang w:val="en-US"/>
        </w:rPr>
        <w:t xml:space="preserve"> increased road safety.</w:t>
      </w:r>
    </w:p>
    <w:p w:rsidR="00BD4149" w:rsidRPr="00BF71A9" w:rsidRDefault="00BD4149" w:rsidP="00BD4149">
      <w:pPr>
        <w:spacing w:before="0" w:after="160" w:line="259" w:lineRule="auto"/>
        <w:rPr>
          <w:rFonts w:eastAsia="Times New Roman"/>
          <w:noProof/>
          <w:szCs w:val="24"/>
        </w:rPr>
      </w:pPr>
      <w:r w:rsidRPr="00CB083E">
        <w:rPr>
          <w:rFonts w:eastAsia="Times New Roman"/>
          <w:noProof/>
          <w:szCs w:val="24"/>
        </w:rPr>
        <w:t xml:space="preserve">Businesses, SMEs and micro-enterprises </w:t>
      </w:r>
      <w:r w:rsidR="00643EF3">
        <w:rPr>
          <w:rFonts w:eastAsia="Times New Roman"/>
          <w:noProof/>
          <w:szCs w:val="24"/>
        </w:rPr>
        <w:t>are</w:t>
      </w:r>
      <w:r w:rsidRPr="00CB083E">
        <w:rPr>
          <w:rFonts w:eastAsia="Times New Roman"/>
          <w:noProof/>
          <w:szCs w:val="24"/>
        </w:rPr>
        <w:t xml:space="preserve"> not</w:t>
      </w:r>
      <w:r w:rsidR="00643EF3">
        <w:rPr>
          <w:rFonts w:eastAsia="Times New Roman"/>
          <w:noProof/>
          <w:szCs w:val="24"/>
        </w:rPr>
        <w:t xml:space="preserve"> expected to</w:t>
      </w:r>
      <w:r w:rsidRPr="00CB083E">
        <w:rPr>
          <w:rFonts w:eastAsia="Times New Roman"/>
          <w:noProof/>
          <w:szCs w:val="24"/>
        </w:rPr>
        <w:t xml:space="preserve"> be directly affected</w:t>
      </w:r>
      <w:r>
        <w:rPr>
          <w:rFonts w:eastAsia="Times New Roman"/>
          <w:noProof/>
          <w:szCs w:val="24"/>
        </w:rPr>
        <w:t xml:space="preserve"> by this legislative proposal. </w:t>
      </w:r>
    </w:p>
    <w:p w:rsidR="00BD4149" w:rsidRPr="00BF1125" w:rsidRDefault="00BD4149" w:rsidP="00BD4149">
      <w:pPr>
        <w:pStyle w:val="ManualHeading2"/>
        <w:rPr>
          <w:rFonts w:eastAsia="Arial Unicode MS"/>
          <w:noProof/>
          <w:u w:color="000000"/>
          <w:bdr w:val="nil"/>
          <w:lang w:val="en-US" w:eastAsia="en-GB"/>
        </w:rPr>
      </w:pPr>
      <w:r w:rsidRPr="00BF1125">
        <w:rPr>
          <w:rFonts w:eastAsia="Arial Unicode MS"/>
          <w:noProof/>
          <w:bdr w:val="nil"/>
          <w:lang w:val="en-US" w:eastAsia="en-GB"/>
        </w:rPr>
        <w:t>•</w:t>
      </w:r>
      <w:r w:rsidRPr="00BF1125">
        <w:rPr>
          <w:rFonts w:eastAsia="Arial Unicode MS"/>
          <w:noProof/>
          <w:u w:color="000000"/>
          <w:bdr w:val="nil"/>
          <w:lang w:val="en-US" w:eastAsia="en-GB"/>
        </w:rPr>
        <w:tab/>
      </w:r>
      <w:r w:rsidRPr="00BF1125">
        <w:rPr>
          <w:rFonts w:eastAsia="Arial Unicode MS"/>
          <w:noProof/>
          <w:bdr w:val="nil"/>
          <w:lang w:val="en-US" w:eastAsia="en-GB"/>
        </w:rPr>
        <w:t>Fundamental rights</w:t>
      </w:r>
    </w:p>
    <w:p w:rsidR="00BD4149" w:rsidRPr="00635AF0" w:rsidRDefault="00BD4149" w:rsidP="00BD4149">
      <w:pPr>
        <w:pBdr>
          <w:top w:val="nil"/>
          <w:left w:val="nil"/>
          <w:bottom w:val="nil"/>
          <w:right w:val="nil"/>
          <w:between w:val="nil"/>
          <w:bar w:val="nil"/>
        </w:pBdr>
        <w:spacing w:before="0" w:after="240"/>
        <w:rPr>
          <w:rFonts w:eastAsia="Arial Unicode MS"/>
          <w:noProof/>
        </w:rPr>
      </w:pPr>
      <w:r>
        <w:rPr>
          <w:rFonts w:eastAsia="Arial Unicode MS"/>
          <w:noProof/>
        </w:rPr>
        <w:t xml:space="preserve">Providing an </w:t>
      </w:r>
      <w:r w:rsidRPr="67C01949">
        <w:rPr>
          <w:rFonts w:eastAsia="Times New Roman"/>
          <w:noProof/>
          <w:lang w:val="en-US"/>
        </w:rPr>
        <w:t xml:space="preserve">EU-wide effect </w:t>
      </w:r>
      <w:r>
        <w:rPr>
          <w:rFonts w:eastAsia="Times New Roman"/>
          <w:noProof/>
          <w:lang w:val="en-US"/>
        </w:rPr>
        <w:t>of</w:t>
      </w:r>
      <w:r w:rsidRPr="67C01949">
        <w:rPr>
          <w:rFonts w:eastAsia="Times New Roman"/>
          <w:noProof/>
          <w:lang w:val="en-US"/>
        </w:rPr>
        <w:t xml:space="preserve"> driving disqualific</w:t>
      </w:r>
      <w:r>
        <w:rPr>
          <w:rFonts w:eastAsia="Times New Roman"/>
          <w:noProof/>
          <w:lang w:val="en-US"/>
        </w:rPr>
        <w:t>ation</w:t>
      </w:r>
      <w:r w:rsidRPr="00C86254">
        <w:rPr>
          <w:rFonts w:eastAsia="Arial Unicode MS"/>
          <w:noProof/>
        </w:rPr>
        <w:t xml:space="preserve"> measures may interfere with fundamental rights protected by the EU Charter of Fundamental Rights</w:t>
      </w:r>
      <w:r w:rsidRPr="00DD7480">
        <w:rPr>
          <w:rStyle w:val="FootnoteReference"/>
          <w:noProof/>
        </w:rPr>
        <w:footnoteReference w:id="52"/>
      </w:r>
      <w:r w:rsidRPr="00C86254">
        <w:rPr>
          <w:rFonts w:eastAsia="Arial Unicode MS"/>
          <w:noProof/>
        </w:rPr>
        <w:t xml:space="preserve"> (the Charter) and the European Convention on Human Rights</w:t>
      </w:r>
      <w:r w:rsidRPr="00DD7480">
        <w:rPr>
          <w:rStyle w:val="FootnoteReference"/>
          <w:noProof/>
        </w:rPr>
        <w:footnoteReference w:id="53"/>
      </w:r>
      <w:r w:rsidRPr="00C86254">
        <w:rPr>
          <w:rFonts w:eastAsia="Arial Unicode MS"/>
          <w:noProof/>
        </w:rPr>
        <w:t xml:space="preserve"> (ECHR).</w:t>
      </w:r>
    </w:p>
    <w:p w:rsidR="00BD4149" w:rsidRDefault="00BD4149" w:rsidP="00BD4149">
      <w:pPr>
        <w:shd w:val="clear" w:color="auto" w:fill="FFFFFF" w:themeFill="background1"/>
        <w:spacing w:before="0" w:after="160" w:line="259" w:lineRule="auto"/>
        <w:rPr>
          <w:rFonts w:eastAsia="Times New Roman"/>
          <w:noProof/>
        </w:rPr>
      </w:pPr>
      <w:r>
        <w:rPr>
          <w:rFonts w:eastAsia="Times New Roman"/>
          <w:noProof/>
        </w:rPr>
        <w:t>The decision of the Member State of issuance to provide a Union-wide effect of driving disqualifications</w:t>
      </w:r>
      <w:r w:rsidRPr="67C01949">
        <w:rPr>
          <w:rFonts w:eastAsia="Times New Roman"/>
          <w:noProof/>
          <w:lang w:val="en-US"/>
        </w:rPr>
        <w:t xml:space="preserve"> will further limit the possibility of the offender to drive a </w:t>
      </w:r>
      <w:r>
        <w:rPr>
          <w:rFonts w:eastAsia="Times New Roman"/>
          <w:noProof/>
          <w:lang w:val="en-US"/>
        </w:rPr>
        <w:t>power-driven</w:t>
      </w:r>
      <w:r w:rsidRPr="67C01949">
        <w:rPr>
          <w:rFonts w:eastAsia="Times New Roman"/>
          <w:noProof/>
          <w:lang w:val="en-US"/>
        </w:rPr>
        <w:t xml:space="preserve"> vehicle in the Union. Depending on his or her personal situation, this may affect the exercise of his professional activity, his family life, and the possibilities to make use of his or her </w:t>
      </w:r>
      <w:r>
        <w:rPr>
          <w:rFonts w:eastAsia="Times New Roman"/>
          <w:noProof/>
          <w:lang w:val="en-US"/>
        </w:rPr>
        <w:t>motor vehicles</w:t>
      </w:r>
      <w:r w:rsidRPr="67C01949">
        <w:rPr>
          <w:rFonts w:eastAsia="Times New Roman"/>
          <w:noProof/>
          <w:lang w:val="en-US"/>
        </w:rPr>
        <w:t xml:space="preserve">. </w:t>
      </w:r>
      <w:r w:rsidRPr="0D141AB3">
        <w:rPr>
          <w:rFonts w:eastAsia="Times New Roman"/>
          <w:noProof/>
        </w:rPr>
        <w:t>The prop</w:t>
      </w:r>
      <w:r w:rsidRPr="00635AF0">
        <w:rPr>
          <w:rFonts w:eastAsiaTheme="minorEastAsia"/>
          <w:noProof/>
        </w:rPr>
        <w:t xml:space="preserve">osal may therefore affect several fundamental rights; the right to engage in work or the freedom to conduct a business, the right to family life, the right to property. </w:t>
      </w:r>
      <w:r w:rsidRPr="76DD42A3">
        <w:rPr>
          <w:rFonts w:eastAsiaTheme="minorEastAsia"/>
          <w:noProof/>
        </w:rPr>
        <w:t>Moreover, the</w:t>
      </w:r>
      <w:r>
        <w:rPr>
          <w:rFonts w:eastAsiaTheme="minorEastAsia"/>
          <w:noProof/>
        </w:rPr>
        <w:t xml:space="preserve"> envisioned procedures </w:t>
      </w:r>
      <w:r w:rsidR="00E361F4">
        <w:rPr>
          <w:rFonts w:eastAsiaTheme="minorEastAsia"/>
          <w:noProof/>
        </w:rPr>
        <w:t>might</w:t>
      </w:r>
      <w:r w:rsidRPr="76DD42A3">
        <w:rPr>
          <w:rFonts w:eastAsiaTheme="minorEastAsia"/>
          <w:noProof/>
        </w:rPr>
        <w:t xml:space="preserve"> also impact a person’s right to</w:t>
      </w:r>
      <w:r w:rsidR="00E361F4">
        <w:rPr>
          <w:rFonts w:eastAsiaTheme="minorEastAsia"/>
          <w:noProof/>
        </w:rPr>
        <w:t xml:space="preserve"> a</w:t>
      </w:r>
      <w:r w:rsidRPr="76DD42A3">
        <w:rPr>
          <w:rFonts w:eastAsiaTheme="minorEastAsia"/>
          <w:noProof/>
        </w:rPr>
        <w:t xml:space="preserve"> fair trial</w:t>
      </w:r>
      <w:r w:rsidR="00E361F4">
        <w:rPr>
          <w:rFonts w:eastAsiaTheme="minorEastAsia"/>
          <w:noProof/>
        </w:rPr>
        <w:t>, his or her right</w:t>
      </w:r>
      <w:r w:rsidRPr="76DD42A3">
        <w:rPr>
          <w:rFonts w:eastAsiaTheme="minorEastAsia"/>
          <w:noProof/>
        </w:rPr>
        <w:t xml:space="preserve"> of </w:t>
      </w:r>
      <w:r w:rsidR="00E361F4" w:rsidRPr="76DD42A3">
        <w:rPr>
          <w:rFonts w:eastAsiaTheme="minorEastAsia"/>
          <w:noProof/>
        </w:rPr>
        <w:t>defence</w:t>
      </w:r>
      <w:r w:rsidRPr="76DD42A3">
        <w:rPr>
          <w:rFonts w:eastAsiaTheme="minorEastAsia"/>
          <w:noProof/>
        </w:rPr>
        <w:t xml:space="preserve"> and</w:t>
      </w:r>
      <w:r w:rsidR="00E361F4">
        <w:rPr>
          <w:rFonts w:eastAsiaTheme="minorEastAsia"/>
          <w:noProof/>
        </w:rPr>
        <w:t xml:space="preserve"> </w:t>
      </w:r>
      <w:r w:rsidR="00E361F4" w:rsidRPr="00FF5709">
        <w:rPr>
          <w:rFonts w:eastAsia="MS Mincho"/>
          <w:noProof/>
        </w:rPr>
        <w:t>his or her right</w:t>
      </w:r>
      <w:r w:rsidRPr="76DD42A3">
        <w:rPr>
          <w:rFonts w:eastAsiaTheme="minorEastAsia"/>
          <w:noProof/>
        </w:rPr>
        <w:t xml:space="preserve"> to</w:t>
      </w:r>
      <w:r w:rsidR="00E361F4">
        <w:rPr>
          <w:rFonts w:eastAsiaTheme="minorEastAsia"/>
          <w:noProof/>
        </w:rPr>
        <w:t xml:space="preserve"> the</w:t>
      </w:r>
      <w:r w:rsidRPr="76DD42A3">
        <w:rPr>
          <w:rFonts w:eastAsiaTheme="minorEastAsia"/>
          <w:noProof/>
        </w:rPr>
        <w:t xml:space="preserve"> protection of personal data</w:t>
      </w:r>
      <w:r w:rsidR="00E361F4">
        <w:rPr>
          <w:rFonts w:eastAsiaTheme="minorEastAsia"/>
          <w:noProof/>
        </w:rPr>
        <w:t xml:space="preserve"> </w:t>
      </w:r>
      <w:r w:rsidR="00E361F4" w:rsidRPr="00FF5709">
        <w:rPr>
          <w:rFonts w:eastAsia="MS Mincho"/>
          <w:noProof/>
        </w:rPr>
        <w:t>concerning him or her</w:t>
      </w:r>
      <w:r w:rsidRPr="76DD42A3">
        <w:rPr>
          <w:rFonts w:eastAsiaTheme="minorEastAsia"/>
          <w:noProof/>
        </w:rPr>
        <w:t xml:space="preserve">. </w:t>
      </w:r>
    </w:p>
    <w:p w:rsidR="00BD4149" w:rsidRPr="00CB083E" w:rsidRDefault="00E361F4" w:rsidP="00BD4149">
      <w:pPr>
        <w:spacing w:before="0" w:after="160" w:line="259" w:lineRule="auto"/>
        <w:rPr>
          <w:rFonts w:eastAsia="Times New Roman"/>
          <w:noProof/>
        </w:rPr>
      </w:pPr>
      <w:r>
        <w:rPr>
          <w:rFonts w:eastAsia="Times New Roman"/>
          <w:noProof/>
        </w:rPr>
        <w:t>L</w:t>
      </w:r>
      <w:r w:rsidR="00BD4149" w:rsidRPr="67C01949">
        <w:rPr>
          <w:rFonts w:eastAsia="Times New Roman"/>
          <w:noProof/>
        </w:rPr>
        <w:t xml:space="preserve">imitations of </w:t>
      </w:r>
      <w:r>
        <w:rPr>
          <w:rFonts w:eastAsia="Times New Roman"/>
          <w:noProof/>
        </w:rPr>
        <w:t>an</w:t>
      </w:r>
      <w:r w:rsidR="00BD4149" w:rsidRPr="67C01949">
        <w:rPr>
          <w:rFonts w:eastAsia="Times New Roman"/>
          <w:noProof/>
        </w:rPr>
        <w:t xml:space="preserve"> offender’s </w:t>
      </w:r>
      <w:r w:rsidR="00BD4149" w:rsidRPr="000C0556">
        <w:rPr>
          <w:rFonts w:eastAsia="Times New Roman"/>
          <w:noProof/>
        </w:rPr>
        <w:t>fundamental rights</w:t>
      </w:r>
      <w:r>
        <w:rPr>
          <w:rFonts w:eastAsia="Times New Roman"/>
          <w:noProof/>
        </w:rPr>
        <w:t xml:space="preserve"> </w:t>
      </w:r>
      <w:r w:rsidRPr="00FF5709">
        <w:rPr>
          <w:rFonts w:eastAsia="Times New Roman"/>
          <w:noProof/>
          <w:szCs w:val="24"/>
        </w:rPr>
        <w:t>may be made if they</w:t>
      </w:r>
      <w:r w:rsidR="00BD4149" w:rsidRPr="00635AF0">
        <w:rPr>
          <w:rFonts w:eastAsia="Times New Roman"/>
          <w:noProof/>
          <w:szCs w:val="24"/>
        </w:rPr>
        <w:t xml:space="preserve"> are necessary</w:t>
      </w:r>
      <w:r>
        <w:rPr>
          <w:rFonts w:eastAsia="Times New Roman"/>
          <w:noProof/>
          <w:szCs w:val="24"/>
        </w:rPr>
        <w:t xml:space="preserve"> </w:t>
      </w:r>
      <w:r w:rsidRPr="00FF5709">
        <w:rPr>
          <w:rFonts w:eastAsia="Times New Roman"/>
          <w:noProof/>
          <w:szCs w:val="24"/>
        </w:rPr>
        <w:t>and genuinely meet objectives of general interest recognised by the Union. This is the case here where the</w:t>
      </w:r>
      <w:r w:rsidR="00BD4149" w:rsidRPr="00635AF0">
        <w:rPr>
          <w:rFonts w:eastAsia="Times New Roman"/>
          <w:noProof/>
          <w:szCs w:val="24"/>
        </w:rPr>
        <w:t xml:space="preserve"> objective of general interest recognised by the Union,</w:t>
      </w:r>
      <w:r>
        <w:rPr>
          <w:rFonts w:eastAsia="Times New Roman"/>
          <w:noProof/>
          <w:szCs w:val="24"/>
        </w:rPr>
        <w:t xml:space="preserve"> </w:t>
      </w:r>
      <w:r w:rsidR="00BD4149" w:rsidRPr="00635AF0">
        <w:rPr>
          <w:rFonts w:eastAsia="Times New Roman"/>
          <w:noProof/>
          <w:szCs w:val="24"/>
        </w:rPr>
        <w:t>is t</w:t>
      </w:r>
      <w:r>
        <w:rPr>
          <w:rFonts w:eastAsia="Times New Roman"/>
          <w:noProof/>
          <w:szCs w:val="24"/>
        </w:rPr>
        <w:t>he</w:t>
      </w:r>
      <w:r w:rsidR="00BD4149" w:rsidRPr="00635AF0">
        <w:rPr>
          <w:rFonts w:eastAsia="Times New Roman"/>
          <w:noProof/>
          <w:szCs w:val="24"/>
        </w:rPr>
        <w:t xml:space="preserve"> improve</w:t>
      </w:r>
      <w:r>
        <w:rPr>
          <w:rFonts w:eastAsia="Times New Roman"/>
          <w:noProof/>
          <w:szCs w:val="24"/>
        </w:rPr>
        <w:t>ment of</w:t>
      </w:r>
      <w:r w:rsidR="00BD4149" w:rsidRPr="00635AF0">
        <w:rPr>
          <w:rFonts w:eastAsia="Times New Roman"/>
          <w:noProof/>
          <w:szCs w:val="24"/>
        </w:rPr>
        <w:t xml:space="preserve"> road safety. The</w:t>
      </w:r>
      <w:r>
        <w:rPr>
          <w:rFonts w:eastAsia="Times New Roman"/>
          <w:noProof/>
          <w:szCs w:val="24"/>
        </w:rPr>
        <w:t xml:space="preserve"> limitations</w:t>
      </w:r>
      <w:r w:rsidR="00BD4149" w:rsidRPr="00635AF0">
        <w:rPr>
          <w:rFonts w:eastAsia="Times New Roman"/>
          <w:noProof/>
          <w:szCs w:val="24"/>
        </w:rPr>
        <w:t xml:space="preserve"> do not go beyond what is necessary to achieve this </w:t>
      </w:r>
      <w:r>
        <w:rPr>
          <w:rFonts w:eastAsia="Times New Roman"/>
          <w:noProof/>
          <w:szCs w:val="24"/>
        </w:rPr>
        <w:t>objective</w:t>
      </w:r>
      <w:r w:rsidR="00BD4149" w:rsidRPr="00635AF0">
        <w:rPr>
          <w:rFonts w:eastAsia="Times New Roman"/>
          <w:noProof/>
          <w:szCs w:val="24"/>
        </w:rPr>
        <w:t xml:space="preserve">: </w:t>
      </w:r>
      <w:r w:rsidR="00BD4149" w:rsidRPr="67C01949">
        <w:rPr>
          <w:rFonts w:eastAsia="Times New Roman"/>
          <w:noProof/>
        </w:rPr>
        <w:t>A driver who has committed such road traffic offenses in a</w:t>
      </w:r>
      <w:r w:rsidR="00BD4149">
        <w:rPr>
          <w:rFonts w:eastAsia="Times New Roman"/>
          <w:noProof/>
        </w:rPr>
        <w:t xml:space="preserve"> </w:t>
      </w:r>
      <w:r w:rsidR="00BD4149" w:rsidRPr="67C01949">
        <w:rPr>
          <w:rFonts w:eastAsia="Times New Roman"/>
          <w:noProof/>
        </w:rPr>
        <w:t>Member State other than where his driving licence was issued, while benefitting from free movement, should face the same consequences when his driving licence is disqualified, as a driver from that Member State where the offense was committed</w:t>
      </w:r>
      <w:r w:rsidR="00BD4149">
        <w:rPr>
          <w:rFonts w:eastAsia="Times New Roman"/>
          <w:noProof/>
        </w:rPr>
        <w:t>.</w:t>
      </w:r>
      <w:r w:rsidR="00BD4149" w:rsidRPr="67C01949">
        <w:rPr>
          <w:rFonts w:eastAsia="Times New Roman"/>
          <w:noProof/>
        </w:rPr>
        <w:t xml:space="preserve"> </w:t>
      </w:r>
      <w:r w:rsidR="00BD4149">
        <w:rPr>
          <w:rFonts w:eastAsia="Times New Roman"/>
          <w:noProof/>
        </w:rPr>
        <w:t>They should lose their driving licence or</w:t>
      </w:r>
      <w:r w:rsidR="00BD4149" w:rsidRPr="67C01949">
        <w:rPr>
          <w:rFonts w:eastAsia="Times New Roman"/>
          <w:noProof/>
        </w:rPr>
        <w:t xml:space="preserve"> right to drive in the whole Union. Otherwise, road safety could only be protected in the</w:t>
      </w:r>
      <w:r w:rsidR="00BD4149">
        <w:rPr>
          <w:rFonts w:eastAsia="Times New Roman"/>
          <w:noProof/>
        </w:rPr>
        <w:t xml:space="preserve"> Member</w:t>
      </w:r>
      <w:r w:rsidR="00BD4149" w:rsidRPr="67C01949">
        <w:rPr>
          <w:rFonts w:eastAsia="Times New Roman"/>
          <w:noProof/>
        </w:rPr>
        <w:t xml:space="preserve"> State of the offense, which would</w:t>
      </w:r>
      <w:r w:rsidR="00BD4149">
        <w:rPr>
          <w:rFonts w:eastAsia="Times New Roman"/>
          <w:noProof/>
        </w:rPr>
        <w:t xml:space="preserve"> constitute a</w:t>
      </w:r>
      <w:r w:rsidR="00BD4149" w:rsidRPr="67C01949">
        <w:rPr>
          <w:rFonts w:eastAsia="Times New Roman"/>
          <w:noProof/>
        </w:rPr>
        <w:t xml:space="preserve"> partial and inefficient outcome.</w:t>
      </w:r>
    </w:p>
    <w:p w:rsidR="00BD4149" w:rsidRPr="00CB083E" w:rsidRDefault="00BD4149" w:rsidP="00BD4149">
      <w:pPr>
        <w:spacing w:before="0" w:after="160" w:line="259" w:lineRule="auto"/>
        <w:rPr>
          <w:rFonts w:eastAsia="Times New Roman"/>
          <w:noProof/>
        </w:rPr>
      </w:pPr>
      <w:r w:rsidRPr="67C01949">
        <w:rPr>
          <w:rFonts w:eastAsia="Times New Roman"/>
          <w:noProof/>
        </w:rPr>
        <w:t>Moreover, some important safeguards are included in the proposed Directive.</w:t>
      </w:r>
      <w:r>
        <w:rPr>
          <w:rFonts w:eastAsia="Times New Roman"/>
          <w:noProof/>
        </w:rPr>
        <w:t xml:space="preserve"> </w:t>
      </w:r>
      <w:r w:rsidRPr="67C01949">
        <w:rPr>
          <w:rFonts w:eastAsia="Times New Roman"/>
          <w:noProof/>
        </w:rPr>
        <w:t>The proposal provides for ground</w:t>
      </w:r>
      <w:r>
        <w:rPr>
          <w:rFonts w:eastAsia="Times New Roman"/>
          <w:noProof/>
        </w:rPr>
        <w:t>s</w:t>
      </w:r>
      <w:r w:rsidRPr="67C01949">
        <w:rPr>
          <w:rFonts w:eastAsia="Times New Roman"/>
          <w:noProof/>
        </w:rPr>
        <w:t xml:space="preserve"> for </w:t>
      </w:r>
      <w:r>
        <w:rPr>
          <w:rFonts w:eastAsia="Times New Roman"/>
          <w:noProof/>
        </w:rPr>
        <w:t>exemptions</w:t>
      </w:r>
      <w:r w:rsidRPr="67C01949">
        <w:rPr>
          <w:rFonts w:eastAsia="Times New Roman"/>
          <w:noProof/>
        </w:rPr>
        <w:t xml:space="preserve">, where </w:t>
      </w:r>
      <w:r w:rsidRPr="67C01949">
        <w:rPr>
          <w:noProof/>
          <w:lang w:val="en-US"/>
        </w:rPr>
        <w:t>there are substantial grounds to believe, on the basis of specific and objective evidence, that the execution of the driving disqualification would, in the particular circumstances of the case, entail a breach of a fundamental right set out in the Charter</w:t>
      </w:r>
      <w:r>
        <w:rPr>
          <w:noProof/>
          <w:lang w:val="en-US"/>
        </w:rPr>
        <w:t>.</w:t>
      </w:r>
      <w:r w:rsidRPr="67C01949">
        <w:rPr>
          <w:noProof/>
          <w:lang w:val="en-US"/>
        </w:rPr>
        <w:t xml:space="preserve"> </w:t>
      </w:r>
      <w:r w:rsidRPr="67C01949">
        <w:rPr>
          <w:rFonts w:eastAsia="Times New Roman"/>
          <w:noProof/>
        </w:rPr>
        <w:t xml:space="preserve">Another ground for </w:t>
      </w:r>
      <w:r>
        <w:rPr>
          <w:rFonts w:eastAsia="Times New Roman"/>
          <w:noProof/>
        </w:rPr>
        <w:t>exemption</w:t>
      </w:r>
      <w:r w:rsidRPr="67C01949">
        <w:rPr>
          <w:rFonts w:eastAsia="Times New Roman"/>
          <w:noProof/>
        </w:rPr>
        <w:t xml:space="preserve"> applies where the procedural safeguards of </w:t>
      </w:r>
      <w:r w:rsidRPr="67C01949">
        <w:rPr>
          <w:rFonts w:eastAsia="Times New Roman"/>
          <w:i/>
          <w:iCs/>
          <w:noProof/>
        </w:rPr>
        <w:t>in absentia</w:t>
      </w:r>
      <w:r w:rsidRPr="67C01949">
        <w:rPr>
          <w:rFonts w:eastAsia="Times New Roman"/>
          <w:noProof/>
        </w:rPr>
        <w:t xml:space="preserve"> procedures </w:t>
      </w:r>
      <w:r w:rsidR="00E361F4">
        <w:rPr>
          <w:rFonts w:eastAsia="Times New Roman"/>
          <w:noProof/>
        </w:rPr>
        <w:t>are</w:t>
      </w:r>
      <w:r w:rsidRPr="67C01949">
        <w:rPr>
          <w:rFonts w:eastAsia="Times New Roman"/>
          <w:noProof/>
        </w:rPr>
        <w:t xml:space="preserve"> not respected. It is similar to those that apply for other mutual recognition instruments since the entry into force of Framework Decision 2009/299/JHA </w:t>
      </w:r>
      <w:r w:rsidRPr="00635AF0">
        <w:rPr>
          <w:rFonts w:eastAsia="Times New Roman"/>
          <w:noProof/>
        </w:rPr>
        <w:t>enhancing the procedural rights of persons and fostering the application of the principle of mutual recognition to decisions rendered in the absence of the person concerned at the trial</w:t>
      </w:r>
      <w:r w:rsidRPr="00DD7480">
        <w:rPr>
          <w:rStyle w:val="FootnoteReference"/>
          <w:noProof/>
        </w:rPr>
        <w:footnoteReference w:id="54"/>
      </w:r>
      <w:r w:rsidRPr="67C01949">
        <w:rPr>
          <w:rFonts w:eastAsia="Times New Roman"/>
          <w:noProof/>
        </w:rPr>
        <w:t xml:space="preserve">. </w:t>
      </w:r>
    </w:p>
    <w:p w:rsidR="00BD4149" w:rsidRPr="00CB083E" w:rsidRDefault="00BD4149" w:rsidP="00BD4149">
      <w:pPr>
        <w:spacing w:before="240" w:after="240" w:line="259" w:lineRule="auto"/>
        <w:rPr>
          <w:noProof/>
          <w:lang w:val="en-US"/>
        </w:rPr>
      </w:pPr>
      <w:r>
        <w:rPr>
          <w:rFonts w:eastAsia="Times New Roman"/>
          <w:noProof/>
        </w:rPr>
        <w:t xml:space="preserve">In addition, </w:t>
      </w:r>
      <w:r>
        <w:rPr>
          <w:rFonts w:eastAsia="Calibri"/>
          <w:noProof/>
        </w:rPr>
        <w:t xml:space="preserve">Member States shall ensure that legal remedies equivalent to those available in a similar domestic case are available in the Member State where the offence was committed and the offender may also appeal against the decision that ensures the Union-wide effect of the driving disqualification, abolishing such effect and restricting the disqualification to that of the Member State of the offence when successful. Moreover, </w:t>
      </w:r>
      <w:r>
        <w:rPr>
          <w:rFonts w:eastAsia="Times New Roman"/>
          <w:noProof/>
        </w:rPr>
        <w:t xml:space="preserve">information will need to be provided by the authorities </w:t>
      </w:r>
      <w:r>
        <w:rPr>
          <w:rFonts w:eastAsia="Calibri"/>
          <w:noProof/>
        </w:rPr>
        <w:t>about the possibilities under national law for seeking such legal remedies when these become applicable and in due time to ensure that they can be exercised effectively</w:t>
      </w:r>
      <w:r w:rsidRPr="005651CC">
        <w:rPr>
          <w:noProof/>
          <w:lang w:val="en-US"/>
        </w:rPr>
        <w:t>.</w:t>
      </w:r>
      <w:r w:rsidRPr="67C01949">
        <w:rPr>
          <w:noProof/>
          <w:lang w:val="en-US"/>
        </w:rPr>
        <w:t xml:space="preserve"> </w:t>
      </w:r>
    </w:p>
    <w:p w:rsidR="00BD4149" w:rsidRPr="00683165" w:rsidRDefault="00BD4149" w:rsidP="00BD4149">
      <w:pPr>
        <w:spacing w:before="0" w:after="160" w:line="259" w:lineRule="auto"/>
        <w:rPr>
          <w:rFonts w:eastAsia="Times New Roman"/>
          <w:noProof/>
        </w:rPr>
      </w:pPr>
      <w:r w:rsidRPr="005349D7">
        <w:rPr>
          <w:rFonts w:eastAsia="Times New Roman"/>
          <w:noProof/>
        </w:rPr>
        <w:t>If applied with proportionality and complemented with effective procedural safeguards as described above, the measures in this proposal are compatible with fundamental rights requirements.</w:t>
      </w:r>
    </w:p>
    <w:p w:rsidR="00BD4149" w:rsidRPr="00367700" w:rsidRDefault="00BD4149" w:rsidP="00BD4149">
      <w:pPr>
        <w:pStyle w:val="ManualHeading1"/>
        <w:rPr>
          <w:noProof/>
        </w:rPr>
      </w:pPr>
      <w:r w:rsidRPr="00BF1125">
        <w:rPr>
          <w:noProof/>
        </w:rPr>
        <w:t>4.</w:t>
      </w:r>
      <w:r w:rsidRPr="00BF1125">
        <w:rPr>
          <w:noProof/>
        </w:rPr>
        <w:tab/>
        <w:t>BUDGETARY IMPLICATIONS</w:t>
      </w:r>
    </w:p>
    <w:p w:rsidR="00BD4149" w:rsidRPr="00CB083E" w:rsidRDefault="00BD4149" w:rsidP="00BD4149">
      <w:pPr>
        <w:spacing w:before="0" w:after="160" w:line="259" w:lineRule="auto"/>
        <w:rPr>
          <w:rFonts w:eastAsia="Times New Roman"/>
          <w:noProof/>
          <w:szCs w:val="24"/>
        </w:rPr>
      </w:pPr>
      <w:r w:rsidRPr="00CB083E">
        <w:rPr>
          <w:rFonts w:eastAsia="Times New Roman"/>
          <w:noProof/>
          <w:szCs w:val="24"/>
        </w:rPr>
        <w:t>For transmission and communication between authorities, already existing technical solutions (such as RESPER - the network for the exchange of information related to driving licences</w:t>
      </w:r>
      <w:r>
        <w:rPr>
          <w:rFonts w:eastAsia="Times New Roman"/>
          <w:noProof/>
          <w:szCs w:val="24"/>
        </w:rPr>
        <w:t>)</w:t>
      </w:r>
      <w:r w:rsidRPr="00CB083E">
        <w:rPr>
          <w:rFonts w:eastAsia="Times New Roman"/>
          <w:noProof/>
          <w:szCs w:val="24"/>
        </w:rPr>
        <w:t xml:space="preserve"> are foreseen. </w:t>
      </w:r>
    </w:p>
    <w:p w:rsidR="00BD4149" w:rsidRDefault="00BD4149" w:rsidP="00BD4149">
      <w:pPr>
        <w:spacing w:before="0" w:after="160" w:line="259" w:lineRule="auto"/>
        <w:rPr>
          <w:rFonts w:eastAsia="Times New Roman"/>
          <w:noProof/>
          <w:szCs w:val="24"/>
        </w:rPr>
      </w:pPr>
      <w:r w:rsidRPr="00CB083E">
        <w:rPr>
          <w:rFonts w:eastAsia="Times New Roman"/>
          <w:noProof/>
          <w:szCs w:val="24"/>
        </w:rPr>
        <w:t>Some technical modifications would be needed to ensure that RESPER is able to exchange additional elements related to driving disqualifications. It should be noted however, that overall, these costs are likely not to be substantial.</w:t>
      </w:r>
      <w:r w:rsidR="00872D24">
        <w:rPr>
          <w:rFonts w:eastAsia="Times New Roman"/>
          <w:noProof/>
          <w:szCs w:val="24"/>
        </w:rPr>
        <w:t xml:space="preserve"> </w:t>
      </w:r>
      <w:r w:rsidRPr="00BF1125">
        <w:rPr>
          <w:rFonts w:eastAsia="Times New Roman"/>
          <w:noProof/>
          <w:szCs w:val="24"/>
        </w:rPr>
        <w:t>Member States are envisioned to cover their own costs that arise from the application of the proposed Directive. The associated costs are related to the additional time spent on investigations and the costs associated to the notification of the foreign offender.</w:t>
      </w:r>
    </w:p>
    <w:p w:rsidR="00BD4149" w:rsidRPr="00BF1125" w:rsidRDefault="00BD4149" w:rsidP="00BD4149">
      <w:pPr>
        <w:spacing w:before="0" w:after="160" w:line="259" w:lineRule="auto"/>
        <w:rPr>
          <w:rFonts w:eastAsia="Arial Unicode MS"/>
          <w:noProof/>
        </w:rPr>
      </w:pPr>
      <w:r>
        <w:rPr>
          <w:rFonts w:eastAsia="Times New Roman"/>
          <w:noProof/>
          <w:szCs w:val="24"/>
        </w:rPr>
        <w:t>Finally, it is worth not</w:t>
      </w:r>
      <w:r w:rsidR="00872D24">
        <w:rPr>
          <w:rFonts w:eastAsia="Times New Roman"/>
          <w:noProof/>
          <w:szCs w:val="24"/>
        </w:rPr>
        <w:t>ing</w:t>
      </w:r>
      <w:r>
        <w:rPr>
          <w:rFonts w:eastAsia="Times New Roman"/>
          <w:noProof/>
          <w:szCs w:val="24"/>
        </w:rPr>
        <w:t xml:space="preserve"> that although d</w:t>
      </w:r>
      <w:r w:rsidRPr="005D5D61">
        <w:rPr>
          <w:rFonts w:eastAsia="Times New Roman"/>
          <w:noProof/>
          <w:szCs w:val="24"/>
        </w:rPr>
        <w:t>riving disqualifications are often coupled w</w:t>
      </w:r>
      <w:r>
        <w:rPr>
          <w:rFonts w:eastAsia="Times New Roman"/>
          <w:noProof/>
          <w:szCs w:val="24"/>
        </w:rPr>
        <w:t>ith pecuniary penalties</w:t>
      </w:r>
      <w:r w:rsidRPr="005D5D61">
        <w:rPr>
          <w:rFonts w:eastAsia="Times New Roman"/>
          <w:noProof/>
          <w:szCs w:val="24"/>
        </w:rPr>
        <w:t>, this proposal purposefully</w:t>
      </w:r>
      <w:r>
        <w:rPr>
          <w:rFonts w:eastAsia="Times New Roman"/>
          <w:noProof/>
          <w:szCs w:val="24"/>
        </w:rPr>
        <w:t xml:space="preserve"> disinclines from its scope such penalties and as such will not contribute in their enforcement.</w:t>
      </w:r>
    </w:p>
    <w:p w:rsidR="00BD4149" w:rsidRPr="0036155A" w:rsidRDefault="00BD4149" w:rsidP="00BD4149">
      <w:pPr>
        <w:pStyle w:val="ManualHeading1"/>
        <w:rPr>
          <w:noProof/>
        </w:rPr>
      </w:pPr>
      <w:r w:rsidRPr="0036155A">
        <w:rPr>
          <w:noProof/>
        </w:rPr>
        <w:t>5.</w:t>
      </w:r>
      <w:r w:rsidRPr="0036155A">
        <w:rPr>
          <w:noProof/>
        </w:rPr>
        <w:tab/>
        <w:t>OTHER ELEMENTS</w:t>
      </w:r>
    </w:p>
    <w:p w:rsidR="00BD4149" w:rsidRPr="0036155A" w:rsidRDefault="00BD4149" w:rsidP="00BD4149">
      <w:pPr>
        <w:pStyle w:val="ManualHeading2"/>
        <w:rPr>
          <w:rFonts w:eastAsia="Arial Unicode MS"/>
          <w:noProof/>
          <w:u w:color="000000"/>
          <w:bdr w:val="nil"/>
          <w:lang w:val="en-US" w:eastAsia="en-GB"/>
        </w:rPr>
      </w:pPr>
      <w:r w:rsidRPr="0036155A">
        <w:rPr>
          <w:rFonts w:eastAsia="Arial Unicode MS"/>
          <w:noProof/>
          <w:u w:color="000000"/>
          <w:bdr w:val="nil"/>
          <w:lang w:val="en-US" w:eastAsia="en-GB"/>
        </w:rPr>
        <w:t>•</w:t>
      </w:r>
      <w:r w:rsidRPr="0036155A">
        <w:rPr>
          <w:rFonts w:eastAsia="Arial Unicode MS"/>
          <w:noProof/>
          <w:u w:color="000000"/>
          <w:bdr w:val="nil"/>
          <w:lang w:val="en-US" w:eastAsia="en-GB"/>
        </w:rPr>
        <w:tab/>
        <w:t>Implementation plans and monitoring, evaluation and reporting arrangements</w:t>
      </w:r>
    </w:p>
    <w:p w:rsidR="00BD4149" w:rsidRPr="0036155A" w:rsidRDefault="00BD4149" w:rsidP="00BD4149">
      <w:pPr>
        <w:spacing w:before="0" w:after="160" w:line="259" w:lineRule="auto"/>
        <w:rPr>
          <w:rFonts w:eastAsia="Times New Roman"/>
          <w:noProof/>
        </w:rPr>
      </w:pPr>
      <w:r w:rsidRPr="67C01949">
        <w:rPr>
          <w:rFonts w:eastAsia="Times New Roman"/>
          <w:noProof/>
        </w:rPr>
        <w:t xml:space="preserve">The proposal </w:t>
      </w:r>
      <w:r>
        <w:rPr>
          <w:rFonts w:eastAsia="Times New Roman"/>
          <w:noProof/>
        </w:rPr>
        <w:t>imposes</w:t>
      </w:r>
      <w:r w:rsidRPr="67C01949">
        <w:rPr>
          <w:rFonts w:eastAsia="Times New Roman"/>
          <w:noProof/>
        </w:rPr>
        <w:t xml:space="preserve"> a reporting obligation on the Commission to</w:t>
      </w:r>
      <w:r>
        <w:rPr>
          <w:rFonts w:eastAsia="Times New Roman"/>
          <w:noProof/>
        </w:rPr>
        <w:t>wards</w:t>
      </w:r>
      <w:r w:rsidRPr="67C01949">
        <w:rPr>
          <w:rFonts w:eastAsia="Times New Roman"/>
          <w:noProof/>
        </w:rPr>
        <w:t xml:space="preserve"> the European Parliament and the Council, </w:t>
      </w:r>
      <w:r>
        <w:rPr>
          <w:rFonts w:eastAsia="Times New Roman"/>
          <w:noProof/>
        </w:rPr>
        <w:t>concerning</w:t>
      </w:r>
      <w:r w:rsidRPr="67C01949">
        <w:rPr>
          <w:rFonts w:eastAsia="Times New Roman"/>
          <w:noProof/>
        </w:rPr>
        <w:t xml:space="preserve"> the implementation of the proposed directive,</w:t>
      </w:r>
      <w:r>
        <w:rPr>
          <w:rFonts w:eastAsia="Times New Roman"/>
          <w:noProof/>
        </w:rPr>
        <w:t xml:space="preserve"> including, </w:t>
      </w:r>
      <w:r w:rsidRPr="67C01949">
        <w:rPr>
          <w:rFonts w:eastAsia="Times New Roman"/>
          <w:noProof/>
        </w:rPr>
        <w:t>in particular</w:t>
      </w:r>
      <w:r>
        <w:rPr>
          <w:rFonts w:eastAsia="Times New Roman"/>
          <w:noProof/>
        </w:rPr>
        <w:t>,</w:t>
      </w:r>
      <w:r w:rsidRPr="67C01949">
        <w:rPr>
          <w:rFonts w:eastAsia="Times New Roman"/>
          <w:noProof/>
        </w:rPr>
        <w:t xml:space="preserve"> its </w:t>
      </w:r>
      <w:r>
        <w:rPr>
          <w:rFonts w:eastAsia="Times New Roman"/>
          <w:noProof/>
        </w:rPr>
        <w:t>impact</w:t>
      </w:r>
      <w:r w:rsidRPr="67C01949">
        <w:rPr>
          <w:rFonts w:eastAsia="Times New Roman"/>
          <w:noProof/>
        </w:rPr>
        <w:t xml:space="preserve"> on</w:t>
      </w:r>
      <w:r>
        <w:rPr>
          <w:rFonts w:eastAsia="Times New Roman"/>
          <w:noProof/>
          <w:szCs w:val="24"/>
          <w:lang w:val="en-US"/>
        </w:rPr>
        <w:t xml:space="preserve"> road safety</w:t>
      </w:r>
      <w:r w:rsidRPr="67C01949">
        <w:rPr>
          <w:rFonts w:eastAsia="Times New Roman"/>
          <w:noProof/>
        </w:rPr>
        <w:t xml:space="preserve">. The report of the Commission is </w:t>
      </w:r>
      <w:r>
        <w:rPr>
          <w:rFonts w:eastAsia="Times New Roman"/>
          <w:noProof/>
        </w:rPr>
        <w:t>due</w:t>
      </w:r>
      <w:r w:rsidRPr="67C01949">
        <w:rPr>
          <w:rFonts w:eastAsia="Times New Roman"/>
          <w:noProof/>
        </w:rPr>
        <w:t xml:space="preserve"> five years after the transposition of the proposed directive by the Member States. </w:t>
      </w:r>
    </w:p>
    <w:p w:rsidR="00BD4149" w:rsidRPr="0036155A" w:rsidRDefault="00BD4149" w:rsidP="00BD4149">
      <w:pPr>
        <w:spacing w:before="0" w:after="160" w:line="259" w:lineRule="auto"/>
        <w:rPr>
          <w:rFonts w:eastAsia="Times New Roman"/>
          <w:b/>
          <w:bCs/>
          <w:noProof/>
          <w:lang w:val="en-US"/>
        </w:rPr>
      </w:pPr>
      <w:r w:rsidRPr="0D141AB3">
        <w:rPr>
          <w:rFonts w:eastAsia="Times New Roman"/>
          <w:b/>
          <w:bCs/>
          <w:noProof/>
          <w:lang w:val="en-US"/>
        </w:rPr>
        <w:t>•</w:t>
      </w:r>
      <w:r>
        <w:rPr>
          <w:noProof/>
        </w:rPr>
        <w:tab/>
      </w:r>
      <w:r w:rsidRPr="0D141AB3">
        <w:rPr>
          <w:rFonts w:eastAsia="Times New Roman"/>
          <w:b/>
          <w:bCs/>
          <w:noProof/>
          <w:lang w:val="en-US"/>
        </w:rPr>
        <w:t>Detailed explanation of the specific provisions of the proposal</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w:t>
      </w:r>
      <w:r w:rsidR="00395737">
        <w:rPr>
          <w:rFonts w:eastAsia="Times New Roman"/>
          <w:i/>
          <w:iCs/>
          <w:noProof/>
          <w:szCs w:val="24"/>
        </w:rPr>
        <w:t>rticle 1: Objective and subject-</w:t>
      </w:r>
      <w:r w:rsidRPr="00EC7E4D">
        <w:rPr>
          <w:rFonts w:eastAsia="Times New Roman"/>
          <w:i/>
          <w:iCs/>
          <w:noProof/>
          <w:szCs w:val="24"/>
        </w:rPr>
        <w:t>matter</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The proposal aims to ensure a high level of protection for road users in the Union, by laying down rules providing for Union-wide effect of driving disqualifications for major road-safety related offences committed in a Member State other than the one that issued the driving licence of the offender.</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Article 2: Definitions</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Article 2 provides definitions of certain key concepts used in the proposal.</w:t>
      </w:r>
    </w:p>
    <w:p w:rsidR="00BD4149" w:rsidRPr="00EC7E4D" w:rsidRDefault="00BD4149" w:rsidP="00BD4149">
      <w:pPr>
        <w:spacing w:before="0" w:after="160" w:line="259" w:lineRule="auto"/>
        <w:rPr>
          <w:rFonts w:eastAsia="Times New Roman"/>
          <w:noProof/>
        </w:rPr>
      </w:pPr>
      <w:r w:rsidRPr="00EC7E4D">
        <w:rPr>
          <w:rFonts w:eastAsia="Times New Roman"/>
          <w:noProof/>
        </w:rPr>
        <w:t xml:space="preserve">These includes definitions of concepts such as ‘driving disqualification’, ‘Member State of the offence’ </w:t>
      </w:r>
      <w:r w:rsidR="001F76FE">
        <w:rPr>
          <w:rFonts w:eastAsia="Times New Roman"/>
          <w:noProof/>
        </w:rPr>
        <w:t>(</w:t>
      </w:r>
      <w:r w:rsidRPr="00EC7E4D">
        <w:rPr>
          <w:rFonts w:eastAsia="Times New Roman"/>
          <w:noProof/>
        </w:rPr>
        <w:t>where the offence takes place</w:t>
      </w:r>
      <w:r w:rsidR="001F76FE">
        <w:rPr>
          <w:rFonts w:eastAsia="Times New Roman"/>
          <w:noProof/>
        </w:rPr>
        <w:t>)</w:t>
      </w:r>
      <w:r w:rsidRPr="00EC7E4D">
        <w:rPr>
          <w:rFonts w:eastAsia="Times New Roman"/>
          <w:noProof/>
        </w:rPr>
        <w:t xml:space="preserve">, ‘Member State of issuance’ </w:t>
      </w:r>
      <w:r w:rsidR="001F76FE">
        <w:rPr>
          <w:rFonts w:eastAsia="Times New Roman"/>
          <w:noProof/>
        </w:rPr>
        <w:t>(</w:t>
      </w:r>
      <w:r w:rsidRPr="00EC7E4D">
        <w:rPr>
          <w:rFonts w:eastAsia="Times New Roman"/>
          <w:noProof/>
        </w:rPr>
        <w:t>which issued the driving licence</w:t>
      </w:r>
      <w:r w:rsidR="001F76FE">
        <w:rPr>
          <w:rFonts w:eastAsia="Times New Roman"/>
          <w:noProof/>
        </w:rPr>
        <w:t xml:space="preserve">) </w:t>
      </w:r>
      <w:r w:rsidRPr="00EC7E4D">
        <w:rPr>
          <w:rFonts w:eastAsia="Times New Roman"/>
          <w:noProof/>
        </w:rPr>
        <w:t xml:space="preserve">and ‘person concerned’. </w:t>
      </w:r>
    </w:p>
    <w:p w:rsidR="00BD4149" w:rsidRPr="00EC7E4D" w:rsidRDefault="00BD4149" w:rsidP="00BD4149">
      <w:pPr>
        <w:spacing w:before="0" w:after="160" w:line="259" w:lineRule="auto"/>
        <w:rPr>
          <w:rFonts w:eastAsia="Times New Roman"/>
          <w:noProof/>
          <w:szCs w:val="24"/>
        </w:rPr>
      </w:pPr>
      <w:r w:rsidRPr="00EC7E4D">
        <w:rPr>
          <w:rFonts w:eastAsia="Times New Roman"/>
          <w:noProof/>
        </w:rPr>
        <w:t xml:space="preserve">The definition of ‘driving disqualification’ encompasses </w:t>
      </w:r>
      <w:r w:rsidRPr="00EC7E4D">
        <w:rPr>
          <w:rFonts w:eastAsia="Times New Roman"/>
          <w:noProof/>
          <w:lang w:val="en-US"/>
        </w:rPr>
        <w:t xml:space="preserve">any final decision imposing a driving disqualification related to the commission of a road traffic offence </w:t>
      </w:r>
      <w:r w:rsidRPr="00EC7E4D">
        <w:rPr>
          <w:rFonts w:eastAsia="Times New Roman"/>
          <w:noProof/>
        </w:rPr>
        <w:t xml:space="preserve">that results in any measure of the </w:t>
      </w:r>
      <w:r w:rsidRPr="00EC7E4D">
        <w:rPr>
          <w:rFonts w:eastAsia="Times New Roman"/>
          <w:noProof/>
          <w:lang w:val="en-US"/>
        </w:rPr>
        <w:t>withdrawal, restriction or suspension of the driving license or right to drive,</w:t>
      </w:r>
      <w:r>
        <w:rPr>
          <w:rFonts w:eastAsia="Times New Roman"/>
          <w:noProof/>
          <w:lang w:val="en-US"/>
        </w:rPr>
        <w:t xml:space="preserve"> </w:t>
      </w:r>
      <w:r w:rsidRPr="00EC7E4D">
        <w:rPr>
          <w:rFonts w:eastAsia="Times New Roman"/>
          <w:noProof/>
          <w:lang w:val="en-US"/>
        </w:rPr>
        <w:t xml:space="preserve">regardless of whether it qualifies as a safety measure or a penalty or as an administrative or criminal sanction. The concepts of withdrawal, restriction and suspension are also defined. </w:t>
      </w:r>
      <w:r w:rsidRPr="00EC7E4D">
        <w:rPr>
          <w:rFonts w:eastAsia="Times New Roman"/>
          <w:noProof/>
        </w:rPr>
        <w:t>The directive is applicable to a limited num</w:t>
      </w:r>
      <w:r w:rsidR="008578F4">
        <w:rPr>
          <w:rFonts w:eastAsia="Times New Roman"/>
          <w:noProof/>
        </w:rPr>
        <w:t>ber of well-defined ‘major road-safety-</w:t>
      </w:r>
      <w:r w:rsidRPr="00EC7E4D">
        <w:rPr>
          <w:rFonts w:eastAsia="Times New Roman"/>
          <w:noProof/>
        </w:rPr>
        <w:t xml:space="preserve">related traffic offences’, </w:t>
      </w:r>
      <w:r w:rsidR="001F76FE">
        <w:rPr>
          <w:rFonts w:eastAsia="Times New Roman"/>
          <w:noProof/>
        </w:rPr>
        <w:t>namely</w:t>
      </w:r>
      <w:r w:rsidRPr="00EC7E4D">
        <w:rPr>
          <w:rFonts w:eastAsia="Times New Roman"/>
          <w:noProof/>
        </w:rPr>
        <w:t xml:space="preserve"> drink-driving, speeding, driving under the influence of drugs</w:t>
      </w:r>
      <w:r w:rsidR="008578F4">
        <w:rPr>
          <w:rFonts w:eastAsia="Times New Roman"/>
          <w:noProof/>
        </w:rPr>
        <w:t>,</w:t>
      </w:r>
      <w:r w:rsidR="00AF5B78">
        <w:rPr>
          <w:rFonts w:eastAsia="Times New Roman"/>
          <w:noProof/>
        </w:rPr>
        <w:t xml:space="preserve"> and</w:t>
      </w:r>
      <w:r w:rsidRPr="00EC7E4D">
        <w:rPr>
          <w:rFonts w:eastAsia="Times New Roman"/>
          <w:noProof/>
        </w:rPr>
        <w:t xml:space="preserve"> infringing road traffic regulations</w:t>
      </w:r>
      <w:r w:rsidR="008578F4">
        <w:rPr>
          <w:rFonts w:eastAsia="Times New Roman"/>
          <w:noProof/>
        </w:rPr>
        <w:t xml:space="preserve"> and</w:t>
      </w:r>
      <w:r w:rsidRPr="00EC7E4D">
        <w:rPr>
          <w:rFonts w:eastAsia="Times New Roman"/>
          <w:noProof/>
        </w:rPr>
        <w:t xml:space="preserve"> causing death or serious bodily injury as a result. It also defines ‘additional conditions’ as conditions that </w:t>
      </w:r>
      <w:r w:rsidRPr="00EC7E4D">
        <w:rPr>
          <w:rFonts w:eastAsia="Times New Roman"/>
          <w:noProof/>
          <w:szCs w:val="24"/>
        </w:rPr>
        <w:t xml:space="preserve">the person concerned by a driving disqualification must </w:t>
      </w:r>
      <w:r w:rsidR="001F76FE" w:rsidRPr="00EC7E4D">
        <w:rPr>
          <w:rFonts w:eastAsia="Times New Roman"/>
          <w:noProof/>
          <w:szCs w:val="24"/>
        </w:rPr>
        <w:t>fulfil</w:t>
      </w:r>
      <w:r w:rsidRPr="00EC7E4D">
        <w:rPr>
          <w:rFonts w:eastAsia="Times New Roman"/>
          <w:noProof/>
          <w:szCs w:val="24"/>
        </w:rPr>
        <w:t xml:space="preserve"> in order to</w:t>
      </w:r>
      <w:r w:rsidR="001F76FE">
        <w:rPr>
          <w:rFonts w:eastAsia="Times New Roman"/>
          <w:noProof/>
          <w:szCs w:val="24"/>
        </w:rPr>
        <w:t xml:space="preserve"> recover his or her</w:t>
      </w:r>
      <w:r w:rsidRPr="00EC7E4D">
        <w:rPr>
          <w:rFonts w:eastAsia="Times New Roman"/>
          <w:noProof/>
          <w:szCs w:val="24"/>
        </w:rPr>
        <w:t xml:space="preserve"> driving licence or right to drive.</w:t>
      </w:r>
    </w:p>
    <w:p w:rsidR="00BD4149" w:rsidRPr="00EC7E4D" w:rsidRDefault="00BD4149" w:rsidP="00BD4149">
      <w:pPr>
        <w:spacing w:before="0" w:after="160" w:line="259" w:lineRule="auto"/>
        <w:rPr>
          <w:rFonts w:eastAsia="Times New Roman"/>
          <w:noProof/>
        </w:rPr>
      </w:pPr>
      <w:r w:rsidRPr="00EC7E4D">
        <w:rPr>
          <w:rFonts w:eastAsia="Times New Roman"/>
          <w:noProof/>
        </w:rPr>
        <w:t>For some concepts, such as ‘major road safety related traffic offences’, ‘power-driven vehicle</w:t>
      </w:r>
      <w:r w:rsidR="001B2227">
        <w:rPr>
          <w:rFonts w:eastAsia="Times New Roman"/>
          <w:noProof/>
        </w:rPr>
        <w:t>’, ‘driving licence’ and ‘normal residence</w:t>
      </w:r>
      <w:r w:rsidRPr="00EC7E4D">
        <w:rPr>
          <w:rFonts w:eastAsia="Times New Roman"/>
          <w:noProof/>
        </w:rPr>
        <w:t xml:space="preserve">’, cross-references to definitions in other Union instruments are made. </w:t>
      </w:r>
    </w:p>
    <w:p w:rsidR="00BD4149" w:rsidRPr="00EC7E4D" w:rsidRDefault="00BD4149" w:rsidP="00BD4149">
      <w:pPr>
        <w:spacing w:before="0" w:after="160" w:line="259" w:lineRule="auto"/>
        <w:rPr>
          <w:rFonts w:eastAsia="Times New Roman"/>
          <w:i/>
          <w:iCs/>
          <w:noProof/>
        </w:rPr>
      </w:pPr>
      <w:r w:rsidRPr="00EC7E4D">
        <w:rPr>
          <w:rFonts w:eastAsia="Times New Roman"/>
          <w:i/>
          <w:iCs/>
          <w:noProof/>
        </w:rPr>
        <w:t>Article 3: Union-wide effect of driving disqualification</w:t>
      </w:r>
      <w:r w:rsidR="00DD340F">
        <w:rPr>
          <w:rFonts w:eastAsia="Times New Roman"/>
          <w:i/>
          <w:iCs/>
          <w:noProof/>
        </w:rPr>
        <w:t>s</w:t>
      </w:r>
    </w:p>
    <w:p w:rsidR="00BD4149" w:rsidRPr="00EC7E4D" w:rsidRDefault="00BD4149" w:rsidP="00BD4149">
      <w:pPr>
        <w:spacing w:before="0" w:after="160" w:line="259" w:lineRule="auto"/>
        <w:rPr>
          <w:rFonts w:eastAsia="Times New Roman"/>
          <w:noProof/>
        </w:rPr>
      </w:pPr>
      <w:r w:rsidRPr="00EC7E4D">
        <w:rPr>
          <w:rFonts w:eastAsia="Times New Roman"/>
          <w:noProof/>
        </w:rPr>
        <w:t xml:space="preserve">It establishes the principle that a </w:t>
      </w:r>
      <w:r w:rsidRPr="00EC7E4D">
        <w:rPr>
          <w:rFonts w:eastAsia="Times New Roman"/>
          <w:noProof/>
          <w:lang w:val="en-US" w:eastAsia="en-GB"/>
        </w:rPr>
        <w:t>driving disqualification issued by a Member State to a person who is not a normal resident in that Member State and who holds a driving license issued by another Member State should have Union-wide effect</w:t>
      </w:r>
      <w:r>
        <w:rPr>
          <w:rFonts w:eastAsia="Times New Roman"/>
          <w:noProof/>
          <w:lang w:val="en-US" w:eastAsia="en-GB"/>
        </w:rPr>
        <w:t>.</w:t>
      </w:r>
      <w:r w:rsidRPr="00EC7E4D">
        <w:rPr>
          <w:rFonts w:eastAsia="Times New Roman"/>
          <w:noProof/>
          <w:lang w:val="en-US" w:eastAsia="en-GB"/>
        </w:rPr>
        <w:t xml:space="preserve"> </w:t>
      </w:r>
    </w:p>
    <w:p w:rsidR="00BD4149" w:rsidRPr="00EC7E4D" w:rsidRDefault="00BD4149" w:rsidP="00BD4149">
      <w:pPr>
        <w:spacing w:before="0" w:after="160" w:line="259" w:lineRule="auto"/>
        <w:rPr>
          <w:rFonts w:eastAsia="Times New Roman"/>
          <w:i/>
          <w:noProof/>
        </w:rPr>
      </w:pPr>
      <w:r w:rsidRPr="00EC7E4D">
        <w:rPr>
          <w:rFonts w:eastAsia="Times New Roman"/>
          <w:i/>
          <w:noProof/>
        </w:rPr>
        <w:t>Article 4: Duty to notify a driving disqualification</w:t>
      </w:r>
    </w:p>
    <w:p w:rsidR="00BD4149" w:rsidRPr="00EC7E4D" w:rsidRDefault="00BD4149" w:rsidP="00BD4149">
      <w:pPr>
        <w:spacing w:before="0" w:after="160" w:line="259" w:lineRule="auto"/>
        <w:rPr>
          <w:rFonts w:eastAsia="Times New Roman"/>
          <w:noProof/>
        </w:rPr>
      </w:pPr>
      <w:r w:rsidRPr="00EC7E4D">
        <w:rPr>
          <w:rFonts w:eastAsia="Times New Roman"/>
          <w:noProof/>
        </w:rPr>
        <w:t>The Member State of the offence is required to notify the Member State of issuance of any driving disqualificati</w:t>
      </w:r>
      <w:r w:rsidR="00DD340F">
        <w:rPr>
          <w:rFonts w:eastAsia="Times New Roman"/>
          <w:noProof/>
        </w:rPr>
        <w:t>on of a duration of at least</w:t>
      </w:r>
      <w:r w:rsidRPr="00EC7E4D">
        <w:rPr>
          <w:rFonts w:eastAsia="Times New Roman"/>
          <w:noProof/>
        </w:rPr>
        <w:t xml:space="preserve"> one month. The notification should be done by means of a standard certificate, transmitted between the national contact points of the two Member States concerned. </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Article 5: Standard certificate and means of transmission</w:t>
      </w:r>
    </w:p>
    <w:p w:rsidR="00BD4149" w:rsidRPr="00EC7E4D" w:rsidRDefault="00BD4149" w:rsidP="00BD4149">
      <w:pPr>
        <w:spacing w:before="0" w:after="160" w:line="259" w:lineRule="auto"/>
        <w:rPr>
          <w:rFonts w:eastAsia="Times New Roman"/>
          <w:noProof/>
        </w:rPr>
      </w:pPr>
      <w:r w:rsidRPr="00EC7E4D">
        <w:rPr>
          <w:rFonts w:eastAsia="Times New Roman"/>
          <w:noProof/>
        </w:rPr>
        <w:t>This provision empowers the Commission to adopt an implementing act to establish the format and content of the standard certificate before the date of transposition of the Directive. The most important elements that the certificate should contain are listed in this provision.</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This article also lays down rules on the languages in which the certificate may be transmitted and specifies that the certificate should be transmitted via RESPER.</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Article 6: Ensuring the Union-wide effect of driving disqualification</w:t>
      </w:r>
      <w:r w:rsidR="00C66D14">
        <w:rPr>
          <w:rFonts w:eastAsia="Times New Roman"/>
          <w:i/>
          <w:iCs/>
          <w:noProof/>
          <w:szCs w:val="24"/>
        </w:rPr>
        <w:t>s</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The Member State of issuance should take the appropriate measures to ensure that the driv</w:t>
      </w:r>
      <w:r w:rsidR="00C66D14">
        <w:rPr>
          <w:rFonts w:eastAsia="Times New Roman"/>
          <w:noProof/>
          <w:szCs w:val="24"/>
        </w:rPr>
        <w:t>ing disqualification has Union-</w:t>
      </w:r>
      <w:r w:rsidRPr="00EC7E4D">
        <w:rPr>
          <w:rFonts w:eastAsia="Times New Roman"/>
          <w:noProof/>
          <w:szCs w:val="24"/>
        </w:rPr>
        <w:t xml:space="preserve">wide effect, unless a ground for exemption laid down in Article 8 applies. </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In cases where the driving disqualification consists in a withdrawal of the driving licence or right to drive, the Member State of issuance should withdraw the driving licen</w:t>
      </w:r>
      <w:r w:rsidR="000F0123">
        <w:rPr>
          <w:rFonts w:eastAsia="Times New Roman"/>
          <w:noProof/>
          <w:szCs w:val="24"/>
        </w:rPr>
        <w:t>c</w:t>
      </w:r>
      <w:r w:rsidRPr="00EC7E4D">
        <w:rPr>
          <w:rFonts w:eastAsia="Times New Roman"/>
          <w:noProof/>
          <w:szCs w:val="24"/>
        </w:rPr>
        <w:t>e. The person concerned should regain the driving licence or right to drive in accordance with the rules applicable in that Member State in similar circ</w:t>
      </w:r>
      <w:r w:rsidR="00695462">
        <w:rPr>
          <w:rFonts w:eastAsia="Times New Roman"/>
          <w:noProof/>
          <w:szCs w:val="24"/>
        </w:rPr>
        <w:t>umstances. That Member State shall also</w:t>
      </w:r>
      <w:r w:rsidRPr="00EC7E4D">
        <w:rPr>
          <w:rFonts w:eastAsia="Times New Roman"/>
          <w:noProof/>
          <w:szCs w:val="24"/>
        </w:rPr>
        <w:t xml:space="preserve"> take into account</w:t>
      </w:r>
      <w:r w:rsidR="00695462">
        <w:rPr>
          <w:rFonts w:eastAsia="Times New Roman"/>
          <w:noProof/>
          <w:szCs w:val="24"/>
        </w:rPr>
        <w:t>, as far as possible,</w:t>
      </w:r>
      <w:r w:rsidRPr="00EC7E4D">
        <w:rPr>
          <w:rFonts w:eastAsia="Times New Roman"/>
          <w:noProof/>
          <w:szCs w:val="24"/>
        </w:rPr>
        <w:t xml:space="preserve"> any part of the conditions that the person concerned has already fulfilled in the Member State of offence in order to recover the driving licence or the right to drive.</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In cases where the driving disqualification consists in a suspension or a restriction of the driving licence or right to drive, the measure taken by the Member State of issuance should be lim</w:t>
      </w:r>
      <w:r w:rsidR="00F44429">
        <w:rPr>
          <w:rFonts w:eastAsia="Times New Roman"/>
          <w:noProof/>
          <w:szCs w:val="24"/>
        </w:rPr>
        <w:t>ited to ensuring that the Union-</w:t>
      </w:r>
      <w:r w:rsidRPr="00EC7E4D">
        <w:rPr>
          <w:rFonts w:eastAsia="Times New Roman"/>
          <w:noProof/>
          <w:szCs w:val="24"/>
        </w:rPr>
        <w:t>wide disqualification has the same duration as that imposed by the Member of offence, irrespective of whether conditions are imposed by that Member State for the person concerned to recover the driving licence or right to drive.</w:t>
      </w:r>
    </w:p>
    <w:p w:rsidR="00BD4149" w:rsidRPr="00EC7E4D" w:rsidRDefault="00BD4149" w:rsidP="00BD4149">
      <w:pPr>
        <w:spacing w:before="0" w:after="160" w:line="259" w:lineRule="auto"/>
        <w:rPr>
          <w:rFonts w:eastAsia="Times New Roman"/>
          <w:i/>
          <w:iCs/>
          <w:noProof/>
          <w:szCs w:val="24"/>
          <w:lang w:val="en-US"/>
        </w:rPr>
      </w:pPr>
      <w:r>
        <w:rPr>
          <w:rFonts w:eastAsia="Times New Roman"/>
          <w:i/>
          <w:iCs/>
          <w:noProof/>
          <w:szCs w:val="24"/>
          <w:lang w:val="en-US"/>
        </w:rPr>
        <w:t>Article 7: E</w:t>
      </w:r>
      <w:r w:rsidRPr="00EC7E4D">
        <w:rPr>
          <w:rFonts w:eastAsia="Times New Roman"/>
          <w:i/>
          <w:iCs/>
          <w:noProof/>
          <w:szCs w:val="24"/>
          <w:lang w:val="en-US"/>
        </w:rPr>
        <w:t>ffects of driving disqualifications in the Member State of the offence</w:t>
      </w:r>
    </w:p>
    <w:p w:rsidR="00BD4149" w:rsidRPr="00EC7E4D" w:rsidRDefault="00BD4149" w:rsidP="00BD4149">
      <w:pPr>
        <w:spacing w:before="0" w:after="160" w:line="259" w:lineRule="auto"/>
        <w:rPr>
          <w:noProof/>
          <w:lang w:val="en-US"/>
        </w:rPr>
      </w:pPr>
      <w:r w:rsidRPr="00EC7E4D">
        <w:rPr>
          <w:noProof/>
          <w:lang w:val="en-US"/>
        </w:rPr>
        <w:t xml:space="preserve">This article </w:t>
      </w:r>
      <w:r>
        <w:rPr>
          <w:noProof/>
          <w:lang w:val="en-US"/>
        </w:rPr>
        <w:t xml:space="preserve">clarifies </w:t>
      </w:r>
      <w:r w:rsidRPr="00EC7E4D">
        <w:rPr>
          <w:noProof/>
          <w:lang w:val="en-US"/>
        </w:rPr>
        <w:t xml:space="preserve">that </w:t>
      </w:r>
      <w:r>
        <w:rPr>
          <w:noProof/>
          <w:lang w:val="en-US"/>
        </w:rPr>
        <w:t xml:space="preserve">the Directive and in particular </w:t>
      </w:r>
      <w:r w:rsidRPr="00EC7E4D">
        <w:rPr>
          <w:noProof/>
          <w:lang w:val="en-US"/>
        </w:rPr>
        <w:t>the application of any grounds of exemption laid down in Article 8 by the Member State of issuance do</w:t>
      </w:r>
      <w:r w:rsidR="00F44429">
        <w:rPr>
          <w:noProof/>
          <w:lang w:val="en-US"/>
        </w:rPr>
        <w:t>es</w:t>
      </w:r>
      <w:r w:rsidRPr="00EC7E4D">
        <w:rPr>
          <w:noProof/>
          <w:lang w:val="en-US"/>
        </w:rPr>
        <w:t xml:space="preserve"> not prevent the execution of the driving disqualification imposed by the Member State of the offence within its territory.</w:t>
      </w:r>
    </w:p>
    <w:p w:rsidR="00BD4149" w:rsidRPr="00EC7E4D" w:rsidRDefault="00BD4149" w:rsidP="00BD4149">
      <w:pPr>
        <w:spacing w:before="0" w:after="160" w:line="259" w:lineRule="auto"/>
        <w:rPr>
          <w:rFonts w:eastAsia="Times New Roman"/>
          <w:noProof/>
          <w:szCs w:val="24"/>
        </w:rPr>
      </w:pPr>
      <w:r w:rsidRPr="00EC7E4D">
        <w:rPr>
          <w:noProof/>
          <w:lang w:val="en-US"/>
        </w:rPr>
        <w:t xml:space="preserve">Moreover, </w:t>
      </w:r>
      <w:r>
        <w:rPr>
          <w:noProof/>
          <w:lang w:val="en-US"/>
        </w:rPr>
        <w:t xml:space="preserve">it clarifies that </w:t>
      </w:r>
      <w:r w:rsidRPr="00EC7E4D">
        <w:rPr>
          <w:noProof/>
          <w:lang w:val="en-US"/>
        </w:rPr>
        <w:t>when a driving disqualification imposed by that Member State of</w:t>
      </w:r>
      <w:r w:rsidR="00F44429">
        <w:rPr>
          <w:noProof/>
          <w:lang w:val="en-US"/>
        </w:rPr>
        <w:t xml:space="preserve"> the</w:t>
      </w:r>
      <w:r w:rsidRPr="00EC7E4D">
        <w:rPr>
          <w:noProof/>
          <w:lang w:val="en-US"/>
        </w:rPr>
        <w:t xml:space="preserve"> offence includes conditions that </w:t>
      </w:r>
      <w:r w:rsidRPr="00EC7E4D">
        <w:rPr>
          <w:rFonts w:eastAsia="Times New Roman"/>
          <w:noProof/>
          <w:szCs w:val="24"/>
        </w:rPr>
        <w:t>the person concerned must comply in order to recover the driving licence or right to drive, that Member State can continue to apply the disqualification on its territory until the conditions are complied with.</w:t>
      </w:r>
    </w:p>
    <w:p w:rsidR="00BD4149" w:rsidRPr="00EC7E4D" w:rsidRDefault="00BD4149" w:rsidP="00BD4149">
      <w:pPr>
        <w:spacing w:before="0" w:after="160" w:line="259" w:lineRule="auto"/>
        <w:rPr>
          <w:rFonts w:eastAsia="Times New Roman"/>
          <w:i/>
          <w:iCs/>
          <w:noProof/>
          <w:szCs w:val="24"/>
          <w:lang w:val="en-US"/>
        </w:rPr>
      </w:pPr>
      <w:r w:rsidRPr="00EC7E4D">
        <w:rPr>
          <w:rFonts w:eastAsia="Times New Roman"/>
          <w:i/>
          <w:iCs/>
          <w:noProof/>
          <w:szCs w:val="24"/>
          <w:lang w:val="en-US"/>
        </w:rPr>
        <w:t xml:space="preserve">Article 8: Grounds for </w:t>
      </w:r>
      <w:r>
        <w:rPr>
          <w:rFonts w:eastAsia="Times New Roman"/>
          <w:i/>
          <w:iCs/>
          <w:noProof/>
          <w:szCs w:val="24"/>
          <w:lang w:val="en-US"/>
        </w:rPr>
        <w:t>exemption</w:t>
      </w:r>
    </w:p>
    <w:p w:rsidR="00BD4149" w:rsidRPr="00EC7E4D" w:rsidRDefault="00BD4149" w:rsidP="00BD4149">
      <w:pPr>
        <w:spacing w:before="0" w:after="160" w:line="259" w:lineRule="auto"/>
        <w:rPr>
          <w:rFonts w:eastAsia="Times New Roman"/>
          <w:noProof/>
          <w:szCs w:val="24"/>
          <w:lang w:val="en-US"/>
        </w:rPr>
      </w:pPr>
      <w:r w:rsidRPr="00EC7E4D">
        <w:rPr>
          <w:rFonts w:eastAsia="Times New Roman"/>
          <w:noProof/>
          <w:szCs w:val="24"/>
          <w:lang w:val="en-US"/>
        </w:rPr>
        <w:t>Article 8 lays down a</w:t>
      </w:r>
      <w:r w:rsidR="00051864">
        <w:rPr>
          <w:rFonts w:eastAsia="Times New Roman"/>
          <w:noProof/>
          <w:szCs w:val="24"/>
          <w:lang w:val="en-US"/>
        </w:rPr>
        <w:t>n exhaustive list of grounds of exemptions</w:t>
      </w:r>
      <w:r w:rsidR="00051864">
        <w:rPr>
          <w:rFonts w:eastAsia="Times New Roman"/>
          <w:noProof/>
          <w:szCs w:val="24"/>
        </w:rPr>
        <w:t>,</w:t>
      </w:r>
      <w:r w:rsidRPr="00EC7E4D">
        <w:rPr>
          <w:rFonts w:eastAsia="Times New Roman"/>
          <w:noProof/>
          <w:szCs w:val="24"/>
        </w:rPr>
        <w:t xml:space="preserve"> o</w:t>
      </w:r>
      <w:r w:rsidRPr="00EC7E4D">
        <w:rPr>
          <w:rFonts w:eastAsia="Times New Roman"/>
          <w:noProof/>
          <w:szCs w:val="24"/>
          <w:lang w:val="en-US"/>
        </w:rPr>
        <w:t xml:space="preserve">n which basis the </w:t>
      </w:r>
      <w:r>
        <w:rPr>
          <w:rFonts w:eastAsia="Times New Roman"/>
          <w:noProof/>
          <w:szCs w:val="24"/>
          <w:lang w:val="en-US"/>
        </w:rPr>
        <w:t>Member State of issuance</w:t>
      </w:r>
      <w:r w:rsidRPr="00EC7E4D">
        <w:rPr>
          <w:rFonts w:eastAsia="Times New Roman"/>
          <w:noProof/>
          <w:szCs w:val="24"/>
          <w:lang w:val="en-US"/>
        </w:rPr>
        <w:t xml:space="preserve"> must refuse to give Union-wide effect to the disqualification and a list of additional grounds of exemptions on the basis of which it can refuse to give such Union-wide effect.</w:t>
      </w:r>
    </w:p>
    <w:p w:rsidR="00BD4149" w:rsidRPr="00EC7E4D" w:rsidRDefault="00BD4149" w:rsidP="00BD4149">
      <w:pPr>
        <w:spacing w:before="0" w:after="160" w:line="259" w:lineRule="auto"/>
        <w:rPr>
          <w:rFonts w:eastAsia="Times New Roman"/>
          <w:noProof/>
          <w:lang w:val="en-US"/>
        </w:rPr>
      </w:pPr>
      <w:r w:rsidRPr="00EC7E4D">
        <w:rPr>
          <w:rFonts w:eastAsia="Times New Roman"/>
          <w:noProof/>
          <w:lang w:val="en-US"/>
        </w:rPr>
        <w:t>The list includes such grounds of exemption as incompleteness of the certificate; age limit of the person concerned; immunity or privilege</w:t>
      </w:r>
      <w:r w:rsidR="000F0123">
        <w:rPr>
          <w:rFonts w:eastAsia="Times New Roman"/>
          <w:noProof/>
          <w:lang w:val="en-US"/>
        </w:rPr>
        <w:t>;</w:t>
      </w:r>
      <w:r w:rsidRPr="00EC7E4D">
        <w:rPr>
          <w:rFonts w:eastAsia="Times New Roman"/>
          <w:noProof/>
          <w:lang w:val="en-US"/>
        </w:rPr>
        <w:t xml:space="preserve"> or the fact that the remaining period of driving disqualification is of less than one month. </w:t>
      </w:r>
    </w:p>
    <w:p w:rsidR="00BD4149" w:rsidRPr="00EC7E4D" w:rsidRDefault="00BD4149" w:rsidP="00BD4149">
      <w:pPr>
        <w:spacing w:before="0" w:after="160" w:line="259" w:lineRule="auto"/>
        <w:rPr>
          <w:rFonts w:eastAsia="Times New Roman"/>
          <w:noProof/>
          <w:lang w:val="en-US"/>
        </w:rPr>
      </w:pPr>
      <w:r w:rsidRPr="00EC7E4D">
        <w:rPr>
          <w:rFonts w:eastAsia="Times New Roman"/>
          <w:noProof/>
          <w:lang w:val="en-US"/>
        </w:rPr>
        <w:t>Before invoking any grounds of exemption</w:t>
      </w:r>
      <w:r w:rsidR="000F0123">
        <w:rPr>
          <w:rFonts w:eastAsia="Times New Roman"/>
          <w:noProof/>
          <w:lang w:val="en-US"/>
        </w:rPr>
        <w:t>,</w:t>
      </w:r>
      <w:r w:rsidRPr="00EC7E4D">
        <w:rPr>
          <w:rFonts w:eastAsia="Times New Roman"/>
          <w:noProof/>
          <w:lang w:val="en-US"/>
        </w:rPr>
        <w:t xml:space="preserve"> the Member State of issuance should consult with the Member State of offence.</w:t>
      </w:r>
    </w:p>
    <w:p w:rsidR="00BD4149" w:rsidRPr="00EC7E4D" w:rsidRDefault="00473953" w:rsidP="00BD4149">
      <w:pPr>
        <w:spacing w:before="0" w:after="160" w:line="259" w:lineRule="auto"/>
        <w:rPr>
          <w:rFonts w:eastAsia="Times New Roman"/>
          <w:i/>
          <w:iCs/>
          <w:noProof/>
          <w:szCs w:val="24"/>
          <w:lang w:val="en-US"/>
        </w:rPr>
      </w:pPr>
      <w:r>
        <w:rPr>
          <w:rFonts w:eastAsia="Times New Roman"/>
          <w:i/>
          <w:iCs/>
          <w:noProof/>
          <w:szCs w:val="24"/>
          <w:lang w:val="en-US"/>
        </w:rPr>
        <w:t>Article 9: Time-</w:t>
      </w:r>
      <w:r w:rsidR="00BD4149" w:rsidRPr="00EC7E4D">
        <w:rPr>
          <w:rFonts w:eastAsia="Times New Roman"/>
          <w:i/>
          <w:iCs/>
          <w:noProof/>
          <w:szCs w:val="24"/>
          <w:lang w:val="en-US"/>
        </w:rPr>
        <w:t xml:space="preserve">limits </w:t>
      </w:r>
    </w:p>
    <w:p w:rsidR="00BD4149" w:rsidRPr="000F0123" w:rsidRDefault="00BD4149" w:rsidP="00BD4149">
      <w:pPr>
        <w:spacing w:before="0" w:after="160" w:line="259" w:lineRule="auto"/>
        <w:rPr>
          <w:rFonts w:eastAsia="Times New Roman"/>
          <w:noProof/>
          <w:szCs w:val="24"/>
        </w:rPr>
      </w:pPr>
      <w:r w:rsidRPr="000F0123">
        <w:rPr>
          <w:rFonts w:eastAsia="Times New Roman"/>
          <w:noProof/>
          <w:szCs w:val="24"/>
        </w:rPr>
        <w:t xml:space="preserve">This Article establishes that the Member State of issuance must take the measure giving Union-wide effect to the driving disqualification not later than 15 days after </w:t>
      </w:r>
      <w:r w:rsidR="00726D14">
        <w:rPr>
          <w:rFonts w:eastAsia="Times New Roman"/>
          <w:noProof/>
          <w:szCs w:val="24"/>
        </w:rPr>
        <w:t>the receipt of the certificate.</w:t>
      </w:r>
    </w:p>
    <w:p w:rsidR="00BD4149" w:rsidRPr="00EC7E4D" w:rsidRDefault="00BD4149" w:rsidP="00BD4149">
      <w:pPr>
        <w:spacing w:before="0" w:after="160" w:line="259" w:lineRule="auto"/>
        <w:rPr>
          <w:rFonts w:eastAsia="Times New Roman"/>
          <w:noProof/>
          <w:szCs w:val="24"/>
          <w:lang w:val="en-US"/>
        </w:rPr>
      </w:pPr>
      <w:r w:rsidRPr="00EC7E4D">
        <w:rPr>
          <w:rFonts w:eastAsia="Times New Roman"/>
          <w:noProof/>
          <w:szCs w:val="24"/>
        </w:rPr>
        <w:t>In specific cases where it is not possible for the Member State of issuance to meet the time limit set for the phase of recognition, it must inform and consult the Member State of offence but remains obliged</w:t>
      </w:r>
      <w:r w:rsidR="00726D14">
        <w:rPr>
          <w:rFonts w:eastAsia="Times New Roman"/>
          <w:noProof/>
          <w:szCs w:val="24"/>
        </w:rPr>
        <w:t xml:space="preserve"> to give Union-</w:t>
      </w:r>
      <w:r w:rsidRPr="00EC7E4D">
        <w:rPr>
          <w:rFonts w:eastAsia="Times New Roman"/>
          <w:noProof/>
          <w:szCs w:val="24"/>
        </w:rPr>
        <w:t xml:space="preserve">wide effect to the driving disqualification, </w:t>
      </w:r>
      <w:r w:rsidRPr="00EC7E4D">
        <w:rPr>
          <w:rFonts w:eastAsia="Times New Roman"/>
          <w:noProof/>
          <w:szCs w:val="24"/>
          <w:lang w:val="en-US"/>
        </w:rPr>
        <w:t>without delay.</w:t>
      </w:r>
    </w:p>
    <w:p w:rsidR="00BD4149" w:rsidRPr="00EC7E4D" w:rsidRDefault="00BD4149" w:rsidP="00BD4149">
      <w:pPr>
        <w:spacing w:before="0" w:after="160" w:line="259" w:lineRule="auto"/>
        <w:jc w:val="left"/>
        <w:rPr>
          <w:rFonts w:ascii="Calibri" w:hAnsi="Calibri" w:cs="Arial"/>
          <w:noProof/>
          <w:sz w:val="22"/>
          <w:lang w:val="en-US"/>
        </w:rPr>
      </w:pPr>
      <w:r w:rsidRPr="00EC7E4D">
        <w:rPr>
          <w:rFonts w:eastAsia="Times New Roman"/>
          <w:i/>
          <w:iCs/>
          <w:noProof/>
          <w:szCs w:val="24"/>
        </w:rPr>
        <w:t xml:space="preserve">Article 10: Consultations between </w:t>
      </w:r>
      <w:r w:rsidR="00181A1F">
        <w:rPr>
          <w:rFonts w:eastAsia="Times New Roman"/>
          <w:i/>
          <w:iCs/>
          <w:noProof/>
          <w:szCs w:val="24"/>
        </w:rPr>
        <w:t xml:space="preserve">the </w:t>
      </w:r>
      <w:r w:rsidRPr="00EC7E4D">
        <w:rPr>
          <w:rFonts w:eastAsia="Times New Roman"/>
          <w:i/>
          <w:iCs/>
          <w:noProof/>
          <w:szCs w:val="24"/>
        </w:rPr>
        <w:t>Member States</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 xml:space="preserve">This article provides </w:t>
      </w:r>
      <w:r w:rsidRPr="00EC7E4D">
        <w:rPr>
          <w:rFonts w:eastAsia="Times New Roman"/>
          <w:noProof/>
        </w:rPr>
        <w:t>Member States should consult each other, via appropriate means and without delay, to ensure the efficient application of this Directive</w:t>
      </w:r>
      <w:r w:rsidRPr="00EC7E4D">
        <w:rPr>
          <w:rFonts w:eastAsia="Times New Roman"/>
          <w:noProof/>
          <w:szCs w:val="24"/>
        </w:rPr>
        <w:t>.</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Article 11</w:t>
      </w:r>
      <w:r w:rsidRPr="00EC7E4D">
        <w:rPr>
          <w:rFonts w:eastAsia="Times New Roman"/>
          <w:b/>
          <w:bCs/>
          <w:noProof/>
          <w:szCs w:val="24"/>
        </w:rPr>
        <w:t xml:space="preserve">: </w:t>
      </w:r>
      <w:r w:rsidRPr="00EC7E4D">
        <w:rPr>
          <w:rFonts w:eastAsia="Times New Roman"/>
          <w:i/>
          <w:iCs/>
          <w:noProof/>
          <w:szCs w:val="24"/>
        </w:rPr>
        <w:t>Information to be given by the Member State of issuance</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 xml:space="preserve">This Article provides for obligatory communication of information by the Member State of issuance to the Member State of the offence on different aspects and steps in the procedure. </w:t>
      </w:r>
    </w:p>
    <w:p w:rsidR="00BD4149" w:rsidRPr="00EC7E4D" w:rsidRDefault="00BD4149" w:rsidP="00BD4149">
      <w:pPr>
        <w:spacing w:before="0" w:after="160" w:line="259" w:lineRule="auto"/>
        <w:rPr>
          <w:rFonts w:eastAsia="Times New Roman"/>
          <w:i/>
          <w:iCs/>
          <w:noProof/>
          <w:szCs w:val="24"/>
          <w:lang w:val="en-US"/>
        </w:rPr>
      </w:pPr>
      <w:r w:rsidRPr="00EC7E4D">
        <w:rPr>
          <w:rFonts w:eastAsia="Times New Roman"/>
          <w:i/>
          <w:iCs/>
          <w:noProof/>
          <w:szCs w:val="24"/>
          <w:lang w:val="en-US"/>
        </w:rPr>
        <w:t>Article 12: Information to be given by the Member State of the offence</w:t>
      </w:r>
    </w:p>
    <w:p w:rsidR="00BD4149" w:rsidRPr="00EC7E4D" w:rsidRDefault="00BD4149" w:rsidP="00BD4149">
      <w:pPr>
        <w:spacing w:before="0" w:after="160" w:line="259" w:lineRule="auto"/>
        <w:rPr>
          <w:rFonts w:eastAsia="Times New Roman"/>
          <w:noProof/>
          <w:szCs w:val="24"/>
          <w:lang w:val="en-US"/>
        </w:rPr>
      </w:pPr>
      <w:r w:rsidRPr="00EC7E4D">
        <w:rPr>
          <w:rFonts w:eastAsia="Times New Roman"/>
          <w:noProof/>
          <w:szCs w:val="24"/>
          <w:lang w:val="en-US"/>
        </w:rPr>
        <w:t xml:space="preserve">Under this Article, the Member State of the offence must inform the Member State of issuance of circumstances that may affect the original decision imposing the driving disqualification and of the completion of driving disqualification in its territory. </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Article 13: Obligation to inform the person concerned</w:t>
      </w:r>
    </w:p>
    <w:p w:rsidR="00BD4149" w:rsidRPr="00EC7E4D" w:rsidRDefault="00BD4149" w:rsidP="00BD4149">
      <w:pPr>
        <w:spacing w:before="0" w:after="160" w:line="259" w:lineRule="auto"/>
        <w:rPr>
          <w:noProof/>
        </w:rPr>
      </w:pPr>
      <w:r w:rsidRPr="00EC7E4D">
        <w:rPr>
          <w:rFonts w:eastAsia="Times New Roman"/>
          <w:noProof/>
          <w:szCs w:val="24"/>
        </w:rPr>
        <w:t xml:space="preserve">The Member State of issuance must notify the person concerned </w:t>
      </w:r>
      <w:r w:rsidR="003424B0">
        <w:rPr>
          <w:rFonts w:eastAsia="Times New Roman"/>
          <w:noProof/>
          <w:szCs w:val="24"/>
        </w:rPr>
        <w:t>a</w:t>
      </w:r>
      <w:r w:rsidRPr="00EC7E4D">
        <w:rPr>
          <w:rFonts w:eastAsia="Times New Roman"/>
          <w:noProof/>
          <w:szCs w:val="24"/>
        </w:rPr>
        <w:t xml:space="preserve"> decision or measure taken in relation to the driving disqualification. Specific reference is made to the information to be shared on legal remedies available under the law of the </w:t>
      </w:r>
      <w:r>
        <w:rPr>
          <w:rFonts w:eastAsia="Times New Roman"/>
          <w:noProof/>
          <w:szCs w:val="24"/>
        </w:rPr>
        <w:t>Member of issuance</w:t>
      </w:r>
      <w:r w:rsidRPr="00EC7E4D">
        <w:rPr>
          <w:noProof/>
        </w:rPr>
        <w:t>.</w:t>
      </w:r>
    </w:p>
    <w:p w:rsidR="00BD4149" w:rsidRPr="00EC7E4D" w:rsidRDefault="00BD4149" w:rsidP="00BD4149">
      <w:pPr>
        <w:spacing w:before="0" w:after="160" w:line="259" w:lineRule="auto"/>
        <w:rPr>
          <w:rFonts w:eastAsia="Times New Roman"/>
          <w:noProof/>
        </w:rPr>
      </w:pPr>
      <w:r w:rsidRPr="00EC7E4D">
        <w:rPr>
          <w:rFonts w:eastAsia="Times New Roman"/>
          <w:i/>
          <w:iCs/>
          <w:noProof/>
          <w:szCs w:val="24"/>
        </w:rPr>
        <w:t>Article 14:</w:t>
      </w:r>
      <w:r>
        <w:rPr>
          <w:rFonts w:eastAsia="Times New Roman"/>
          <w:i/>
          <w:iCs/>
          <w:noProof/>
          <w:szCs w:val="24"/>
        </w:rPr>
        <w:t xml:space="preserve"> </w:t>
      </w:r>
      <w:r w:rsidRPr="00960963">
        <w:rPr>
          <w:rFonts w:eastAsia="Times New Roman"/>
          <w:i/>
          <w:iCs/>
          <w:noProof/>
          <w:szCs w:val="24"/>
        </w:rPr>
        <w:t xml:space="preserve">Legal remedies </w:t>
      </w:r>
      <w:r w:rsidRPr="00EC7E4D">
        <w:rPr>
          <w:rFonts w:eastAsia="Times New Roman"/>
          <w:i/>
          <w:iCs/>
          <w:noProof/>
          <w:szCs w:val="24"/>
        </w:rPr>
        <w:t xml:space="preserve"> </w:t>
      </w:r>
    </w:p>
    <w:p w:rsidR="00BD4149" w:rsidRPr="000F0123" w:rsidRDefault="00BD4149" w:rsidP="00BD4149">
      <w:pPr>
        <w:spacing w:before="0" w:after="160" w:line="259" w:lineRule="auto"/>
        <w:rPr>
          <w:rFonts w:eastAsia="Times New Roman"/>
          <w:noProof/>
        </w:rPr>
      </w:pPr>
      <w:r w:rsidRPr="000F0123">
        <w:rPr>
          <w:rFonts w:eastAsia="Times New Roman"/>
          <w:noProof/>
          <w:szCs w:val="24"/>
        </w:rPr>
        <w:t>This Article provides that Member States should ensure that adequate legal remedies against decisions taken pursuant to this Directive are in place</w:t>
      </w:r>
      <w:r w:rsidR="000F0123">
        <w:rPr>
          <w:rFonts w:eastAsia="Times New Roman"/>
          <w:noProof/>
          <w:szCs w:val="24"/>
        </w:rPr>
        <w:t>.</w:t>
      </w:r>
      <w:r w:rsidRPr="000F0123">
        <w:rPr>
          <w:rFonts w:eastAsia="Times New Roman"/>
          <w:noProof/>
          <w:szCs w:val="24"/>
        </w:rPr>
        <w:t xml:space="preserve"> </w:t>
      </w:r>
      <w:r w:rsidR="000F0123">
        <w:rPr>
          <w:rFonts w:eastAsia="Times New Roman"/>
          <w:noProof/>
          <w:szCs w:val="24"/>
        </w:rPr>
        <w:t xml:space="preserve">It </w:t>
      </w:r>
      <w:r w:rsidRPr="000F0123">
        <w:rPr>
          <w:rFonts w:eastAsia="Times New Roman"/>
          <w:noProof/>
          <w:szCs w:val="24"/>
        </w:rPr>
        <w:t xml:space="preserve">clarifies that </w:t>
      </w:r>
      <w:r w:rsidR="00181A1F">
        <w:rPr>
          <w:rFonts w:eastAsia="Times New Roman"/>
          <w:noProof/>
          <w:szCs w:val="24"/>
        </w:rPr>
        <w:t>the</w:t>
      </w:r>
      <w:r w:rsidRPr="000F0123">
        <w:rPr>
          <w:rFonts w:eastAsia="Times New Roman"/>
          <w:noProof/>
          <w:szCs w:val="24"/>
        </w:rPr>
        <w:t xml:space="preserve"> driv</w:t>
      </w:r>
      <w:r w:rsidR="000F0123">
        <w:rPr>
          <w:rFonts w:eastAsia="Times New Roman"/>
          <w:noProof/>
          <w:szCs w:val="24"/>
        </w:rPr>
        <w:t>ing</w:t>
      </w:r>
      <w:r w:rsidRPr="000F0123">
        <w:rPr>
          <w:rFonts w:eastAsia="Times New Roman"/>
          <w:noProof/>
          <w:szCs w:val="24"/>
        </w:rPr>
        <w:t xml:space="preserve"> disqualification</w:t>
      </w:r>
      <w:r w:rsidR="00181A1F">
        <w:rPr>
          <w:rFonts w:eastAsia="Times New Roman"/>
          <w:noProof/>
          <w:szCs w:val="24"/>
        </w:rPr>
        <w:t xml:space="preserve"> that has been notified</w:t>
      </w:r>
      <w:r w:rsidRPr="000F0123">
        <w:rPr>
          <w:rFonts w:eastAsia="Times New Roman"/>
          <w:noProof/>
          <w:szCs w:val="24"/>
        </w:rPr>
        <w:t xml:space="preserve"> by the Member State of the offence should only be challenged in an action brought in the Member State of the offence.</w:t>
      </w:r>
    </w:p>
    <w:p w:rsidR="00BD4149" w:rsidRPr="00EB1FB7" w:rsidRDefault="00BD4149" w:rsidP="00BD4149">
      <w:pPr>
        <w:spacing w:before="0" w:after="160" w:line="259" w:lineRule="auto"/>
        <w:rPr>
          <w:rFonts w:eastAsia="Times New Roman"/>
          <w:i/>
          <w:iCs/>
          <w:noProof/>
          <w:lang w:val="en-US"/>
        </w:rPr>
      </w:pPr>
      <w:r w:rsidRPr="00EB1FB7">
        <w:rPr>
          <w:rFonts w:eastAsia="Times New Roman"/>
          <w:i/>
          <w:iCs/>
          <w:noProof/>
          <w:lang w:val="en-US"/>
        </w:rPr>
        <w:t>Article 15: National contact points</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Member State</w:t>
      </w:r>
      <w:r w:rsidR="00985A45">
        <w:rPr>
          <w:rFonts w:eastAsia="Times New Roman"/>
          <w:noProof/>
          <w:szCs w:val="24"/>
        </w:rPr>
        <w:t>s</w:t>
      </w:r>
      <w:r w:rsidRPr="00EC7E4D">
        <w:rPr>
          <w:rFonts w:eastAsia="Times New Roman"/>
          <w:noProof/>
          <w:szCs w:val="24"/>
        </w:rPr>
        <w:t xml:space="preserve"> must establish national contact points. In accordance with Article 4, these national contact points transmit the certificates. They should also cooperate with the authorities involved in the enforcement of the driving disqualifications.</w:t>
      </w:r>
    </w:p>
    <w:p w:rsidR="00BD4149" w:rsidRPr="00EC7E4D" w:rsidRDefault="00BD4149" w:rsidP="00BD4149">
      <w:pPr>
        <w:spacing w:before="0" w:after="160" w:line="259" w:lineRule="auto"/>
        <w:rPr>
          <w:rFonts w:eastAsia="Times New Roman"/>
          <w:i/>
          <w:iCs/>
          <w:noProof/>
          <w:szCs w:val="24"/>
          <w:lang w:val="en-US"/>
        </w:rPr>
      </w:pPr>
      <w:r w:rsidRPr="00EC7E4D">
        <w:rPr>
          <w:rFonts w:eastAsia="Times New Roman"/>
          <w:i/>
          <w:iCs/>
          <w:noProof/>
          <w:szCs w:val="24"/>
          <w:lang w:val="en-US"/>
        </w:rPr>
        <w:t>Article 16: Statistics</w:t>
      </w:r>
    </w:p>
    <w:p w:rsidR="00BD4149" w:rsidRPr="00EC7E4D" w:rsidRDefault="00BD4149" w:rsidP="00BD4149">
      <w:pPr>
        <w:spacing w:before="0" w:after="160" w:line="259" w:lineRule="auto"/>
        <w:rPr>
          <w:rFonts w:eastAsia="Times New Roman"/>
          <w:noProof/>
          <w:szCs w:val="24"/>
          <w:lang w:val="en-US"/>
        </w:rPr>
      </w:pPr>
      <w:r w:rsidRPr="00EC7E4D">
        <w:rPr>
          <w:rFonts w:eastAsia="Times New Roman"/>
          <w:noProof/>
          <w:szCs w:val="24"/>
          <w:lang w:val="en-US"/>
        </w:rPr>
        <w:t>Under this Article,</w:t>
      </w:r>
      <w:r w:rsidRPr="00EC7E4D">
        <w:rPr>
          <w:rFonts w:eastAsia="Times New Roman"/>
          <w:noProof/>
          <w:szCs w:val="24"/>
        </w:rPr>
        <w:t xml:space="preserve"> Member States must regularly collect</w:t>
      </w:r>
      <w:r w:rsidR="00985A45">
        <w:rPr>
          <w:rFonts w:eastAsia="Times New Roman"/>
          <w:noProof/>
          <w:szCs w:val="24"/>
        </w:rPr>
        <w:t xml:space="preserve"> data</w:t>
      </w:r>
      <w:r w:rsidRPr="00EC7E4D">
        <w:rPr>
          <w:rFonts w:eastAsia="Times New Roman"/>
          <w:noProof/>
          <w:szCs w:val="24"/>
        </w:rPr>
        <w:t xml:space="preserve"> from the relevant authorities and maintain comprehensive statistics regarding driving disqualifications. The statistics collected </w:t>
      </w:r>
      <w:r w:rsidR="000F0123">
        <w:rPr>
          <w:rFonts w:eastAsia="Times New Roman"/>
          <w:noProof/>
          <w:szCs w:val="24"/>
        </w:rPr>
        <w:t>are to be</w:t>
      </w:r>
      <w:r w:rsidRPr="00EC7E4D">
        <w:rPr>
          <w:rFonts w:eastAsia="Times New Roman"/>
          <w:noProof/>
          <w:szCs w:val="24"/>
        </w:rPr>
        <w:t xml:space="preserve"> sent to the Commission each year. Collecting </w:t>
      </w:r>
      <w:r w:rsidRPr="00EC7E4D">
        <w:rPr>
          <w:rFonts w:eastAsia="Times New Roman"/>
          <w:noProof/>
          <w:szCs w:val="24"/>
          <w:lang w:val="en-US"/>
        </w:rPr>
        <w:t>comprehensive data regarding driving disqualifications is necessary to allow a thorough assessment of the functioning of the mechanism laid down by this Directive.</w:t>
      </w:r>
    </w:p>
    <w:p w:rsidR="00BD4149" w:rsidRPr="00EC7E4D" w:rsidRDefault="00BD4149" w:rsidP="00BD4149">
      <w:pPr>
        <w:spacing w:before="0" w:after="160" w:line="259" w:lineRule="auto"/>
        <w:rPr>
          <w:rFonts w:eastAsia="Times New Roman"/>
          <w:i/>
          <w:iCs/>
          <w:noProof/>
          <w:szCs w:val="24"/>
          <w:lang w:val="en-US"/>
        </w:rPr>
      </w:pPr>
      <w:r w:rsidRPr="00EC7E4D">
        <w:rPr>
          <w:rFonts w:eastAsia="Times New Roman"/>
          <w:i/>
          <w:iCs/>
          <w:noProof/>
          <w:szCs w:val="24"/>
          <w:lang w:val="en-US"/>
        </w:rPr>
        <w:t>Article 17: Committee procedure</w:t>
      </w:r>
    </w:p>
    <w:p w:rsidR="00BD4149" w:rsidRPr="00EC7E4D" w:rsidRDefault="00BD4149" w:rsidP="00BD4149">
      <w:pPr>
        <w:spacing w:before="0" w:after="160" w:line="259" w:lineRule="auto"/>
        <w:rPr>
          <w:rFonts w:eastAsia="Times New Roman"/>
          <w:noProof/>
          <w:szCs w:val="24"/>
          <w:lang w:val="en-US"/>
        </w:rPr>
      </w:pPr>
      <w:r w:rsidRPr="00EC7E4D">
        <w:rPr>
          <w:rFonts w:eastAsia="Times New Roman"/>
          <w:noProof/>
          <w:szCs w:val="24"/>
          <w:lang w:val="en-US"/>
        </w:rPr>
        <w:t>Th</w:t>
      </w:r>
      <w:r w:rsidR="000F0123">
        <w:rPr>
          <w:rFonts w:eastAsia="Times New Roman"/>
          <w:noProof/>
          <w:szCs w:val="24"/>
          <w:lang w:val="en-US"/>
        </w:rPr>
        <w:t>is</w:t>
      </w:r>
      <w:r w:rsidRPr="00EC7E4D">
        <w:rPr>
          <w:rFonts w:eastAsia="Times New Roman"/>
          <w:noProof/>
          <w:szCs w:val="24"/>
          <w:lang w:val="en-US"/>
        </w:rPr>
        <w:t xml:space="preserve"> Article establishe</w:t>
      </w:r>
      <w:r w:rsidR="000F0123">
        <w:rPr>
          <w:rFonts w:eastAsia="Times New Roman"/>
          <w:noProof/>
          <w:szCs w:val="24"/>
          <w:lang w:val="en-US"/>
        </w:rPr>
        <w:t>s</w:t>
      </w:r>
      <w:r w:rsidRPr="00EC7E4D">
        <w:rPr>
          <w:rFonts w:eastAsia="Times New Roman"/>
          <w:noProof/>
          <w:szCs w:val="24"/>
          <w:lang w:val="en-US"/>
        </w:rPr>
        <w:t xml:space="preserve"> the procedure for the adoption of the implementing act referred to in Article 5.</w:t>
      </w:r>
    </w:p>
    <w:p w:rsidR="00BD4149" w:rsidRPr="00EC7E4D" w:rsidRDefault="00BD4149" w:rsidP="00BD4149">
      <w:pPr>
        <w:spacing w:before="0" w:after="160" w:line="259" w:lineRule="auto"/>
        <w:rPr>
          <w:rFonts w:eastAsia="Times New Roman"/>
          <w:i/>
          <w:iCs/>
          <w:noProof/>
          <w:szCs w:val="24"/>
          <w:lang w:val="en-US"/>
        </w:rPr>
      </w:pPr>
      <w:r w:rsidRPr="00EC7E4D">
        <w:rPr>
          <w:rFonts w:eastAsia="Times New Roman"/>
          <w:i/>
          <w:iCs/>
          <w:noProof/>
          <w:szCs w:val="24"/>
          <w:lang w:val="en-US"/>
        </w:rPr>
        <w:t>Article 18: Relations</w:t>
      </w:r>
      <w:r w:rsidR="00113AE8">
        <w:rPr>
          <w:rFonts w:eastAsia="Times New Roman"/>
          <w:i/>
          <w:iCs/>
          <w:noProof/>
          <w:szCs w:val="24"/>
          <w:lang w:val="en-US"/>
        </w:rPr>
        <w:t>hip with other legal acts</w:t>
      </w:r>
    </w:p>
    <w:p w:rsidR="00BD4149" w:rsidRPr="00EC7E4D" w:rsidRDefault="00BD4149" w:rsidP="00BD4149">
      <w:pPr>
        <w:spacing w:before="0" w:after="160" w:line="259" w:lineRule="auto"/>
        <w:rPr>
          <w:rFonts w:eastAsia="Times New Roman"/>
          <w:noProof/>
          <w:szCs w:val="24"/>
          <w:lang w:val="en-US"/>
        </w:rPr>
      </w:pPr>
      <w:r w:rsidRPr="00EC7E4D">
        <w:rPr>
          <w:rFonts w:eastAsia="Times New Roman"/>
          <w:noProof/>
          <w:szCs w:val="24"/>
          <w:lang w:val="en-US"/>
        </w:rPr>
        <w:t>This Article establishes that this Directive does not affect the rights and obligations stemming from Union legislation concerning judicial cooperation and the rights of suspects and accused persons.</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Article 19: Transposition</w:t>
      </w:r>
    </w:p>
    <w:p w:rsidR="00BD4149" w:rsidRPr="00EC7E4D" w:rsidRDefault="00BD4149" w:rsidP="00BD4149">
      <w:pPr>
        <w:spacing w:before="0" w:after="160" w:line="259" w:lineRule="auto"/>
        <w:rPr>
          <w:rFonts w:eastAsia="Times New Roman"/>
          <w:noProof/>
        </w:rPr>
      </w:pPr>
      <w:r w:rsidRPr="00EC7E4D">
        <w:rPr>
          <w:rFonts w:eastAsia="Times New Roman"/>
          <w:noProof/>
        </w:rPr>
        <w:t xml:space="preserve">Member States have to transpose the provisions of the Directive within a given timeframe and have to notify these national measures to the Commission. </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 xml:space="preserve">Article 20: Report on the application </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A reporting obligation is established and placed on the Commission as regards the implementation of the proposed directive.</w:t>
      </w:r>
    </w:p>
    <w:p w:rsidR="00BD4149" w:rsidRPr="00EC7E4D" w:rsidRDefault="00BD4149" w:rsidP="00BD4149">
      <w:pPr>
        <w:spacing w:before="0" w:after="160" w:line="259" w:lineRule="auto"/>
        <w:rPr>
          <w:rFonts w:eastAsia="Times New Roman"/>
          <w:i/>
          <w:iCs/>
          <w:noProof/>
          <w:szCs w:val="24"/>
        </w:rPr>
      </w:pPr>
      <w:r w:rsidRPr="00EC7E4D">
        <w:rPr>
          <w:rFonts w:eastAsia="Times New Roman"/>
          <w:i/>
          <w:iCs/>
          <w:noProof/>
          <w:szCs w:val="24"/>
        </w:rPr>
        <w:t>Article 21: Entry into force and application</w:t>
      </w:r>
    </w:p>
    <w:p w:rsidR="00BD4149" w:rsidRPr="00EC7E4D" w:rsidRDefault="00BD4149" w:rsidP="00BD4149">
      <w:pPr>
        <w:spacing w:before="0" w:after="160" w:line="259" w:lineRule="auto"/>
        <w:rPr>
          <w:rFonts w:eastAsia="Times New Roman"/>
          <w:noProof/>
          <w:szCs w:val="24"/>
        </w:rPr>
      </w:pPr>
      <w:r w:rsidRPr="00EC7E4D">
        <w:rPr>
          <w:rFonts w:eastAsia="Times New Roman"/>
          <w:noProof/>
          <w:szCs w:val="24"/>
        </w:rPr>
        <w:t>This is a standard provision stipulating that the Directive is to enter into force on the twentieth day following its publication in the Official Journal.</w:t>
      </w:r>
    </w:p>
    <w:p w:rsidR="00BD4149" w:rsidRPr="00EC7E4D" w:rsidRDefault="00BD4149" w:rsidP="00BD4149">
      <w:pPr>
        <w:spacing w:before="0" w:after="160" w:line="259" w:lineRule="auto"/>
        <w:rPr>
          <w:rFonts w:eastAsia="Times New Roman"/>
          <w:i/>
          <w:iCs/>
          <w:noProof/>
          <w:szCs w:val="24"/>
          <w:lang w:val="en-US"/>
        </w:rPr>
      </w:pPr>
      <w:r w:rsidRPr="00EC7E4D">
        <w:rPr>
          <w:rFonts w:eastAsia="Times New Roman"/>
          <w:i/>
          <w:iCs/>
          <w:noProof/>
          <w:szCs w:val="24"/>
          <w:lang w:val="en-US"/>
        </w:rPr>
        <w:t>Article 22: Addressees</w:t>
      </w:r>
    </w:p>
    <w:p w:rsidR="00BD4149" w:rsidRPr="00EC7E4D" w:rsidRDefault="00BD4149" w:rsidP="00BD4149">
      <w:pPr>
        <w:spacing w:before="0" w:after="160" w:line="259" w:lineRule="auto"/>
        <w:rPr>
          <w:noProof/>
        </w:rPr>
      </w:pPr>
      <w:r w:rsidRPr="00EC7E4D">
        <w:rPr>
          <w:rFonts w:eastAsia="Times New Roman"/>
          <w:noProof/>
          <w:lang w:val="en-US"/>
        </w:rPr>
        <w:t>This is a standard provision stipulating that the Directive is addressed to the Member States.</w:t>
      </w:r>
    </w:p>
    <w:p w:rsidR="00BD4149" w:rsidRDefault="00BD4149" w:rsidP="00BD4149">
      <w:pPr>
        <w:spacing w:before="0" w:after="200" w:line="276" w:lineRule="auto"/>
        <w:jc w:val="left"/>
        <w:rPr>
          <w:noProof/>
        </w:rPr>
      </w:pPr>
      <w:r>
        <w:rPr>
          <w:noProof/>
        </w:rPr>
        <w:br w:type="page"/>
      </w:r>
    </w:p>
    <w:p w:rsidR="00BD4149" w:rsidRPr="00BF1125" w:rsidRDefault="00BD4149" w:rsidP="00BD4149">
      <w:pPr>
        <w:spacing w:before="0" w:after="160" w:line="259" w:lineRule="auto"/>
        <w:rPr>
          <w:noProof/>
        </w:rPr>
        <w:sectPr w:rsidR="00BD4149" w:rsidRPr="00BF1125" w:rsidSect="00E2216B">
          <w:footerReference w:type="default" r:id="rId18"/>
          <w:footerReference w:type="first" r:id="rId19"/>
          <w:pgSz w:w="11907" w:h="16839"/>
          <w:pgMar w:top="1134" w:right="1417" w:bottom="1134" w:left="1417" w:header="709" w:footer="709" w:gutter="0"/>
          <w:cols w:space="708"/>
          <w:docGrid w:linePitch="360"/>
        </w:sectPr>
      </w:pPr>
    </w:p>
    <w:p w:rsidR="00024F7A" w:rsidRDefault="00AE29AF" w:rsidP="00AE29AF">
      <w:pPr>
        <w:pStyle w:val="Rfrenceinterinstitutionnelle"/>
        <w:rPr>
          <w:noProof/>
        </w:rPr>
      </w:pPr>
      <w:r w:rsidRPr="00AE29AF">
        <w:t>2023/0055 (COD)</w:t>
      </w:r>
    </w:p>
    <w:p w:rsidR="00BD4149" w:rsidRPr="00DD38DC" w:rsidRDefault="00024F7A" w:rsidP="00024F7A">
      <w:pPr>
        <w:pStyle w:val="Statut"/>
        <w:rPr>
          <w:noProof/>
        </w:rPr>
      </w:pPr>
      <w:r w:rsidRPr="00024F7A">
        <w:rPr>
          <w:noProof/>
        </w:rPr>
        <w:t>Proposal for a</w:t>
      </w:r>
    </w:p>
    <w:p w:rsidR="00BD4149" w:rsidRPr="00DD38DC" w:rsidRDefault="00024F7A" w:rsidP="00024F7A">
      <w:pPr>
        <w:pStyle w:val="Typedudocument"/>
        <w:rPr>
          <w:noProof/>
        </w:rPr>
      </w:pPr>
      <w:r w:rsidRPr="00024F7A">
        <w:rPr>
          <w:noProof/>
        </w:rPr>
        <w:t>DIRECTIVE OF THE EUROPEAN PARLIAMENT AND OF THE COUNCIL</w:t>
      </w:r>
    </w:p>
    <w:p w:rsidR="00BD4149" w:rsidRPr="00DD38DC" w:rsidRDefault="00024F7A" w:rsidP="00024F7A">
      <w:pPr>
        <w:pStyle w:val="Titreobjet"/>
        <w:rPr>
          <w:noProof/>
        </w:rPr>
      </w:pPr>
      <w:r w:rsidRPr="00024F7A">
        <w:rPr>
          <w:noProof/>
        </w:rPr>
        <w:t xml:space="preserve">on </w:t>
      </w:r>
      <w:r w:rsidR="00CA6C90">
        <w:rPr>
          <w:noProof/>
        </w:rPr>
        <w:t>the Union-wide effect of certain</w:t>
      </w:r>
      <w:r w:rsidRPr="00024F7A">
        <w:rPr>
          <w:noProof/>
        </w:rPr>
        <w:t xml:space="preserve"> driving disqualifications</w:t>
      </w:r>
    </w:p>
    <w:p w:rsidR="00BD4149" w:rsidRPr="00DD38DC" w:rsidRDefault="00BD4149" w:rsidP="00BD4149">
      <w:pPr>
        <w:pStyle w:val="Institutionquiagit"/>
        <w:rPr>
          <w:noProof/>
        </w:rPr>
      </w:pPr>
      <w:r w:rsidRPr="00DD38DC">
        <w:rPr>
          <w:noProof/>
        </w:rPr>
        <w:t>THE EUROPEAN PARLIAMENT AND THE COUNCIL OF THE EUROPEAN UNION,</w:t>
      </w:r>
    </w:p>
    <w:p w:rsidR="00BD4149" w:rsidRPr="00DD38DC" w:rsidRDefault="00BD4149" w:rsidP="00BD4149">
      <w:pPr>
        <w:rPr>
          <w:noProof/>
        </w:rPr>
      </w:pPr>
      <w:r w:rsidRPr="00DD38DC">
        <w:rPr>
          <w:noProof/>
        </w:rPr>
        <w:t>Having regard to the Treaty on the Functioning of the European Union, and in particular Article 91(1)</w:t>
      </w:r>
      <w:r w:rsidR="00CA6C90">
        <w:rPr>
          <w:noProof/>
        </w:rPr>
        <w:t xml:space="preserve">, point </w:t>
      </w:r>
      <w:r w:rsidRPr="00DD38DC">
        <w:rPr>
          <w:noProof/>
        </w:rPr>
        <w:t>(c)</w:t>
      </w:r>
      <w:r w:rsidR="00CA6C90">
        <w:rPr>
          <w:noProof/>
        </w:rPr>
        <w:t>,</w:t>
      </w:r>
      <w:r w:rsidRPr="00DD38DC">
        <w:rPr>
          <w:noProof/>
        </w:rPr>
        <w:t xml:space="preserve"> thereof,</w:t>
      </w:r>
    </w:p>
    <w:p w:rsidR="00BD4149" w:rsidRPr="00DD38DC" w:rsidRDefault="00BD4149" w:rsidP="00BD4149">
      <w:pPr>
        <w:rPr>
          <w:noProof/>
        </w:rPr>
      </w:pPr>
      <w:r w:rsidRPr="00DD38DC">
        <w:rPr>
          <w:noProof/>
        </w:rPr>
        <w:t>Having regard to the proposal from the European Commission,</w:t>
      </w:r>
    </w:p>
    <w:p w:rsidR="00BD4149" w:rsidRPr="00DD38DC" w:rsidRDefault="00BD4149" w:rsidP="00BD4149">
      <w:pPr>
        <w:rPr>
          <w:noProof/>
        </w:rPr>
      </w:pPr>
      <w:r w:rsidRPr="00DD38DC">
        <w:rPr>
          <w:noProof/>
        </w:rPr>
        <w:t>After transmission of the draft legislative act to the national parliaments,</w:t>
      </w:r>
    </w:p>
    <w:p w:rsidR="00BD4149" w:rsidRPr="00DD38DC" w:rsidRDefault="00BD4149" w:rsidP="00BD4149">
      <w:pPr>
        <w:rPr>
          <w:noProof/>
        </w:rPr>
      </w:pPr>
      <w:r w:rsidRPr="00DD38DC">
        <w:rPr>
          <w:noProof/>
        </w:rPr>
        <w:t>Having regard to the opinion of the European Economic and Social Committee</w:t>
      </w:r>
      <w:r w:rsidRPr="00DD38DC">
        <w:rPr>
          <w:rStyle w:val="FootnoteReference"/>
          <w:noProof/>
        </w:rPr>
        <w:footnoteReference w:id="55"/>
      </w:r>
      <w:r w:rsidRPr="00DD38DC">
        <w:rPr>
          <w:noProof/>
        </w:rPr>
        <w:t>,</w:t>
      </w:r>
    </w:p>
    <w:p w:rsidR="00BD4149" w:rsidRPr="00DD38DC" w:rsidRDefault="00BD4149" w:rsidP="00BD4149">
      <w:pPr>
        <w:rPr>
          <w:noProof/>
        </w:rPr>
      </w:pPr>
      <w:r w:rsidRPr="00DD38DC">
        <w:rPr>
          <w:noProof/>
        </w:rPr>
        <w:t>Having regard to the opinion of the Committee of the Regions</w:t>
      </w:r>
      <w:r w:rsidRPr="00DD38DC">
        <w:rPr>
          <w:rStyle w:val="FootnoteReference"/>
          <w:noProof/>
        </w:rPr>
        <w:footnoteReference w:id="56"/>
      </w:r>
      <w:r w:rsidRPr="00DD38DC">
        <w:rPr>
          <w:noProof/>
        </w:rPr>
        <w:t>,</w:t>
      </w:r>
    </w:p>
    <w:p w:rsidR="00BD4149" w:rsidRPr="00DD38DC" w:rsidRDefault="00BD4149" w:rsidP="00BD4149">
      <w:pPr>
        <w:rPr>
          <w:noProof/>
        </w:rPr>
      </w:pPr>
      <w:r w:rsidRPr="00DD38DC">
        <w:rPr>
          <w:noProof/>
        </w:rPr>
        <w:t>Acting in accordance with the ordinary legislative procedure,</w:t>
      </w:r>
    </w:p>
    <w:p w:rsidR="00BD4149" w:rsidRPr="00DD38DC" w:rsidRDefault="00BD4149" w:rsidP="00BD4149">
      <w:pPr>
        <w:rPr>
          <w:noProof/>
        </w:rPr>
      </w:pPr>
      <w:r w:rsidRPr="00DD38DC">
        <w:rPr>
          <w:noProof/>
        </w:rPr>
        <w:t>Whereas:</w:t>
      </w:r>
    </w:p>
    <w:p w:rsidR="00BD4149" w:rsidRPr="00E57006" w:rsidRDefault="00E1781F" w:rsidP="00E1781F">
      <w:pPr>
        <w:pStyle w:val="ManualConsidrant"/>
        <w:rPr>
          <w:noProof/>
        </w:rPr>
      </w:pPr>
      <w:r w:rsidRPr="00E1781F">
        <w:t>(1)</w:t>
      </w:r>
      <w:r w:rsidRPr="00E1781F">
        <w:tab/>
      </w:r>
      <w:r w:rsidR="00BD4149" w:rsidRPr="00E57006">
        <w:rPr>
          <w:noProof/>
        </w:rPr>
        <w:t>Improving road safety is a primary objective of the Union</w:t>
      </w:r>
      <w:r w:rsidR="00BD4149" w:rsidRPr="00DD38DC">
        <w:rPr>
          <w:noProof/>
        </w:rPr>
        <w:t>’s</w:t>
      </w:r>
      <w:r w:rsidR="00BD4149" w:rsidRPr="00E57006">
        <w:rPr>
          <w:noProof/>
        </w:rPr>
        <w:t xml:space="preserve"> transport policy. In its EU Road Safety Policy Framework 2021-2030</w:t>
      </w:r>
      <w:r w:rsidR="00BD4149" w:rsidRPr="00DD7480">
        <w:rPr>
          <w:rStyle w:val="FootnoteReference"/>
          <w:noProof/>
        </w:rPr>
        <w:footnoteReference w:id="57"/>
      </w:r>
      <w:r w:rsidR="00BD4149" w:rsidRPr="00DD38DC">
        <w:rPr>
          <w:noProof/>
        </w:rPr>
        <w:t>,</w:t>
      </w:r>
      <w:r w:rsidR="00BD4149" w:rsidRPr="00E57006">
        <w:rPr>
          <w:noProof/>
        </w:rPr>
        <w:t xml:space="preserve"> the Commission recommitted to the ambitious goal to get close to zero deaths and zero serious injuries on Union roads by 2050 (“Vision Zero”), a</w:t>
      </w:r>
      <w:r w:rsidR="00BD4149" w:rsidRPr="00DD38DC">
        <w:rPr>
          <w:noProof/>
        </w:rPr>
        <w:t>s well as</w:t>
      </w:r>
      <w:r w:rsidR="00BD4149" w:rsidRPr="00E57006">
        <w:rPr>
          <w:noProof/>
        </w:rPr>
        <w:t xml:space="preserve"> to the medium-term aim to reduce deaths and serious injuries by 50% by 2030.</w:t>
      </w:r>
    </w:p>
    <w:p w:rsidR="00BD4149" w:rsidRPr="00E57006" w:rsidRDefault="00E1781F" w:rsidP="00E1781F">
      <w:pPr>
        <w:pStyle w:val="ManualConsidrant"/>
        <w:rPr>
          <w:noProof/>
        </w:rPr>
      </w:pPr>
      <w:r w:rsidRPr="00E1781F">
        <w:t>(2)</w:t>
      </w:r>
      <w:r w:rsidRPr="00E1781F">
        <w:tab/>
      </w:r>
      <w:r w:rsidR="00BD4149" w:rsidRPr="00E57006">
        <w:rPr>
          <w:noProof/>
        </w:rPr>
        <w:t xml:space="preserve">In order to achieve the goal of improving road safety, the Transport </w:t>
      </w:r>
      <w:r w:rsidR="00BD4149" w:rsidRPr="00DD38DC">
        <w:rPr>
          <w:noProof/>
        </w:rPr>
        <w:t>M</w:t>
      </w:r>
      <w:r w:rsidR="00BD4149" w:rsidRPr="00E57006">
        <w:rPr>
          <w:noProof/>
        </w:rPr>
        <w:t>inisters of the Member States, in the 2017 Valetta Declaration on Road Safety of 29 March 2017, called for the strengthening of the Union’</w:t>
      </w:r>
      <w:r w:rsidR="00BD4149" w:rsidRPr="00DD38DC">
        <w:rPr>
          <w:noProof/>
        </w:rPr>
        <w:t>s</w:t>
      </w:r>
      <w:r w:rsidR="00BD4149" w:rsidRPr="00E57006">
        <w:rPr>
          <w:noProof/>
        </w:rPr>
        <w:t xml:space="preserve"> road safety legal framework, with a particular focus on </w:t>
      </w:r>
      <w:r w:rsidR="00BD4149" w:rsidRPr="00DD38DC">
        <w:rPr>
          <w:noProof/>
        </w:rPr>
        <w:t xml:space="preserve">the need for </w:t>
      </w:r>
      <w:r w:rsidR="00BD4149" w:rsidRPr="00E57006">
        <w:rPr>
          <w:noProof/>
        </w:rPr>
        <w:t>Member States</w:t>
      </w:r>
      <w:r w:rsidR="00BD4149" w:rsidRPr="00DD38DC">
        <w:rPr>
          <w:noProof/>
        </w:rPr>
        <w:t xml:space="preserve"> to</w:t>
      </w:r>
      <w:r w:rsidR="00BD4149" w:rsidRPr="00E57006">
        <w:rPr>
          <w:noProof/>
        </w:rPr>
        <w:t xml:space="preserve"> cooperat</w:t>
      </w:r>
      <w:r w:rsidR="00BD4149" w:rsidRPr="00DD38DC">
        <w:rPr>
          <w:noProof/>
        </w:rPr>
        <w:t>e</w:t>
      </w:r>
      <w:r w:rsidR="00BD4149" w:rsidRPr="00E57006">
        <w:rPr>
          <w:noProof/>
        </w:rPr>
        <w:t xml:space="preserve"> </w:t>
      </w:r>
      <w:r w:rsidR="00BD4149" w:rsidRPr="00DD38DC">
        <w:rPr>
          <w:noProof/>
        </w:rPr>
        <w:t>in the matter</w:t>
      </w:r>
      <w:r w:rsidR="00BD4149" w:rsidRPr="00E57006">
        <w:rPr>
          <w:noProof/>
        </w:rPr>
        <w:t xml:space="preserve"> of driving disqualifications of non-resident drivers.</w:t>
      </w:r>
    </w:p>
    <w:p w:rsidR="00BD4149" w:rsidRPr="00DD38DC" w:rsidRDefault="00E1781F" w:rsidP="00E1781F">
      <w:pPr>
        <w:pStyle w:val="ManualConsidrant"/>
        <w:rPr>
          <w:noProof/>
        </w:rPr>
      </w:pPr>
      <w:r w:rsidRPr="00E1781F">
        <w:t>(3)</w:t>
      </w:r>
      <w:r w:rsidRPr="00E1781F">
        <w:tab/>
      </w:r>
      <w:r w:rsidR="00BD4149" w:rsidRPr="00DD38DC">
        <w:rPr>
          <w:noProof/>
        </w:rPr>
        <w:t>As a result of the free movement of persons and increasing international road traffic, driving disqualifications are frequently imposed by Member States other than th</w:t>
      </w:r>
      <w:r w:rsidR="003931D7">
        <w:rPr>
          <w:noProof/>
        </w:rPr>
        <w:t>e one</w:t>
      </w:r>
      <w:r w:rsidR="00BD4149" w:rsidRPr="00DD38DC">
        <w:rPr>
          <w:noProof/>
        </w:rPr>
        <w:t xml:space="preserve"> where the driver normally resides, and which issued the driving licence.</w:t>
      </w:r>
    </w:p>
    <w:p w:rsidR="00BD4149" w:rsidRPr="00DD38DC" w:rsidRDefault="00E1781F" w:rsidP="00E1781F">
      <w:pPr>
        <w:pStyle w:val="ManualConsidrant"/>
        <w:rPr>
          <w:noProof/>
        </w:rPr>
      </w:pPr>
      <w:r w:rsidRPr="00E1781F">
        <w:t>(4)</w:t>
      </w:r>
      <w:r w:rsidRPr="00E1781F">
        <w:tab/>
      </w:r>
      <w:r w:rsidR="003931D7">
        <w:rPr>
          <w:noProof/>
          <w:lang w:val="en-US"/>
        </w:rPr>
        <w:t>So far, a</w:t>
      </w:r>
      <w:r w:rsidR="003931D7" w:rsidRPr="004B6153">
        <w:rPr>
          <w:noProof/>
          <w:lang w:val="en-US"/>
        </w:rPr>
        <w:t xml:space="preserve"> Member State </w:t>
      </w:r>
      <w:r w:rsidR="003931D7" w:rsidRPr="00673A4E">
        <w:rPr>
          <w:noProof/>
        </w:rPr>
        <w:t>other than the one where the driver normally resides</w:t>
      </w:r>
      <w:r w:rsidR="003931D7" w:rsidRPr="004B6153">
        <w:rPr>
          <w:noProof/>
          <w:lang w:val="en-US"/>
        </w:rPr>
        <w:t xml:space="preserve"> can take measures, in accordance with its national legislation</w:t>
      </w:r>
      <w:r w:rsidR="007530CE">
        <w:rPr>
          <w:noProof/>
          <w:lang w:val="en-US"/>
        </w:rPr>
        <w:t>,</w:t>
      </w:r>
      <w:r w:rsidR="003931D7" w:rsidRPr="004B6153">
        <w:rPr>
          <w:noProof/>
          <w:lang w:val="en-US"/>
        </w:rPr>
        <w:t xml:space="preserve"> and as a result of unlawful conduct in its territory by the holder</w:t>
      </w:r>
      <w:r w:rsidR="00BD4149" w:rsidRPr="00DD38DC">
        <w:rPr>
          <w:noProof/>
        </w:rPr>
        <w:t xml:space="preserve"> of a driving </w:t>
      </w:r>
      <w:r w:rsidR="003931D7">
        <w:rPr>
          <w:noProof/>
        </w:rPr>
        <w:t xml:space="preserve">licence obtained </w:t>
      </w:r>
      <w:r w:rsidR="00D80F72">
        <w:rPr>
          <w:noProof/>
        </w:rPr>
        <w:t>in another</w:t>
      </w:r>
      <w:bookmarkStart w:id="12" w:name="_Hlk127879506"/>
      <w:r w:rsidR="00BD4149" w:rsidRPr="00DD38DC">
        <w:rPr>
          <w:noProof/>
        </w:rPr>
        <w:t xml:space="preserve"> Member State</w:t>
      </w:r>
      <w:r w:rsidR="00D80F72">
        <w:rPr>
          <w:noProof/>
        </w:rPr>
        <w:t>,</w:t>
      </w:r>
      <w:r w:rsidR="00332F6B">
        <w:rPr>
          <w:noProof/>
        </w:rPr>
        <w:t xml:space="preserve"> which</w:t>
      </w:r>
      <w:bookmarkEnd w:id="12"/>
      <w:r w:rsidR="00D80F72" w:rsidRPr="00D80F72">
        <w:rPr>
          <w:noProof/>
          <w:lang w:val="en-US"/>
        </w:rPr>
        <w:t xml:space="preserve"> </w:t>
      </w:r>
      <w:r w:rsidR="00814673">
        <w:rPr>
          <w:noProof/>
          <w:lang w:val="en-US"/>
        </w:rPr>
        <w:t xml:space="preserve">result in refusing </w:t>
      </w:r>
      <w:r w:rsidR="00D80F72" w:rsidRPr="004B6153">
        <w:rPr>
          <w:noProof/>
          <w:lang w:val="en-US"/>
        </w:rPr>
        <w:t xml:space="preserve">to recognise </w:t>
      </w:r>
      <w:r w:rsidR="00D80F72" w:rsidRPr="004D4FAD">
        <w:rPr>
          <w:noProof/>
          <w:lang w:val="en-US"/>
        </w:rPr>
        <w:t xml:space="preserve">the </w:t>
      </w:r>
      <w:r w:rsidR="00D80F72" w:rsidRPr="004B6153">
        <w:rPr>
          <w:noProof/>
          <w:lang w:val="en-US"/>
        </w:rPr>
        <w:t xml:space="preserve">validity of driving licences issued by other Member States and, therefore, in a restriction of the right to drive of the person concerned. However, the </w:t>
      </w:r>
      <w:r w:rsidR="00D80F72" w:rsidRPr="004D4FAD">
        <w:rPr>
          <w:noProof/>
          <w:lang w:val="en-US"/>
        </w:rPr>
        <w:t xml:space="preserve">scope of </w:t>
      </w:r>
      <w:r w:rsidR="00D80F72" w:rsidRPr="004B6153">
        <w:rPr>
          <w:noProof/>
          <w:lang w:val="en-US"/>
        </w:rPr>
        <w:t xml:space="preserve">those measures is </w:t>
      </w:r>
      <w:r w:rsidR="00D80F72" w:rsidRPr="004D4FAD">
        <w:rPr>
          <w:noProof/>
          <w:lang w:val="en-US"/>
        </w:rPr>
        <w:t xml:space="preserve">limited to </w:t>
      </w:r>
      <w:r w:rsidR="00D80F72" w:rsidRPr="004B6153">
        <w:rPr>
          <w:noProof/>
          <w:lang w:val="en-US"/>
        </w:rPr>
        <w:t xml:space="preserve">the territory of the Member State where the unlawful conduct took place and their effect limited to the refusal to recognise the validity of </w:t>
      </w:r>
      <w:r w:rsidR="00D80F72" w:rsidRPr="004D4FAD">
        <w:rPr>
          <w:noProof/>
          <w:lang w:val="en-US"/>
        </w:rPr>
        <w:t xml:space="preserve">that </w:t>
      </w:r>
      <w:r w:rsidR="00D80F72" w:rsidRPr="004B6153">
        <w:rPr>
          <w:noProof/>
          <w:lang w:val="en-US"/>
        </w:rPr>
        <w:t>licence within that territory. Accordingly, in the absence of any action by</w:t>
      </w:r>
      <w:r w:rsidR="00D80F72" w:rsidRPr="004D4FAD">
        <w:rPr>
          <w:noProof/>
          <w:lang w:val="en-US"/>
        </w:rPr>
        <w:t xml:space="preserve"> the Member State that issued the driving licence</w:t>
      </w:r>
      <w:r w:rsidR="00D80F72" w:rsidRPr="004B6153">
        <w:rPr>
          <w:noProof/>
          <w:lang w:val="en-US"/>
        </w:rPr>
        <w:t>, that driving licence continues to be recognised in all other Member States</w:t>
      </w:r>
      <w:r w:rsidR="00D80F72">
        <w:rPr>
          <w:noProof/>
        </w:rPr>
        <w:t>.</w:t>
      </w:r>
      <w:r w:rsidR="00BD4149" w:rsidRPr="00DD38DC">
        <w:rPr>
          <w:noProof/>
        </w:rPr>
        <w:t xml:space="preserve"> Such a scenario however</w:t>
      </w:r>
      <w:r w:rsidR="00D80F72">
        <w:rPr>
          <w:noProof/>
        </w:rPr>
        <w:t xml:space="preserve"> </w:t>
      </w:r>
      <w:r w:rsidR="00D80F72" w:rsidRPr="00E318B5">
        <w:rPr>
          <w:noProof/>
        </w:rPr>
        <w:t>prevents achieving a higher level</w:t>
      </w:r>
      <w:r w:rsidR="00BD4149" w:rsidRPr="00DD38DC">
        <w:rPr>
          <w:noProof/>
        </w:rPr>
        <w:t xml:space="preserve"> of road safety in the Union. Drivers disqualified from driving in a Member State other than</w:t>
      </w:r>
      <w:r w:rsidR="00D80F72">
        <w:rPr>
          <w:noProof/>
        </w:rPr>
        <w:t xml:space="preserve"> </w:t>
      </w:r>
      <w:r w:rsidR="00D80F72" w:rsidRPr="00673A4E">
        <w:rPr>
          <w:noProof/>
        </w:rPr>
        <w:t>the one which issued</w:t>
      </w:r>
      <w:r w:rsidR="00BD4149" w:rsidRPr="00DD38DC">
        <w:rPr>
          <w:noProof/>
        </w:rPr>
        <w:t xml:space="preserve"> the driving licence </w:t>
      </w:r>
      <w:r w:rsidR="00D80F72">
        <w:rPr>
          <w:noProof/>
        </w:rPr>
        <w:t>should</w:t>
      </w:r>
      <w:r w:rsidR="00BD4149" w:rsidRPr="00DD38DC">
        <w:rPr>
          <w:noProof/>
        </w:rPr>
        <w:t xml:space="preserve"> not escape the effects of such measure when present in a Member State other than that of the offence.</w:t>
      </w:r>
    </w:p>
    <w:p w:rsidR="00BD4149" w:rsidRPr="00DD38DC" w:rsidRDefault="00E1781F" w:rsidP="00E1781F">
      <w:pPr>
        <w:pStyle w:val="ManualConsidrant"/>
        <w:rPr>
          <w:noProof/>
        </w:rPr>
      </w:pPr>
      <w:r w:rsidRPr="00E1781F">
        <w:t>(5)</w:t>
      </w:r>
      <w:r w:rsidRPr="00E1781F">
        <w:tab/>
      </w:r>
      <w:r w:rsidR="00BD4149" w:rsidRPr="00DD38DC">
        <w:rPr>
          <w:noProof/>
        </w:rPr>
        <w:t>In order to ensure a high level of protection for all road users in the Union, it is necessary to lay down specific rules for</w:t>
      </w:r>
      <w:r w:rsidR="00D80F72">
        <w:rPr>
          <w:noProof/>
        </w:rPr>
        <w:t xml:space="preserve"> </w:t>
      </w:r>
      <w:r w:rsidR="00D80F72" w:rsidRPr="00673A4E">
        <w:rPr>
          <w:noProof/>
        </w:rPr>
        <w:t>the Union-wide application of</w:t>
      </w:r>
      <w:r w:rsidR="00BD4149" w:rsidRPr="00DD38DC">
        <w:rPr>
          <w:noProof/>
        </w:rPr>
        <w:t xml:space="preserve"> driving disqualifications imposed by a Member State </w:t>
      </w:r>
      <w:r w:rsidR="00D80F72">
        <w:rPr>
          <w:noProof/>
        </w:rPr>
        <w:t>other than</w:t>
      </w:r>
      <w:r w:rsidR="00BD4149" w:rsidRPr="00DD38DC">
        <w:rPr>
          <w:noProof/>
        </w:rPr>
        <w:t xml:space="preserve"> the one that issued the driving licence of the offender, which result from major road-safety related traffic offences. </w:t>
      </w:r>
    </w:p>
    <w:p w:rsidR="00BD4149" w:rsidRDefault="00E1781F" w:rsidP="00E1781F">
      <w:pPr>
        <w:pStyle w:val="ManualConsidrant"/>
        <w:rPr>
          <w:noProof/>
        </w:rPr>
      </w:pPr>
      <w:r w:rsidRPr="00E1781F">
        <w:t>(6)</w:t>
      </w:r>
      <w:r w:rsidRPr="00E1781F">
        <w:tab/>
      </w:r>
      <w:r w:rsidR="00D80F72">
        <w:rPr>
          <w:noProof/>
        </w:rPr>
        <w:t>However, t</w:t>
      </w:r>
      <w:r w:rsidR="00BD4149" w:rsidRPr="00DD38DC">
        <w:rPr>
          <w:noProof/>
        </w:rPr>
        <w:t xml:space="preserve">he implementation of this Directive should not </w:t>
      </w:r>
      <w:r w:rsidR="00BD4149">
        <w:rPr>
          <w:noProof/>
        </w:rPr>
        <w:t>require</w:t>
      </w:r>
      <w:r w:rsidR="00BD4149" w:rsidRPr="00DD38DC">
        <w:rPr>
          <w:noProof/>
        </w:rPr>
        <w:t xml:space="preserve"> the harmonisation of national </w:t>
      </w:r>
      <w:r w:rsidR="00D80F72">
        <w:rPr>
          <w:noProof/>
        </w:rPr>
        <w:t xml:space="preserve">rules </w:t>
      </w:r>
      <w:r w:rsidR="00BD4149" w:rsidRPr="00DD38DC">
        <w:rPr>
          <w:noProof/>
        </w:rPr>
        <w:t>concerning the definition of road traffic offences</w:t>
      </w:r>
      <w:r w:rsidR="00D80F72">
        <w:rPr>
          <w:noProof/>
        </w:rPr>
        <w:t xml:space="preserve">, </w:t>
      </w:r>
      <w:r w:rsidR="00D80F72" w:rsidRPr="00673A4E">
        <w:rPr>
          <w:noProof/>
        </w:rPr>
        <w:t>their legal nature</w:t>
      </w:r>
      <w:r w:rsidR="00BD4149" w:rsidRPr="00DD38DC">
        <w:rPr>
          <w:noProof/>
        </w:rPr>
        <w:t xml:space="preserve"> and the applicable sanctions for such offences.</w:t>
      </w:r>
      <w:r w:rsidR="00D80F72">
        <w:rPr>
          <w:noProof/>
        </w:rPr>
        <w:t xml:space="preserve"> In particular</w:t>
      </w:r>
      <w:r w:rsidR="00BD4149">
        <w:rPr>
          <w:noProof/>
        </w:rPr>
        <w:t>, the Union-wide effect of driving disqualification</w:t>
      </w:r>
      <w:r w:rsidR="00D80F72">
        <w:rPr>
          <w:noProof/>
        </w:rPr>
        <w:t>s</w:t>
      </w:r>
      <w:r w:rsidR="00BD4149">
        <w:rPr>
          <w:noProof/>
        </w:rPr>
        <w:t xml:space="preserve"> should be pursued regardless of the qualification of the national measures in the Member State of offence as administrative or criminal.    </w:t>
      </w:r>
    </w:p>
    <w:p w:rsidR="00BD4149" w:rsidRPr="00DD38DC" w:rsidRDefault="00E1781F" w:rsidP="00E1781F">
      <w:pPr>
        <w:pStyle w:val="ManualConsidrant"/>
        <w:rPr>
          <w:noProof/>
        </w:rPr>
      </w:pPr>
      <w:r w:rsidRPr="00E1781F">
        <w:t>(7)</w:t>
      </w:r>
      <w:r w:rsidRPr="00E1781F">
        <w:tab/>
      </w:r>
      <w:r w:rsidR="00BD4149">
        <w:rPr>
          <w:noProof/>
        </w:rPr>
        <w:t>T</w:t>
      </w:r>
      <w:r w:rsidR="00BD4149" w:rsidRPr="00662EF0">
        <w:rPr>
          <w:noProof/>
        </w:rPr>
        <w:t xml:space="preserve">his </w:t>
      </w:r>
      <w:r w:rsidR="00D80F72">
        <w:rPr>
          <w:noProof/>
        </w:rPr>
        <w:t xml:space="preserve">Directive should be </w:t>
      </w:r>
      <w:r w:rsidR="00BD4149" w:rsidRPr="00662EF0">
        <w:rPr>
          <w:noProof/>
        </w:rPr>
        <w:t>without prejudice to the rules on police and judicial cooperation in criminal matters</w:t>
      </w:r>
      <w:r w:rsidR="00BD4149">
        <w:rPr>
          <w:noProof/>
        </w:rPr>
        <w:t>,</w:t>
      </w:r>
      <w:r w:rsidR="00BD4149" w:rsidRPr="00662EF0">
        <w:rPr>
          <w:noProof/>
        </w:rPr>
        <w:t xml:space="preserve"> and on mutual recognition of related judicial decisions. </w:t>
      </w:r>
      <w:r w:rsidR="00BD4149">
        <w:rPr>
          <w:noProof/>
        </w:rPr>
        <w:t>Also, i</w:t>
      </w:r>
      <w:r w:rsidR="00BD4149" w:rsidRPr="00662EF0">
        <w:rPr>
          <w:noProof/>
        </w:rPr>
        <w:t xml:space="preserve">t </w:t>
      </w:r>
      <w:r w:rsidR="00BB5541">
        <w:rPr>
          <w:noProof/>
        </w:rPr>
        <w:t>should</w:t>
      </w:r>
      <w:r w:rsidR="00BD4149" w:rsidRPr="00662EF0">
        <w:rPr>
          <w:noProof/>
        </w:rPr>
        <w:t xml:space="preserve"> not affect the possibility of the judicial authorities of the </w:t>
      </w:r>
      <w:r w:rsidR="00BD4149">
        <w:rPr>
          <w:noProof/>
        </w:rPr>
        <w:t>Member States</w:t>
      </w:r>
      <w:r w:rsidR="00BD4149" w:rsidRPr="00662EF0">
        <w:rPr>
          <w:noProof/>
        </w:rPr>
        <w:t xml:space="preserve"> to execute decision</w:t>
      </w:r>
      <w:r w:rsidR="00BD4149">
        <w:rPr>
          <w:noProof/>
        </w:rPr>
        <w:t>s</w:t>
      </w:r>
      <w:r w:rsidR="00BD4149" w:rsidRPr="00662EF0">
        <w:rPr>
          <w:noProof/>
        </w:rPr>
        <w:t xml:space="preserve"> they have issued</w:t>
      </w:r>
      <w:r w:rsidR="00BD4149">
        <w:rPr>
          <w:noProof/>
        </w:rPr>
        <w:t xml:space="preserve">, in particular decisions of criminal nature.   </w:t>
      </w:r>
    </w:p>
    <w:p w:rsidR="00BD4149" w:rsidRPr="00DD38DC" w:rsidRDefault="00E1781F" w:rsidP="00E1781F">
      <w:pPr>
        <w:pStyle w:val="ManualConsidrant"/>
        <w:rPr>
          <w:noProof/>
        </w:rPr>
      </w:pPr>
      <w:bookmarkStart w:id="13" w:name="_Hlk127881714"/>
      <w:r w:rsidRPr="00E1781F">
        <w:t>(8)</w:t>
      </w:r>
      <w:r w:rsidRPr="00E1781F">
        <w:tab/>
      </w:r>
      <w:r w:rsidR="00BD4149" w:rsidRPr="00DD38DC">
        <w:rPr>
          <w:noProof/>
        </w:rPr>
        <w:t>The precise aim of</w:t>
      </w:r>
      <w:r w:rsidR="00BB5541">
        <w:rPr>
          <w:noProof/>
        </w:rPr>
        <w:t xml:space="preserve"> this Directive</w:t>
      </w:r>
      <w:r w:rsidR="00BD4149" w:rsidRPr="00DD38DC">
        <w:rPr>
          <w:noProof/>
        </w:rPr>
        <w:t xml:space="preserve"> is to enable the Union to pursue the goal of improving road safety across the Union. As the Court of Justice has held, measures seeking to improve road safety form part of transport policy and may be adopted on the basis of Article 91(1)</w:t>
      </w:r>
      <w:r w:rsidR="00BB5541">
        <w:rPr>
          <w:noProof/>
        </w:rPr>
        <w:t xml:space="preserve">, point </w:t>
      </w:r>
      <w:r w:rsidR="00BD4149" w:rsidRPr="00DD38DC">
        <w:rPr>
          <w:noProof/>
        </w:rPr>
        <w:t>(c)</w:t>
      </w:r>
      <w:r w:rsidR="00BB5541">
        <w:rPr>
          <w:noProof/>
        </w:rPr>
        <w:t>,</w:t>
      </w:r>
      <w:r w:rsidR="00BD4149" w:rsidRPr="00DD38DC">
        <w:rPr>
          <w:noProof/>
        </w:rPr>
        <w:t xml:space="preserve"> of the Treaty</w:t>
      </w:r>
      <w:r w:rsidR="00BD4149" w:rsidRPr="00DD38DC">
        <w:rPr>
          <w:rStyle w:val="FootnoteReference"/>
          <w:noProof/>
        </w:rPr>
        <w:footnoteReference w:id="58"/>
      </w:r>
      <w:r w:rsidR="00BD4149" w:rsidRPr="00DD38DC">
        <w:rPr>
          <w:noProof/>
        </w:rPr>
        <w:t>, in so far as they are ‘measures to improve transport safety’ within the meaning of that provision</w:t>
      </w:r>
      <w:r w:rsidR="00BD4149" w:rsidRPr="00DD38DC">
        <w:rPr>
          <w:rStyle w:val="FootnoteReference"/>
          <w:noProof/>
        </w:rPr>
        <w:footnoteReference w:id="59"/>
      </w:r>
      <w:r w:rsidR="00BD4149" w:rsidRPr="00DD38DC">
        <w:rPr>
          <w:noProof/>
        </w:rPr>
        <w:t xml:space="preserve">. </w:t>
      </w:r>
    </w:p>
    <w:bookmarkEnd w:id="13"/>
    <w:p w:rsidR="00BD4149" w:rsidRPr="00DD38DC" w:rsidRDefault="00E1781F" w:rsidP="00E1781F">
      <w:pPr>
        <w:pStyle w:val="ManualConsidrant"/>
        <w:rPr>
          <w:noProof/>
        </w:rPr>
      </w:pPr>
      <w:r w:rsidRPr="00E1781F">
        <w:t>(9)</w:t>
      </w:r>
      <w:r w:rsidRPr="00E1781F">
        <w:tab/>
      </w:r>
      <w:r w:rsidR="006C5A45" w:rsidRPr="006C5A45">
        <w:rPr>
          <w:noProof/>
        </w:rPr>
        <w:t xml:space="preserve">Driving disqualifications resulting from major road-safety-related traffic offences can consist in the withdrawal, restriction or suspension of the driving licence or the right to drive of the offender. </w:t>
      </w:r>
      <w:r w:rsidR="00075757">
        <w:rPr>
          <w:noProof/>
        </w:rPr>
        <w:t>W</w:t>
      </w:r>
      <w:r w:rsidR="006C5A45" w:rsidRPr="006C5A45">
        <w:rPr>
          <w:noProof/>
        </w:rPr>
        <w:t>here the offence was committed in the Member State that issued the driving licence</w:t>
      </w:r>
      <w:r w:rsidR="00075757">
        <w:rPr>
          <w:noProof/>
        </w:rPr>
        <w:t>,</w:t>
      </w:r>
      <w:r w:rsidR="006C5A45" w:rsidRPr="006C5A45">
        <w:rPr>
          <w:noProof/>
        </w:rPr>
        <w:t xml:space="preserve"> it can also consist in their cancellation.</w:t>
      </w:r>
      <w:r w:rsidR="006C5A45">
        <w:rPr>
          <w:noProof/>
        </w:rPr>
        <w:t xml:space="preserve"> T</w:t>
      </w:r>
      <w:r w:rsidR="00115C8F">
        <w:rPr>
          <w:noProof/>
        </w:rPr>
        <w:t>herefore</w:t>
      </w:r>
      <w:r w:rsidR="006C5A45">
        <w:rPr>
          <w:noProof/>
        </w:rPr>
        <w:t xml:space="preserve"> it should be through the application</w:t>
      </w:r>
      <w:r w:rsidR="00115C8F">
        <w:rPr>
          <w:noProof/>
        </w:rPr>
        <w:t xml:space="preserve"> of</w:t>
      </w:r>
      <w:r w:rsidR="006C5A45">
        <w:rPr>
          <w:noProof/>
        </w:rPr>
        <w:t xml:space="preserve"> all</w:t>
      </w:r>
      <w:r w:rsidR="00115C8F">
        <w:rPr>
          <w:noProof/>
        </w:rPr>
        <w:t xml:space="preserve"> these</w:t>
      </w:r>
      <w:r w:rsidR="00BD4149" w:rsidRPr="00DD38DC">
        <w:rPr>
          <w:noProof/>
        </w:rPr>
        <w:t xml:space="preserve"> measures</w:t>
      </w:r>
      <w:r w:rsidR="00BE7491">
        <w:rPr>
          <w:noProof/>
        </w:rPr>
        <w:t xml:space="preserve"> by the Member State which issued </w:t>
      </w:r>
      <w:r w:rsidR="00BD4149" w:rsidRPr="00DD38DC">
        <w:rPr>
          <w:noProof/>
        </w:rPr>
        <w:t xml:space="preserve">the </w:t>
      </w:r>
      <w:r w:rsidR="00BE7491">
        <w:rPr>
          <w:noProof/>
        </w:rPr>
        <w:t>driving licence, that</w:t>
      </w:r>
      <w:r w:rsidR="00BD4149" w:rsidRPr="00DD38DC">
        <w:rPr>
          <w:noProof/>
        </w:rPr>
        <w:t xml:space="preserve"> the Union-wide effect</w:t>
      </w:r>
      <w:r w:rsidR="00BE7491">
        <w:rPr>
          <w:noProof/>
        </w:rPr>
        <w:t>s</w:t>
      </w:r>
      <w:r w:rsidR="00BD4149" w:rsidRPr="00DD38DC">
        <w:rPr>
          <w:noProof/>
        </w:rPr>
        <w:t xml:space="preserve"> </w:t>
      </w:r>
      <w:r w:rsidR="00BE7491">
        <w:rPr>
          <w:noProof/>
        </w:rPr>
        <w:t>of</w:t>
      </w:r>
      <w:r w:rsidR="00BD4149" w:rsidRPr="00DD38DC">
        <w:rPr>
          <w:noProof/>
        </w:rPr>
        <w:t xml:space="preserve"> </w:t>
      </w:r>
      <w:r w:rsidR="00BE7491">
        <w:rPr>
          <w:noProof/>
        </w:rPr>
        <w:t xml:space="preserve">driving </w:t>
      </w:r>
      <w:r w:rsidR="00BD4149" w:rsidRPr="00DD38DC">
        <w:rPr>
          <w:noProof/>
        </w:rPr>
        <w:t>disqualification</w:t>
      </w:r>
      <w:r w:rsidR="00BE7491">
        <w:rPr>
          <w:noProof/>
        </w:rPr>
        <w:t>s should be achieved</w:t>
      </w:r>
      <w:r w:rsidR="00BD4149" w:rsidRPr="00DD38DC">
        <w:rPr>
          <w:noProof/>
        </w:rPr>
        <w:t>.</w:t>
      </w:r>
      <w:r w:rsidR="00BD4149" w:rsidDel="00461A59">
        <w:rPr>
          <w:noProof/>
        </w:rPr>
        <w:t xml:space="preserve"> </w:t>
      </w:r>
    </w:p>
    <w:p w:rsidR="00BD4149" w:rsidRPr="00DD38DC" w:rsidRDefault="00E1781F" w:rsidP="00E1781F">
      <w:pPr>
        <w:pStyle w:val="ManualConsidrant"/>
        <w:rPr>
          <w:noProof/>
        </w:rPr>
      </w:pPr>
      <w:r w:rsidRPr="00E1781F">
        <w:t>(10)</w:t>
      </w:r>
      <w:r w:rsidRPr="00E1781F">
        <w:tab/>
      </w:r>
      <w:r w:rsidR="00BD4149" w:rsidRPr="00DD38DC">
        <w:rPr>
          <w:noProof/>
        </w:rPr>
        <w:t>As drink</w:t>
      </w:r>
      <w:r w:rsidR="003424B0">
        <w:rPr>
          <w:noProof/>
        </w:rPr>
        <w:t>-</w:t>
      </w:r>
      <w:r w:rsidR="00BD4149" w:rsidRPr="00DD38DC">
        <w:rPr>
          <w:noProof/>
        </w:rPr>
        <w:t>driving (</w:t>
      </w:r>
      <w:r w:rsidR="00BE7491">
        <w:rPr>
          <w:noProof/>
        </w:rPr>
        <w:t xml:space="preserve">namely </w:t>
      </w:r>
      <w:r w:rsidR="00BD4149" w:rsidRPr="00DD38DC">
        <w:rPr>
          <w:noProof/>
        </w:rPr>
        <w:t>driving with a blood alcohol level that surpasses the maximum value allowed by the law), speeding (</w:t>
      </w:r>
      <w:r w:rsidR="003804D4">
        <w:rPr>
          <w:noProof/>
        </w:rPr>
        <w:t xml:space="preserve">that is to say </w:t>
      </w:r>
      <w:r w:rsidR="00BD4149" w:rsidRPr="00DD38DC">
        <w:rPr>
          <w:noProof/>
        </w:rPr>
        <w:t>exceeding the speed limits in force for the road or type of vehicle concerned) and driving under the influence of drugs constitute the leading causes of road traffi</w:t>
      </w:r>
      <w:r w:rsidR="00BD4149" w:rsidRPr="00814673">
        <w:rPr>
          <w:noProof/>
        </w:rPr>
        <w:t xml:space="preserve">c </w:t>
      </w:r>
      <w:r w:rsidR="007530CE" w:rsidRPr="00814673">
        <w:rPr>
          <w:noProof/>
        </w:rPr>
        <w:t>crashes</w:t>
      </w:r>
      <w:r w:rsidR="007530CE">
        <w:rPr>
          <w:noProof/>
        </w:rPr>
        <w:t xml:space="preserve"> </w:t>
      </w:r>
      <w:r w:rsidR="00BD4149" w:rsidRPr="00DD38DC">
        <w:rPr>
          <w:noProof/>
        </w:rPr>
        <w:t>and fatalities within the Union, the highest possible diligence should be provided for cases relating to th</w:t>
      </w:r>
      <w:r w:rsidR="003804D4">
        <w:rPr>
          <w:noProof/>
        </w:rPr>
        <w:t>o</w:t>
      </w:r>
      <w:r w:rsidR="00BD4149" w:rsidRPr="00DD38DC">
        <w:rPr>
          <w:noProof/>
        </w:rPr>
        <w:t>se offences, which should thus be considered as ‘major road-safety-related traffic offences’ for the purposes of this Directive. Furthermore, given their seriousness, road traffic offences which</w:t>
      </w:r>
      <w:r w:rsidR="00BD4149">
        <w:rPr>
          <w:noProof/>
        </w:rPr>
        <w:t xml:space="preserve"> result in the</w:t>
      </w:r>
      <w:r w:rsidR="00BD4149" w:rsidRPr="00DD38DC">
        <w:rPr>
          <w:noProof/>
        </w:rPr>
        <w:t xml:space="preserve"> death or serio</w:t>
      </w:r>
      <w:r w:rsidR="00BD4149">
        <w:rPr>
          <w:noProof/>
        </w:rPr>
        <w:t>us bodily injury of the victim</w:t>
      </w:r>
      <w:r w:rsidR="003804D4">
        <w:rPr>
          <w:noProof/>
        </w:rPr>
        <w:t>,</w:t>
      </w:r>
      <w:r w:rsidR="00BD4149" w:rsidRPr="00DD38DC">
        <w:rPr>
          <w:noProof/>
        </w:rPr>
        <w:t xml:space="preserve"> should also be considered as </w:t>
      </w:r>
      <w:r w:rsidR="003804D4">
        <w:rPr>
          <w:noProof/>
        </w:rPr>
        <w:t>major offences</w:t>
      </w:r>
      <w:r w:rsidR="00BD4149" w:rsidRPr="00DD38DC">
        <w:rPr>
          <w:noProof/>
        </w:rPr>
        <w:t>.</w:t>
      </w:r>
    </w:p>
    <w:p w:rsidR="00BD4149" w:rsidRPr="00DD38DC" w:rsidRDefault="00E1781F" w:rsidP="00E1781F">
      <w:pPr>
        <w:pStyle w:val="ManualConsidrant"/>
        <w:rPr>
          <w:noProof/>
        </w:rPr>
      </w:pPr>
      <w:r w:rsidRPr="00E1781F">
        <w:t>(11)</w:t>
      </w:r>
      <w:r w:rsidRPr="00E1781F">
        <w:tab/>
      </w:r>
      <w:r w:rsidR="00BD4149" w:rsidRPr="00DD38DC">
        <w:rPr>
          <w:noProof/>
        </w:rPr>
        <w:t>Driving disqualifications imposed by a Member State with respect to a person who is not a normal resident</w:t>
      </w:r>
      <w:r w:rsidR="00BD4149">
        <w:rPr>
          <w:noProof/>
        </w:rPr>
        <w:t xml:space="preserve"> within the meaning of Article 17 of [NEW DIRECTIVE ON DRIVING LICENCES],</w:t>
      </w:r>
      <w:r w:rsidR="00BD4149" w:rsidRPr="00DD38DC">
        <w:rPr>
          <w:noProof/>
        </w:rPr>
        <w:t xml:space="preserve"> and who holds a driving licence issued by another Member State</w:t>
      </w:r>
      <w:r w:rsidR="008524B5">
        <w:rPr>
          <w:noProof/>
        </w:rPr>
        <w:t>,</w:t>
      </w:r>
      <w:r w:rsidR="00BD4149" w:rsidRPr="00DD38DC">
        <w:rPr>
          <w:noProof/>
        </w:rPr>
        <w:t xml:space="preserve"> should have effects across the entire territory of the Union, in similar terms as driving disqualifications imposed with respect to persons who hold driving licences issued by that Member State already have. </w:t>
      </w:r>
      <w:r w:rsidR="00BD4149">
        <w:rPr>
          <w:noProof/>
        </w:rPr>
        <w:t xml:space="preserve">Also in view of the principle of procedural autonomy, Member States should be free to decide how to best achieve that </w:t>
      </w:r>
      <w:r w:rsidR="008524B5">
        <w:rPr>
          <w:noProof/>
        </w:rPr>
        <w:t>result</w:t>
      </w:r>
      <w:r w:rsidR="00BD4149">
        <w:rPr>
          <w:noProof/>
        </w:rPr>
        <w:t xml:space="preserve"> in accordance with their national law. </w:t>
      </w:r>
      <w:r w:rsidR="008524B5">
        <w:rPr>
          <w:noProof/>
        </w:rPr>
        <w:t>Account should be taken, however, of</w:t>
      </w:r>
      <w:r w:rsidR="00BD4149" w:rsidRPr="00DD38DC">
        <w:rPr>
          <w:noProof/>
        </w:rPr>
        <w:t xml:space="preserve"> the </w:t>
      </w:r>
      <w:r w:rsidR="008524B5">
        <w:rPr>
          <w:noProof/>
        </w:rPr>
        <w:t>fact that w</w:t>
      </w:r>
      <w:r w:rsidR="008524B5" w:rsidRPr="001658C0">
        <w:rPr>
          <w:noProof/>
        </w:rPr>
        <w:t>here a Member State imposes a</w:t>
      </w:r>
      <w:r w:rsidR="008524B5">
        <w:rPr>
          <w:noProof/>
        </w:rPr>
        <w:t xml:space="preserve"> </w:t>
      </w:r>
      <w:r w:rsidR="00BD4149" w:rsidRPr="00DD38DC">
        <w:rPr>
          <w:noProof/>
        </w:rPr>
        <w:t xml:space="preserve">driving disqualification </w:t>
      </w:r>
      <w:r w:rsidR="00BD4149">
        <w:rPr>
          <w:noProof/>
        </w:rPr>
        <w:t xml:space="preserve">on a person having normal residence in that Member State, but holding a driving licence issued by another Member State, the former is entitled to </w:t>
      </w:r>
      <w:r w:rsidR="00BD4149" w:rsidRPr="00DD38DC">
        <w:rPr>
          <w:noProof/>
        </w:rPr>
        <w:t>exchange the licence for th</w:t>
      </w:r>
      <w:r w:rsidR="00BD4149">
        <w:rPr>
          <w:noProof/>
        </w:rPr>
        <w:t xml:space="preserve">e purpose of </w:t>
      </w:r>
      <w:r w:rsidR="00BD4149" w:rsidRPr="00DD38DC">
        <w:rPr>
          <w:noProof/>
        </w:rPr>
        <w:t>apply</w:t>
      </w:r>
      <w:r w:rsidR="00BD4149">
        <w:rPr>
          <w:noProof/>
        </w:rPr>
        <w:t>ing</w:t>
      </w:r>
      <w:r w:rsidR="008524B5">
        <w:rPr>
          <w:noProof/>
        </w:rPr>
        <w:t xml:space="preserve"> that driving disqualification in accordance with</w:t>
      </w:r>
      <w:r w:rsidR="00BD4149" w:rsidRPr="00DD38DC">
        <w:rPr>
          <w:noProof/>
        </w:rPr>
        <w:t xml:space="preserve"> </w:t>
      </w:r>
      <w:r w:rsidR="00BD4149">
        <w:rPr>
          <w:noProof/>
        </w:rPr>
        <w:t>Article 11(2) of [</w:t>
      </w:r>
      <w:r w:rsidR="008C2F3B">
        <w:rPr>
          <w:noProof/>
        </w:rPr>
        <w:t xml:space="preserve">NEW DIRECTIVE ON </w:t>
      </w:r>
      <w:r w:rsidR="00BD4149">
        <w:rPr>
          <w:noProof/>
        </w:rPr>
        <w:t>DRIVING</w:t>
      </w:r>
      <w:r w:rsidR="0085459D">
        <w:rPr>
          <w:noProof/>
        </w:rPr>
        <w:t xml:space="preserve"> </w:t>
      </w:r>
      <w:r w:rsidR="00BD4149">
        <w:rPr>
          <w:noProof/>
        </w:rPr>
        <w:t>LICENCE</w:t>
      </w:r>
      <w:r w:rsidR="008C2F3B">
        <w:rPr>
          <w:noProof/>
        </w:rPr>
        <w:t>S</w:t>
      </w:r>
      <w:r w:rsidR="00BD4149">
        <w:rPr>
          <w:noProof/>
        </w:rPr>
        <w:t>].</w:t>
      </w:r>
    </w:p>
    <w:p w:rsidR="00BD4149" w:rsidRDefault="00E1781F" w:rsidP="00E1781F">
      <w:pPr>
        <w:pStyle w:val="ManualConsidrant"/>
        <w:rPr>
          <w:noProof/>
          <w:lang w:val="en-US"/>
        </w:rPr>
      </w:pPr>
      <w:r w:rsidRPr="00E1781F">
        <w:t>(12)</w:t>
      </w:r>
      <w:r w:rsidRPr="00E1781F">
        <w:tab/>
      </w:r>
      <w:r w:rsidR="00BD4149" w:rsidRPr="00BD0217">
        <w:rPr>
          <w:noProof/>
          <w:lang w:val="en-US"/>
        </w:rPr>
        <w:t xml:space="preserve">The Member State </w:t>
      </w:r>
      <w:r w:rsidR="00BD4149">
        <w:rPr>
          <w:noProof/>
          <w:lang w:val="en-US"/>
        </w:rPr>
        <w:t xml:space="preserve">which imposed the driving disqualification (“Member State </w:t>
      </w:r>
      <w:r w:rsidR="00BD4149" w:rsidRPr="00BD0217">
        <w:rPr>
          <w:noProof/>
          <w:lang w:val="en-US"/>
        </w:rPr>
        <w:t>of the offence</w:t>
      </w:r>
      <w:r w:rsidR="00BD4149">
        <w:rPr>
          <w:noProof/>
          <w:lang w:val="en-US"/>
        </w:rPr>
        <w:t>”)</w:t>
      </w:r>
      <w:r w:rsidR="00BD4149" w:rsidRPr="00BD0217">
        <w:rPr>
          <w:noProof/>
          <w:lang w:val="en-US"/>
        </w:rPr>
        <w:t xml:space="preserve"> sh</w:t>
      </w:r>
      <w:r w:rsidR="00BD4149">
        <w:rPr>
          <w:noProof/>
          <w:lang w:val="en-US"/>
        </w:rPr>
        <w:t>ould</w:t>
      </w:r>
      <w:r w:rsidR="00BD4149" w:rsidRPr="00BD0217">
        <w:rPr>
          <w:noProof/>
          <w:lang w:val="en-US"/>
        </w:rPr>
        <w:t xml:space="preserve"> notify the</w:t>
      </w:r>
      <w:r w:rsidR="00BD4149">
        <w:rPr>
          <w:noProof/>
          <w:lang w:val="en-US"/>
        </w:rPr>
        <w:t xml:space="preserve"> Member State</w:t>
      </w:r>
      <w:r w:rsidR="00BD4149" w:rsidRPr="00BD0217">
        <w:rPr>
          <w:noProof/>
          <w:lang w:val="en-US"/>
        </w:rPr>
        <w:t xml:space="preserve"> </w:t>
      </w:r>
      <w:r w:rsidR="00BD4149" w:rsidRPr="00DD38DC">
        <w:rPr>
          <w:noProof/>
          <w:lang w:val="en-US"/>
        </w:rPr>
        <w:t xml:space="preserve">that issued the driving licence of the person concerned </w:t>
      </w:r>
      <w:r w:rsidR="00BD4149">
        <w:rPr>
          <w:noProof/>
          <w:lang w:val="en-US"/>
        </w:rPr>
        <w:t>(“</w:t>
      </w:r>
      <w:r w:rsidR="00BD4149" w:rsidRPr="00BD0217">
        <w:rPr>
          <w:noProof/>
          <w:lang w:val="en-US"/>
        </w:rPr>
        <w:t>Member State of issuance</w:t>
      </w:r>
      <w:r w:rsidR="00BD4149">
        <w:rPr>
          <w:noProof/>
          <w:lang w:val="en-US"/>
        </w:rPr>
        <w:t>”)</w:t>
      </w:r>
      <w:r w:rsidR="00BD4149" w:rsidRPr="00BD0217">
        <w:rPr>
          <w:noProof/>
          <w:lang w:val="en-US"/>
        </w:rPr>
        <w:t xml:space="preserve"> of any driving disqualification </w:t>
      </w:r>
      <w:r w:rsidR="00BD4149" w:rsidRPr="00BD0217">
        <w:rPr>
          <w:noProof/>
          <w:szCs w:val="24"/>
          <w:lang w:val="en-US"/>
        </w:rPr>
        <w:t>imposed</w:t>
      </w:r>
      <w:r w:rsidR="00BD4149">
        <w:rPr>
          <w:noProof/>
          <w:szCs w:val="24"/>
          <w:lang w:val="en-US"/>
        </w:rPr>
        <w:t xml:space="preserve"> </w:t>
      </w:r>
      <w:r w:rsidR="00BD4149" w:rsidRPr="00314153">
        <w:rPr>
          <w:noProof/>
          <w:szCs w:val="24"/>
          <w:lang w:val="en-US"/>
        </w:rPr>
        <w:t>for</w:t>
      </w:r>
      <w:r w:rsidR="00BD4149" w:rsidRPr="00314153">
        <w:rPr>
          <w:noProof/>
          <w:lang w:val="en-US"/>
        </w:rPr>
        <w:t xml:space="preserve"> a duration of one month or more</w:t>
      </w:r>
      <w:r w:rsidR="00BD4149">
        <w:rPr>
          <w:noProof/>
          <w:lang w:val="en-US"/>
        </w:rPr>
        <w:t xml:space="preserve"> on such person, in order to trigger the procedures necessary to ensure the Union-wide effect of the driving disqualification. Such notification should be transmitted by means of a standard certificate, in order to ensure a seamless, reliable and effective exchange of information between the Member States.</w:t>
      </w:r>
    </w:p>
    <w:p w:rsidR="00BD4149" w:rsidRDefault="00E1781F" w:rsidP="00E1781F">
      <w:pPr>
        <w:pStyle w:val="ManualConsidrant"/>
        <w:rPr>
          <w:noProof/>
          <w:lang w:val="en-US"/>
        </w:rPr>
      </w:pPr>
      <w:r w:rsidRPr="00E1781F">
        <w:t>(13)</w:t>
      </w:r>
      <w:r w:rsidRPr="00E1781F">
        <w:tab/>
      </w:r>
      <w:r w:rsidR="00BD4149">
        <w:rPr>
          <w:noProof/>
          <w:lang w:val="en-US"/>
        </w:rPr>
        <w:t xml:space="preserve">The standard certificate should contain a minimum set of data allowing for the proper implementation of this Directive, namely </w:t>
      </w:r>
      <w:r w:rsidR="00BD4149" w:rsidRPr="00DB73E8">
        <w:rPr>
          <w:noProof/>
          <w:lang w:val="en-US"/>
        </w:rPr>
        <w:t>the authority of the Member State of the offence</w:t>
      </w:r>
      <w:r w:rsidR="00BE2B8F" w:rsidRPr="007B0B11">
        <w:rPr>
          <w:noProof/>
        </w:rPr>
        <w:t xml:space="preserve"> imposing the driving disqualification</w:t>
      </w:r>
      <w:r w:rsidR="00BD4149">
        <w:rPr>
          <w:noProof/>
          <w:lang w:val="en-US"/>
        </w:rPr>
        <w:t xml:space="preserve">, the major road-safety-related traffic offence committed, the resulting driving disqualification, the person concerned, and the procedures followed for the imposition of the disqualification. Such certificate should also be translated </w:t>
      </w:r>
      <w:r w:rsidR="00BE2B8F">
        <w:rPr>
          <w:noProof/>
          <w:lang w:val="en-US"/>
        </w:rPr>
        <w:t>in</w:t>
      </w:r>
      <w:r w:rsidR="00BD4149">
        <w:rPr>
          <w:noProof/>
          <w:lang w:val="en-US"/>
        </w:rPr>
        <w:t xml:space="preserve">to </w:t>
      </w:r>
      <w:r w:rsidR="00BD4149" w:rsidRPr="007D63A6">
        <w:rPr>
          <w:noProof/>
          <w:lang w:val="en-US"/>
        </w:rPr>
        <w:t xml:space="preserve">an official language of the Member State of issuance or </w:t>
      </w:r>
      <w:r w:rsidR="00BD4149">
        <w:rPr>
          <w:noProof/>
          <w:lang w:val="en-US"/>
        </w:rPr>
        <w:t>to</w:t>
      </w:r>
      <w:r w:rsidR="00BD4149" w:rsidRPr="007D63A6">
        <w:rPr>
          <w:noProof/>
          <w:lang w:val="en-US"/>
        </w:rPr>
        <w:t xml:space="preserve"> any other language that the Member State of issuance has accepted</w:t>
      </w:r>
      <w:r w:rsidR="00BD4149">
        <w:rPr>
          <w:noProof/>
          <w:lang w:val="en-US"/>
        </w:rPr>
        <w:t>, in order to ensure quick processing by the addressee.</w:t>
      </w:r>
      <w:r w:rsidR="00BE2B8F">
        <w:rPr>
          <w:noProof/>
          <w:lang w:val="en-US"/>
        </w:rPr>
        <w:t xml:space="preserve"> </w:t>
      </w:r>
      <w:r w:rsidR="00BE2B8F" w:rsidRPr="00BE2B8F">
        <w:rPr>
          <w:noProof/>
          <w:lang w:val="en-US"/>
        </w:rPr>
        <w:t>Through providing only for this information the standard certificate can guarantee effectiveness without obliging Member St</w:t>
      </w:r>
      <w:r w:rsidR="00BE2B8F">
        <w:rPr>
          <w:noProof/>
          <w:lang w:val="en-US"/>
        </w:rPr>
        <w:t xml:space="preserve">ates to share not proportionate or </w:t>
      </w:r>
      <w:r w:rsidR="00BE2B8F" w:rsidRPr="00BE2B8F">
        <w:rPr>
          <w:noProof/>
          <w:lang w:val="en-US"/>
        </w:rPr>
        <w:t>excessive amount</w:t>
      </w:r>
      <w:r w:rsidR="00BE2B8F">
        <w:rPr>
          <w:noProof/>
          <w:lang w:val="en-US"/>
        </w:rPr>
        <w:t>s</w:t>
      </w:r>
      <w:r w:rsidR="00BE2B8F" w:rsidRPr="00BE2B8F">
        <w:rPr>
          <w:noProof/>
          <w:lang w:val="en-US"/>
        </w:rPr>
        <w:t xml:space="preserve"> of information.</w:t>
      </w:r>
    </w:p>
    <w:p w:rsidR="003B4B26" w:rsidRDefault="00E1781F" w:rsidP="00E1781F">
      <w:pPr>
        <w:pStyle w:val="ManualConsidrant"/>
        <w:rPr>
          <w:noProof/>
          <w:lang w:val="en-US"/>
        </w:rPr>
      </w:pPr>
      <w:r w:rsidRPr="00E1781F">
        <w:t>(14)</w:t>
      </w:r>
      <w:r w:rsidRPr="00E1781F">
        <w:tab/>
      </w:r>
      <w:r w:rsidR="00B5735F">
        <w:rPr>
          <w:noProof/>
        </w:rPr>
        <w:t>The imposition of driving disqualifications as a consequence of unlawful conducts contributes to guaranteeing a high level of road safety within the Union. Based on the</w:t>
      </w:r>
      <w:r w:rsidR="00B5735F" w:rsidRPr="00615612">
        <w:rPr>
          <w:noProof/>
        </w:rPr>
        <w:t xml:space="preserve"> principle of mutual recognition of driving licences issued in the Member States</w:t>
      </w:r>
      <w:r w:rsidR="00B5735F">
        <w:rPr>
          <w:noProof/>
        </w:rPr>
        <w:t xml:space="preserve">, measures concerning the withdrawal, cancellation, suspension or restriction of a driving licence issued by the Member State of issuance are automatically recognized by all other Member States. </w:t>
      </w:r>
      <w:bookmarkStart w:id="14" w:name="_Hlk128230088"/>
      <w:bookmarkStart w:id="15" w:name="_Hlk128230107"/>
      <w:r w:rsidR="00B5735F">
        <w:rPr>
          <w:noProof/>
        </w:rPr>
        <w:t>Accordingly, the Member Sate of issuance should be required to ensure that driving disqualifications adopted by other Member States are recognised by all Member States</w:t>
      </w:r>
      <w:bookmarkEnd w:id="14"/>
      <w:r w:rsidR="00B5735F" w:rsidRPr="00187C4E">
        <w:rPr>
          <w:noProof/>
        </w:rPr>
        <w:t xml:space="preserve">. </w:t>
      </w:r>
      <w:bookmarkEnd w:id="15"/>
      <w:r w:rsidR="00B5735F" w:rsidRPr="00187C4E">
        <w:rPr>
          <w:noProof/>
        </w:rPr>
        <w:t>Therefore, upon notification</w:t>
      </w:r>
      <w:r w:rsidR="00BD4149">
        <w:rPr>
          <w:noProof/>
          <w:lang w:val="en-US"/>
        </w:rPr>
        <w:t xml:space="preserve"> of the imposed driving disqualification, and </w:t>
      </w:r>
      <w:r w:rsidR="00BD4149" w:rsidRPr="00FA3CE4">
        <w:rPr>
          <w:noProof/>
          <w:lang w:val="en-US"/>
        </w:rPr>
        <w:t xml:space="preserve">unless </w:t>
      </w:r>
      <w:r w:rsidR="00BD4149">
        <w:rPr>
          <w:noProof/>
          <w:lang w:val="en-US"/>
        </w:rPr>
        <w:t xml:space="preserve">a </w:t>
      </w:r>
      <w:r w:rsidR="00BD4149" w:rsidRPr="00FA3CE4">
        <w:rPr>
          <w:noProof/>
          <w:lang w:val="en-US"/>
        </w:rPr>
        <w:t xml:space="preserve">ground for </w:t>
      </w:r>
      <w:r w:rsidR="00BD4149">
        <w:rPr>
          <w:noProof/>
          <w:lang w:val="en-US"/>
        </w:rPr>
        <w:t>exemption</w:t>
      </w:r>
      <w:r w:rsidR="00BD4149" w:rsidRPr="0041328F">
        <w:rPr>
          <w:noProof/>
          <w:lang w:val="en-US"/>
        </w:rPr>
        <w:t xml:space="preserve"> </w:t>
      </w:r>
      <w:r w:rsidR="00BD4149">
        <w:rPr>
          <w:noProof/>
          <w:lang w:val="en-US"/>
        </w:rPr>
        <w:t>applies or is invoked</w:t>
      </w:r>
      <w:r w:rsidR="00BD4149" w:rsidRPr="00700DC1">
        <w:rPr>
          <w:noProof/>
          <w:lang w:val="en-US"/>
        </w:rPr>
        <w:t xml:space="preserve">, the </w:t>
      </w:r>
      <w:r w:rsidR="00BD4149" w:rsidRPr="003E4C4A">
        <w:rPr>
          <w:noProof/>
          <w:lang w:val="en-US"/>
        </w:rPr>
        <w:t>Member State</w:t>
      </w:r>
      <w:r w:rsidR="00BD4149" w:rsidRPr="00C64D85">
        <w:rPr>
          <w:noProof/>
          <w:lang w:val="en-US"/>
        </w:rPr>
        <w:t xml:space="preserve"> of issuance </w:t>
      </w:r>
      <w:r w:rsidR="00BD4149" w:rsidRPr="00F1326A">
        <w:rPr>
          <w:noProof/>
          <w:lang w:val="en-US"/>
        </w:rPr>
        <w:t>sh</w:t>
      </w:r>
      <w:r w:rsidR="00BD4149">
        <w:rPr>
          <w:noProof/>
          <w:lang w:val="en-US"/>
        </w:rPr>
        <w:t>ould take the appropriate measures to e</w:t>
      </w:r>
      <w:r w:rsidR="005316CB">
        <w:rPr>
          <w:noProof/>
          <w:lang w:val="en-US"/>
        </w:rPr>
        <w:t>xtend</w:t>
      </w:r>
      <w:r w:rsidR="00BD4149">
        <w:rPr>
          <w:noProof/>
          <w:lang w:val="en-US"/>
        </w:rPr>
        <w:t xml:space="preserve"> the effect</w:t>
      </w:r>
      <w:r w:rsidR="004542B3">
        <w:rPr>
          <w:noProof/>
          <w:lang w:val="en-US"/>
        </w:rPr>
        <w:t xml:space="preserve"> of the driving disqualification to the Union.</w:t>
      </w:r>
      <w:r w:rsidR="00BD4149" w:rsidRPr="008C06E8">
        <w:rPr>
          <w:noProof/>
          <w:lang w:val="en-US"/>
        </w:rPr>
        <w:t xml:space="preserve"> </w:t>
      </w:r>
    </w:p>
    <w:p w:rsidR="00BD4149" w:rsidRPr="00061582" w:rsidRDefault="00E1781F" w:rsidP="00E1781F">
      <w:pPr>
        <w:pStyle w:val="ManualConsidrant"/>
        <w:rPr>
          <w:noProof/>
          <w:lang w:val="en-US"/>
        </w:rPr>
      </w:pPr>
      <w:r w:rsidRPr="00E1781F">
        <w:t>(15)</w:t>
      </w:r>
      <w:r w:rsidRPr="00E1781F">
        <w:tab/>
      </w:r>
      <w:r w:rsidR="003B4B26">
        <w:rPr>
          <w:noProof/>
        </w:rPr>
        <w:t>The measure taken by the Member State of the issuance</w:t>
      </w:r>
      <w:r w:rsidR="00BD4149">
        <w:rPr>
          <w:noProof/>
          <w:lang w:val="en-US"/>
        </w:rPr>
        <w:t xml:space="preserve"> should vary depending on the specific nature of the driving disqualification</w:t>
      </w:r>
      <w:r w:rsidR="003B4B26">
        <w:rPr>
          <w:noProof/>
          <w:lang w:val="en-US"/>
        </w:rPr>
        <w:t>.</w:t>
      </w:r>
      <w:r w:rsidR="00BD4149">
        <w:rPr>
          <w:noProof/>
          <w:lang w:val="en-US"/>
        </w:rPr>
        <w:t xml:space="preserve"> </w:t>
      </w:r>
      <w:r w:rsidR="003B4B26">
        <w:rPr>
          <w:noProof/>
          <w:lang w:val="en-US"/>
        </w:rPr>
        <w:t>G</w:t>
      </w:r>
      <w:r w:rsidR="00BD4149">
        <w:rPr>
          <w:noProof/>
          <w:lang w:val="en-US"/>
        </w:rPr>
        <w:t xml:space="preserve">iven that a withdrawal, suspension or restriction of a driving licence or right to drive necessarily have different consequences, </w:t>
      </w:r>
      <w:r w:rsidR="003B4B26">
        <w:rPr>
          <w:noProof/>
          <w:lang w:val="en-US"/>
        </w:rPr>
        <w:t>they</w:t>
      </w:r>
      <w:r w:rsidR="00BD4149">
        <w:rPr>
          <w:noProof/>
          <w:lang w:val="en-US"/>
        </w:rPr>
        <w:t xml:space="preserve"> require different procedures to be given effect</w:t>
      </w:r>
      <w:r w:rsidR="003B4B26">
        <w:rPr>
          <w:noProof/>
          <w:lang w:val="en-US"/>
        </w:rPr>
        <w:t xml:space="preserve"> </w:t>
      </w:r>
      <w:r w:rsidR="003B4B26">
        <w:rPr>
          <w:noProof/>
        </w:rPr>
        <w:t>in compliance with the competences of the Member States involved</w:t>
      </w:r>
      <w:r w:rsidR="00BD4149">
        <w:rPr>
          <w:noProof/>
          <w:lang w:val="en-US"/>
        </w:rPr>
        <w:t>. In particular, specifically as regards withdrawal, t</w:t>
      </w:r>
      <w:r w:rsidR="00BD4149" w:rsidRPr="00461A59">
        <w:rPr>
          <w:noProof/>
          <w:lang w:val="en-US"/>
        </w:rPr>
        <w:t xml:space="preserve">he </w:t>
      </w:r>
      <w:r w:rsidR="003B4B26">
        <w:rPr>
          <w:noProof/>
          <w:lang w:val="en-US"/>
        </w:rPr>
        <w:t>person concerned</w:t>
      </w:r>
      <w:r w:rsidR="00BD4149">
        <w:rPr>
          <w:noProof/>
          <w:lang w:val="en-US"/>
        </w:rPr>
        <w:t xml:space="preserve"> should be able to </w:t>
      </w:r>
      <w:r w:rsidR="00BD4149" w:rsidRPr="00461A59">
        <w:rPr>
          <w:noProof/>
          <w:lang w:val="en-US"/>
        </w:rPr>
        <w:t>re</w:t>
      </w:r>
      <w:r w:rsidR="003B4B26">
        <w:rPr>
          <w:noProof/>
          <w:lang w:val="en-US"/>
        </w:rPr>
        <w:t>cover</w:t>
      </w:r>
      <w:r w:rsidR="00BD4149" w:rsidRPr="00461A59">
        <w:rPr>
          <w:noProof/>
          <w:lang w:val="en-US"/>
        </w:rPr>
        <w:t xml:space="preserve"> the driving licen</w:t>
      </w:r>
      <w:r w:rsidR="00BD4149">
        <w:rPr>
          <w:noProof/>
          <w:lang w:val="en-US"/>
        </w:rPr>
        <w:t>c</w:t>
      </w:r>
      <w:r w:rsidR="00BD4149" w:rsidRPr="00461A59">
        <w:rPr>
          <w:noProof/>
          <w:lang w:val="en-US"/>
        </w:rPr>
        <w:t>e or the right to drive in accordance with the rules applicable</w:t>
      </w:r>
      <w:r w:rsidR="003B4B26">
        <w:rPr>
          <w:noProof/>
          <w:lang w:val="en-US"/>
        </w:rPr>
        <w:t xml:space="preserve"> </w:t>
      </w:r>
      <w:r w:rsidR="003B4B26">
        <w:rPr>
          <w:noProof/>
        </w:rPr>
        <w:t>to alike circumstances</w:t>
      </w:r>
      <w:r w:rsidR="00BD4149" w:rsidRPr="00461A59">
        <w:rPr>
          <w:noProof/>
          <w:lang w:val="en-US"/>
        </w:rPr>
        <w:t xml:space="preserve"> in the Member State of issuance. </w:t>
      </w:r>
      <w:r w:rsidR="00BD4149">
        <w:rPr>
          <w:noProof/>
          <w:lang w:val="en-US"/>
        </w:rPr>
        <w:t>As regards suspension or restriction,</w:t>
      </w:r>
      <w:r w:rsidR="003B4B26">
        <w:rPr>
          <w:noProof/>
          <w:lang w:val="en-US"/>
        </w:rPr>
        <w:t xml:space="preserve"> </w:t>
      </w:r>
      <w:r w:rsidR="003B4B26">
        <w:rPr>
          <w:noProof/>
        </w:rPr>
        <w:t>it should be ensured that only the duration of such measures is given a Union-wide effect, even where the driving disqualification provides for</w:t>
      </w:r>
      <w:r w:rsidR="00BD4149">
        <w:rPr>
          <w:noProof/>
          <w:lang w:val="en-US"/>
        </w:rPr>
        <w:t xml:space="preserve"> additional conditions</w:t>
      </w:r>
      <w:r w:rsidR="003B4B26">
        <w:rPr>
          <w:noProof/>
          <w:lang w:val="en-US"/>
        </w:rPr>
        <w:t>, because</w:t>
      </w:r>
      <w:r w:rsidR="00BD4149">
        <w:rPr>
          <w:noProof/>
          <w:lang w:val="en-US"/>
        </w:rPr>
        <w:t xml:space="preserve"> the</w:t>
      </w:r>
      <w:r w:rsidR="003B4B26">
        <w:rPr>
          <w:noProof/>
          <w:lang w:val="en-US"/>
        </w:rPr>
        <w:t xml:space="preserve"> </w:t>
      </w:r>
      <w:r w:rsidR="003B4B26">
        <w:rPr>
          <w:noProof/>
        </w:rPr>
        <w:t xml:space="preserve">primary goal of those measures is to temporarily or partially prevent the person concerned from driving and not to </w:t>
      </w:r>
      <w:r w:rsidR="003B4B26" w:rsidRPr="001A1302">
        <w:rPr>
          <w:noProof/>
        </w:rPr>
        <w:t>determine how that person should recover her or his</w:t>
      </w:r>
      <w:r w:rsidR="003B4B26">
        <w:rPr>
          <w:noProof/>
        </w:rPr>
        <w:t xml:space="preserve"> right to drive</w:t>
      </w:r>
      <w:r w:rsidR="00BD4149">
        <w:rPr>
          <w:noProof/>
          <w:lang w:val="en-US"/>
        </w:rPr>
        <w:t xml:space="preserve">  </w:t>
      </w:r>
      <w:r w:rsidR="003B4B26">
        <w:rPr>
          <w:noProof/>
          <w:lang w:val="en-US"/>
        </w:rPr>
        <w:t xml:space="preserve">in the Member State of </w:t>
      </w:r>
      <w:r w:rsidR="00BD4149">
        <w:rPr>
          <w:noProof/>
          <w:lang w:val="en-US"/>
        </w:rPr>
        <w:t>issuance.</w:t>
      </w:r>
    </w:p>
    <w:p w:rsidR="00432317" w:rsidRDefault="00E1781F" w:rsidP="00E1781F">
      <w:pPr>
        <w:pStyle w:val="ManualConsidrant"/>
        <w:rPr>
          <w:noProof/>
          <w:lang w:val="en-US"/>
        </w:rPr>
      </w:pPr>
      <w:r w:rsidRPr="00E1781F">
        <w:t>(16)</w:t>
      </w:r>
      <w:r w:rsidRPr="00E1781F">
        <w:tab/>
      </w:r>
      <w:r w:rsidR="00BD4149">
        <w:rPr>
          <w:noProof/>
          <w:lang w:val="en-US"/>
        </w:rPr>
        <w:t>In principle, the possibility for Member States to apply driv</w:t>
      </w:r>
      <w:r w:rsidR="00432317">
        <w:rPr>
          <w:noProof/>
          <w:lang w:val="en-US"/>
        </w:rPr>
        <w:t>ing</w:t>
      </w:r>
      <w:r w:rsidR="00BD4149">
        <w:rPr>
          <w:noProof/>
          <w:lang w:val="en-US"/>
        </w:rPr>
        <w:t xml:space="preserve"> disqualifications within their territory should not be limited by this </w:t>
      </w:r>
      <w:r w:rsidR="00432317">
        <w:rPr>
          <w:noProof/>
          <w:lang w:val="en-US"/>
        </w:rPr>
        <w:t>Directive</w:t>
      </w:r>
      <w:r w:rsidR="00BD4149">
        <w:rPr>
          <w:noProof/>
          <w:lang w:val="en-US"/>
        </w:rPr>
        <w:t xml:space="preserve">. Accordingly, the Member State of the offence should be able to continue </w:t>
      </w:r>
      <w:r w:rsidR="00BD4149" w:rsidRPr="007E03BB">
        <w:rPr>
          <w:noProof/>
          <w:lang w:val="en-US"/>
        </w:rPr>
        <w:t>to apply</w:t>
      </w:r>
      <w:r w:rsidR="00BD4149">
        <w:rPr>
          <w:noProof/>
          <w:lang w:val="en-US"/>
        </w:rPr>
        <w:t>,</w:t>
      </w:r>
      <w:r w:rsidR="00BD4149" w:rsidRPr="007E03BB">
        <w:rPr>
          <w:noProof/>
          <w:lang w:val="en-US"/>
        </w:rPr>
        <w:t xml:space="preserve"> in accordance with its national rules</w:t>
      </w:r>
      <w:r w:rsidR="00BD4149" w:rsidRPr="007E03BB" w:rsidDel="001B7E47">
        <w:rPr>
          <w:noProof/>
          <w:lang w:val="en-US"/>
        </w:rPr>
        <w:t xml:space="preserve"> </w:t>
      </w:r>
      <w:r w:rsidR="00BD4149">
        <w:rPr>
          <w:noProof/>
          <w:lang w:val="en-US"/>
        </w:rPr>
        <w:t xml:space="preserve">and </w:t>
      </w:r>
      <w:r w:rsidR="00BD4149" w:rsidRPr="007E03BB">
        <w:rPr>
          <w:noProof/>
          <w:lang w:val="en-US"/>
        </w:rPr>
        <w:t>with</w:t>
      </w:r>
      <w:r w:rsidR="00BD4149">
        <w:rPr>
          <w:noProof/>
          <w:lang w:val="en-US"/>
        </w:rPr>
        <w:t xml:space="preserve"> effects limited to</w:t>
      </w:r>
      <w:r w:rsidR="00BD4149" w:rsidRPr="007E03BB">
        <w:rPr>
          <w:noProof/>
          <w:lang w:val="en-US"/>
        </w:rPr>
        <w:t xml:space="preserve"> its territory</w:t>
      </w:r>
      <w:r w:rsidR="00BD4149">
        <w:rPr>
          <w:noProof/>
          <w:lang w:val="en-US"/>
        </w:rPr>
        <w:t>,</w:t>
      </w:r>
      <w:r w:rsidR="00BD4149" w:rsidRPr="007E03BB">
        <w:rPr>
          <w:noProof/>
          <w:lang w:val="en-US"/>
        </w:rPr>
        <w:t xml:space="preserve"> </w:t>
      </w:r>
      <w:r w:rsidR="00BD4149">
        <w:rPr>
          <w:noProof/>
          <w:lang w:val="en-US"/>
        </w:rPr>
        <w:t>driving disqualifications and any additional conditions set thereunder</w:t>
      </w:r>
      <w:r w:rsidR="00BD4149" w:rsidRPr="007E03BB">
        <w:rPr>
          <w:noProof/>
          <w:lang w:val="en-US"/>
        </w:rPr>
        <w:t xml:space="preserve"> until the person concerned complies with them.</w:t>
      </w:r>
      <w:r w:rsidR="00BD4149">
        <w:rPr>
          <w:noProof/>
          <w:lang w:val="en-US"/>
        </w:rPr>
        <w:t xml:space="preserve"> </w:t>
      </w:r>
    </w:p>
    <w:p w:rsidR="00BD4149" w:rsidRPr="007E03BB" w:rsidRDefault="00E1781F" w:rsidP="00E1781F">
      <w:pPr>
        <w:pStyle w:val="ManualConsidrant"/>
        <w:rPr>
          <w:noProof/>
          <w:lang w:val="en-US"/>
        </w:rPr>
      </w:pPr>
      <w:r w:rsidRPr="00E1781F">
        <w:t>(17)</w:t>
      </w:r>
      <w:r w:rsidRPr="00E1781F">
        <w:tab/>
      </w:r>
      <w:r w:rsidR="00BD4149">
        <w:rPr>
          <w:noProof/>
          <w:lang w:val="en-US"/>
        </w:rPr>
        <w:t xml:space="preserve">However, it is also important to take into account that the evaluation of the compliance with the requirements set under Union law for obtaining a driving licence is a competence of the Member State of issuance. </w:t>
      </w:r>
      <w:r w:rsidR="00432317">
        <w:rPr>
          <w:noProof/>
          <w:lang w:val="en-US"/>
        </w:rPr>
        <w:t>T</w:t>
      </w:r>
      <w:r w:rsidR="00BD4149">
        <w:rPr>
          <w:noProof/>
          <w:lang w:val="en-US"/>
        </w:rPr>
        <w:t>he application of additional conditions in the Member State of issuance should</w:t>
      </w:r>
      <w:r w:rsidR="00432317">
        <w:rPr>
          <w:noProof/>
          <w:lang w:val="en-US"/>
        </w:rPr>
        <w:t xml:space="preserve"> also</w:t>
      </w:r>
      <w:r w:rsidR="00BD4149">
        <w:rPr>
          <w:noProof/>
          <w:lang w:val="en-US"/>
        </w:rPr>
        <w:t xml:space="preserve"> not result in duplicating the requirements that a concerned person must fulfil to prove that regaining a driving licen</w:t>
      </w:r>
      <w:r w:rsidR="00432317">
        <w:rPr>
          <w:noProof/>
          <w:lang w:val="en-US"/>
        </w:rPr>
        <w:t>c</w:t>
      </w:r>
      <w:r w:rsidR="00BD4149">
        <w:rPr>
          <w:noProof/>
          <w:lang w:val="en-US"/>
        </w:rPr>
        <w:t>e or the right to drive will not pose a danger to road safety in the Union. In light of th</w:t>
      </w:r>
      <w:r w:rsidR="00432317">
        <w:rPr>
          <w:noProof/>
          <w:lang w:val="en-US"/>
        </w:rPr>
        <w:t>at</w:t>
      </w:r>
      <w:r w:rsidR="00BD4149">
        <w:rPr>
          <w:noProof/>
          <w:lang w:val="en-US"/>
        </w:rPr>
        <w:t>, where the Member State of issuance has</w:t>
      </w:r>
      <w:r w:rsidR="00432317">
        <w:rPr>
          <w:noProof/>
          <w:lang w:val="en-US"/>
        </w:rPr>
        <w:t xml:space="preserve"> adopted measures to</w:t>
      </w:r>
      <w:r w:rsidR="00BD4149">
        <w:rPr>
          <w:noProof/>
          <w:lang w:val="en-US"/>
        </w:rPr>
        <w:t xml:space="preserve"> ensure the Union-wide effect of the driving disqualification and, </w:t>
      </w:r>
      <w:r w:rsidR="005347BF">
        <w:rPr>
          <w:noProof/>
          <w:lang w:val="en-US"/>
        </w:rPr>
        <w:t xml:space="preserve">following </w:t>
      </w:r>
      <w:r w:rsidR="00BD4149">
        <w:rPr>
          <w:noProof/>
          <w:lang w:val="en-US"/>
        </w:rPr>
        <w:t>that</w:t>
      </w:r>
      <w:r w:rsidR="005347BF">
        <w:rPr>
          <w:noProof/>
          <w:lang w:val="en-US"/>
        </w:rPr>
        <w:t>,</w:t>
      </w:r>
      <w:r w:rsidR="00BD4149">
        <w:rPr>
          <w:noProof/>
          <w:lang w:val="en-US"/>
        </w:rPr>
        <w:t xml:space="preserve"> has reassessed whether the person concerned is suitable to </w:t>
      </w:r>
      <w:r w:rsidR="005347BF">
        <w:rPr>
          <w:noProof/>
          <w:lang w:val="en-US"/>
        </w:rPr>
        <w:t>recover</w:t>
      </w:r>
      <w:r w:rsidR="00BD4149">
        <w:rPr>
          <w:noProof/>
          <w:lang w:val="en-US"/>
        </w:rPr>
        <w:t xml:space="preserve"> a driving licence or the right to drive, that </w:t>
      </w:r>
      <w:r w:rsidR="005347BF">
        <w:rPr>
          <w:noProof/>
          <w:lang w:val="en-US"/>
        </w:rPr>
        <w:t>assessment</w:t>
      </w:r>
      <w:r w:rsidR="00BD4149">
        <w:rPr>
          <w:noProof/>
          <w:lang w:val="en-US"/>
        </w:rPr>
        <w:t xml:space="preserve"> should be recognised across the entire Union and</w:t>
      </w:r>
      <w:r w:rsidR="005347BF">
        <w:rPr>
          <w:noProof/>
          <w:lang w:val="en-US"/>
        </w:rPr>
        <w:t xml:space="preserve"> therefore</w:t>
      </w:r>
      <w:r w:rsidR="00BD4149">
        <w:rPr>
          <w:noProof/>
          <w:lang w:val="en-US"/>
        </w:rPr>
        <w:t xml:space="preserve"> also in the Member State of offence. </w:t>
      </w:r>
    </w:p>
    <w:p w:rsidR="00BD4149" w:rsidRDefault="00E1781F" w:rsidP="00E1781F">
      <w:pPr>
        <w:pStyle w:val="ManualConsidrant"/>
        <w:rPr>
          <w:noProof/>
          <w:lang w:val="en-US"/>
        </w:rPr>
      </w:pPr>
      <w:r w:rsidRPr="00E1781F">
        <w:t>(18)</w:t>
      </w:r>
      <w:r w:rsidRPr="00E1781F">
        <w:tab/>
      </w:r>
      <w:r w:rsidR="00BD4149">
        <w:rPr>
          <w:noProof/>
          <w:lang w:val="en-US"/>
        </w:rPr>
        <w:t>T</w:t>
      </w:r>
      <w:r w:rsidR="00BD4149" w:rsidRPr="00B25A84">
        <w:rPr>
          <w:noProof/>
          <w:lang w:val="en-US"/>
        </w:rPr>
        <w:t>he</w:t>
      </w:r>
      <w:r w:rsidR="005347BF">
        <w:rPr>
          <w:noProof/>
          <w:lang w:val="en-US"/>
        </w:rPr>
        <w:t xml:space="preserve"> </w:t>
      </w:r>
      <w:r w:rsidR="005347BF">
        <w:rPr>
          <w:noProof/>
        </w:rPr>
        <w:t>application of measures by the</w:t>
      </w:r>
      <w:r w:rsidR="00BD4149" w:rsidRPr="00B25A84">
        <w:rPr>
          <w:noProof/>
          <w:lang w:val="en-US"/>
        </w:rPr>
        <w:t xml:space="preserve"> Member State of issuance should </w:t>
      </w:r>
      <w:r w:rsidR="005347BF">
        <w:rPr>
          <w:noProof/>
        </w:rPr>
        <w:t xml:space="preserve">serve the purpose of </w:t>
      </w:r>
      <w:r w:rsidR="005347BF" w:rsidRPr="00673A4E">
        <w:rPr>
          <w:noProof/>
        </w:rPr>
        <w:t>ensur</w:t>
      </w:r>
      <w:r w:rsidR="005347BF">
        <w:rPr>
          <w:noProof/>
        </w:rPr>
        <w:t>ing</w:t>
      </w:r>
      <w:r w:rsidR="005347BF">
        <w:rPr>
          <w:noProof/>
          <w:lang w:val="en-US"/>
        </w:rPr>
        <w:t xml:space="preserve"> </w:t>
      </w:r>
      <w:r w:rsidR="00BD4149" w:rsidRPr="00B25A84">
        <w:rPr>
          <w:noProof/>
          <w:lang w:val="en-US"/>
        </w:rPr>
        <w:t>that a driving disqual</w:t>
      </w:r>
      <w:r w:rsidR="00B847EB">
        <w:rPr>
          <w:noProof/>
          <w:lang w:val="en-US"/>
        </w:rPr>
        <w:t>ification has Union-wide effect</w:t>
      </w:r>
      <w:r w:rsidR="00BD4149" w:rsidRPr="00B25A84">
        <w:rPr>
          <w:noProof/>
          <w:lang w:val="en-US"/>
        </w:rPr>
        <w:t xml:space="preserve"> </w:t>
      </w:r>
      <w:r w:rsidR="005347BF">
        <w:rPr>
          <w:noProof/>
        </w:rPr>
        <w:t xml:space="preserve">and should not require a new assessment of the facts that lead to the </w:t>
      </w:r>
      <w:r w:rsidR="00BD4149" w:rsidRPr="00B25A84">
        <w:rPr>
          <w:noProof/>
          <w:lang w:val="en-US"/>
        </w:rPr>
        <w:t>disqualification</w:t>
      </w:r>
      <w:r w:rsidR="005347BF">
        <w:rPr>
          <w:noProof/>
          <w:lang w:val="en-US"/>
        </w:rPr>
        <w:t xml:space="preserve">. </w:t>
      </w:r>
      <w:r w:rsidR="005347BF">
        <w:rPr>
          <w:noProof/>
        </w:rPr>
        <w:t>However, in order to guarantee</w:t>
      </w:r>
      <w:r w:rsidR="005347BF">
        <w:rPr>
          <w:noProof/>
          <w:lang w:val="en-US"/>
        </w:rPr>
        <w:t xml:space="preserve"> </w:t>
      </w:r>
      <w:r w:rsidR="00BD4149" w:rsidRPr="00B25A84">
        <w:rPr>
          <w:noProof/>
          <w:lang w:val="en-US"/>
        </w:rPr>
        <w:t xml:space="preserve">that the </w:t>
      </w:r>
      <w:r w:rsidR="005347BF">
        <w:rPr>
          <w:noProof/>
        </w:rPr>
        <w:t>Union-wide effect is not contrary to the principle</w:t>
      </w:r>
      <w:r w:rsidR="005347BF" w:rsidRPr="004D4FAD">
        <w:rPr>
          <w:noProof/>
        </w:rPr>
        <w:t xml:space="preserve"> of </w:t>
      </w:r>
      <w:r w:rsidR="005347BF">
        <w:rPr>
          <w:noProof/>
        </w:rPr>
        <w:t>proportionality</w:t>
      </w:r>
      <w:r w:rsidR="005347BF">
        <w:rPr>
          <w:noProof/>
          <w:lang w:val="en-US"/>
        </w:rPr>
        <w:t>,</w:t>
      </w:r>
      <w:r w:rsidR="00BD4149" w:rsidRPr="00B25A84">
        <w:rPr>
          <w:noProof/>
          <w:lang w:val="en-US"/>
        </w:rPr>
        <w:t xml:space="preserve"> fundamental rights</w:t>
      </w:r>
      <w:r w:rsidR="005347BF">
        <w:rPr>
          <w:noProof/>
          <w:lang w:val="en-US"/>
        </w:rPr>
        <w:t xml:space="preserve"> </w:t>
      </w:r>
      <w:r w:rsidR="005347BF">
        <w:rPr>
          <w:noProof/>
        </w:rPr>
        <w:t xml:space="preserve">or exceptions provided for in </w:t>
      </w:r>
      <w:r w:rsidR="00BD4149" w:rsidRPr="005347BF">
        <w:rPr>
          <w:noProof/>
          <w:lang w:val="en-US"/>
        </w:rPr>
        <w:t>the law of the Member State of issuance</w:t>
      </w:r>
      <w:r w:rsidR="005347BF">
        <w:rPr>
          <w:noProof/>
          <w:lang w:val="en-US"/>
        </w:rPr>
        <w:t xml:space="preserve"> it </w:t>
      </w:r>
      <w:r w:rsidR="005347BF">
        <w:rPr>
          <w:noProof/>
        </w:rPr>
        <w:t xml:space="preserve">is appropriate to lay down </w:t>
      </w:r>
      <w:r w:rsidR="005347BF" w:rsidRPr="00673A4E">
        <w:rPr>
          <w:noProof/>
        </w:rPr>
        <w:t xml:space="preserve">certain grounds </w:t>
      </w:r>
      <w:r w:rsidR="005347BF">
        <w:rPr>
          <w:noProof/>
        </w:rPr>
        <w:t xml:space="preserve">that exempt the Member State of issuance from the obligation of adopting measures. </w:t>
      </w:r>
    </w:p>
    <w:p w:rsidR="00BD4149" w:rsidRPr="00B6488C" w:rsidRDefault="00E1781F" w:rsidP="00E1781F">
      <w:pPr>
        <w:pStyle w:val="ManualConsidrant"/>
        <w:rPr>
          <w:noProof/>
          <w:lang w:val="en-US"/>
        </w:rPr>
      </w:pPr>
      <w:r w:rsidRPr="00E1781F">
        <w:t>(19)</w:t>
      </w:r>
      <w:r w:rsidRPr="00E1781F">
        <w:tab/>
      </w:r>
      <w:r w:rsidR="005347BF">
        <w:rPr>
          <w:noProof/>
        </w:rPr>
        <w:t>In</w:t>
      </w:r>
      <w:r w:rsidR="005347BF" w:rsidRPr="004D4FAD">
        <w:rPr>
          <w:noProof/>
        </w:rPr>
        <w:t xml:space="preserve"> the </w:t>
      </w:r>
      <w:r w:rsidR="005347BF">
        <w:rPr>
          <w:noProof/>
        </w:rPr>
        <w:t>interest</w:t>
      </w:r>
      <w:r w:rsidR="005347BF" w:rsidRPr="004D4FAD">
        <w:rPr>
          <w:noProof/>
        </w:rPr>
        <w:t xml:space="preserve"> of </w:t>
      </w:r>
      <w:r w:rsidR="005347BF">
        <w:rPr>
          <w:noProof/>
        </w:rPr>
        <w:t>road safety and in order to provide legal certainty for the person concerned and for the Member State of the offence</w:t>
      </w:r>
      <w:r w:rsidR="005347BF" w:rsidRPr="004D4FAD">
        <w:rPr>
          <w:noProof/>
        </w:rPr>
        <w:t>, the Member State of issuance should</w:t>
      </w:r>
      <w:r w:rsidR="005347BF">
        <w:rPr>
          <w:noProof/>
          <w:lang w:val="en-US"/>
        </w:rPr>
        <w:t xml:space="preserve"> </w:t>
      </w:r>
      <w:r w:rsidR="00BD4149">
        <w:rPr>
          <w:noProof/>
          <w:lang w:val="en-US"/>
        </w:rPr>
        <w:t xml:space="preserve">ensure the Union-wide effect of the driving disqualification or apply a ground for exemption </w:t>
      </w:r>
      <w:r w:rsidR="005347BF">
        <w:rPr>
          <w:noProof/>
          <w:lang w:val="en-US"/>
        </w:rPr>
        <w:t>within</w:t>
      </w:r>
      <w:r w:rsidR="00BD4149">
        <w:rPr>
          <w:noProof/>
          <w:lang w:val="en-US"/>
        </w:rPr>
        <w:t xml:space="preserve"> the shortest possible </w:t>
      </w:r>
      <w:r w:rsidR="005347BF">
        <w:rPr>
          <w:noProof/>
          <w:lang w:val="en-US"/>
        </w:rPr>
        <w:t>time</w:t>
      </w:r>
      <w:r w:rsidR="00BD4149">
        <w:rPr>
          <w:noProof/>
          <w:lang w:val="en-US"/>
        </w:rPr>
        <w:t xml:space="preserve">, and in any case </w:t>
      </w:r>
      <w:r w:rsidR="00BD4149" w:rsidRPr="00B25A84">
        <w:rPr>
          <w:noProof/>
          <w:lang w:val="en-US"/>
        </w:rPr>
        <w:t>no later than 15 days after it</w:t>
      </w:r>
      <w:r w:rsidR="00BD4149">
        <w:rPr>
          <w:noProof/>
          <w:lang w:val="en-US"/>
        </w:rPr>
        <w:t xml:space="preserve"> has</w:t>
      </w:r>
      <w:r w:rsidR="00BD4149" w:rsidRPr="00B25A84">
        <w:rPr>
          <w:noProof/>
          <w:lang w:val="en-US"/>
        </w:rPr>
        <w:t xml:space="preserve"> been notified</w:t>
      </w:r>
      <w:r w:rsidR="00BD4149">
        <w:rPr>
          <w:noProof/>
          <w:lang w:val="en-US"/>
        </w:rPr>
        <w:t xml:space="preserve"> of the disqualification</w:t>
      </w:r>
      <w:r w:rsidR="005347BF">
        <w:rPr>
          <w:noProof/>
          <w:lang w:val="en-US"/>
        </w:rPr>
        <w:t xml:space="preserve">. </w:t>
      </w:r>
      <w:r w:rsidR="005347BF">
        <w:rPr>
          <w:noProof/>
        </w:rPr>
        <w:t>This should be without prejudice to situations</w:t>
      </w:r>
      <w:r w:rsidR="00BD4149" w:rsidRPr="00B6488C">
        <w:rPr>
          <w:noProof/>
          <w:lang w:val="en-US"/>
        </w:rPr>
        <w:t xml:space="preserve"> where exceptional circumstances prevent compliance with that time limit. Even in such exceptional cases, however, the </w:t>
      </w:r>
      <w:r w:rsidR="00BD4149">
        <w:rPr>
          <w:noProof/>
          <w:lang w:val="en-US"/>
        </w:rPr>
        <w:t>Member State of issuance</w:t>
      </w:r>
      <w:r w:rsidR="00BD4149" w:rsidRPr="00B6488C">
        <w:rPr>
          <w:noProof/>
          <w:lang w:val="en-US"/>
        </w:rPr>
        <w:t xml:space="preserve"> should act without undue delay, and inform the </w:t>
      </w:r>
      <w:r w:rsidR="00BD4149">
        <w:rPr>
          <w:noProof/>
          <w:lang w:val="en-US"/>
        </w:rPr>
        <w:t>Member State of offence</w:t>
      </w:r>
      <w:r w:rsidR="00BD4149" w:rsidRPr="00B6488C">
        <w:rPr>
          <w:noProof/>
          <w:lang w:val="en-US"/>
        </w:rPr>
        <w:t xml:space="preserve"> about the period and reason for delay.</w:t>
      </w:r>
    </w:p>
    <w:p w:rsidR="00BD4149" w:rsidRPr="00B25A84" w:rsidRDefault="00E1781F" w:rsidP="00E1781F">
      <w:pPr>
        <w:pStyle w:val="ManualConsidrant"/>
        <w:rPr>
          <w:noProof/>
          <w:lang w:val="en-US"/>
        </w:rPr>
      </w:pPr>
      <w:r w:rsidRPr="00E1781F">
        <w:t>(20)</w:t>
      </w:r>
      <w:r w:rsidRPr="00E1781F">
        <w:tab/>
      </w:r>
      <w:r w:rsidR="00BD4149">
        <w:rPr>
          <w:noProof/>
          <w:lang w:val="en-US"/>
        </w:rPr>
        <w:t xml:space="preserve">The </w:t>
      </w:r>
      <w:r w:rsidR="00BD4149" w:rsidRPr="00662EF0">
        <w:rPr>
          <w:noProof/>
          <w:lang w:val="en-US"/>
        </w:rPr>
        <w:t xml:space="preserve">proper </w:t>
      </w:r>
      <w:r w:rsidR="00BD4149">
        <w:rPr>
          <w:noProof/>
          <w:lang w:val="en-US"/>
        </w:rPr>
        <w:t>implementation</w:t>
      </w:r>
      <w:r w:rsidR="00BD4149" w:rsidRPr="00662EF0">
        <w:rPr>
          <w:noProof/>
          <w:lang w:val="en-US"/>
        </w:rPr>
        <w:t xml:space="preserve"> of this Directive presupposes close</w:t>
      </w:r>
      <w:r w:rsidR="00BD4149">
        <w:rPr>
          <w:noProof/>
          <w:lang w:val="en-US"/>
        </w:rPr>
        <w:t>, swift and effective</w:t>
      </w:r>
      <w:r w:rsidR="00BD4149" w:rsidRPr="00662EF0">
        <w:rPr>
          <w:noProof/>
          <w:lang w:val="en-US"/>
        </w:rPr>
        <w:t xml:space="preserve"> communication between the competent national authorities involved.</w:t>
      </w:r>
      <w:r w:rsidR="00BD4149">
        <w:rPr>
          <w:noProof/>
          <w:lang w:val="en-US"/>
        </w:rPr>
        <w:t xml:space="preserve"> </w:t>
      </w:r>
      <w:r w:rsidR="00BD4149" w:rsidRPr="00662EF0">
        <w:rPr>
          <w:noProof/>
          <w:lang w:val="en-US"/>
        </w:rPr>
        <w:t xml:space="preserve">The competent national authorities </w:t>
      </w:r>
      <w:r w:rsidR="00BD4149">
        <w:rPr>
          <w:noProof/>
          <w:lang w:val="en-US"/>
        </w:rPr>
        <w:t xml:space="preserve">of the Member States </w:t>
      </w:r>
      <w:r w:rsidR="00BD4149" w:rsidRPr="00662EF0">
        <w:rPr>
          <w:noProof/>
          <w:lang w:val="en-US"/>
        </w:rPr>
        <w:t>should therefore consult each other</w:t>
      </w:r>
      <w:r w:rsidR="00BD4149">
        <w:rPr>
          <w:noProof/>
          <w:lang w:val="en-US"/>
        </w:rPr>
        <w:t xml:space="preserve"> </w:t>
      </w:r>
      <w:r w:rsidR="00BD4149" w:rsidRPr="00662EF0">
        <w:rPr>
          <w:noProof/>
          <w:lang w:val="en-US"/>
        </w:rPr>
        <w:t>whenever necessary</w:t>
      </w:r>
      <w:r w:rsidR="00BD4149">
        <w:rPr>
          <w:noProof/>
          <w:lang w:val="en-US"/>
        </w:rPr>
        <w:t xml:space="preserve">, via appropriate means. Moreover, in specific well-defined cases, both the Member State of issuance and Member State of offence </w:t>
      </w:r>
      <w:r w:rsidR="00F71E5E">
        <w:rPr>
          <w:noProof/>
          <w:lang w:val="en-US"/>
        </w:rPr>
        <w:t>should</w:t>
      </w:r>
      <w:r w:rsidR="00BD4149">
        <w:rPr>
          <w:noProof/>
          <w:lang w:val="en-US"/>
        </w:rPr>
        <w:t xml:space="preserve"> provide each other </w:t>
      </w:r>
      <w:r w:rsidR="00F71E5E">
        <w:rPr>
          <w:noProof/>
          <w:lang w:val="en-US"/>
        </w:rPr>
        <w:t xml:space="preserve">with </w:t>
      </w:r>
      <w:r w:rsidR="00BD4149">
        <w:rPr>
          <w:noProof/>
          <w:lang w:val="en-US"/>
        </w:rPr>
        <w:t xml:space="preserve">important information in relation to the application of this Directive without delay. This should </w:t>
      </w:r>
      <w:r w:rsidR="00F71E5E">
        <w:rPr>
          <w:noProof/>
        </w:rPr>
        <w:t>be the case for</w:t>
      </w:r>
      <w:r w:rsidR="00F71E5E" w:rsidRPr="004D4FAD">
        <w:rPr>
          <w:noProof/>
        </w:rPr>
        <w:t xml:space="preserve"> </w:t>
      </w:r>
      <w:r w:rsidR="00BD4149">
        <w:rPr>
          <w:noProof/>
          <w:lang w:val="en-US"/>
        </w:rPr>
        <w:t>the adoption of measures granting a Union-wide effect to driving disqualifications, decisions taken on grounds of exemption,</w:t>
      </w:r>
      <w:r w:rsidR="00F71E5E">
        <w:rPr>
          <w:noProof/>
          <w:lang w:val="en-US"/>
        </w:rPr>
        <w:t xml:space="preserve"> the</w:t>
      </w:r>
      <w:r w:rsidR="00BD4149">
        <w:rPr>
          <w:noProof/>
          <w:lang w:val="en-US"/>
        </w:rPr>
        <w:t xml:space="preserve"> completion of the </w:t>
      </w:r>
      <w:r w:rsidR="00BD4149" w:rsidRPr="00662EF0">
        <w:rPr>
          <w:noProof/>
          <w:lang w:val="en-US"/>
        </w:rPr>
        <w:t>driving disqualification</w:t>
      </w:r>
      <w:r w:rsidR="00BD4149">
        <w:rPr>
          <w:noProof/>
          <w:lang w:val="en-US"/>
        </w:rPr>
        <w:t xml:space="preserve">s and </w:t>
      </w:r>
      <w:r w:rsidR="00F71E5E">
        <w:rPr>
          <w:noProof/>
          <w:lang w:val="en-US"/>
        </w:rPr>
        <w:t>for</w:t>
      </w:r>
      <w:r w:rsidR="00BD4149">
        <w:rPr>
          <w:noProof/>
          <w:lang w:val="en-US"/>
        </w:rPr>
        <w:t xml:space="preserve"> any circumstances affecting </w:t>
      </w:r>
      <w:r w:rsidR="00BD4149" w:rsidRPr="00662EF0">
        <w:rPr>
          <w:noProof/>
          <w:lang w:val="en-US"/>
        </w:rPr>
        <w:t>the original</w:t>
      </w:r>
      <w:r w:rsidR="00BD4149">
        <w:rPr>
          <w:noProof/>
          <w:lang w:val="en-US"/>
        </w:rPr>
        <w:t>ly</w:t>
      </w:r>
      <w:r w:rsidR="00BD4149" w:rsidRPr="00662EF0">
        <w:rPr>
          <w:noProof/>
          <w:lang w:val="en-US"/>
        </w:rPr>
        <w:t xml:space="preserve"> imposed driving disqualification</w:t>
      </w:r>
      <w:r w:rsidR="00BD4149">
        <w:rPr>
          <w:noProof/>
          <w:lang w:val="en-US"/>
        </w:rPr>
        <w:t>s.</w:t>
      </w:r>
    </w:p>
    <w:p w:rsidR="00BD4149" w:rsidRDefault="00E1781F" w:rsidP="00E1781F">
      <w:pPr>
        <w:pStyle w:val="ManualConsidrant"/>
        <w:rPr>
          <w:noProof/>
          <w:lang w:val="en-US"/>
        </w:rPr>
      </w:pPr>
      <w:r w:rsidRPr="00E1781F">
        <w:t>(21)</w:t>
      </w:r>
      <w:r w:rsidRPr="00E1781F">
        <w:tab/>
      </w:r>
      <w:r w:rsidR="00BD4149">
        <w:rPr>
          <w:noProof/>
          <w:lang w:val="en-US"/>
        </w:rPr>
        <w:t>After being notified of a driving disqualification and granting it Union-wide effects</w:t>
      </w:r>
      <w:r w:rsidR="00BD4149" w:rsidRPr="0D141AB3">
        <w:rPr>
          <w:noProof/>
          <w:lang w:val="en-US"/>
        </w:rPr>
        <w:t xml:space="preserve">, the </w:t>
      </w:r>
      <w:r w:rsidR="00BD4149">
        <w:rPr>
          <w:noProof/>
          <w:lang w:val="en-US"/>
        </w:rPr>
        <w:t>Member State of issuance</w:t>
      </w:r>
      <w:r w:rsidR="00BD4149" w:rsidRPr="0D141AB3">
        <w:rPr>
          <w:noProof/>
          <w:lang w:val="en-US"/>
        </w:rPr>
        <w:t xml:space="preserve"> should inform </w:t>
      </w:r>
      <w:r w:rsidR="00BD4149">
        <w:rPr>
          <w:noProof/>
          <w:lang w:val="en-US"/>
        </w:rPr>
        <w:t>the person concerned without delay, in order to allow the exercise of fundamental rights such as the right to be heard and to challenge the decisions before the competent national courts and tribunals</w:t>
      </w:r>
      <w:r w:rsidR="00BD4149" w:rsidRPr="0D141AB3">
        <w:rPr>
          <w:noProof/>
          <w:lang w:val="en-US"/>
        </w:rPr>
        <w:t>.</w:t>
      </w:r>
    </w:p>
    <w:p w:rsidR="00BD4149" w:rsidRPr="00902ED8" w:rsidRDefault="00E1781F" w:rsidP="00E1781F">
      <w:pPr>
        <w:pStyle w:val="ManualConsidrant"/>
        <w:rPr>
          <w:noProof/>
          <w:lang w:val="en-US"/>
        </w:rPr>
      </w:pPr>
      <w:r w:rsidRPr="00E1781F">
        <w:t>(22)</w:t>
      </w:r>
      <w:r w:rsidRPr="00E1781F">
        <w:tab/>
      </w:r>
      <w:r w:rsidR="00BD4149" w:rsidRPr="002A2493">
        <w:rPr>
          <w:noProof/>
          <w:lang w:val="en-US"/>
        </w:rPr>
        <w:t xml:space="preserve">Member States should ensure that adequate legal remedies against </w:t>
      </w:r>
      <w:r w:rsidR="00F71E5E">
        <w:rPr>
          <w:noProof/>
          <w:lang w:val="en-US"/>
        </w:rPr>
        <w:t>measures</w:t>
      </w:r>
      <w:r w:rsidR="00BD4149" w:rsidRPr="002A2493">
        <w:rPr>
          <w:noProof/>
          <w:lang w:val="en-US"/>
        </w:rPr>
        <w:t xml:space="preserve"> taken pursuant to this Directive are in place, equivalent to those available in similar domestic cases, and that information about such remedies is provided when those</w:t>
      </w:r>
      <w:r w:rsidR="00F71E5E">
        <w:rPr>
          <w:noProof/>
          <w:lang w:val="en-US"/>
        </w:rPr>
        <w:t xml:space="preserve"> remedies</w:t>
      </w:r>
      <w:r w:rsidR="00BD4149" w:rsidRPr="002A2493">
        <w:rPr>
          <w:noProof/>
          <w:lang w:val="en-US"/>
        </w:rPr>
        <w:t xml:space="preserve"> become applicable, and in due time to ensure that they can be exercised effectively.</w:t>
      </w:r>
      <w:r w:rsidR="00BD4149">
        <w:rPr>
          <w:noProof/>
          <w:lang w:val="en-US"/>
        </w:rPr>
        <w:t xml:space="preserve"> However, it should be clarified that </w:t>
      </w:r>
      <w:r w:rsidR="00BD4149" w:rsidRPr="002A2493">
        <w:rPr>
          <w:noProof/>
          <w:lang w:val="en-US"/>
        </w:rPr>
        <w:t>the driv</w:t>
      </w:r>
      <w:r w:rsidR="00F71E5E">
        <w:rPr>
          <w:noProof/>
          <w:lang w:val="en-US"/>
        </w:rPr>
        <w:t>ing</w:t>
      </w:r>
      <w:r w:rsidR="00BD4149" w:rsidRPr="002A2493">
        <w:rPr>
          <w:noProof/>
          <w:lang w:val="en-US"/>
        </w:rPr>
        <w:t xml:space="preserve"> disqualification </w:t>
      </w:r>
      <w:r w:rsidR="00F71E5E">
        <w:rPr>
          <w:noProof/>
        </w:rPr>
        <w:t>notified in accordance with Article 4(1)</w:t>
      </w:r>
      <w:r w:rsidR="00F71E5E" w:rsidRPr="00673A4E">
        <w:rPr>
          <w:noProof/>
        </w:rPr>
        <w:t xml:space="preserve"> </w:t>
      </w:r>
      <w:r w:rsidR="00F71E5E">
        <w:rPr>
          <w:noProof/>
        </w:rPr>
        <w:t>can</w:t>
      </w:r>
      <w:r w:rsidR="00F71E5E">
        <w:rPr>
          <w:noProof/>
          <w:lang w:val="en-US"/>
        </w:rPr>
        <w:t xml:space="preserve"> </w:t>
      </w:r>
      <w:r w:rsidR="00BD4149" w:rsidRPr="002A2493">
        <w:rPr>
          <w:noProof/>
          <w:lang w:val="en-US"/>
        </w:rPr>
        <w:t>only be challenged in an action brought in the Member State of the offence.</w:t>
      </w:r>
    </w:p>
    <w:p w:rsidR="00BD4149" w:rsidRDefault="00E1781F" w:rsidP="00E1781F">
      <w:pPr>
        <w:pStyle w:val="ManualConsidrant"/>
        <w:rPr>
          <w:noProof/>
          <w:lang w:val="en-US"/>
        </w:rPr>
      </w:pPr>
      <w:r w:rsidRPr="00E1781F">
        <w:t>(23)</w:t>
      </w:r>
      <w:r w:rsidRPr="00E1781F">
        <w:tab/>
      </w:r>
      <w:r w:rsidR="00BD4149" w:rsidRPr="0D141AB3">
        <w:rPr>
          <w:noProof/>
          <w:lang w:val="en-US"/>
        </w:rPr>
        <w:t xml:space="preserve">The protection of natural persons in relation to the processing of </w:t>
      </w:r>
      <w:r w:rsidR="00BD4149">
        <w:rPr>
          <w:noProof/>
          <w:lang w:val="en-US"/>
        </w:rPr>
        <w:t xml:space="preserve">their </w:t>
      </w:r>
      <w:r w:rsidR="00BD4149" w:rsidRPr="0D141AB3">
        <w:rPr>
          <w:noProof/>
          <w:lang w:val="en-US"/>
        </w:rPr>
        <w:t>personal data is a fundamental right. In accordance with Article 8(1) of the Charter</w:t>
      </w:r>
      <w:r w:rsidR="00BD4149">
        <w:rPr>
          <w:noProof/>
          <w:lang w:val="en-US"/>
        </w:rPr>
        <w:t xml:space="preserve"> of Fundamental Rights of the European Union</w:t>
      </w:r>
      <w:r w:rsidR="00BD4149">
        <w:rPr>
          <w:rStyle w:val="FootnoteReference"/>
          <w:noProof/>
          <w:lang w:val="en-US"/>
        </w:rPr>
        <w:footnoteReference w:id="60"/>
      </w:r>
      <w:r w:rsidR="00BD4149" w:rsidRPr="0D141AB3">
        <w:rPr>
          <w:noProof/>
          <w:lang w:val="en-US"/>
        </w:rPr>
        <w:t xml:space="preserve"> and Article 16(1) of the T</w:t>
      </w:r>
      <w:r w:rsidR="00F71E5E">
        <w:rPr>
          <w:noProof/>
          <w:lang w:val="en-US"/>
        </w:rPr>
        <w:t>reaty</w:t>
      </w:r>
      <w:r w:rsidR="00BD4149" w:rsidRPr="0D141AB3">
        <w:rPr>
          <w:noProof/>
          <w:lang w:val="en-US"/>
        </w:rPr>
        <w:t>, everyone has the right to the protection of personal data concerning them.</w:t>
      </w:r>
      <w:r w:rsidR="00BD4149">
        <w:rPr>
          <w:noProof/>
          <w:lang w:val="en-US"/>
        </w:rPr>
        <w:t xml:space="preserve"> The relevant Union legislation, namely </w:t>
      </w:r>
      <w:r w:rsidR="00BD4149" w:rsidRPr="00B6488C">
        <w:rPr>
          <w:noProof/>
          <w:lang w:val="en-US"/>
        </w:rPr>
        <w:t>Regulation (EU) 2016/679 of the European Parliament and of the Council</w:t>
      </w:r>
      <w:r w:rsidR="00BD4149">
        <w:rPr>
          <w:rStyle w:val="FootnoteReference"/>
          <w:noProof/>
          <w:lang w:val="en-US"/>
        </w:rPr>
        <w:footnoteReference w:id="61"/>
      </w:r>
      <w:r w:rsidR="00BD4149">
        <w:rPr>
          <w:noProof/>
          <w:lang w:val="en-US"/>
        </w:rPr>
        <w:t xml:space="preserve"> and </w:t>
      </w:r>
      <w:r w:rsidR="00BD4149" w:rsidRPr="00B6488C">
        <w:rPr>
          <w:noProof/>
          <w:lang w:val="en-US"/>
        </w:rPr>
        <w:t>Directive (EU) 2016/680 of the European Parliament and of the Council</w:t>
      </w:r>
      <w:r w:rsidR="00BD4149">
        <w:rPr>
          <w:rStyle w:val="FootnoteReference"/>
          <w:noProof/>
          <w:lang w:val="en-US"/>
        </w:rPr>
        <w:footnoteReference w:id="62"/>
      </w:r>
      <w:r w:rsidR="00BD4149">
        <w:rPr>
          <w:noProof/>
          <w:lang w:val="en-US"/>
        </w:rPr>
        <w:t>, should apply to the processing of personal data in the context of this Directive in accordance with their respective scope of application.</w:t>
      </w:r>
    </w:p>
    <w:p w:rsidR="00F71E5E" w:rsidRPr="00F71E5E" w:rsidRDefault="00E1781F" w:rsidP="00E1781F">
      <w:pPr>
        <w:pStyle w:val="ManualConsidrant"/>
        <w:rPr>
          <w:noProof/>
        </w:rPr>
      </w:pPr>
      <w:bookmarkStart w:id="16" w:name="_Hlk128146570"/>
      <w:r w:rsidRPr="00E1781F">
        <w:t>(24)</w:t>
      </w:r>
      <w:r w:rsidRPr="00E1781F">
        <w:tab/>
      </w:r>
      <w:r w:rsidR="00F71E5E" w:rsidRPr="00720496">
        <w:rPr>
          <w:noProof/>
        </w:rPr>
        <w:t>This Directive establishes the legal basis for the exchange of personal data for the purpose of giving effect to driving disqualifications imposed by a Member State, other than the Member State of issuance. This legal basis is in line with Article 6(1)(c) and, where applicable, Article 10 of Regulation 2016/679, and Article 8 of Directive 2016/680. The personal data to be exchanged with the Member State of issuance should be limited to what is necessary to comply with the obligations laid down in this Directive</w:t>
      </w:r>
      <w:bookmarkEnd w:id="16"/>
      <w:r w:rsidR="00F71E5E" w:rsidRPr="00720496">
        <w:rPr>
          <w:noProof/>
        </w:rPr>
        <w:t>.</w:t>
      </w:r>
    </w:p>
    <w:p w:rsidR="00BD4149" w:rsidRPr="00B6488C" w:rsidRDefault="00E1781F" w:rsidP="00E1781F">
      <w:pPr>
        <w:pStyle w:val="ManualConsidrant"/>
        <w:rPr>
          <w:noProof/>
          <w:lang w:val="en-US"/>
        </w:rPr>
      </w:pPr>
      <w:r w:rsidRPr="00E1781F">
        <w:t>(25)</w:t>
      </w:r>
      <w:r w:rsidRPr="00E1781F">
        <w:tab/>
      </w:r>
      <w:r w:rsidR="00BD4149">
        <w:rPr>
          <w:noProof/>
          <w:lang w:val="en-US"/>
        </w:rPr>
        <w:t xml:space="preserve">In order to ensure the seamless, reliable and effective exchange of information, </w:t>
      </w:r>
      <w:r w:rsidR="00BD4149" w:rsidRPr="00B6488C">
        <w:rPr>
          <w:noProof/>
          <w:lang w:val="en-US"/>
        </w:rPr>
        <w:t>each Member State sh</w:t>
      </w:r>
      <w:r w:rsidR="00BD4149">
        <w:rPr>
          <w:noProof/>
          <w:lang w:val="en-US"/>
        </w:rPr>
        <w:t>ould</w:t>
      </w:r>
      <w:r w:rsidR="00BD4149" w:rsidRPr="00B6488C">
        <w:rPr>
          <w:noProof/>
          <w:lang w:val="en-US"/>
        </w:rPr>
        <w:t xml:space="preserve"> designate a national contact point for the purposes of this Directive. </w:t>
      </w:r>
      <w:r w:rsidR="00BD4149">
        <w:rPr>
          <w:noProof/>
          <w:lang w:val="en-US"/>
        </w:rPr>
        <w:t xml:space="preserve">They should further ensure that </w:t>
      </w:r>
      <w:r w:rsidR="00BD4149" w:rsidRPr="00FC6802">
        <w:rPr>
          <w:noProof/>
          <w:lang w:val="en-US"/>
        </w:rPr>
        <w:t xml:space="preserve">their respective national contact points cooperate with the </w:t>
      </w:r>
      <w:r w:rsidR="00BD4149">
        <w:rPr>
          <w:noProof/>
          <w:lang w:val="en-US"/>
        </w:rPr>
        <w:t xml:space="preserve">relevant </w:t>
      </w:r>
      <w:r w:rsidR="00BD4149" w:rsidRPr="00FC6802">
        <w:rPr>
          <w:noProof/>
          <w:lang w:val="en-US"/>
        </w:rPr>
        <w:t xml:space="preserve">authorities involved in the enforcement of the driving disqualifications </w:t>
      </w:r>
      <w:r w:rsidR="00BD4149">
        <w:rPr>
          <w:noProof/>
          <w:lang w:val="en-US"/>
        </w:rPr>
        <w:t>covered by this Directive</w:t>
      </w:r>
      <w:r w:rsidR="00BD4149" w:rsidRPr="00FC6802">
        <w:rPr>
          <w:noProof/>
          <w:lang w:val="en-US"/>
        </w:rPr>
        <w:t>, in particular to ensure that all necessary information is shared in due time.</w:t>
      </w:r>
    </w:p>
    <w:p w:rsidR="00BD4149" w:rsidRPr="00FC6802" w:rsidRDefault="00E1781F" w:rsidP="00E1781F">
      <w:pPr>
        <w:pStyle w:val="ManualConsidrant"/>
        <w:rPr>
          <w:noProof/>
          <w:lang w:val="en-US"/>
        </w:rPr>
      </w:pPr>
      <w:r w:rsidRPr="00E1781F">
        <w:t>(26)</w:t>
      </w:r>
      <w:r w:rsidRPr="00E1781F">
        <w:tab/>
      </w:r>
      <w:r w:rsidR="00BD4149" w:rsidRPr="00FC6802">
        <w:rPr>
          <w:noProof/>
          <w:lang w:val="en-IE"/>
        </w:rPr>
        <w:t xml:space="preserve">Member States </w:t>
      </w:r>
      <w:r w:rsidR="00BD4149">
        <w:rPr>
          <w:noProof/>
          <w:lang w:val="en-IE"/>
        </w:rPr>
        <w:t xml:space="preserve">should </w:t>
      </w:r>
      <w:r w:rsidR="00BD4149" w:rsidRPr="00FC6802">
        <w:rPr>
          <w:noProof/>
          <w:lang w:val="en-IE"/>
        </w:rPr>
        <w:t>regularly collect comprehensive statistics on the application of this Directive</w:t>
      </w:r>
      <w:r w:rsidR="00BD4149">
        <w:rPr>
          <w:noProof/>
          <w:lang w:val="en-IE"/>
        </w:rPr>
        <w:t xml:space="preserve">, and </w:t>
      </w:r>
      <w:r w:rsidR="00BD4149" w:rsidRPr="00FC6802">
        <w:rPr>
          <w:noProof/>
          <w:lang w:val="en-IE"/>
        </w:rPr>
        <w:t>send them to the Commission each year</w:t>
      </w:r>
      <w:r w:rsidR="00BD4149">
        <w:rPr>
          <w:noProof/>
          <w:lang w:val="en-IE"/>
        </w:rPr>
        <w:t xml:space="preserve">. On the basis of this and other information, </w:t>
      </w:r>
      <w:r w:rsidR="00BD4149">
        <w:rPr>
          <w:noProof/>
        </w:rPr>
        <w:t>t</w:t>
      </w:r>
      <w:r w:rsidR="00BD4149" w:rsidRPr="00FC6802">
        <w:rPr>
          <w:noProof/>
        </w:rPr>
        <w:t xml:space="preserve">he Commission should evaluate the impact of the </w:t>
      </w:r>
      <w:r w:rsidR="00BD4149">
        <w:rPr>
          <w:noProof/>
        </w:rPr>
        <w:t xml:space="preserve">implementation of this Directive on road safety </w:t>
      </w:r>
      <w:r w:rsidR="00BD4149" w:rsidRPr="00FC6802">
        <w:rPr>
          <w:noProof/>
        </w:rPr>
        <w:t>and submit a report on the results of that evaluation to the European Parliament and to the Council</w:t>
      </w:r>
      <w:r w:rsidR="00BD4149">
        <w:rPr>
          <w:noProof/>
        </w:rPr>
        <w:t xml:space="preserve"> every five years</w:t>
      </w:r>
      <w:r w:rsidR="00BD4149" w:rsidRPr="00FC6802">
        <w:rPr>
          <w:noProof/>
        </w:rPr>
        <w:t>, together, where appropriate, with legislative proposal</w:t>
      </w:r>
      <w:r w:rsidR="00BD4149">
        <w:rPr>
          <w:noProof/>
        </w:rPr>
        <w:t>s for its amendment</w:t>
      </w:r>
      <w:r w:rsidR="00BD4149" w:rsidRPr="00FC6802">
        <w:rPr>
          <w:noProof/>
        </w:rPr>
        <w:t>.</w:t>
      </w:r>
    </w:p>
    <w:p w:rsidR="00BD4149" w:rsidRPr="00FC6802" w:rsidRDefault="00E1781F" w:rsidP="00E1781F">
      <w:pPr>
        <w:pStyle w:val="ManualConsidrant"/>
        <w:rPr>
          <w:noProof/>
          <w:lang w:val="en-US"/>
        </w:rPr>
      </w:pPr>
      <w:r w:rsidRPr="00E1781F">
        <w:t>(27)</w:t>
      </w:r>
      <w:r w:rsidRPr="00E1781F">
        <w:tab/>
      </w:r>
      <w:r w:rsidR="00BD4149" w:rsidRPr="00FC6802">
        <w:rPr>
          <w:noProof/>
          <w:sz w:val="22"/>
          <w:lang w:val="en-US"/>
        </w:rPr>
        <w:t>T</w:t>
      </w:r>
      <w:r w:rsidR="00BD4149" w:rsidRPr="00FC6802">
        <w:rPr>
          <w:noProof/>
          <w:lang w:val="en-US"/>
        </w:rPr>
        <w:t>his Directive should not affect the rights and obligations stemming from other applicable Union legislation, in particular Council Framework Decision 2008/947/JHA</w:t>
      </w:r>
      <w:r w:rsidR="00BD4149">
        <w:rPr>
          <w:rStyle w:val="FootnoteReference"/>
          <w:noProof/>
          <w:lang w:val="en-US"/>
        </w:rPr>
        <w:footnoteReference w:id="63"/>
      </w:r>
      <w:r w:rsidR="00BD4149" w:rsidRPr="00FC6802">
        <w:rPr>
          <w:noProof/>
          <w:lang w:val="en-US"/>
        </w:rPr>
        <w:t xml:space="preserve"> and Council Framework Decision 2005/214/JHA</w:t>
      </w:r>
      <w:r w:rsidR="00BD4149">
        <w:rPr>
          <w:rStyle w:val="FootnoteReference"/>
          <w:noProof/>
          <w:lang w:val="en-US"/>
        </w:rPr>
        <w:footnoteReference w:id="64"/>
      </w:r>
      <w:r w:rsidR="00BD4149" w:rsidRPr="00FC6802">
        <w:rPr>
          <w:noProof/>
          <w:lang w:val="en-US"/>
        </w:rPr>
        <w:t>, or</w:t>
      </w:r>
      <w:r w:rsidR="00BD4149">
        <w:rPr>
          <w:noProof/>
          <w:lang w:val="en-US"/>
        </w:rPr>
        <w:t xml:space="preserve"> </w:t>
      </w:r>
      <w:r w:rsidR="00BD4149" w:rsidRPr="00FC6802">
        <w:rPr>
          <w:noProof/>
          <w:lang w:val="en-US"/>
        </w:rPr>
        <w:t>the rights of suspects and accused persons as provided for in Directive 2010/64/EU</w:t>
      </w:r>
      <w:r w:rsidR="00BD4149">
        <w:rPr>
          <w:rStyle w:val="FootnoteReference"/>
          <w:noProof/>
          <w:lang w:val="en-US"/>
        </w:rPr>
        <w:footnoteReference w:id="65"/>
      </w:r>
      <w:r w:rsidR="00BD4149" w:rsidRPr="00FC6802">
        <w:rPr>
          <w:noProof/>
          <w:lang w:val="en-US"/>
        </w:rPr>
        <w:t>, Directive 2012/13/EU</w:t>
      </w:r>
      <w:r w:rsidR="00BD4149">
        <w:rPr>
          <w:rStyle w:val="FootnoteReference"/>
          <w:noProof/>
          <w:lang w:val="en-US"/>
        </w:rPr>
        <w:footnoteReference w:id="66"/>
      </w:r>
      <w:r w:rsidR="00BD4149" w:rsidRPr="00FC6802">
        <w:rPr>
          <w:noProof/>
          <w:lang w:val="en-US"/>
        </w:rPr>
        <w:t>, Directive 2013/48/EU</w:t>
      </w:r>
      <w:r w:rsidR="00BD4149">
        <w:rPr>
          <w:rStyle w:val="FootnoteReference"/>
          <w:noProof/>
          <w:lang w:val="en-US"/>
        </w:rPr>
        <w:footnoteReference w:id="67"/>
      </w:r>
      <w:r w:rsidR="00BD4149" w:rsidRPr="00FC6802">
        <w:rPr>
          <w:noProof/>
          <w:lang w:val="en-US"/>
        </w:rPr>
        <w:t>, Directive (EU) 2016/343</w:t>
      </w:r>
      <w:r w:rsidR="00BD4149">
        <w:rPr>
          <w:rStyle w:val="FootnoteReference"/>
          <w:noProof/>
          <w:lang w:val="en-US"/>
        </w:rPr>
        <w:footnoteReference w:id="68"/>
      </w:r>
      <w:r w:rsidR="00BD4149" w:rsidRPr="00FC6802">
        <w:rPr>
          <w:noProof/>
          <w:lang w:val="en-US"/>
        </w:rPr>
        <w:t>, Directive</w:t>
      </w:r>
      <w:r w:rsidR="00D855FA">
        <w:rPr>
          <w:noProof/>
          <w:lang w:val="en-US"/>
        </w:rPr>
        <w:t xml:space="preserve"> (EU)</w:t>
      </w:r>
      <w:r w:rsidR="00BD4149" w:rsidRPr="00FC6802">
        <w:rPr>
          <w:noProof/>
          <w:lang w:val="en-US"/>
        </w:rPr>
        <w:t xml:space="preserve"> 2016/800</w:t>
      </w:r>
      <w:r w:rsidR="00BD4149">
        <w:rPr>
          <w:rStyle w:val="FootnoteReference"/>
          <w:noProof/>
          <w:lang w:val="en-US"/>
        </w:rPr>
        <w:footnoteReference w:id="69"/>
      </w:r>
      <w:r w:rsidR="00BD4149" w:rsidRPr="00FC6802">
        <w:rPr>
          <w:noProof/>
          <w:lang w:val="en-US"/>
        </w:rPr>
        <w:t xml:space="preserve"> and Directive (EU) 2016/1919 of the European Parliament and of the Council</w:t>
      </w:r>
      <w:r w:rsidR="00BD4149" w:rsidRPr="00DD7480">
        <w:rPr>
          <w:rStyle w:val="FootnoteReference"/>
          <w:noProof/>
        </w:rPr>
        <w:footnoteReference w:id="70"/>
      </w:r>
      <w:r w:rsidR="00BD4149">
        <w:rPr>
          <w:noProof/>
          <w:lang w:val="en-US"/>
        </w:rPr>
        <w:t>.</w:t>
      </w:r>
      <w:r w:rsidR="00BD4149" w:rsidRPr="00FC6802">
        <w:rPr>
          <w:noProof/>
          <w:lang w:val="en-US"/>
        </w:rPr>
        <w:t xml:space="preserve"> </w:t>
      </w:r>
    </w:p>
    <w:p w:rsidR="00BD4149" w:rsidRPr="00BD162D" w:rsidRDefault="00E1781F" w:rsidP="00E1781F">
      <w:pPr>
        <w:pStyle w:val="ManualConsidrant"/>
        <w:rPr>
          <w:noProof/>
          <w:lang w:eastAsia="en-GB"/>
        </w:rPr>
      </w:pPr>
      <w:r w:rsidRPr="00E1781F">
        <w:t>(28)</w:t>
      </w:r>
      <w:r w:rsidRPr="00E1781F">
        <w:tab/>
      </w:r>
      <w:r w:rsidR="00BD4149" w:rsidRPr="00C6655C">
        <w:rPr>
          <w:noProof/>
          <w:lang w:eastAsia="en-GB"/>
        </w:rPr>
        <w:t xml:space="preserve">Member States </w:t>
      </w:r>
      <w:r w:rsidR="00BD4149">
        <w:rPr>
          <w:noProof/>
          <w:lang w:eastAsia="en-GB"/>
        </w:rPr>
        <w:t>should be able to</w:t>
      </w:r>
      <w:r w:rsidR="00BD4149" w:rsidRPr="00C6655C">
        <w:rPr>
          <w:noProof/>
          <w:lang w:eastAsia="en-GB"/>
        </w:rPr>
        <w:t xml:space="preserve"> conclude bilateral or multilateral agreements o</w:t>
      </w:r>
      <w:r w:rsidR="00BD4149">
        <w:rPr>
          <w:noProof/>
          <w:lang w:eastAsia="en-GB"/>
        </w:rPr>
        <w:t>r arrangements</w:t>
      </w:r>
      <w:r w:rsidR="00BD4149" w:rsidRPr="00C6655C">
        <w:rPr>
          <w:noProof/>
          <w:lang w:eastAsia="en-GB"/>
        </w:rPr>
        <w:t xml:space="preserve"> </w:t>
      </w:r>
      <w:r w:rsidR="00BD4149">
        <w:rPr>
          <w:noProof/>
          <w:lang w:eastAsia="en-GB"/>
        </w:rPr>
        <w:t>with other Member States</w:t>
      </w:r>
      <w:r w:rsidR="00D855FA">
        <w:rPr>
          <w:noProof/>
          <w:lang w:eastAsia="en-GB"/>
        </w:rPr>
        <w:t>, in order to supplement and facilitate the system established by this Directive. They should only do so, however,</w:t>
      </w:r>
      <w:r w:rsidR="00BD4149">
        <w:rPr>
          <w:noProof/>
          <w:lang w:eastAsia="en-GB"/>
        </w:rPr>
        <w:t xml:space="preserve"> </w:t>
      </w:r>
      <w:r w:rsidR="00BD4149" w:rsidRPr="00C6655C">
        <w:rPr>
          <w:noProof/>
          <w:lang w:eastAsia="en-GB"/>
        </w:rPr>
        <w:t xml:space="preserve">in so far as such agreements or arrangements allow the provisions of this Directive to be extended or enlarged and help simplify or facilitate further the procedures for </w:t>
      </w:r>
      <w:r w:rsidR="00BD4149">
        <w:rPr>
          <w:noProof/>
          <w:lang w:eastAsia="en-GB"/>
        </w:rPr>
        <w:t>granting Union-wide effect to</w:t>
      </w:r>
      <w:r w:rsidR="00BD4149" w:rsidRPr="00C6655C">
        <w:rPr>
          <w:noProof/>
          <w:lang w:eastAsia="en-GB"/>
        </w:rPr>
        <w:t xml:space="preserve"> driving disqualifications</w:t>
      </w:r>
      <w:r w:rsidR="00BD4149">
        <w:rPr>
          <w:noProof/>
          <w:lang w:eastAsia="en-GB"/>
        </w:rPr>
        <w:t>, and therefore insofar as they allow for a higher level of road safety.</w:t>
      </w:r>
    </w:p>
    <w:p w:rsidR="00BD4149" w:rsidRPr="00DD38DC" w:rsidRDefault="00E1781F" w:rsidP="00E1781F">
      <w:pPr>
        <w:pStyle w:val="ManualConsidrant"/>
        <w:rPr>
          <w:noProof/>
        </w:rPr>
      </w:pPr>
      <w:r w:rsidRPr="00E1781F">
        <w:t>(29)</w:t>
      </w:r>
      <w:r w:rsidRPr="00E1781F">
        <w:tab/>
      </w:r>
      <w:r w:rsidR="00BD4149" w:rsidRPr="00DD38DC">
        <w:rPr>
          <w:noProof/>
        </w:rPr>
        <w:t xml:space="preserve">In order to ensure uniform conditions for the implementation of this Directive, implementing powers should be conferred on the Commission to </w:t>
      </w:r>
      <w:r w:rsidR="00BD4149">
        <w:rPr>
          <w:noProof/>
        </w:rPr>
        <w:t xml:space="preserve">establish the </w:t>
      </w:r>
      <w:r w:rsidR="00BD4149" w:rsidRPr="00BC6255">
        <w:rPr>
          <w:noProof/>
          <w:lang w:val="en-US"/>
        </w:rPr>
        <w:t xml:space="preserve">format and content of </w:t>
      </w:r>
      <w:r w:rsidR="00BD4149">
        <w:rPr>
          <w:noProof/>
          <w:lang w:val="en-US"/>
        </w:rPr>
        <w:t>the</w:t>
      </w:r>
      <w:r w:rsidR="00BD4149" w:rsidRPr="00BC6255">
        <w:rPr>
          <w:noProof/>
          <w:lang w:val="en-US"/>
        </w:rPr>
        <w:t xml:space="preserve"> standard certificate for </w:t>
      </w:r>
      <w:r w:rsidR="00D855FA">
        <w:rPr>
          <w:noProof/>
          <w:lang w:val="en-US"/>
        </w:rPr>
        <w:t>notifying</w:t>
      </w:r>
      <w:r w:rsidR="00BD4149" w:rsidRPr="00BC6255">
        <w:rPr>
          <w:noProof/>
          <w:lang w:val="en-US"/>
        </w:rPr>
        <w:t xml:space="preserve"> </w:t>
      </w:r>
      <w:r w:rsidR="00BD4149">
        <w:rPr>
          <w:noProof/>
          <w:lang w:val="en-US"/>
        </w:rPr>
        <w:t xml:space="preserve">a </w:t>
      </w:r>
      <w:r w:rsidR="00BD4149" w:rsidRPr="00BC6255">
        <w:rPr>
          <w:noProof/>
          <w:lang w:val="en-US"/>
        </w:rPr>
        <w:t>driving disqualification</w:t>
      </w:r>
      <w:r w:rsidR="00BD4149" w:rsidRPr="00DD38DC">
        <w:rPr>
          <w:noProof/>
        </w:rPr>
        <w:t>. Those powers should be exercised in accordance with Regulation (EU) No 182/2011 of the European Parliament and of the Council</w:t>
      </w:r>
      <w:r w:rsidR="00BD4149" w:rsidRPr="00DD38DC">
        <w:rPr>
          <w:rStyle w:val="FootnoteReference"/>
          <w:rFonts w:eastAsia="Times New Roman"/>
          <w:noProof/>
          <w:szCs w:val="24"/>
        </w:rPr>
        <w:footnoteReference w:id="71"/>
      </w:r>
      <w:r w:rsidR="00BD4149" w:rsidRPr="00DD38DC">
        <w:rPr>
          <w:noProof/>
        </w:rPr>
        <w:t>.</w:t>
      </w:r>
    </w:p>
    <w:p w:rsidR="00BD4149" w:rsidRPr="00DD38DC" w:rsidRDefault="00E1781F" w:rsidP="00E1781F">
      <w:pPr>
        <w:pStyle w:val="ManualConsidrant"/>
        <w:rPr>
          <w:noProof/>
        </w:rPr>
      </w:pPr>
      <w:r w:rsidRPr="00E1781F">
        <w:t>(30)</w:t>
      </w:r>
      <w:r w:rsidRPr="00E1781F">
        <w:tab/>
      </w:r>
      <w:r w:rsidR="00BD4149" w:rsidRPr="00DD38DC">
        <w:rPr>
          <w:noProof/>
        </w:rPr>
        <w:t xml:space="preserve">Since the objectives of this Directive, namely to </w:t>
      </w:r>
      <w:r w:rsidR="00BD4149">
        <w:rPr>
          <w:noProof/>
        </w:rPr>
        <w:t xml:space="preserve">ensure </w:t>
      </w:r>
      <w:r w:rsidR="00BD4149" w:rsidRPr="00BC6255">
        <w:rPr>
          <w:noProof/>
          <w:lang w:val="en-US"/>
        </w:rPr>
        <w:t xml:space="preserve">the </w:t>
      </w:r>
      <w:r w:rsidR="00BD4149">
        <w:rPr>
          <w:noProof/>
          <w:lang w:val="en-US"/>
        </w:rPr>
        <w:t>Union-wide effect</w:t>
      </w:r>
      <w:r w:rsidR="00BD4149" w:rsidRPr="00BC6255">
        <w:rPr>
          <w:noProof/>
          <w:lang w:val="en-US"/>
        </w:rPr>
        <w:t xml:space="preserve"> of decisions imposing driving disqualifications</w:t>
      </w:r>
      <w:r w:rsidR="00BD4149">
        <w:rPr>
          <w:noProof/>
          <w:lang w:val="en-US"/>
        </w:rPr>
        <w:t xml:space="preserve"> which result from major road-safety-related traffic offences,</w:t>
      </w:r>
      <w:r w:rsidR="00BD4149" w:rsidRPr="00BC6255">
        <w:rPr>
          <w:noProof/>
          <w:lang w:val="en-US"/>
        </w:rPr>
        <w:t xml:space="preserve"> with the goal to improve the levels of road safety across the Union</w:t>
      </w:r>
      <w:r w:rsidR="00BD4149" w:rsidRPr="00DD38DC">
        <w:rPr>
          <w:noProof/>
        </w:rPr>
        <w:t>, cannot be sufficiently achieved by the Member States but can rather, by reason of the scale and effects of this Directive, be better achieved at Union level, the Union may adopt measures, in accordance with the principle of subsidiarity as set out in Article 5 of</w:t>
      </w:r>
      <w:r w:rsidR="00D855FA">
        <w:rPr>
          <w:noProof/>
        </w:rPr>
        <w:t xml:space="preserve"> the</w:t>
      </w:r>
      <w:r w:rsidR="00BD4149" w:rsidRPr="00DD38DC">
        <w:rPr>
          <w:noProof/>
        </w:rPr>
        <w:t xml:space="preserve"> Treaty on European Union</w:t>
      </w:r>
      <w:r w:rsidR="00BD4149" w:rsidRPr="00DD38DC">
        <w:rPr>
          <w:rStyle w:val="FootnoteReference"/>
          <w:rFonts w:eastAsia="Times New Roman"/>
          <w:noProof/>
          <w:szCs w:val="24"/>
        </w:rPr>
        <w:footnoteReference w:id="72"/>
      </w:r>
      <w:r w:rsidR="00BD4149" w:rsidRPr="00DD38DC">
        <w:rPr>
          <w:noProof/>
        </w:rPr>
        <w:t>. In accordance with the principle of proportionality as set out in that Article, this Directive does not go beyond what is necessary in order to achieve those objectives.</w:t>
      </w:r>
    </w:p>
    <w:p w:rsidR="00BD4149" w:rsidRDefault="00E1781F" w:rsidP="00E1781F">
      <w:pPr>
        <w:pStyle w:val="ManualConsidrant"/>
        <w:rPr>
          <w:noProof/>
        </w:rPr>
      </w:pPr>
      <w:r w:rsidRPr="00E1781F">
        <w:t>(31)</w:t>
      </w:r>
      <w:r w:rsidRPr="00E1781F">
        <w:tab/>
      </w:r>
      <w:r w:rsidR="00BD4149" w:rsidRPr="00DD38DC">
        <w:rPr>
          <w:noProof/>
        </w:rPr>
        <w:t>The European Data Protection Supervisor was consulted in accordance with Article 42</w:t>
      </w:r>
      <w:r w:rsidR="00D855FA">
        <w:rPr>
          <w:noProof/>
        </w:rPr>
        <w:t>(1)</w:t>
      </w:r>
      <w:r w:rsidR="00BD4149" w:rsidRPr="00DD38DC">
        <w:rPr>
          <w:noProof/>
        </w:rPr>
        <w:t xml:space="preserve"> of Regulation (EU) 2018/1725 of the European Parliament and of the Council</w:t>
      </w:r>
      <w:r w:rsidR="00BD4149" w:rsidRPr="00DD38DC">
        <w:rPr>
          <w:rStyle w:val="FootnoteReference"/>
          <w:rFonts w:eastAsia="Times New Roman"/>
          <w:noProof/>
          <w:szCs w:val="24"/>
        </w:rPr>
        <w:footnoteReference w:id="73"/>
      </w:r>
      <w:r w:rsidR="00BD4149" w:rsidRPr="00DD38DC">
        <w:rPr>
          <w:noProof/>
        </w:rPr>
        <w:t xml:space="preserve"> and delivered an opinion on [DD/MM/YYYY]</w:t>
      </w:r>
      <w:r w:rsidR="00BD4149">
        <w:rPr>
          <w:noProof/>
        </w:rPr>
        <w:t>,</w:t>
      </w:r>
    </w:p>
    <w:p w:rsidR="00BD4149" w:rsidRPr="00DD38DC" w:rsidRDefault="00BD4149" w:rsidP="00DD7480">
      <w:pPr>
        <w:rPr>
          <w:noProof/>
        </w:rPr>
      </w:pPr>
      <w:r w:rsidRPr="0042762C">
        <w:rPr>
          <w:noProof/>
        </w:rPr>
        <w:t>HAVE ADOPTED THIS DIRECTIVE:</w:t>
      </w:r>
    </w:p>
    <w:p w:rsidR="00BD4149" w:rsidRPr="0042762C" w:rsidRDefault="00BD4149" w:rsidP="00BD4149">
      <w:pPr>
        <w:shd w:val="clear" w:color="auto" w:fill="FFFFFF"/>
        <w:spacing w:before="240" w:after="240"/>
        <w:jc w:val="center"/>
        <w:rPr>
          <w:rFonts w:eastAsia="Times New Roman"/>
          <w:bCs/>
          <w:i/>
          <w:noProof/>
          <w:szCs w:val="24"/>
          <w:lang w:val="en-US"/>
        </w:rPr>
      </w:pPr>
      <w:r w:rsidRPr="0042762C">
        <w:rPr>
          <w:rFonts w:eastAsia="Times New Roman"/>
          <w:bCs/>
          <w:i/>
          <w:noProof/>
          <w:szCs w:val="24"/>
          <w:lang w:val="en-US"/>
        </w:rPr>
        <w:t>Article 1</w:t>
      </w:r>
    </w:p>
    <w:p w:rsidR="00BD4149" w:rsidRPr="0042762C" w:rsidRDefault="00BD4149" w:rsidP="00BD4149">
      <w:pPr>
        <w:shd w:val="clear" w:color="auto" w:fill="FFFFFF"/>
        <w:spacing w:before="240" w:after="240"/>
        <w:jc w:val="center"/>
        <w:rPr>
          <w:rFonts w:eastAsia="Times New Roman"/>
          <w:b/>
          <w:bCs/>
          <w:noProof/>
          <w:szCs w:val="24"/>
          <w:lang w:val="en-US"/>
        </w:rPr>
      </w:pPr>
      <w:r w:rsidRPr="0042762C">
        <w:rPr>
          <w:rFonts w:eastAsia="Times New Roman"/>
          <w:b/>
          <w:bCs/>
          <w:noProof/>
          <w:szCs w:val="24"/>
          <w:lang w:val="en-US"/>
        </w:rPr>
        <w:t>Objective and subject</w:t>
      </w:r>
      <w:r w:rsidR="00920597">
        <w:rPr>
          <w:rFonts w:eastAsia="Times New Roman"/>
          <w:b/>
          <w:bCs/>
          <w:noProof/>
          <w:szCs w:val="24"/>
          <w:lang w:val="en-US"/>
        </w:rPr>
        <w:t>-</w:t>
      </w:r>
      <w:r w:rsidRPr="0042762C">
        <w:rPr>
          <w:rFonts w:eastAsia="Times New Roman"/>
          <w:b/>
          <w:bCs/>
          <w:noProof/>
          <w:szCs w:val="24"/>
          <w:lang w:val="en-US"/>
        </w:rPr>
        <w:t>matter</w:t>
      </w:r>
    </w:p>
    <w:p w:rsidR="00BD4149" w:rsidRPr="0042762C" w:rsidRDefault="00BD4149" w:rsidP="00BD4149">
      <w:pPr>
        <w:shd w:val="clear" w:color="auto" w:fill="FFFFFF"/>
        <w:spacing w:before="240" w:after="240"/>
        <w:rPr>
          <w:rFonts w:eastAsia="Times New Roman"/>
          <w:bCs/>
          <w:noProof/>
          <w:szCs w:val="24"/>
        </w:rPr>
      </w:pPr>
      <w:r w:rsidRPr="0042762C">
        <w:rPr>
          <w:rFonts w:eastAsia="Times New Roman"/>
          <w:bCs/>
          <w:noProof/>
          <w:szCs w:val="24"/>
        </w:rPr>
        <w:t>This Directive aims to ensure a high level of protection for all road users in the Union. For this purpose, it lays down rules providing for a Union-wide effect of driving disqualifications for major road-safety</w:t>
      </w:r>
      <w:r w:rsidR="002D4266">
        <w:rPr>
          <w:rFonts w:eastAsia="Times New Roman"/>
          <w:bCs/>
          <w:noProof/>
          <w:szCs w:val="24"/>
        </w:rPr>
        <w:t>-</w:t>
      </w:r>
      <w:r w:rsidRPr="0042762C">
        <w:rPr>
          <w:rFonts w:eastAsia="Times New Roman"/>
          <w:bCs/>
          <w:noProof/>
          <w:szCs w:val="24"/>
        </w:rPr>
        <w:t xml:space="preserve">related traffic offences committed in a Member State other than the one that issued the driving licence of the </w:t>
      </w:r>
      <w:r w:rsidR="00920597">
        <w:rPr>
          <w:rFonts w:eastAsia="Times New Roman"/>
          <w:bCs/>
          <w:noProof/>
          <w:szCs w:val="24"/>
        </w:rPr>
        <w:t>person concerned</w:t>
      </w:r>
      <w:r w:rsidRPr="0042762C">
        <w:rPr>
          <w:rFonts w:eastAsia="Times New Roman"/>
          <w:bCs/>
          <w:noProof/>
          <w:szCs w:val="24"/>
        </w:rPr>
        <w:t>.</w:t>
      </w:r>
    </w:p>
    <w:p w:rsidR="00BD4149" w:rsidRPr="0042762C" w:rsidRDefault="00BD4149" w:rsidP="00BD4149">
      <w:pPr>
        <w:shd w:val="clear" w:color="auto" w:fill="FFFFFF"/>
        <w:spacing w:before="240" w:after="240"/>
        <w:jc w:val="center"/>
        <w:rPr>
          <w:rFonts w:eastAsia="Times New Roman"/>
          <w:bCs/>
          <w:i/>
          <w:noProof/>
          <w:szCs w:val="24"/>
        </w:rPr>
      </w:pPr>
      <w:r w:rsidRPr="0042762C">
        <w:rPr>
          <w:rFonts w:eastAsia="Times New Roman"/>
          <w:bCs/>
          <w:i/>
          <w:noProof/>
          <w:szCs w:val="24"/>
        </w:rPr>
        <w:t>Article 2</w:t>
      </w:r>
    </w:p>
    <w:p w:rsidR="00BD4149" w:rsidRPr="0042762C" w:rsidRDefault="00BD4149" w:rsidP="00BD4149">
      <w:pPr>
        <w:shd w:val="clear" w:color="auto" w:fill="FFFFFF"/>
        <w:spacing w:before="240" w:after="240"/>
        <w:jc w:val="center"/>
        <w:rPr>
          <w:rFonts w:eastAsia="Times New Roman"/>
          <w:b/>
          <w:bCs/>
          <w:noProof/>
          <w:szCs w:val="24"/>
          <w:lang w:val="en-US"/>
        </w:rPr>
      </w:pPr>
      <w:r w:rsidRPr="0042762C">
        <w:rPr>
          <w:rFonts w:eastAsia="Times New Roman"/>
          <w:b/>
          <w:bCs/>
          <w:noProof/>
          <w:szCs w:val="24"/>
          <w:lang w:val="en-US"/>
        </w:rPr>
        <w:t>Definitions</w:t>
      </w:r>
    </w:p>
    <w:p w:rsidR="00BD4149" w:rsidRPr="0042762C" w:rsidRDefault="00BD4149" w:rsidP="00BD4149">
      <w:pPr>
        <w:shd w:val="clear" w:color="auto" w:fill="FFFFFF"/>
        <w:spacing w:before="240" w:beforeAutospacing="1" w:afterAutospacing="1"/>
        <w:rPr>
          <w:rFonts w:eastAsia="Times New Roman"/>
          <w:noProof/>
          <w:szCs w:val="24"/>
          <w:lang w:val="en-US"/>
        </w:rPr>
      </w:pPr>
      <w:r w:rsidRPr="0042762C">
        <w:rPr>
          <w:rFonts w:eastAsia="Times New Roman"/>
          <w:noProof/>
          <w:szCs w:val="24"/>
          <w:lang w:val="en-US"/>
        </w:rPr>
        <w:t>For the purposes of this Directive, the following definitions apply:</w:t>
      </w:r>
    </w:p>
    <w:p w:rsidR="00BD4149" w:rsidRPr="0042762C" w:rsidRDefault="00E1781F" w:rsidP="00E1781F">
      <w:pPr>
        <w:pStyle w:val="Point0"/>
        <w:rPr>
          <w:noProof/>
          <w:lang w:val="en-US"/>
        </w:rPr>
      </w:pPr>
      <w:bookmarkStart w:id="17" w:name="_Hlk127812336"/>
      <w:r w:rsidRPr="00E1781F">
        <w:t>(1)</w:t>
      </w:r>
      <w:r w:rsidRPr="00E1781F">
        <w:tab/>
      </w:r>
      <w:r w:rsidR="00BD4149" w:rsidRPr="0042762C">
        <w:rPr>
          <w:noProof/>
          <w:lang w:val="en-US"/>
        </w:rPr>
        <w:t>‘driving disqualification’ means any decision related to the commission of a major road-safety-related traffic offence, which results in the withdrawal, restriction or suspension of the driving licence or the right to drive of a driver of a power-driven vehicle</w:t>
      </w:r>
      <w:r w:rsidR="00920597">
        <w:rPr>
          <w:noProof/>
          <w:lang w:val="en-US"/>
        </w:rPr>
        <w:t>,</w:t>
      </w:r>
      <w:r w:rsidR="00BD4149" w:rsidRPr="0042762C">
        <w:rPr>
          <w:noProof/>
          <w:lang w:val="en-US"/>
        </w:rPr>
        <w:t xml:space="preserve"> which is no longer subject to a right of appeal, irrespective of whether it constitutes a primary, secondary or supplementary penalty or a safety measure and irrespective of whether it is qualified as an administrative or criminal </w:t>
      </w:r>
      <w:r w:rsidR="00920597">
        <w:rPr>
          <w:noProof/>
          <w:lang w:val="en-US"/>
        </w:rPr>
        <w:t>measure</w:t>
      </w:r>
      <w:bookmarkEnd w:id="17"/>
      <w:r w:rsidR="00BD4149" w:rsidRPr="0042762C">
        <w:rPr>
          <w:noProof/>
          <w:lang w:val="en-US"/>
        </w:rPr>
        <w:t>;</w:t>
      </w:r>
    </w:p>
    <w:p w:rsidR="00BD4149" w:rsidRPr="0042762C" w:rsidRDefault="00E1781F" w:rsidP="00E1781F">
      <w:pPr>
        <w:pStyle w:val="Point0"/>
        <w:rPr>
          <w:noProof/>
          <w:lang w:val="en-US"/>
        </w:rPr>
      </w:pPr>
      <w:r w:rsidRPr="00E1781F">
        <w:t>(2)</w:t>
      </w:r>
      <w:r w:rsidRPr="00E1781F">
        <w:tab/>
      </w:r>
      <w:r w:rsidR="00BD4149" w:rsidRPr="0042762C">
        <w:rPr>
          <w:noProof/>
          <w:lang w:val="en-US"/>
        </w:rPr>
        <w:t>‘</w:t>
      </w:r>
      <w:r w:rsidR="00920597">
        <w:rPr>
          <w:noProof/>
          <w:lang w:val="en-US"/>
        </w:rPr>
        <w:t>w</w:t>
      </w:r>
      <w:r w:rsidR="00BD4149" w:rsidRPr="0042762C">
        <w:rPr>
          <w:noProof/>
          <w:lang w:val="en-US"/>
        </w:rPr>
        <w:t>ithdrawal’ means the revocation of the driving licence or the right to drive</w:t>
      </w:r>
      <w:r w:rsidR="00BD4149">
        <w:rPr>
          <w:noProof/>
          <w:lang w:val="en-US"/>
        </w:rPr>
        <w:t xml:space="preserve"> or of their recognition</w:t>
      </w:r>
      <w:r w:rsidR="00BD4149" w:rsidRPr="0042762C">
        <w:rPr>
          <w:noProof/>
          <w:lang w:val="en-US"/>
        </w:rPr>
        <w:t>;</w:t>
      </w:r>
    </w:p>
    <w:p w:rsidR="00BD4149" w:rsidRPr="0042762C" w:rsidRDefault="00E1781F" w:rsidP="00E1781F">
      <w:pPr>
        <w:pStyle w:val="Point0"/>
        <w:rPr>
          <w:noProof/>
          <w:lang w:val="en-US"/>
        </w:rPr>
      </w:pPr>
      <w:r w:rsidRPr="00E1781F">
        <w:t>(3)</w:t>
      </w:r>
      <w:r w:rsidRPr="00E1781F">
        <w:tab/>
      </w:r>
      <w:r w:rsidR="00BD4149" w:rsidRPr="0042762C" w:rsidDel="0060032A">
        <w:rPr>
          <w:noProof/>
          <w:lang w:val="en-US"/>
        </w:rPr>
        <w:t xml:space="preserve"> </w:t>
      </w:r>
      <w:r w:rsidR="00BD4149" w:rsidRPr="0042762C">
        <w:rPr>
          <w:noProof/>
          <w:lang w:val="en-US"/>
        </w:rPr>
        <w:t>‘</w:t>
      </w:r>
      <w:r w:rsidR="00920597">
        <w:rPr>
          <w:noProof/>
          <w:lang w:val="en-US"/>
        </w:rPr>
        <w:t>s</w:t>
      </w:r>
      <w:r w:rsidR="00BD4149" w:rsidRPr="0042762C">
        <w:rPr>
          <w:noProof/>
          <w:lang w:val="en-US"/>
        </w:rPr>
        <w:t>uspension’ means the temporary limitation of the validity of the driving license or of the right to drive</w:t>
      </w:r>
      <w:r w:rsidR="00BD4149">
        <w:rPr>
          <w:noProof/>
          <w:lang w:val="en-US"/>
        </w:rPr>
        <w:t xml:space="preserve"> or </w:t>
      </w:r>
      <w:r w:rsidR="00BD4149" w:rsidRPr="0042762C">
        <w:rPr>
          <w:noProof/>
          <w:lang w:val="en-US"/>
        </w:rPr>
        <w:t xml:space="preserve">of </w:t>
      </w:r>
      <w:r w:rsidR="00BD4149">
        <w:rPr>
          <w:noProof/>
          <w:lang w:val="en-US"/>
        </w:rPr>
        <w:t xml:space="preserve">their </w:t>
      </w:r>
      <w:r w:rsidR="00BD4149" w:rsidRPr="0042762C">
        <w:rPr>
          <w:noProof/>
          <w:lang w:val="en-US"/>
        </w:rPr>
        <w:t>recognition</w:t>
      </w:r>
      <w:r w:rsidR="00A4597E">
        <w:rPr>
          <w:noProof/>
          <w:lang w:val="en-US"/>
        </w:rPr>
        <w:t>, for</w:t>
      </w:r>
      <w:r w:rsidR="00BD4149" w:rsidRPr="0042762C">
        <w:rPr>
          <w:noProof/>
          <w:lang w:val="en-US"/>
        </w:rPr>
        <w:t xml:space="preserve"> a fixed amount of time</w:t>
      </w:r>
      <w:r w:rsidR="00A4597E">
        <w:rPr>
          <w:noProof/>
          <w:lang w:val="en-US"/>
        </w:rPr>
        <w:t>,</w:t>
      </w:r>
      <w:r w:rsidR="00BD4149" w:rsidRPr="0042762C">
        <w:rPr>
          <w:noProof/>
          <w:lang w:val="en-US"/>
        </w:rPr>
        <w:t xml:space="preserve"> or</w:t>
      </w:r>
      <w:r w:rsidR="00A4597E">
        <w:rPr>
          <w:noProof/>
          <w:lang w:val="en-US"/>
        </w:rPr>
        <w:t xml:space="preserve"> for both</w:t>
      </w:r>
      <w:r w:rsidR="00BD4149" w:rsidRPr="0042762C">
        <w:rPr>
          <w:noProof/>
          <w:lang w:val="en-US"/>
        </w:rPr>
        <w:t xml:space="preserve"> a combination of a fixed amount of time and the fulfilment of additional conditions;</w:t>
      </w:r>
    </w:p>
    <w:p w:rsidR="00BD4149" w:rsidRPr="0042762C" w:rsidRDefault="00E1781F" w:rsidP="00E1781F">
      <w:pPr>
        <w:pStyle w:val="Point0"/>
        <w:rPr>
          <w:noProof/>
          <w:lang w:val="en-US"/>
        </w:rPr>
      </w:pPr>
      <w:r w:rsidRPr="00E1781F">
        <w:t>(4)</w:t>
      </w:r>
      <w:r w:rsidRPr="00E1781F">
        <w:tab/>
      </w:r>
      <w:r w:rsidR="00BD4149" w:rsidRPr="0042762C">
        <w:rPr>
          <w:noProof/>
          <w:lang w:val="en-US"/>
        </w:rPr>
        <w:t>‘</w:t>
      </w:r>
      <w:r w:rsidR="00920597">
        <w:rPr>
          <w:noProof/>
          <w:lang w:val="en-US"/>
        </w:rPr>
        <w:t>r</w:t>
      </w:r>
      <w:r w:rsidR="00BD4149" w:rsidRPr="0042762C">
        <w:rPr>
          <w:noProof/>
          <w:lang w:val="en-US"/>
        </w:rPr>
        <w:t>estriction’ means the partial limitation of the validity of the driving license or of the right to drive</w:t>
      </w:r>
      <w:r w:rsidR="00BD4149" w:rsidRPr="00B92D6B">
        <w:rPr>
          <w:noProof/>
          <w:lang w:val="en-US"/>
        </w:rPr>
        <w:t xml:space="preserve"> </w:t>
      </w:r>
      <w:r w:rsidR="00BD4149">
        <w:rPr>
          <w:noProof/>
          <w:lang w:val="en-US"/>
        </w:rPr>
        <w:t xml:space="preserve">or </w:t>
      </w:r>
      <w:r w:rsidR="00BD4149" w:rsidRPr="0042762C">
        <w:rPr>
          <w:noProof/>
          <w:lang w:val="en-US"/>
        </w:rPr>
        <w:t xml:space="preserve">of </w:t>
      </w:r>
      <w:r w:rsidR="00BD4149">
        <w:rPr>
          <w:noProof/>
          <w:lang w:val="en-US"/>
        </w:rPr>
        <w:t xml:space="preserve">their </w:t>
      </w:r>
      <w:r w:rsidR="00BD4149" w:rsidRPr="0042762C">
        <w:rPr>
          <w:noProof/>
          <w:lang w:val="en-US"/>
        </w:rPr>
        <w:t>recognition</w:t>
      </w:r>
      <w:r w:rsidR="00A4597E">
        <w:rPr>
          <w:noProof/>
          <w:lang w:val="en-US"/>
        </w:rPr>
        <w:t>, either</w:t>
      </w:r>
      <w:r w:rsidR="00BD4149" w:rsidRPr="0042762C">
        <w:rPr>
          <w:noProof/>
          <w:lang w:val="en-US"/>
        </w:rPr>
        <w:t xml:space="preserve"> for a fixed </w:t>
      </w:r>
      <w:r w:rsidR="00A4597E">
        <w:rPr>
          <w:noProof/>
          <w:lang w:val="en-US"/>
        </w:rPr>
        <w:t>period</w:t>
      </w:r>
      <w:r w:rsidR="00BD4149" w:rsidRPr="0042762C">
        <w:rPr>
          <w:noProof/>
          <w:lang w:val="en-US"/>
        </w:rPr>
        <w:t xml:space="preserve"> of time,</w:t>
      </w:r>
      <w:r w:rsidR="00A4597E">
        <w:rPr>
          <w:noProof/>
          <w:lang w:val="en-US"/>
        </w:rPr>
        <w:t xml:space="preserve"> or subject to the</w:t>
      </w:r>
      <w:r w:rsidR="00BD4149" w:rsidRPr="0042762C">
        <w:rPr>
          <w:noProof/>
          <w:lang w:val="en-US"/>
        </w:rPr>
        <w:t xml:space="preserve"> fulfillment of additional conditions, or pursuant to a combination of both; </w:t>
      </w:r>
    </w:p>
    <w:p w:rsidR="00BD4149" w:rsidRPr="0042762C" w:rsidRDefault="00E1781F" w:rsidP="00E1781F">
      <w:pPr>
        <w:pStyle w:val="Point0"/>
        <w:rPr>
          <w:noProof/>
          <w:lang w:val="en-US"/>
        </w:rPr>
      </w:pPr>
      <w:r w:rsidRPr="00E1781F">
        <w:t>(5)</w:t>
      </w:r>
      <w:r w:rsidRPr="00E1781F">
        <w:tab/>
      </w:r>
      <w:r w:rsidR="00BD4149" w:rsidRPr="0042762C">
        <w:rPr>
          <w:noProof/>
          <w:lang w:val="en-US"/>
        </w:rPr>
        <w:t>‘</w:t>
      </w:r>
      <w:r w:rsidR="00335CB0">
        <w:rPr>
          <w:noProof/>
          <w:lang w:val="en-US"/>
        </w:rPr>
        <w:t>a</w:t>
      </w:r>
      <w:r w:rsidR="00BD4149" w:rsidRPr="0042762C">
        <w:rPr>
          <w:noProof/>
          <w:lang w:val="en-US"/>
        </w:rPr>
        <w:t>dditional conditions’ means conditions</w:t>
      </w:r>
      <w:r w:rsidR="00335CB0">
        <w:rPr>
          <w:noProof/>
          <w:lang w:val="en-US"/>
        </w:rPr>
        <w:t xml:space="preserve"> </w:t>
      </w:r>
      <w:r w:rsidR="00335CB0">
        <w:rPr>
          <w:noProof/>
        </w:rPr>
        <w:t>other than the lapse of a fixed period of time</w:t>
      </w:r>
      <w:r w:rsidR="00BD4149" w:rsidRPr="0042762C">
        <w:rPr>
          <w:noProof/>
          <w:lang w:val="en-US"/>
        </w:rPr>
        <w:t xml:space="preserve"> that a person concerned by a driving disqualification must comply with in order to recover his or her right to drive or driving licence</w:t>
      </w:r>
      <w:r w:rsidR="00335CB0">
        <w:rPr>
          <w:noProof/>
          <w:lang w:val="en-US"/>
        </w:rPr>
        <w:t>;</w:t>
      </w:r>
    </w:p>
    <w:p w:rsidR="00BD4149" w:rsidRPr="0042762C" w:rsidRDefault="00E1781F" w:rsidP="00E1781F">
      <w:pPr>
        <w:pStyle w:val="Point0"/>
        <w:rPr>
          <w:noProof/>
          <w:lang w:val="en-US"/>
        </w:rPr>
      </w:pPr>
      <w:r w:rsidRPr="00E1781F">
        <w:t>(6)</w:t>
      </w:r>
      <w:r w:rsidRPr="00E1781F">
        <w:tab/>
      </w:r>
      <w:r w:rsidR="00BD4149" w:rsidRPr="0042762C">
        <w:rPr>
          <w:noProof/>
          <w:lang w:val="en-US"/>
        </w:rPr>
        <w:t>‘Member State of the offence’ means the Member State in which a driving disqualification  was delivered;</w:t>
      </w:r>
    </w:p>
    <w:p w:rsidR="00BD4149" w:rsidRPr="0042762C" w:rsidRDefault="00E1781F" w:rsidP="00E1781F">
      <w:pPr>
        <w:pStyle w:val="Point0"/>
        <w:rPr>
          <w:noProof/>
          <w:lang w:val="en-US"/>
        </w:rPr>
      </w:pPr>
      <w:r w:rsidRPr="00E1781F">
        <w:t>(7)</w:t>
      </w:r>
      <w:r w:rsidRPr="00E1781F">
        <w:tab/>
      </w:r>
      <w:r w:rsidR="00BD4149" w:rsidRPr="0042762C">
        <w:rPr>
          <w:noProof/>
          <w:lang w:val="en-US"/>
        </w:rPr>
        <w:t>‘Member State of issuance’ means the Member State that issued the driving licence of the person concerned, and to which a driving disqualification is transmitted</w:t>
      </w:r>
      <w:r w:rsidR="00335CB0">
        <w:rPr>
          <w:noProof/>
          <w:lang w:val="en-US"/>
        </w:rPr>
        <w:t xml:space="preserve"> </w:t>
      </w:r>
      <w:r w:rsidR="00335CB0">
        <w:rPr>
          <w:noProof/>
        </w:rPr>
        <w:t>in accordance with the provisions of this Directive</w:t>
      </w:r>
      <w:r w:rsidR="00BD4149" w:rsidRPr="0042762C">
        <w:rPr>
          <w:noProof/>
          <w:lang w:val="en-US"/>
        </w:rPr>
        <w:t>;</w:t>
      </w:r>
    </w:p>
    <w:p w:rsidR="00BD4149" w:rsidRPr="0042762C" w:rsidRDefault="00E1781F" w:rsidP="00E1781F">
      <w:pPr>
        <w:pStyle w:val="Point0"/>
        <w:rPr>
          <w:noProof/>
          <w:lang w:val="en-US"/>
        </w:rPr>
      </w:pPr>
      <w:r w:rsidRPr="00E1781F">
        <w:t>(8)</w:t>
      </w:r>
      <w:r w:rsidRPr="00E1781F">
        <w:tab/>
      </w:r>
      <w:r w:rsidR="00BD4149" w:rsidRPr="0042762C">
        <w:rPr>
          <w:noProof/>
          <w:lang w:val="en-US"/>
        </w:rPr>
        <w:t>‘power-driven vehicle’ means a power-driven vehicle as defined in Article 2</w:t>
      </w:r>
      <w:r w:rsidR="00C32C50">
        <w:rPr>
          <w:noProof/>
          <w:lang w:val="en-US"/>
        </w:rPr>
        <w:t xml:space="preserve">, point </w:t>
      </w:r>
      <w:r w:rsidR="00254250">
        <w:rPr>
          <w:noProof/>
          <w:lang w:val="en-US"/>
        </w:rPr>
        <w:t>(4</w:t>
      </w:r>
      <w:r w:rsidR="00BD4149" w:rsidRPr="0042762C">
        <w:rPr>
          <w:noProof/>
          <w:lang w:val="en-US"/>
        </w:rPr>
        <w:t>) of [NEW</w:t>
      </w:r>
      <w:r w:rsidR="008C2F3B">
        <w:rPr>
          <w:noProof/>
          <w:lang w:val="en-US"/>
        </w:rPr>
        <w:t xml:space="preserve"> </w:t>
      </w:r>
      <w:r w:rsidR="00BD4149" w:rsidRPr="0042762C">
        <w:rPr>
          <w:noProof/>
          <w:lang w:val="en-US"/>
        </w:rPr>
        <w:t>DIRECTIVE</w:t>
      </w:r>
      <w:r w:rsidR="008C2F3B">
        <w:rPr>
          <w:noProof/>
          <w:lang w:val="en-US"/>
        </w:rPr>
        <w:t xml:space="preserve"> ON </w:t>
      </w:r>
      <w:r w:rsidR="00BD4149" w:rsidRPr="0042762C">
        <w:rPr>
          <w:noProof/>
          <w:lang w:val="en-US"/>
        </w:rPr>
        <w:t>DRIVING</w:t>
      </w:r>
      <w:r w:rsidR="008C2F3B">
        <w:rPr>
          <w:noProof/>
          <w:lang w:val="en-US"/>
        </w:rPr>
        <w:t xml:space="preserve"> </w:t>
      </w:r>
      <w:r w:rsidR="00BD4149" w:rsidRPr="0042762C">
        <w:rPr>
          <w:noProof/>
          <w:lang w:val="en-US"/>
        </w:rPr>
        <w:t>LICENCES];</w:t>
      </w:r>
    </w:p>
    <w:p w:rsidR="00BD4149" w:rsidRPr="0042762C" w:rsidRDefault="00E1781F" w:rsidP="00E1781F">
      <w:pPr>
        <w:pStyle w:val="Point0"/>
        <w:rPr>
          <w:noProof/>
          <w:lang w:val="en-US"/>
        </w:rPr>
      </w:pPr>
      <w:r w:rsidRPr="00E1781F">
        <w:t>(9)</w:t>
      </w:r>
      <w:r w:rsidRPr="00E1781F">
        <w:tab/>
      </w:r>
      <w:r w:rsidR="00BD4149" w:rsidRPr="0042762C">
        <w:rPr>
          <w:noProof/>
          <w:lang w:val="en-US"/>
        </w:rPr>
        <w:t>‘driving licence’ means a driving licence as defined in Article 2</w:t>
      </w:r>
      <w:r w:rsidR="00C32C50">
        <w:rPr>
          <w:noProof/>
          <w:lang w:val="en-US"/>
        </w:rPr>
        <w:t xml:space="preserve">, point </w:t>
      </w:r>
      <w:r w:rsidR="00BD4149" w:rsidRPr="0042762C">
        <w:rPr>
          <w:noProof/>
          <w:lang w:val="en-US"/>
        </w:rPr>
        <w:t>(1)</w:t>
      </w:r>
      <w:r w:rsidR="008C2F3B">
        <w:rPr>
          <w:noProof/>
          <w:lang w:val="en-US"/>
        </w:rPr>
        <w:t xml:space="preserve"> </w:t>
      </w:r>
      <w:r w:rsidR="00BD4149" w:rsidRPr="0042762C">
        <w:rPr>
          <w:noProof/>
          <w:lang w:val="en-US"/>
        </w:rPr>
        <w:t>of [NEW</w:t>
      </w:r>
      <w:r w:rsidR="008C2F3B">
        <w:rPr>
          <w:noProof/>
          <w:lang w:val="en-US"/>
        </w:rPr>
        <w:t xml:space="preserve"> </w:t>
      </w:r>
      <w:r w:rsidR="00BD4149" w:rsidRPr="0042762C">
        <w:rPr>
          <w:noProof/>
          <w:lang w:val="en-US"/>
        </w:rPr>
        <w:t>DIRECTIVE</w:t>
      </w:r>
      <w:r w:rsidR="008C2F3B">
        <w:rPr>
          <w:noProof/>
          <w:lang w:val="en-US"/>
        </w:rPr>
        <w:t xml:space="preserve"> ON </w:t>
      </w:r>
      <w:r w:rsidR="00BD4149" w:rsidRPr="0042762C">
        <w:rPr>
          <w:noProof/>
          <w:lang w:val="en-US"/>
        </w:rPr>
        <w:t>DRIVING</w:t>
      </w:r>
      <w:r w:rsidR="008C2F3B">
        <w:rPr>
          <w:noProof/>
          <w:lang w:val="en-US"/>
        </w:rPr>
        <w:t xml:space="preserve"> </w:t>
      </w:r>
      <w:r w:rsidR="00BD4149" w:rsidRPr="0042762C">
        <w:rPr>
          <w:noProof/>
          <w:lang w:val="en-US"/>
        </w:rPr>
        <w:t>LICENCES];</w:t>
      </w:r>
    </w:p>
    <w:p w:rsidR="00BD4149" w:rsidRPr="0042762C" w:rsidRDefault="00E1781F" w:rsidP="00E1781F">
      <w:pPr>
        <w:pStyle w:val="Point0"/>
        <w:rPr>
          <w:noProof/>
          <w:lang w:val="en-US"/>
        </w:rPr>
      </w:pPr>
      <w:r w:rsidRPr="00E1781F">
        <w:t>(10)</w:t>
      </w:r>
      <w:r w:rsidRPr="00E1781F">
        <w:tab/>
      </w:r>
      <w:r w:rsidR="00BD4149" w:rsidRPr="0042762C">
        <w:rPr>
          <w:noProof/>
          <w:lang w:val="en-US"/>
        </w:rPr>
        <w:t>‘person concerned’ means the natural person against whom a driving disqualification is issued;</w:t>
      </w:r>
    </w:p>
    <w:p w:rsidR="00BD4149" w:rsidRPr="0042762C" w:rsidRDefault="00E1781F" w:rsidP="00E1781F">
      <w:pPr>
        <w:pStyle w:val="Point0"/>
        <w:rPr>
          <w:noProof/>
          <w:lang w:val="en-US"/>
        </w:rPr>
      </w:pPr>
      <w:r w:rsidRPr="00E1781F">
        <w:t>(11)</w:t>
      </w:r>
      <w:r w:rsidRPr="00E1781F">
        <w:tab/>
      </w:r>
      <w:r w:rsidR="00BD4149" w:rsidRPr="0042762C">
        <w:rPr>
          <w:noProof/>
          <w:lang w:val="en-US"/>
        </w:rPr>
        <w:t>‘major road-safety-related traffic offence’ means:</w:t>
      </w:r>
    </w:p>
    <w:p w:rsidR="00BD4149" w:rsidRPr="0042762C" w:rsidRDefault="00E1781F" w:rsidP="00E1781F">
      <w:pPr>
        <w:pStyle w:val="Point1"/>
        <w:rPr>
          <w:noProof/>
          <w:lang w:val="en-US"/>
        </w:rPr>
      </w:pPr>
      <w:r w:rsidRPr="00E1781F">
        <w:t>(a)</w:t>
      </w:r>
      <w:r w:rsidRPr="00E1781F">
        <w:tab/>
      </w:r>
      <w:r w:rsidR="00BD4149" w:rsidRPr="0042762C">
        <w:rPr>
          <w:noProof/>
          <w:lang w:val="en-US"/>
        </w:rPr>
        <w:t>drink-driving as defined in Article 3, point (g)</w:t>
      </w:r>
      <w:r w:rsidR="00920597">
        <w:rPr>
          <w:noProof/>
          <w:lang w:val="en-US"/>
        </w:rPr>
        <w:t>,</w:t>
      </w:r>
      <w:r w:rsidR="00BD4149" w:rsidRPr="0042762C">
        <w:rPr>
          <w:noProof/>
          <w:lang w:val="en-US"/>
        </w:rPr>
        <w:t xml:space="preserve"> of Directive (EU) 2015/413</w:t>
      </w:r>
      <w:r w:rsidR="00920597">
        <w:rPr>
          <w:noProof/>
          <w:lang w:val="en-US"/>
        </w:rPr>
        <w:t xml:space="preserve"> </w:t>
      </w:r>
      <w:r w:rsidR="00920597" w:rsidRPr="00066528">
        <w:rPr>
          <w:noProof/>
        </w:rPr>
        <w:t>of the European Parliament and of the Council</w:t>
      </w:r>
      <w:r w:rsidR="00920597">
        <w:rPr>
          <w:rStyle w:val="FootnoteReference"/>
          <w:noProof/>
        </w:rPr>
        <w:footnoteReference w:id="74"/>
      </w:r>
      <w:r w:rsidR="00BD4149" w:rsidRPr="0042762C">
        <w:rPr>
          <w:noProof/>
          <w:lang w:val="en-US"/>
        </w:rPr>
        <w:t xml:space="preserve">; </w:t>
      </w:r>
    </w:p>
    <w:p w:rsidR="00BD4149" w:rsidRPr="0042762C" w:rsidRDefault="00E1781F" w:rsidP="00E1781F">
      <w:pPr>
        <w:pStyle w:val="Point1"/>
        <w:rPr>
          <w:noProof/>
          <w:lang w:val="en-US"/>
        </w:rPr>
      </w:pPr>
      <w:r w:rsidRPr="00E1781F">
        <w:t>(b)</w:t>
      </w:r>
      <w:r w:rsidRPr="00E1781F">
        <w:tab/>
      </w:r>
      <w:r w:rsidR="00BD4149" w:rsidRPr="0042762C">
        <w:rPr>
          <w:noProof/>
          <w:lang w:val="en-US"/>
        </w:rPr>
        <w:t>speeding as defined in Article 3, point (d)</w:t>
      </w:r>
      <w:r w:rsidR="00920597">
        <w:rPr>
          <w:noProof/>
          <w:lang w:val="en-US"/>
        </w:rPr>
        <w:t>,</w:t>
      </w:r>
      <w:r w:rsidR="00BD4149" w:rsidRPr="0042762C">
        <w:rPr>
          <w:noProof/>
          <w:lang w:val="en-US"/>
        </w:rPr>
        <w:t xml:space="preserve"> of Directive (EU) 2015/413;</w:t>
      </w:r>
    </w:p>
    <w:p w:rsidR="00BD4149" w:rsidRPr="0042762C" w:rsidRDefault="00E1781F" w:rsidP="00E1781F">
      <w:pPr>
        <w:pStyle w:val="Point1"/>
        <w:rPr>
          <w:noProof/>
          <w:lang w:val="en-US"/>
        </w:rPr>
      </w:pPr>
      <w:r w:rsidRPr="00E1781F">
        <w:t>(c)</w:t>
      </w:r>
      <w:r w:rsidRPr="00E1781F">
        <w:tab/>
      </w:r>
      <w:r w:rsidR="00BD4149" w:rsidRPr="0042762C">
        <w:rPr>
          <w:noProof/>
          <w:lang w:val="en-US"/>
        </w:rPr>
        <w:t>driving under the influence of drugs as defined in Article 3, point (h)</w:t>
      </w:r>
      <w:r w:rsidR="00920597">
        <w:rPr>
          <w:noProof/>
          <w:lang w:val="en-US"/>
        </w:rPr>
        <w:t>,</w:t>
      </w:r>
      <w:r w:rsidR="00BD4149" w:rsidRPr="0042762C">
        <w:rPr>
          <w:noProof/>
          <w:lang w:val="en-US"/>
        </w:rPr>
        <w:t xml:space="preserve"> of Directive (EU) 2015/413;</w:t>
      </w:r>
    </w:p>
    <w:p w:rsidR="00BD4149" w:rsidRPr="0042762C" w:rsidRDefault="00E1781F" w:rsidP="00E1781F">
      <w:pPr>
        <w:pStyle w:val="Point1"/>
        <w:rPr>
          <w:noProof/>
          <w:lang w:val="en-US"/>
        </w:rPr>
      </w:pPr>
      <w:r w:rsidRPr="00E1781F">
        <w:t>(d)</w:t>
      </w:r>
      <w:r w:rsidRPr="00E1781F">
        <w:tab/>
      </w:r>
      <w:r w:rsidR="00BD4149" w:rsidRPr="0042762C">
        <w:rPr>
          <w:noProof/>
          <w:lang w:val="en-US"/>
        </w:rPr>
        <w:t xml:space="preserve">a conduct which infringes road traffic regulations, </w:t>
      </w:r>
      <w:r w:rsidR="00BD4149">
        <w:rPr>
          <w:noProof/>
          <w:lang w:val="en-US"/>
        </w:rPr>
        <w:t>and which caused</w:t>
      </w:r>
      <w:r w:rsidR="00BD4149" w:rsidRPr="0042762C">
        <w:rPr>
          <w:noProof/>
          <w:lang w:val="en-US"/>
        </w:rPr>
        <w:t xml:space="preserve"> death or serious bodily injury;</w:t>
      </w:r>
    </w:p>
    <w:p w:rsidR="00BD4149" w:rsidRPr="0042762C" w:rsidRDefault="00E1781F" w:rsidP="00E1781F">
      <w:pPr>
        <w:pStyle w:val="Point0"/>
        <w:rPr>
          <w:noProof/>
          <w:lang w:val="en-US"/>
        </w:rPr>
      </w:pPr>
      <w:r w:rsidRPr="00E1781F">
        <w:t>(12)</w:t>
      </w:r>
      <w:r w:rsidRPr="00E1781F">
        <w:tab/>
      </w:r>
      <w:r w:rsidR="00C32C50" w:rsidDel="00AC235C">
        <w:rPr>
          <w:noProof/>
        </w:rPr>
        <w:t xml:space="preserve">‘normal residence’ means normal residence in accordance with Article 17 of [NEW </w:t>
      </w:r>
      <w:r w:rsidR="008C2F3B">
        <w:rPr>
          <w:noProof/>
        </w:rPr>
        <w:t xml:space="preserve">DIRECTIVE ON </w:t>
      </w:r>
      <w:r w:rsidR="00C32C50" w:rsidDel="00AC235C">
        <w:rPr>
          <w:noProof/>
        </w:rPr>
        <w:t>DRIVING LICENCE</w:t>
      </w:r>
      <w:r w:rsidR="008C2F3B">
        <w:rPr>
          <w:noProof/>
        </w:rPr>
        <w:t>S</w:t>
      </w:r>
      <w:r w:rsidR="00C32C50" w:rsidDel="00AC235C">
        <w:rPr>
          <w:noProof/>
        </w:rPr>
        <w:t>]</w:t>
      </w:r>
      <w:r w:rsidR="00C32C50">
        <w:rPr>
          <w:noProof/>
        </w:rPr>
        <w:t>.</w:t>
      </w:r>
    </w:p>
    <w:p w:rsidR="00BD4149" w:rsidRPr="0042762C" w:rsidRDefault="00BD4149" w:rsidP="00BD4149">
      <w:pPr>
        <w:shd w:val="clear" w:color="auto" w:fill="FFFFFF"/>
        <w:spacing w:before="240" w:after="240"/>
        <w:jc w:val="center"/>
        <w:rPr>
          <w:rFonts w:eastAsia="Times New Roman"/>
          <w:bCs/>
          <w:i/>
          <w:noProof/>
          <w:szCs w:val="24"/>
          <w:lang w:val="en-US"/>
        </w:rPr>
      </w:pPr>
      <w:r w:rsidRPr="0042762C">
        <w:rPr>
          <w:rFonts w:eastAsia="Times New Roman"/>
          <w:bCs/>
          <w:i/>
          <w:noProof/>
          <w:szCs w:val="24"/>
          <w:lang w:val="en-US"/>
        </w:rPr>
        <w:t>Article 3</w:t>
      </w:r>
    </w:p>
    <w:p w:rsidR="00BD4149" w:rsidRPr="0042762C" w:rsidRDefault="00BD4149" w:rsidP="00BD4149">
      <w:pPr>
        <w:shd w:val="clear" w:color="auto" w:fill="FFFFFF"/>
        <w:spacing w:before="240" w:after="240"/>
        <w:jc w:val="center"/>
        <w:rPr>
          <w:rFonts w:eastAsia="Times New Roman"/>
          <w:b/>
          <w:bCs/>
          <w:noProof/>
          <w:szCs w:val="24"/>
          <w:lang w:val="en-US"/>
        </w:rPr>
      </w:pPr>
      <w:r w:rsidRPr="0042762C">
        <w:rPr>
          <w:rFonts w:eastAsia="Times New Roman"/>
          <w:b/>
          <w:bCs/>
          <w:noProof/>
          <w:szCs w:val="24"/>
          <w:lang w:val="en-US"/>
        </w:rPr>
        <w:t>Union-wide effect of driving disqualifications</w:t>
      </w:r>
    </w:p>
    <w:p w:rsidR="00BD4149" w:rsidRPr="0042762C" w:rsidRDefault="007A6211" w:rsidP="00BD4149">
      <w:pPr>
        <w:spacing w:before="100" w:beforeAutospacing="1" w:after="100" w:afterAutospacing="1"/>
        <w:rPr>
          <w:rFonts w:eastAsia="Times New Roman"/>
          <w:noProof/>
          <w:color w:val="000000"/>
          <w:lang w:val="en-US" w:eastAsia="en-GB"/>
        </w:rPr>
      </w:pPr>
      <w:r>
        <w:rPr>
          <w:rFonts w:eastAsia="Times New Roman"/>
          <w:noProof/>
          <w:color w:val="000000"/>
          <w:lang w:eastAsia="en-GB"/>
        </w:rPr>
        <w:t>Member States shall ensure that a d</w:t>
      </w:r>
      <w:r w:rsidRPr="00673A4E">
        <w:rPr>
          <w:rFonts w:eastAsia="Times New Roman"/>
          <w:noProof/>
          <w:color w:val="000000"/>
          <w:lang w:eastAsia="en-GB"/>
        </w:rPr>
        <w:t>riving disqualification</w:t>
      </w:r>
      <w:r w:rsidRPr="004D4FAD">
        <w:rPr>
          <w:noProof/>
          <w:color w:val="000000"/>
        </w:rPr>
        <w:t xml:space="preserve"> </w:t>
      </w:r>
      <w:r w:rsidR="00BD4149" w:rsidRPr="0042762C">
        <w:rPr>
          <w:rFonts w:eastAsia="Times New Roman"/>
          <w:noProof/>
          <w:color w:val="000000"/>
          <w:lang w:val="en-US" w:eastAsia="en-GB"/>
        </w:rPr>
        <w:t xml:space="preserve">issued by a Member State with respect to a person who </w:t>
      </w:r>
      <w:r>
        <w:rPr>
          <w:rFonts w:eastAsia="Times New Roman"/>
          <w:noProof/>
          <w:color w:val="000000"/>
          <w:lang w:val="en-US" w:eastAsia="en-GB"/>
        </w:rPr>
        <w:t>does</w:t>
      </w:r>
      <w:r w:rsidR="00BD4149" w:rsidRPr="0042762C">
        <w:rPr>
          <w:rFonts w:eastAsia="Times New Roman"/>
          <w:noProof/>
          <w:color w:val="000000"/>
          <w:lang w:val="en-US" w:eastAsia="en-GB"/>
        </w:rPr>
        <w:t xml:space="preserve"> not </w:t>
      </w:r>
      <w:r>
        <w:rPr>
          <w:rFonts w:eastAsia="Times New Roman"/>
          <w:noProof/>
          <w:color w:val="000000"/>
          <w:lang w:val="en-US" w:eastAsia="en-GB"/>
        </w:rPr>
        <w:t>have its</w:t>
      </w:r>
      <w:r w:rsidR="00BD4149" w:rsidRPr="0042762C">
        <w:rPr>
          <w:rFonts w:eastAsia="Times New Roman"/>
          <w:noProof/>
          <w:color w:val="000000"/>
          <w:lang w:val="en-US" w:eastAsia="en-GB"/>
        </w:rPr>
        <w:t xml:space="preserve"> normal </w:t>
      </w:r>
      <w:r w:rsidR="00BD4149" w:rsidRPr="00DD5C3D">
        <w:rPr>
          <w:rFonts w:eastAsia="Times New Roman"/>
          <w:noProof/>
          <w:color w:val="000000"/>
          <w:lang w:val="en-US" w:eastAsia="en-GB"/>
        </w:rPr>
        <w:t>residen</w:t>
      </w:r>
      <w:r>
        <w:rPr>
          <w:rFonts w:eastAsia="Times New Roman"/>
          <w:noProof/>
          <w:color w:val="000000"/>
          <w:lang w:val="en-US" w:eastAsia="en-GB"/>
        </w:rPr>
        <w:t xml:space="preserve">ce </w:t>
      </w:r>
      <w:r>
        <w:rPr>
          <w:rFonts w:eastAsia="Times New Roman"/>
          <w:noProof/>
          <w:color w:val="000000"/>
          <w:lang w:eastAsia="en-GB"/>
        </w:rPr>
        <w:t>in that Member State</w:t>
      </w:r>
      <w:r w:rsidRPr="004D4FAD">
        <w:rPr>
          <w:noProof/>
          <w:color w:val="000000"/>
        </w:rPr>
        <w:t xml:space="preserve"> </w:t>
      </w:r>
      <w:r w:rsidR="00BD4149" w:rsidRPr="00DD5C3D">
        <w:rPr>
          <w:rFonts w:eastAsia="Times New Roman"/>
          <w:noProof/>
          <w:color w:val="000000"/>
          <w:lang w:val="en-US" w:eastAsia="en-GB"/>
        </w:rPr>
        <w:t>and who</w:t>
      </w:r>
      <w:r w:rsidR="00BD4149" w:rsidRPr="0042762C">
        <w:rPr>
          <w:rFonts w:eastAsia="Times New Roman"/>
          <w:noProof/>
          <w:color w:val="000000"/>
          <w:lang w:val="en-US" w:eastAsia="en-GB"/>
        </w:rPr>
        <w:t xml:space="preserve"> holds a driving licen</w:t>
      </w:r>
      <w:r w:rsidR="00473296">
        <w:rPr>
          <w:rFonts w:eastAsia="Times New Roman"/>
          <w:noProof/>
          <w:color w:val="000000"/>
          <w:lang w:val="en-US" w:eastAsia="en-GB"/>
        </w:rPr>
        <w:t>c</w:t>
      </w:r>
      <w:r w:rsidR="00BD4149" w:rsidRPr="0042762C">
        <w:rPr>
          <w:rFonts w:eastAsia="Times New Roman"/>
          <w:noProof/>
          <w:color w:val="000000"/>
          <w:lang w:val="en-US" w:eastAsia="en-GB"/>
        </w:rPr>
        <w:t xml:space="preserve">e issued by another Member State shall have effect across the entire territory of the Union in accordance with this Directive. </w:t>
      </w:r>
    </w:p>
    <w:p w:rsidR="00BD4149" w:rsidRPr="0042762C" w:rsidRDefault="00BD4149" w:rsidP="00BD4149">
      <w:pPr>
        <w:shd w:val="clear" w:color="auto" w:fill="FFFFFF"/>
        <w:spacing w:before="240" w:after="240"/>
        <w:jc w:val="center"/>
        <w:rPr>
          <w:rFonts w:eastAsia="Times New Roman"/>
          <w:bCs/>
          <w:i/>
          <w:noProof/>
          <w:szCs w:val="24"/>
          <w:lang w:val="en-US"/>
        </w:rPr>
      </w:pPr>
      <w:r w:rsidRPr="0042762C">
        <w:rPr>
          <w:rFonts w:eastAsia="Times New Roman"/>
          <w:bCs/>
          <w:i/>
          <w:noProof/>
          <w:szCs w:val="24"/>
          <w:lang w:val="en-US"/>
        </w:rPr>
        <w:t>Article 4</w:t>
      </w:r>
    </w:p>
    <w:p w:rsidR="00BD4149" w:rsidRPr="0042762C" w:rsidRDefault="00BD4149" w:rsidP="00BD4149">
      <w:pPr>
        <w:shd w:val="clear" w:color="auto" w:fill="FFFFFF"/>
        <w:spacing w:before="240" w:after="240"/>
        <w:jc w:val="center"/>
        <w:rPr>
          <w:rFonts w:eastAsia="Times New Roman"/>
          <w:b/>
          <w:bCs/>
          <w:noProof/>
          <w:szCs w:val="24"/>
          <w:lang w:val="en-US"/>
        </w:rPr>
      </w:pPr>
      <w:r w:rsidRPr="0042762C">
        <w:rPr>
          <w:rFonts w:eastAsia="Times New Roman"/>
          <w:b/>
          <w:bCs/>
          <w:noProof/>
          <w:szCs w:val="24"/>
          <w:lang w:val="en-US"/>
        </w:rPr>
        <w:t xml:space="preserve"> Duty to notify a driving disqualification</w:t>
      </w:r>
    </w:p>
    <w:p w:rsidR="00BD4149" w:rsidRPr="0042762C" w:rsidRDefault="00E1781F" w:rsidP="00E1781F">
      <w:pPr>
        <w:pStyle w:val="ManualNumPar1"/>
        <w:rPr>
          <w:noProof/>
          <w:lang w:val="en-US"/>
        </w:rPr>
      </w:pPr>
      <w:r w:rsidRPr="00E1781F">
        <w:t>1.</w:t>
      </w:r>
      <w:r w:rsidRPr="00E1781F">
        <w:tab/>
      </w:r>
      <w:r w:rsidR="00BD4149" w:rsidRPr="0042762C">
        <w:rPr>
          <w:noProof/>
          <w:lang w:val="en-US"/>
        </w:rPr>
        <w:t xml:space="preserve">The Member State of the offence shall notify the Member State of issuance of any driving disqualification </w:t>
      </w:r>
      <w:r w:rsidR="00BD4149" w:rsidRPr="0042762C">
        <w:rPr>
          <w:noProof/>
          <w:szCs w:val="24"/>
          <w:lang w:val="en-US"/>
        </w:rPr>
        <w:t>imposed for</w:t>
      </w:r>
      <w:r w:rsidR="00BD4149" w:rsidRPr="0042762C">
        <w:rPr>
          <w:noProof/>
          <w:lang w:val="en-US"/>
        </w:rPr>
        <w:t xml:space="preserve"> a duration of one month or more on a person</w:t>
      </w:r>
      <w:r w:rsidR="00473296">
        <w:rPr>
          <w:noProof/>
          <w:lang w:val="en-US"/>
        </w:rPr>
        <w:t xml:space="preserve"> who does</w:t>
      </w:r>
      <w:r w:rsidR="00BD4149" w:rsidRPr="0042762C">
        <w:rPr>
          <w:noProof/>
          <w:lang w:val="en-US"/>
        </w:rPr>
        <w:t xml:space="preserve"> not hav</w:t>
      </w:r>
      <w:r w:rsidR="00473296">
        <w:rPr>
          <w:noProof/>
          <w:lang w:val="en-US"/>
        </w:rPr>
        <w:t>e its</w:t>
      </w:r>
      <w:r w:rsidR="00BD4149" w:rsidRPr="0042762C">
        <w:rPr>
          <w:noProof/>
          <w:lang w:val="en-US"/>
        </w:rPr>
        <w:t xml:space="preserve"> normal residence in the Member State of the offence and who holds a driving licen</w:t>
      </w:r>
      <w:r w:rsidR="00473296">
        <w:rPr>
          <w:noProof/>
          <w:lang w:val="en-US"/>
        </w:rPr>
        <w:t>c</w:t>
      </w:r>
      <w:r w:rsidR="00BD4149" w:rsidRPr="0042762C">
        <w:rPr>
          <w:noProof/>
          <w:lang w:val="en-US"/>
        </w:rPr>
        <w:t>e issued by the Member State of issuance.</w:t>
      </w:r>
    </w:p>
    <w:p w:rsidR="00BD4149" w:rsidRPr="0042762C" w:rsidRDefault="00E1781F" w:rsidP="00E1781F">
      <w:pPr>
        <w:pStyle w:val="ManualNumPar1"/>
        <w:rPr>
          <w:noProof/>
          <w:lang w:val="en-US"/>
        </w:rPr>
      </w:pPr>
      <w:r w:rsidRPr="00E1781F">
        <w:t>2.</w:t>
      </w:r>
      <w:r w:rsidRPr="00E1781F">
        <w:tab/>
      </w:r>
      <w:r w:rsidR="00BD4149" w:rsidRPr="0042762C">
        <w:rPr>
          <w:noProof/>
          <w:lang w:val="en-US"/>
        </w:rPr>
        <w:t xml:space="preserve">The notification referred to in paragraph 1 shall be </w:t>
      </w:r>
      <w:r w:rsidR="00473296">
        <w:rPr>
          <w:noProof/>
          <w:lang w:val="en-US"/>
        </w:rPr>
        <w:t>made</w:t>
      </w:r>
      <w:r w:rsidR="00BD4149" w:rsidRPr="0042762C">
        <w:rPr>
          <w:noProof/>
          <w:lang w:val="en-US"/>
        </w:rPr>
        <w:t xml:space="preserve"> by means of a standard certificate as provided for in Article 5</w:t>
      </w:r>
      <w:r w:rsidR="00C244E1">
        <w:rPr>
          <w:noProof/>
          <w:lang w:val="en-US"/>
        </w:rPr>
        <w:t xml:space="preserve"> </w:t>
      </w:r>
      <w:r w:rsidR="00C244E1">
        <w:rPr>
          <w:noProof/>
        </w:rPr>
        <w:t>and in accordance with the procedure set out in paragraph 3</w:t>
      </w:r>
      <w:r w:rsidR="00C244E1" w:rsidRPr="00673A4E">
        <w:rPr>
          <w:noProof/>
        </w:rPr>
        <w:t>.</w:t>
      </w:r>
      <w:r w:rsidR="00BD4149" w:rsidRPr="0042762C">
        <w:rPr>
          <w:noProof/>
          <w:lang w:val="en-US"/>
        </w:rPr>
        <w:t xml:space="preserve"> </w:t>
      </w:r>
    </w:p>
    <w:p w:rsidR="00BD4149" w:rsidRPr="0042762C" w:rsidRDefault="00E1781F" w:rsidP="00E1781F">
      <w:pPr>
        <w:pStyle w:val="ManualNumPar1"/>
        <w:rPr>
          <w:noProof/>
          <w:lang w:val="en-US"/>
        </w:rPr>
      </w:pPr>
      <w:r w:rsidRPr="00E1781F">
        <w:t>3.</w:t>
      </w:r>
      <w:r w:rsidRPr="00E1781F">
        <w:tab/>
      </w:r>
      <w:r w:rsidR="00BD4149" w:rsidRPr="0042762C">
        <w:rPr>
          <w:noProof/>
          <w:lang w:val="en-US"/>
        </w:rPr>
        <w:t>The national contact point of the Member State of the offence shall</w:t>
      </w:r>
      <w:r w:rsidR="00C244E1">
        <w:rPr>
          <w:noProof/>
          <w:lang w:val="en-US"/>
        </w:rPr>
        <w:t xml:space="preserve"> </w:t>
      </w:r>
      <w:r w:rsidR="00C244E1">
        <w:rPr>
          <w:noProof/>
        </w:rPr>
        <w:t>complete, sign and</w:t>
      </w:r>
      <w:r w:rsidR="00BD4149" w:rsidRPr="0042762C">
        <w:rPr>
          <w:noProof/>
          <w:lang w:val="en-US"/>
        </w:rPr>
        <w:t xml:space="preserve"> transmit the certificate directly to the national contact point of the Member State of issuance, which shall forward</w:t>
      </w:r>
      <w:r w:rsidR="00C244E1">
        <w:rPr>
          <w:noProof/>
          <w:lang w:val="en-US"/>
        </w:rPr>
        <w:t xml:space="preserve"> it</w:t>
      </w:r>
      <w:r w:rsidR="00BD4149" w:rsidRPr="0042762C">
        <w:rPr>
          <w:noProof/>
          <w:lang w:val="en-US"/>
        </w:rPr>
        <w:t xml:space="preserve"> to the authority competent </w:t>
      </w:r>
      <w:r w:rsidR="00C244E1">
        <w:rPr>
          <w:noProof/>
          <w:lang w:val="en-US"/>
        </w:rPr>
        <w:t>for</w:t>
      </w:r>
      <w:r w:rsidR="00BD4149" w:rsidRPr="0042762C">
        <w:rPr>
          <w:noProof/>
          <w:lang w:val="en-US"/>
        </w:rPr>
        <w:t xml:space="preserve"> ensur</w:t>
      </w:r>
      <w:r w:rsidR="00C244E1">
        <w:rPr>
          <w:noProof/>
          <w:lang w:val="en-US"/>
        </w:rPr>
        <w:t>ing</w:t>
      </w:r>
      <w:r w:rsidR="00BD4149" w:rsidRPr="0042762C">
        <w:rPr>
          <w:noProof/>
          <w:lang w:val="en-US"/>
        </w:rPr>
        <w:t xml:space="preserve"> the Union-wide effect of the driving disqualification. The driving licence of the person concerned, when it has been seized, and the original decision</w:t>
      </w:r>
      <w:r w:rsidR="00C244E1">
        <w:rPr>
          <w:noProof/>
          <w:lang w:val="en-US"/>
        </w:rPr>
        <w:t xml:space="preserve"> </w:t>
      </w:r>
      <w:r w:rsidR="00C244E1">
        <w:rPr>
          <w:noProof/>
        </w:rPr>
        <w:t>imposing the driving disqualification</w:t>
      </w:r>
      <w:r w:rsidR="00BD4149" w:rsidRPr="0042762C">
        <w:rPr>
          <w:noProof/>
          <w:lang w:val="en-US"/>
        </w:rPr>
        <w:t xml:space="preserve"> or a certified copy thereof shall also be forwarded to the </w:t>
      </w:r>
      <w:r w:rsidR="00C244E1">
        <w:rPr>
          <w:noProof/>
        </w:rPr>
        <w:t>national contact point</w:t>
      </w:r>
      <w:r w:rsidR="00BD4149" w:rsidRPr="0042762C">
        <w:rPr>
          <w:noProof/>
          <w:lang w:val="en-US"/>
        </w:rPr>
        <w:t xml:space="preserve"> of the Member State of issuance</w:t>
      </w:r>
      <w:r w:rsidR="00C244E1">
        <w:rPr>
          <w:noProof/>
          <w:lang w:val="en-US"/>
        </w:rPr>
        <w:t xml:space="preserve"> by the </w:t>
      </w:r>
      <w:r w:rsidR="00C244E1">
        <w:rPr>
          <w:noProof/>
        </w:rPr>
        <w:t>national contact point of the Member State of the offence</w:t>
      </w:r>
      <w:r w:rsidR="00BD4149" w:rsidRPr="0042762C">
        <w:rPr>
          <w:noProof/>
          <w:lang w:val="en-US"/>
        </w:rPr>
        <w:t>. There shall be no obligation for the Member State of the offence to translate the original decision or its certified copy.</w:t>
      </w:r>
    </w:p>
    <w:p w:rsidR="00BD4149" w:rsidRPr="0042762C" w:rsidRDefault="00BD4149" w:rsidP="00BD4149">
      <w:pPr>
        <w:spacing w:before="0" w:after="0"/>
        <w:rPr>
          <w:rFonts w:eastAsia="Times New Roman"/>
          <w:noProof/>
          <w:szCs w:val="24"/>
          <w:lang w:val="en-US"/>
        </w:rPr>
      </w:pPr>
    </w:p>
    <w:p w:rsidR="00BD4149" w:rsidRPr="0042762C" w:rsidRDefault="00BD4149" w:rsidP="00BD4149">
      <w:pPr>
        <w:spacing w:before="0" w:after="0"/>
        <w:rPr>
          <w:rFonts w:eastAsia="Times New Roman"/>
          <w:noProof/>
          <w:szCs w:val="24"/>
          <w:lang w:val="en-US"/>
        </w:rPr>
      </w:pPr>
    </w:p>
    <w:p w:rsidR="00BD4149" w:rsidRPr="0042762C" w:rsidRDefault="00BD4149" w:rsidP="00BD4149">
      <w:pPr>
        <w:spacing w:before="0" w:after="0"/>
        <w:jc w:val="center"/>
        <w:rPr>
          <w:rFonts w:eastAsia="Times New Roman"/>
          <w:i/>
          <w:iCs/>
          <w:noProof/>
          <w:szCs w:val="24"/>
          <w:lang w:val="en-US"/>
        </w:rPr>
      </w:pPr>
      <w:r w:rsidRPr="0042762C">
        <w:rPr>
          <w:rFonts w:eastAsia="Times New Roman"/>
          <w:i/>
          <w:iCs/>
          <w:noProof/>
          <w:szCs w:val="24"/>
          <w:lang w:val="en-US"/>
        </w:rPr>
        <w:t>Article 5</w:t>
      </w:r>
    </w:p>
    <w:p w:rsidR="00BD4149" w:rsidRPr="0042762C" w:rsidRDefault="00BD4149" w:rsidP="00BD4149">
      <w:pPr>
        <w:spacing w:before="0" w:after="0"/>
        <w:jc w:val="center"/>
        <w:rPr>
          <w:rFonts w:eastAsia="Times New Roman"/>
          <w:i/>
          <w:iCs/>
          <w:noProof/>
          <w:szCs w:val="24"/>
          <w:lang w:val="en-US"/>
        </w:rPr>
      </w:pPr>
    </w:p>
    <w:p w:rsidR="00BD4149" w:rsidRPr="0042762C" w:rsidRDefault="00BD4149" w:rsidP="00BD4149">
      <w:pPr>
        <w:spacing w:before="0" w:after="0"/>
        <w:jc w:val="center"/>
        <w:rPr>
          <w:rFonts w:eastAsia="Times New Roman"/>
          <w:b/>
          <w:bCs/>
          <w:noProof/>
          <w:szCs w:val="24"/>
          <w:lang w:val="en-US"/>
        </w:rPr>
      </w:pPr>
      <w:r w:rsidRPr="0042762C">
        <w:rPr>
          <w:rFonts w:eastAsia="Times New Roman"/>
          <w:b/>
          <w:bCs/>
          <w:noProof/>
          <w:szCs w:val="24"/>
          <w:lang w:val="en-US"/>
        </w:rPr>
        <w:t>Standard certificate and means of transmission</w:t>
      </w:r>
    </w:p>
    <w:p w:rsidR="00BD4149" w:rsidRPr="0042762C" w:rsidRDefault="00BD4149" w:rsidP="00BD4149">
      <w:pPr>
        <w:spacing w:before="0" w:after="0"/>
        <w:jc w:val="center"/>
        <w:rPr>
          <w:rFonts w:eastAsia="Times New Roman"/>
          <w:b/>
          <w:bCs/>
          <w:noProof/>
          <w:szCs w:val="24"/>
          <w:lang w:val="en-US"/>
        </w:rPr>
      </w:pPr>
    </w:p>
    <w:p w:rsidR="00BD4149" w:rsidRPr="00FE6792" w:rsidRDefault="00E1781F" w:rsidP="00E1781F">
      <w:pPr>
        <w:pStyle w:val="ManualNumPar1"/>
        <w:rPr>
          <w:rFonts w:eastAsia="Times New Roman"/>
          <w:noProof/>
          <w:szCs w:val="24"/>
          <w:lang w:val="en-US"/>
        </w:rPr>
      </w:pPr>
      <w:r w:rsidRPr="00E1781F">
        <w:t>1.</w:t>
      </w:r>
      <w:r w:rsidRPr="00E1781F">
        <w:tab/>
      </w:r>
      <w:r w:rsidR="00BD4149" w:rsidRPr="00FE6792">
        <w:rPr>
          <w:noProof/>
          <w:lang w:val="en-US"/>
        </w:rPr>
        <w:t>Before [the date of transposition set out in Article 19], the Commission shall</w:t>
      </w:r>
      <w:r w:rsidR="00FE6792" w:rsidRPr="00FE6792">
        <w:rPr>
          <w:noProof/>
          <w:lang w:val="en-US"/>
        </w:rPr>
        <w:t>, by way of</w:t>
      </w:r>
      <w:r w:rsidR="00BD4149" w:rsidRPr="00FE6792">
        <w:rPr>
          <w:noProof/>
          <w:lang w:val="en-US"/>
        </w:rPr>
        <w:t xml:space="preserve"> an implementing act</w:t>
      </w:r>
      <w:r w:rsidR="00FE6792">
        <w:rPr>
          <w:noProof/>
          <w:lang w:val="en-US"/>
        </w:rPr>
        <w:t>,</w:t>
      </w:r>
      <w:r w:rsidR="00BD4149" w:rsidRPr="00FE6792">
        <w:rPr>
          <w:noProof/>
          <w:lang w:val="en-US"/>
        </w:rPr>
        <w:t xml:space="preserve"> establish the format and content of </w:t>
      </w:r>
      <w:r w:rsidR="00FE6792" w:rsidRPr="00FE6792">
        <w:rPr>
          <w:noProof/>
          <w:lang w:val="en-US"/>
        </w:rPr>
        <w:t>the</w:t>
      </w:r>
      <w:r w:rsidR="00BD4149" w:rsidRPr="00FE6792">
        <w:rPr>
          <w:noProof/>
          <w:lang w:val="en-US"/>
        </w:rPr>
        <w:t xml:space="preserve"> standard certificate for </w:t>
      </w:r>
      <w:r w:rsidR="00FE6792" w:rsidRPr="00FE6792">
        <w:rPr>
          <w:noProof/>
          <w:lang w:val="en-US"/>
        </w:rPr>
        <w:t>the notification</w:t>
      </w:r>
      <w:r w:rsidR="00BD4149" w:rsidRPr="00FE6792">
        <w:rPr>
          <w:noProof/>
          <w:lang w:val="en-US"/>
        </w:rPr>
        <w:t xml:space="preserve"> of a driving disqualification.</w:t>
      </w:r>
      <w:r w:rsidR="00FE6792" w:rsidRPr="00FE6792">
        <w:rPr>
          <w:noProof/>
          <w:lang w:val="en-US"/>
        </w:rPr>
        <w:t xml:space="preserve"> That implementing act shall be adopted in accordance with the examination procedure referred to in Article 17(2).</w:t>
      </w:r>
    </w:p>
    <w:p w:rsidR="00BD4149" w:rsidRPr="0042762C" w:rsidRDefault="00E1781F" w:rsidP="00E1781F">
      <w:pPr>
        <w:pStyle w:val="ManualNumPar1"/>
        <w:rPr>
          <w:noProof/>
          <w:lang w:val="en-US"/>
        </w:rPr>
      </w:pPr>
      <w:r w:rsidRPr="00E1781F">
        <w:t>2.</w:t>
      </w:r>
      <w:r w:rsidRPr="00E1781F">
        <w:tab/>
      </w:r>
      <w:r w:rsidR="00BD4149" w:rsidRPr="0042762C">
        <w:rPr>
          <w:noProof/>
          <w:lang w:val="en-US"/>
        </w:rPr>
        <w:t xml:space="preserve">The certificate shall contain </w:t>
      </w:r>
      <w:r w:rsidR="00E356E6">
        <w:rPr>
          <w:noProof/>
          <w:lang w:val="en-US"/>
        </w:rPr>
        <w:t>t</w:t>
      </w:r>
      <w:r w:rsidR="00BD4149" w:rsidRPr="0042762C">
        <w:rPr>
          <w:noProof/>
          <w:lang w:val="en-US"/>
        </w:rPr>
        <w:t xml:space="preserve">he following information: </w:t>
      </w:r>
    </w:p>
    <w:p w:rsidR="00BD4149" w:rsidRPr="0042762C" w:rsidRDefault="00E1781F" w:rsidP="00E1781F">
      <w:pPr>
        <w:pStyle w:val="Point1"/>
        <w:rPr>
          <w:noProof/>
          <w:lang w:val="en-US"/>
        </w:rPr>
      </w:pPr>
      <w:r w:rsidRPr="00E1781F">
        <w:t>(a)</w:t>
      </w:r>
      <w:r w:rsidRPr="00E1781F">
        <w:tab/>
      </w:r>
      <w:r w:rsidR="00E356E6">
        <w:rPr>
          <w:noProof/>
          <w:lang w:val="en-US"/>
        </w:rPr>
        <w:t>information</w:t>
      </w:r>
      <w:r w:rsidR="00BD4149" w:rsidRPr="0042762C">
        <w:rPr>
          <w:noProof/>
          <w:lang w:val="en-US"/>
        </w:rPr>
        <w:t xml:space="preserve"> about the authority </w:t>
      </w:r>
      <w:r w:rsidR="00E356E6">
        <w:rPr>
          <w:noProof/>
          <w:szCs w:val="24"/>
        </w:rPr>
        <w:t>that imposed the driving disqualification in</w:t>
      </w:r>
      <w:r w:rsidR="00E356E6" w:rsidRPr="004D4FAD">
        <w:rPr>
          <w:noProof/>
        </w:rPr>
        <w:t xml:space="preserve"> </w:t>
      </w:r>
      <w:r w:rsidR="00BD4149" w:rsidRPr="0042762C">
        <w:rPr>
          <w:noProof/>
          <w:lang w:val="en-US"/>
        </w:rPr>
        <w:t xml:space="preserve"> the Member State of the offence; </w:t>
      </w:r>
    </w:p>
    <w:p w:rsidR="00BD4149" w:rsidRPr="0042762C" w:rsidRDefault="00E1781F" w:rsidP="00E1781F">
      <w:pPr>
        <w:pStyle w:val="Point1"/>
        <w:rPr>
          <w:noProof/>
          <w:lang w:val="en-US"/>
        </w:rPr>
      </w:pPr>
      <w:r w:rsidRPr="00E1781F">
        <w:t>(b)</w:t>
      </w:r>
      <w:r w:rsidRPr="00E1781F">
        <w:tab/>
      </w:r>
      <w:r w:rsidR="00BD4149" w:rsidRPr="0042762C">
        <w:rPr>
          <w:noProof/>
          <w:lang w:val="en-US"/>
        </w:rPr>
        <w:t>the description of the</w:t>
      </w:r>
      <w:r w:rsidR="00E356E6">
        <w:rPr>
          <w:noProof/>
          <w:lang w:val="en-US"/>
        </w:rPr>
        <w:t xml:space="preserve"> </w:t>
      </w:r>
      <w:r w:rsidR="00E356E6" w:rsidRPr="00673A4E">
        <w:rPr>
          <w:noProof/>
          <w:szCs w:val="24"/>
        </w:rPr>
        <w:t>major road-safety-related traffic</w:t>
      </w:r>
      <w:r w:rsidR="00BD4149" w:rsidRPr="0042762C">
        <w:rPr>
          <w:noProof/>
          <w:lang w:val="en-US"/>
        </w:rPr>
        <w:t xml:space="preserve"> offence and the facts leading to the imposition of the driving disqualification;</w:t>
      </w:r>
    </w:p>
    <w:p w:rsidR="00BD4149" w:rsidRPr="0042762C" w:rsidRDefault="00E1781F" w:rsidP="00E1781F">
      <w:pPr>
        <w:pStyle w:val="Point1"/>
        <w:rPr>
          <w:noProof/>
          <w:lang w:val="en-US"/>
        </w:rPr>
      </w:pPr>
      <w:r w:rsidRPr="00E1781F">
        <w:t>(c)</w:t>
      </w:r>
      <w:r w:rsidRPr="00E1781F">
        <w:tab/>
      </w:r>
      <w:r w:rsidR="00E356E6">
        <w:rPr>
          <w:noProof/>
        </w:rPr>
        <w:t xml:space="preserve">the </w:t>
      </w:r>
      <w:r w:rsidR="00BD4149" w:rsidRPr="0042762C">
        <w:rPr>
          <w:noProof/>
        </w:rPr>
        <w:t>name</w:t>
      </w:r>
      <w:r w:rsidR="00E356E6">
        <w:rPr>
          <w:noProof/>
        </w:rPr>
        <w:t xml:space="preserve"> and</w:t>
      </w:r>
      <w:r w:rsidR="00BD4149" w:rsidRPr="0042762C">
        <w:rPr>
          <w:noProof/>
        </w:rPr>
        <w:t xml:space="preserve"> address</w:t>
      </w:r>
      <w:r w:rsidR="00E356E6">
        <w:rPr>
          <w:noProof/>
        </w:rPr>
        <w:t xml:space="preserve"> of the person concerned,</w:t>
      </w:r>
      <w:r w:rsidR="00BD4149" w:rsidRPr="0042762C">
        <w:rPr>
          <w:noProof/>
        </w:rPr>
        <w:t xml:space="preserve"> and</w:t>
      </w:r>
      <w:r w:rsidR="00E356E6">
        <w:rPr>
          <w:noProof/>
        </w:rPr>
        <w:t xml:space="preserve"> the</w:t>
      </w:r>
      <w:r w:rsidR="00BD4149" w:rsidRPr="0042762C">
        <w:rPr>
          <w:noProof/>
        </w:rPr>
        <w:t xml:space="preserve"> number of the driving li</w:t>
      </w:r>
      <w:r w:rsidR="00BD4149">
        <w:rPr>
          <w:noProof/>
        </w:rPr>
        <w:t>c</w:t>
      </w:r>
      <w:r w:rsidR="00BD4149" w:rsidRPr="0042762C">
        <w:rPr>
          <w:noProof/>
        </w:rPr>
        <w:t xml:space="preserve">ence, and if </w:t>
      </w:r>
      <w:r w:rsidR="00E356E6">
        <w:rPr>
          <w:noProof/>
        </w:rPr>
        <w:t>necessary</w:t>
      </w:r>
      <w:r w:rsidR="00BD4149" w:rsidRPr="0042762C">
        <w:rPr>
          <w:noProof/>
        </w:rPr>
        <w:t>, of the national identification documents of the person concerned</w:t>
      </w:r>
      <w:r w:rsidR="00E356E6">
        <w:rPr>
          <w:noProof/>
        </w:rPr>
        <w:t>, where available</w:t>
      </w:r>
      <w:r w:rsidR="00BD4149" w:rsidRPr="0042762C">
        <w:rPr>
          <w:noProof/>
          <w:lang w:val="en-US"/>
        </w:rPr>
        <w:t xml:space="preserve">; </w:t>
      </w:r>
    </w:p>
    <w:p w:rsidR="00BD4149" w:rsidRPr="0042762C" w:rsidRDefault="00E1781F" w:rsidP="00E1781F">
      <w:pPr>
        <w:pStyle w:val="Point1"/>
        <w:rPr>
          <w:noProof/>
          <w:lang w:val="en-US"/>
        </w:rPr>
      </w:pPr>
      <w:r w:rsidRPr="00E1781F">
        <w:t>(d)</w:t>
      </w:r>
      <w:r w:rsidRPr="00E1781F">
        <w:tab/>
      </w:r>
      <w:r w:rsidR="00BD4149" w:rsidRPr="0042762C">
        <w:rPr>
          <w:noProof/>
          <w:lang w:val="en-US"/>
        </w:rPr>
        <w:t>the applicable</w:t>
      </w:r>
      <w:r w:rsidR="00E356E6">
        <w:rPr>
          <w:noProof/>
          <w:lang w:val="en-US"/>
        </w:rPr>
        <w:t xml:space="preserve"> legal</w:t>
      </w:r>
      <w:r w:rsidR="00BD4149" w:rsidRPr="0042762C">
        <w:rPr>
          <w:noProof/>
          <w:lang w:val="en-US"/>
        </w:rPr>
        <w:t xml:space="preserve"> provisions of the Member State of the offence;</w:t>
      </w:r>
    </w:p>
    <w:p w:rsidR="00BD4149" w:rsidRPr="0042762C" w:rsidRDefault="00E1781F" w:rsidP="00E1781F">
      <w:pPr>
        <w:pStyle w:val="Point1"/>
        <w:rPr>
          <w:noProof/>
          <w:lang w:val="en-US"/>
        </w:rPr>
      </w:pPr>
      <w:r w:rsidRPr="00E1781F">
        <w:t>(e)</w:t>
      </w:r>
      <w:r w:rsidRPr="00E1781F">
        <w:tab/>
      </w:r>
      <w:r w:rsidR="00BD4149" w:rsidRPr="0042762C">
        <w:rPr>
          <w:noProof/>
          <w:lang w:val="en-US"/>
        </w:rPr>
        <w:t>the procedures followed and the precise scope and content of the driving disqualification, including, if applicable, the date on which the suspension</w:t>
      </w:r>
      <w:r w:rsidR="00E75897">
        <w:rPr>
          <w:noProof/>
          <w:lang w:val="en-US"/>
        </w:rPr>
        <w:t xml:space="preserve"> or</w:t>
      </w:r>
      <w:r w:rsidR="00A00DCD">
        <w:rPr>
          <w:noProof/>
          <w:lang w:val="en-US"/>
        </w:rPr>
        <w:t xml:space="preserve"> the</w:t>
      </w:r>
      <w:r w:rsidR="00E75897">
        <w:rPr>
          <w:noProof/>
          <w:lang w:val="en-US"/>
        </w:rPr>
        <w:t xml:space="preserve"> restriction</w:t>
      </w:r>
      <w:r w:rsidR="00BD4149" w:rsidRPr="0042762C">
        <w:rPr>
          <w:noProof/>
          <w:lang w:val="en-US"/>
        </w:rPr>
        <w:t xml:space="preserve"> ceases to have effect, and any additional conditions set by the Member States of the offence; </w:t>
      </w:r>
    </w:p>
    <w:p w:rsidR="00BD4149" w:rsidRPr="0042762C" w:rsidRDefault="00E1781F" w:rsidP="00E1781F">
      <w:pPr>
        <w:pStyle w:val="Point1"/>
        <w:rPr>
          <w:rFonts w:eastAsia="Times New Roman"/>
          <w:noProof/>
          <w:lang w:val="en-US"/>
        </w:rPr>
      </w:pPr>
      <w:r w:rsidRPr="00E1781F">
        <w:t>(f)</w:t>
      </w:r>
      <w:r w:rsidRPr="00E1781F">
        <w:tab/>
      </w:r>
      <w:r w:rsidR="00BD4149" w:rsidRPr="0042762C">
        <w:rPr>
          <w:noProof/>
          <w:lang w:val="en-US"/>
        </w:rPr>
        <w:t>the period</w:t>
      </w:r>
      <w:r w:rsidR="00E75897">
        <w:rPr>
          <w:noProof/>
          <w:lang w:val="en-US"/>
        </w:rPr>
        <w:t xml:space="preserve"> (in days)</w:t>
      </w:r>
      <w:r w:rsidR="00BD4149" w:rsidRPr="0042762C">
        <w:rPr>
          <w:noProof/>
          <w:lang w:val="en-US"/>
        </w:rPr>
        <w:t xml:space="preserve"> of the driving disqualification imposed by the </w:t>
      </w:r>
      <w:r w:rsidR="00BD4149">
        <w:rPr>
          <w:noProof/>
          <w:lang w:val="en-US"/>
        </w:rPr>
        <w:t xml:space="preserve">Member </w:t>
      </w:r>
      <w:r w:rsidR="00BD4149" w:rsidRPr="0042762C">
        <w:rPr>
          <w:noProof/>
          <w:lang w:val="en-US"/>
        </w:rPr>
        <w:t xml:space="preserve">State </w:t>
      </w:r>
      <w:r w:rsidR="00BD4149">
        <w:rPr>
          <w:noProof/>
          <w:lang w:val="en-US"/>
        </w:rPr>
        <w:t>of the offence</w:t>
      </w:r>
      <w:r w:rsidR="00E75897">
        <w:rPr>
          <w:noProof/>
          <w:lang w:val="en-US"/>
        </w:rPr>
        <w:t>,</w:t>
      </w:r>
      <w:r w:rsidR="00BD4149">
        <w:rPr>
          <w:noProof/>
          <w:lang w:val="en-US"/>
        </w:rPr>
        <w:t xml:space="preserve"> </w:t>
      </w:r>
      <w:r w:rsidR="00BD4149" w:rsidRPr="0042762C">
        <w:rPr>
          <w:noProof/>
          <w:lang w:val="en-US"/>
        </w:rPr>
        <w:t>which has already been served in that Member State</w:t>
      </w:r>
      <w:r w:rsidR="00E75897">
        <w:rPr>
          <w:noProof/>
          <w:lang w:val="en-US"/>
        </w:rPr>
        <w:t>,</w:t>
      </w:r>
      <w:r w:rsidR="00BD4149" w:rsidRPr="0042762C">
        <w:rPr>
          <w:noProof/>
          <w:lang w:val="en-US"/>
        </w:rPr>
        <w:t xml:space="preserve"> where applicable.</w:t>
      </w:r>
    </w:p>
    <w:p w:rsidR="00BD4149" w:rsidRPr="0042762C" w:rsidRDefault="00E1781F" w:rsidP="00E1781F">
      <w:pPr>
        <w:pStyle w:val="ManualNumPar1"/>
        <w:rPr>
          <w:noProof/>
          <w:lang w:val="en-US"/>
        </w:rPr>
      </w:pPr>
      <w:r w:rsidRPr="00E1781F">
        <w:t>3.</w:t>
      </w:r>
      <w:r w:rsidRPr="00E1781F">
        <w:tab/>
      </w:r>
      <w:r w:rsidR="00BD4149" w:rsidRPr="0042762C">
        <w:rPr>
          <w:noProof/>
          <w:lang w:val="en-US"/>
        </w:rPr>
        <w:t xml:space="preserve">The Member State of the offence shall provide the Member State of issuance with a translation of the certificate in an official language of the Member State of issuance or in any other language that the Member State of issuance has accepted in accordance with paragraph </w:t>
      </w:r>
      <w:r w:rsidR="00E75897">
        <w:rPr>
          <w:noProof/>
          <w:lang w:val="en-US"/>
        </w:rPr>
        <w:t>4</w:t>
      </w:r>
      <w:r w:rsidR="00BD4149" w:rsidRPr="0042762C">
        <w:rPr>
          <w:noProof/>
          <w:lang w:val="en-US"/>
        </w:rPr>
        <w:t xml:space="preserve">. </w:t>
      </w:r>
    </w:p>
    <w:p w:rsidR="00BD4149" w:rsidRPr="0042762C" w:rsidRDefault="00E1781F" w:rsidP="00E1781F">
      <w:pPr>
        <w:pStyle w:val="ManualNumPar1"/>
        <w:rPr>
          <w:noProof/>
          <w:lang w:val="en-US"/>
        </w:rPr>
      </w:pPr>
      <w:r w:rsidRPr="00E1781F">
        <w:t>4.</w:t>
      </w:r>
      <w:r w:rsidRPr="00E1781F">
        <w:tab/>
      </w:r>
      <w:r w:rsidR="00BD4149" w:rsidRPr="0042762C">
        <w:rPr>
          <w:noProof/>
          <w:lang w:val="en-US"/>
        </w:rPr>
        <w:t>Any Member State may, at any time, state in a declaration notified to the Commission that it will accept translations of certificates in one or more official languages of the Union other than the official language or languages of that Member State. Such declaration can be withdrawn at any time. The Commission shall make the declarations</w:t>
      </w:r>
      <w:r w:rsidR="00E75897">
        <w:rPr>
          <w:noProof/>
          <w:lang w:val="en-US"/>
        </w:rPr>
        <w:t xml:space="preserve"> </w:t>
      </w:r>
      <w:r w:rsidR="00E75897">
        <w:rPr>
          <w:noProof/>
        </w:rPr>
        <w:t>and any withdrawals thereof</w:t>
      </w:r>
      <w:r w:rsidR="00BD4149" w:rsidRPr="0042762C">
        <w:rPr>
          <w:noProof/>
          <w:lang w:val="en-US"/>
        </w:rPr>
        <w:t xml:space="preserve"> available to all Member States.</w:t>
      </w:r>
    </w:p>
    <w:p w:rsidR="00BD4149" w:rsidRPr="0042762C" w:rsidRDefault="00E1781F" w:rsidP="00E1781F">
      <w:pPr>
        <w:pStyle w:val="ManualNumPar1"/>
        <w:rPr>
          <w:noProof/>
          <w:lang w:val="en-US"/>
        </w:rPr>
      </w:pPr>
      <w:r w:rsidRPr="00E1781F">
        <w:t>5.</w:t>
      </w:r>
      <w:r w:rsidRPr="00E1781F">
        <w:tab/>
      </w:r>
      <w:r w:rsidR="00BD4149" w:rsidRPr="0042762C">
        <w:rPr>
          <w:noProof/>
          <w:lang w:val="en-US"/>
        </w:rPr>
        <w:t>The national contact point of the Member State of the offence shall transmit the certificate to the national contact point of the Member State of issuance through</w:t>
      </w:r>
      <w:r w:rsidR="00E75897">
        <w:rPr>
          <w:noProof/>
          <w:lang w:val="en-US"/>
        </w:rPr>
        <w:t xml:space="preserve"> </w:t>
      </w:r>
      <w:r w:rsidR="00E75897" w:rsidRPr="0089699E">
        <w:rPr>
          <w:noProof/>
        </w:rPr>
        <w:t>the EU driving licence network referred to in Article 19</w:t>
      </w:r>
      <w:r w:rsidR="00E75897" w:rsidRPr="00A3006E">
        <w:rPr>
          <w:noProof/>
        </w:rPr>
        <w:t>(1) of [NEW</w:t>
      </w:r>
      <w:r w:rsidR="008C2F3B">
        <w:rPr>
          <w:noProof/>
        </w:rPr>
        <w:t xml:space="preserve"> </w:t>
      </w:r>
      <w:r w:rsidR="00E75897" w:rsidRPr="00A3006E">
        <w:rPr>
          <w:noProof/>
        </w:rPr>
        <w:t>DIRECTIVE</w:t>
      </w:r>
      <w:r w:rsidR="008C2F3B">
        <w:rPr>
          <w:noProof/>
        </w:rPr>
        <w:t xml:space="preserve"> ON </w:t>
      </w:r>
      <w:r w:rsidR="00E75897" w:rsidRPr="00A3006E">
        <w:rPr>
          <w:noProof/>
        </w:rPr>
        <w:t>DRIVING</w:t>
      </w:r>
      <w:r w:rsidR="008C2F3B">
        <w:rPr>
          <w:noProof/>
        </w:rPr>
        <w:t xml:space="preserve"> </w:t>
      </w:r>
      <w:r w:rsidR="00E75897" w:rsidRPr="00A3006E">
        <w:rPr>
          <w:noProof/>
        </w:rPr>
        <w:t>LICENCES</w:t>
      </w:r>
      <w:r w:rsidR="008C2F3B">
        <w:rPr>
          <w:noProof/>
        </w:rPr>
        <w:t>]</w:t>
      </w:r>
      <w:r w:rsidR="00E75897" w:rsidRPr="0000157B">
        <w:rPr>
          <w:noProof/>
        </w:rPr>
        <w:t xml:space="preserve"> (‘RESPER’)</w:t>
      </w:r>
      <w:r w:rsidR="00E75897" w:rsidRPr="00574F19">
        <w:rPr>
          <w:noProof/>
        </w:rPr>
        <w:t>.</w:t>
      </w:r>
      <w:r w:rsidR="00BD4149" w:rsidRPr="0042762C">
        <w:rPr>
          <w:noProof/>
          <w:lang w:val="en-US"/>
        </w:rPr>
        <w:t xml:space="preserve"> </w:t>
      </w:r>
    </w:p>
    <w:p w:rsidR="00BD4149" w:rsidRPr="0042762C" w:rsidRDefault="00BD4149" w:rsidP="00BD4149">
      <w:pPr>
        <w:spacing w:before="0" w:after="0"/>
        <w:rPr>
          <w:rFonts w:eastAsia="Times New Roman"/>
          <w:noProof/>
          <w:szCs w:val="24"/>
          <w:lang w:val="en-US"/>
        </w:rPr>
      </w:pPr>
    </w:p>
    <w:p w:rsidR="00BD4149" w:rsidRPr="0042762C" w:rsidRDefault="00BD4149" w:rsidP="00BD4149">
      <w:pPr>
        <w:spacing w:before="0" w:after="160"/>
        <w:jc w:val="center"/>
        <w:rPr>
          <w:rFonts w:eastAsia="Times New Roman"/>
          <w:i/>
          <w:iCs/>
          <w:noProof/>
          <w:szCs w:val="24"/>
          <w:lang w:val="en-US"/>
        </w:rPr>
      </w:pPr>
      <w:r w:rsidRPr="0042762C">
        <w:rPr>
          <w:rFonts w:eastAsia="Times New Roman"/>
          <w:i/>
          <w:iCs/>
          <w:noProof/>
          <w:szCs w:val="24"/>
          <w:lang w:val="en-US"/>
        </w:rPr>
        <w:t>Article 6</w:t>
      </w:r>
    </w:p>
    <w:p w:rsidR="00BD4149" w:rsidRPr="0042762C" w:rsidRDefault="00BD4149" w:rsidP="00BD4149">
      <w:pPr>
        <w:spacing w:before="0" w:after="160"/>
        <w:jc w:val="center"/>
        <w:rPr>
          <w:rFonts w:eastAsia="Times New Roman"/>
          <w:b/>
          <w:bCs/>
          <w:noProof/>
          <w:szCs w:val="24"/>
          <w:lang w:val="en-US"/>
        </w:rPr>
      </w:pPr>
      <w:r w:rsidRPr="0042762C">
        <w:rPr>
          <w:rFonts w:eastAsia="Times New Roman"/>
          <w:b/>
          <w:bCs/>
          <w:noProof/>
          <w:szCs w:val="24"/>
          <w:lang w:val="en-US"/>
        </w:rPr>
        <w:t xml:space="preserve">Ensuring the Union-wide effect of driving disqualifications </w:t>
      </w:r>
    </w:p>
    <w:p w:rsidR="00BD4149" w:rsidRPr="0042762C" w:rsidRDefault="00E1781F" w:rsidP="00E1781F">
      <w:pPr>
        <w:pStyle w:val="ManualNumPar1"/>
        <w:rPr>
          <w:noProof/>
          <w:lang w:val="en-US"/>
        </w:rPr>
      </w:pPr>
      <w:r w:rsidRPr="00E1781F">
        <w:t>1.</w:t>
      </w:r>
      <w:r w:rsidRPr="00E1781F">
        <w:tab/>
      </w:r>
      <w:r w:rsidR="00BD4149" w:rsidRPr="0042762C">
        <w:rPr>
          <w:noProof/>
          <w:lang w:val="en-US"/>
        </w:rPr>
        <w:t xml:space="preserve">Upon the notification of a </w:t>
      </w:r>
      <w:r w:rsidR="006E352D">
        <w:rPr>
          <w:noProof/>
          <w:lang w:val="en-US"/>
        </w:rPr>
        <w:t>driving disqualification</w:t>
      </w:r>
      <w:r w:rsidR="00BD4149" w:rsidRPr="0042762C">
        <w:rPr>
          <w:noProof/>
          <w:lang w:val="en-US"/>
        </w:rPr>
        <w:t xml:space="preserve"> in accordance with Article 4(1) and unless a ground for exemption laid down in Article 8 applies, the Member State of issuance shall take the appropriate measures to ensure that the driving disqualification has Union</w:t>
      </w:r>
      <w:r w:rsidR="00BD4149">
        <w:rPr>
          <w:noProof/>
          <w:lang w:val="en-US"/>
        </w:rPr>
        <w:t>-</w:t>
      </w:r>
      <w:r w:rsidR="00BD4149" w:rsidRPr="0042762C">
        <w:rPr>
          <w:noProof/>
          <w:lang w:val="en-US"/>
        </w:rPr>
        <w:t xml:space="preserve">wide effect. </w:t>
      </w:r>
    </w:p>
    <w:p w:rsidR="00BD4149" w:rsidRPr="0042762C" w:rsidRDefault="00E1781F" w:rsidP="00E1781F">
      <w:pPr>
        <w:pStyle w:val="ManualNumPar1"/>
        <w:rPr>
          <w:noProof/>
          <w:lang w:val="en-US"/>
        </w:rPr>
      </w:pPr>
      <w:r w:rsidRPr="00E1781F">
        <w:t>2.</w:t>
      </w:r>
      <w:r w:rsidRPr="00E1781F">
        <w:tab/>
      </w:r>
      <w:r w:rsidR="00BD4149" w:rsidRPr="0042762C">
        <w:rPr>
          <w:noProof/>
          <w:szCs w:val="24"/>
          <w:lang w:val="en-US"/>
        </w:rPr>
        <w:t>Where the driving disqualification consists in a withdrawal,</w:t>
      </w:r>
      <w:r w:rsidR="00BD4149" w:rsidRPr="0042762C" w:rsidDel="00814806">
        <w:rPr>
          <w:noProof/>
          <w:lang w:val="en-US"/>
        </w:rPr>
        <w:t xml:space="preserve"> </w:t>
      </w:r>
      <w:r w:rsidR="00BD4149" w:rsidRPr="0042762C">
        <w:rPr>
          <w:noProof/>
          <w:lang w:val="en-US"/>
        </w:rPr>
        <w:t>the measures taken by the Member State of issuance shall comply with the following conditions:</w:t>
      </w:r>
    </w:p>
    <w:p w:rsidR="00BD4149" w:rsidRPr="0042762C" w:rsidRDefault="00E1781F" w:rsidP="00E1781F">
      <w:pPr>
        <w:pStyle w:val="Point1"/>
        <w:rPr>
          <w:noProof/>
          <w:lang w:val="en-US"/>
        </w:rPr>
      </w:pPr>
      <w:r w:rsidRPr="00E1781F">
        <w:t>(a)</w:t>
      </w:r>
      <w:r w:rsidRPr="00E1781F">
        <w:tab/>
      </w:r>
      <w:r w:rsidR="006E352D">
        <w:rPr>
          <w:noProof/>
        </w:rPr>
        <w:t>the Member State of issuance</w:t>
      </w:r>
      <w:r w:rsidR="006E352D">
        <w:rPr>
          <w:noProof/>
          <w:lang w:val="en-US"/>
        </w:rPr>
        <w:t xml:space="preserve"> </w:t>
      </w:r>
      <w:r w:rsidR="00BD4149" w:rsidRPr="0042762C">
        <w:rPr>
          <w:noProof/>
          <w:lang w:val="en-US"/>
        </w:rPr>
        <w:t>shall withdraw</w:t>
      </w:r>
      <w:r w:rsidR="006E352D">
        <w:rPr>
          <w:noProof/>
          <w:lang w:val="en-US"/>
        </w:rPr>
        <w:t xml:space="preserve"> </w:t>
      </w:r>
      <w:r w:rsidR="006E352D">
        <w:rPr>
          <w:noProof/>
        </w:rPr>
        <w:t>t</w:t>
      </w:r>
      <w:r w:rsidR="006E352D" w:rsidRPr="00673A4E">
        <w:rPr>
          <w:noProof/>
        </w:rPr>
        <w:t>he driving licen</w:t>
      </w:r>
      <w:r w:rsidR="006E352D">
        <w:rPr>
          <w:noProof/>
        </w:rPr>
        <w:t>c</w:t>
      </w:r>
      <w:r w:rsidR="006E352D" w:rsidRPr="00673A4E">
        <w:rPr>
          <w:noProof/>
        </w:rPr>
        <w:t xml:space="preserve">e or the right to drive </w:t>
      </w:r>
      <w:r w:rsidR="006E352D">
        <w:rPr>
          <w:noProof/>
        </w:rPr>
        <w:t xml:space="preserve">of the </w:t>
      </w:r>
      <w:r w:rsidR="006E352D" w:rsidRPr="004D4FAD">
        <w:rPr>
          <w:noProof/>
        </w:rPr>
        <w:t>person concerned</w:t>
      </w:r>
      <w:r w:rsidR="006E352D">
        <w:rPr>
          <w:noProof/>
        </w:rPr>
        <w:t>;</w:t>
      </w:r>
      <w:r w:rsidR="006E352D">
        <w:rPr>
          <w:noProof/>
          <w:lang w:val="en-US"/>
        </w:rPr>
        <w:t xml:space="preserve"> </w:t>
      </w:r>
      <w:r w:rsidR="00BD4149" w:rsidRPr="0042762C">
        <w:rPr>
          <w:noProof/>
          <w:lang w:val="en-US"/>
        </w:rPr>
        <w:t xml:space="preserve"> </w:t>
      </w:r>
    </w:p>
    <w:p w:rsidR="00BD4149" w:rsidRPr="0042762C" w:rsidRDefault="00E1781F" w:rsidP="00E1781F">
      <w:pPr>
        <w:pStyle w:val="Point1"/>
        <w:rPr>
          <w:noProof/>
          <w:lang w:val="en-US"/>
        </w:rPr>
      </w:pPr>
      <w:r w:rsidRPr="00E1781F">
        <w:t>(b)</w:t>
      </w:r>
      <w:r w:rsidRPr="00E1781F">
        <w:tab/>
      </w:r>
      <w:r w:rsidR="006E352D">
        <w:rPr>
          <w:noProof/>
          <w:lang w:val="en-US"/>
        </w:rPr>
        <w:t>t</w:t>
      </w:r>
      <w:r w:rsidR="00BD4149" w:rsidRPr="0042762C">
        <w:rPr>
          <w:noProof/>
          <w:lang w:val="en-US"/>
        </w:rPr>
        <w:t>he person concerned may re</w:t>
      </w:r>
      <w:r w:rsidR="006E352D">
        <w:rPr>
          <w:noProof/>
          <w:lang w:val="en-US"/>
        </w:rPr>
        <w:t>cover</w:t>
      </w:r>
      <w:r w:rsidR="00BD4149" w:rsidRPr="0042762C">
        <w:rPr>
          <w:noProof/>
          <w:lang w:val="en-US"/>
        </w:rPr>
        <w:t xml:space="preserve"> the driving licen</w:t>
      </w:r>
      <w:r w:rsidR="006E352D">
        <w:rPr>
          <w:noProof/>
          <w:lang w:val="en-US"/>
        </w:rPr>
        <w:t>c</w:t>
      </w:r>
      <w:r w:rsidR="00BD4149" w:rsidRPr="0042762C">
        <w:rPr>
          <w:noProof/>
          <w:lang w:val="en-US"/>
        </w:rPr>
        <w:t>e or the right to drive in accordance with the</w:t>
      </w:r>
      <w:r w:rsidR="006E352D">
        <w:rPr>
          <w:noProof/>
          <w:lang w:val="en-US"/>
        </w:rPr>
        <w:t xml:space="preserve"> national</w:t>
      </w:r>
      <w:r w:rsidR="00BD4149" w:rsidRPr="0042762C">
        <w:rPr>
          <w:noProof/>
          <w:lang w:val="en-US"/>
        </w:rPr>
        <w:t xml:space="preserve"> rules </w:t>
      </w:r>
      <w:r w:rsidR="006E352D">
        <w:rPr>
          <w:noProof/>
          <w:lang w:val="en-US"/>
        </w:rPr>
        <w:t>of</w:t>
      </w:r>
      <w:r w:rsidR="00BD4149" w:rsidRPr="0042762C">
        <w:rPr>
          <w:noProof/>
          <w:lang w:val="en-US"/>
        </w:rPr>
        <w:t xml:space="preserve"> the Member State of issuance</w:t>
      </w:r>
      <w:r w:rsidR="006E352D">
        <w:rPr>
          <w:noProof/>
          <w:lang w:val="en-US"/>
        </w:rPr>
        <w:t>;</w:t>
      </w:r>
      <w:r w:rsidR="00BD4149" w:rsidRPr="0042762C">
        <w:rPr>
          <w:noProof/>
          <w:lang w:val="en-US"/>
        </w:rPr>
        <w:t xml:space="preserve"> </w:t>
      </w:r>
    </w:p>
    <w:p w:rsidR="00BD4149" w:rsidRPr="0042762C" w:rsidRDefault="00E1781F" w:rsidP="00E1781F">
      <w:pPr>
        <w:pStyle w:val="Point1"/>
        <w:rPr>
          <w:noProof/>
          <w:lang w:val="en-US"/>
        </w:rPr>
      </w:pPr>
      <w:r w:rsidRPr="00E1781F">
        <w:t>(c)</w:t>
      </w:r>
      <w:r w:rsidRPr="00E1781F">
        <w:tab/>
      </w:r>
      <w:r w:rsidR="003B1DA7">
        <w:rPr>
          <w:noProof/>
          <w:lang w:val="en-US"/>
        </w:rPr>
        <w:t>t</w:t>
      </w:r>
      <w:r w:rsidR="00BD4149" w:rsidRPr="0042762C">
        <w:rPr>
          <w:noProof/>
          <w:lang w:val="en-US"/>
        </w:rPr>
        <w:t xml:space="preserve">he Member State of issuance </w:t>
      </w:r>
      <w:r w:rsidR="003B1DA7">
        <w:rPr>
          <w:noProof/>
          <w:lang w:val="en-US"/>
        </w:rPr>
        <w:t>shall</w:t>
      </w:r>
      <w:r w:rsidR="00BD4149" w:rsidRPr="0042762C">
        <w:rPr>
          <w:noProof/>
          <w:lang w:val="en-US"/>
        </w:rPr>
        <w:t xml:space="preserve"> take into account</w:t>
      </w:r>
      <w:r w:rsidR="003A0ECB">
        <w:rPr>
          <w:noProof/>
          <w:lang w:val="en-US"/>
        </w:rPr>
        <w:t xml:space="preserve"> as far as possible</w:t>
      </w:r>
      <w:r w:rsidR="00BD4149" w:rsidRPr="0042762C">
        <w:rPr>
          <w:noProof/>
          <w:lang w:val="en-US"/>
        </w:rPr>
        <w:t xml:space="preserve"> any part of the</w:t>
      </w:r>
      <w:r w:rsidR="003B1DA7">
        <w:rPr>
          <w:noProof/>
          <w:lang w:val="en-US"/>
        </w:rPr>
        <w:t xml:space="preserve"> additional</w:t>
      </w:r>
      <w:r w:rsidR="00BD4149" w:rsidRPr="0042762C">
        <w:rPr>
          <w:noProof/>
          <w:lang w:val="en-US"/>
        </w:rPr>
        <w:t xml:space="preserve"> conditions with which </w:t>
      </w:r>
      <w:r w:rsidR="00BD4149">
        <w:rPr>
          <w:noProof/>
          <w:lang w:val="en-US"/>
        </w:rPr>
        <w:t>the person concerned</w:t>
      </w:r>
      <w:r w:rsidR="00BD4149" w:rsidRPr="0042762C">
        <w:rPr>
          <w:noProof/>
          <w:lang w:val="en-US"/>
        </w:rPr>
        <w:t xml:space="preserve"> </w:t>
      </w:r>
      <w:r w:rsidR="003B1DA7">
        <w:rPr>
          <w:noProof/>
          <w:lang w:val="en-US"/>
        </w:rPr>
        <w:t>shall</w:t>
      </w:r>
      <w:r w:rsidR="00BD4149" w:rsidRPr="0042762C">
        <w:rPr>
          <w:noProof/>
          <w:lang w:val="en-US"/>
        </w:rPr>
        <w:t xml:space="preserve"> comply in order to recover the right to drive that have been already fulfilled in the Member State of the offence.</w:t>
      </w:r>
    </w:p>
    <w:p w:rsidR="00BD4149" w:rsidRPr="0042762C" w:rsidRDefault="00E1781F" w:rsidP="00E1781F">
      <w:pPr>
        <w:pStyle w:val="ManualNumPar1"/>
        <w:rPr>
          <w:noProof/>
          <w:lang w:val="en-US"/>
        </w:rPr>
      </w:pPr>
      <w:r w:rsidRPr="00E1781F">
        <w:t>3.</w:t>
      </w:r>
      <w:r w:rsidRPr="00E1781F">
        <w:tab/>
      </w:r>
      <w:r w:rsidR="00BD4149" w:rsidRPr="0042762C">
        <w:rPr>
          <w:noProof/>
          <w:lang w:val="en-US"/>
        </w:rPr>
        <w:t>Where the driving disqualification consists in a suspension or</w:t>
      </w:r>
      <w:r w:rsidR="003B1DA7">
        <w:rPr>
          <w:noProof/>
          <w:lang w:val="en-US"/>
        </w:rPr>
        <w:t xml:space="preserve"> a</w:t>
      </w:r>
      <w:r w:rsidR="00BD4149" w:rsidRPr="0042762C">
        <w:rPr>
          <w:noProof/>
          <w:lang w:val="en-US"/>
        </w:rPr>
        <w:t xml:space="preserve"> restriction,</w:t>
      </w:r>
      <w:r w:rsidR="00BD4149" w:rsidRPr="0042762C" w:rsidDel="00814806">
        <w:rPr>
          <w:noProof/>
          <w:lang w:val="en-US"/>
        </w:rPr>
        <w:t xml:space="preserve"> </w:t>
      </w:r>
      <w:r w:rsidR="00BD4149" w:rsidRPr="0042762C">
        <w:rPr>
          <w:noProof/>
          <w:lang w:val="en-US"/>
        </w:rPr>
        <w:t>the measures taken by the Member State of issuance shall comply with the following conditions:</w:t>
      </w:r>
    </w:p>
    <w:p w:rsidR="00BD4149" w:rsidRPr="00DD7480" w:rsidRDefault="00E1781F" w:rsidP="00E1781F">
      <w:pPr>
        <w:pStyle w:val="Point1"/>
        <w:rPr>
          <w:noProof/>
          <w:lang w:val="en-US"/>
        </w:rPr>
      </w:pPr>
      <w:r w:rsidRPr="00E1781F">
        <w:t>(a)</w:t>
      </w:r>
      <w:r w:rsidRPr="00E1781F">
        <w:tab/>
      </w:r>
      <w:r w:rsidR="00437002">
        <w:rPr>
          <w:noProof/>
          <w:lang w:val="en-US"/>
        </w:rPr>
        <w:t xml:space="preserve">the </w:t>
      </w:r>
      <w:r w:rsidR="00437002" w:rsidRPr="00673A4E">
        <w:rPr>
          <w:noProof/>
        </w:rPr>
        <w:t xml:space="preserve">Member State of issuance </w:t>
      </w:r>
      <w:r w:rsidR="00437002">
        <w:rPr>
          <w:noProof/>
          <w:szCs w:val="24"/>
        </w:rPr>
        <w:t>shall suspend or restrict t</w:t>
      </w:r>
      <w:r w:rsidR="00437002" w:rsidRPr="00673A4E">
        <w:rPr>
          <w:noProof/>
          <w:szCs w:val="24"/>
        </w:rPr>
        <w:t>he</w:t>
      </w:r>
      <w:r w:rsidR="00BD4149" w:rsidRPr="00DD7480">
        <w:rPr>
          <w:noProof/>
          <w:lang w:val="en-US"/>
        </w:rPr>
        <w:t xml:space="preserve"> validity of the driving licen</w:t>
      </w:r>
      <w:r w:rsidR="00437002">
        <w:rPr>
          <w:noProof/>
          <w:lang w:val="en-US"/>
        </w:rPr>
        <w:t>c</w:t>
      </w:r>
      <w:r w:rsidR="00BD4149" w:rsidRPr="00DD7480">
        <w:rPr>
          <w:noProof/>
          <w:lang w:val="en-US"/>
        </w:rPr>
        <w:t>e or the right to drive of the person concerned</w:t>
      </w:r>
      <w:r w:rsidR="00437002">
        <w:rPr>
          <w:noProof/>
          <w:lang w:val="en-US"/>
        </w:rPr>
        <w:t xml:space="preserve"> </w:t>
      </w:r>
      <w:r w:rsidR="00BD4149" w:rsidRPr="00DD7480">
        <w:rPr>
          <w:noProof/>
          <w:lang w:val="en-US"/>
        </w:rPr>
        <w:t>until the date</w:t>
      </w:r>
      <w:r w:rsidR="00437002">
        <w:rPr>
          <w:noProof/>
          <w:lang w:val="en-US"/>
        </w:rPr>
        <w:t xml:space="preserve"> </w:t>
      </w:r>
      <w:r w:rsidR="00437002">
        <w:rPr>
          <w:noProof/>
          <w:szCs w:val="24"/>
        </w:rPr>
        <w:t xml:space="preserve">on which </w:t>
      </w:r>
      <w:r w:rsidR="00437002" w:rsidRPr="00673A4E">
        <w:rPr>
          <w:noProof/>
          <w:szCs w:val="24"/>
        </w:rPr>
        <w:t>th</w:t>
      </w:r>
      <w:r w:rsidR="00437002">
        <w:rPr>
          <w:noProof/>
          <w:szCs w:val="24"/>
        </w:rPr>
        <w:t>e</w:t>
      </w:r>
      <w:r w:rsidR="00BD4149" w:rsidRPr="00DD7480">
        <w:rPr>
          <w:noProof/>
          <w:lang w:val="en-US"/>
        </w:rPr>
        <w:t xml:space="preserve"> suspension or</w:t>
      </w:r>
      <w:r w:rsidR="00437002">
        <w:rPr>
          <w:noProof/>
          <w:lang w:val="en-US"/>
        </w:rPr>
        <w:t xml:space="preserve"> the</w:t>
      </w:r>
      <w:r w:rsidR="00BD4149" w:rsidRPr="00DD7480">
        <w:rPr>
          <w:noProof/>
          <w:lang w:val="en-US"/>
        </w:rPr>
        <w:t xml:space="preserve"> restriction</w:t>
      </w:r>
      <w:r w:rsidR="004B3713">
        <w:rPr>
          <w:noProof/>
          <w:lang w:val="en-US"/>
        </w:rPr>
        <w:t xml:space="preserve"> </w:t>
      </w:r>
      <w:r w:rsidR="003C1D17">
        <w:rPr>
          <w:noProof/>
          <w:lang w:val="en-US"/>
        </w:rPr>
        <w:t>i</w:t>
      </w:r>
      <w:r w:rsidR="004B3713">
        <w:rPr>
          <w:noProof/>
          <w:lang w:val="en-US"/>
        </w:rPr>
        <w:t>mposed and</w:t>
      </w:r>
      <w:r w:rsidR="00BD4149" w:rsidRPr="00DD7480">
        <w:rPr>
          <w:noProof/>
          <w:lang w:val="en-US"/>
        </w:rPr>
        <w:t xml:space="preserve"> notified by the Member State of the offence</w:t>
      </w:r>
      <w:r w:rsidR="004B3713">
        <w:rPr>
          <w:noProof/>
          <w:lang w:val="en-US"/>
        </w:rPr>
        <w:t xml:space="preserve"> ceases to have effect</w:t>
      </w:r>
      <w:r w:rsidR="003C1D17">
        <w:rPr>
          <w:noProof/>
          <w:lang w:val="en-US"/>
        </w:rPr>
        <w:t>s</w:t>
      </w:r>
      <w:r w:rsidR="004B3713">
        <w:rPr>
          <w:noProof/>
          <w:lang w:val="en-US"/>
        </w:rPr>
        <w:t>;</w:t>
      </w:r>
      <w:r w:rsidR="00BD4149" w:rsidRPr="00DD7480">
        <w:rPr>
          <w:noProof/>
          <w:lang w:val="en-US"/>
        </w:rPr>
        <w:t xml:space="preserve"> </w:t>
      </w:r>
    </w:p>
    <w:p w:rsidR="005E59DD" w:rsidRDefault="00E1781F" w:rsidP="00E1781F">
      <w:pPr>
        <w:pStyle w:val="Point1"/>
        <w:rPr>
          <w:noProof/>
          <w:lang w:val="en-US"/>
        </w:rPr>
      </w:pPr>
      <w:r w:rsidRPr="00E1781F">
        <w:t>(b)</w:t>
      </w:r>
      <w:r w:rsidRPr="00E1781F">
        <w:tab/>
      </w:r>
      <w:r w:rsidR="005E59DD">
        <w:rPr>
          <w:noProof/>
          <w:lang w:val="en-US"/>
        </w:rPr>
        <w:t xml:space="preserve">where </w:t>
      </w:r>
      <w:r w:rsidR="00BD4149" w:rsidRPr="00DD7480">
        <w:rPr>
          <w:noProof/>
          <w:lang w:val="en-US"/>
        </w:rPr>
        <w:t xml:space="preserve">the suspension or </w:t>
      </w:r>
      <w:r w:rsidR="005E59DD">
        <w:rPr>
          <w:noProof/>
          <w:lang w:val="en-US"/>
        </w:rPr>
        <w:t xml:space="preserve">the </w:t>
      </w:r>
      <w:r w:rsidR="00BD4149" w:rsidRPr="00DD7480">
        <w:rPr>
          <w:noProof/>
          <w:lang w:val="en-US"/>
        </w:rPr>
        <w:t>restriction</w:t>
      </w:r>
      <w:r w:rsidR="005E59DD">
        <w:rPr>
          <w:noProof/>
          <w:lang w:val="en-US"/>
        </w:rPr>
        <w:t xml:space="preserve"> </w:t>
      </w:r>
      <w:r w:rsidR="005E59DD">
        <w:rPr>
          <w:noProof/>
        </w:rPr>
        <w:t xml:space="preserve">imposed and notified by </w:t>
      </w:r>
      <w:r w:rsidR="005E59DD" w:rsidRPr="00673A4E">
        <w:rPr>
          <w:noProof/>
        </w:rPr>
        <w:t xml:space="preserve">the Member State of the offence </w:t>
      </w:r>
      <w:r w:rsidR="005E59DD">
        <w:rPr>
          <w:noProof/>
        </w:rPr>
        <w:t>is subject both to the lapse of</w:t>
      </w:r>
      <w:r w:rsidR="00BD4149" w:rsidRPr="00DD7480">
        <w:rPr>
          <w:noProof/>
          <w:lang w:val="en-US"/>
        </w:rPr>
        <w:t xml:space="preserve"> a fixed </w:t>
      </w:r>
      <w:r w:rsidR="005E59DD">
        <w:rPr>
          <w:noProof/>
          <w:lang w:val="en-US"/>
        </w:rPr>
        <w:t>amount</w:t>
      </w:r>
      <w:r w:rsidR="00BD4149" w:rsidRPr="00DD7480">
        <w:rPr>
          <w:noProof/>
          <w:lang w:val="en-US"/>
        </w:rPr>
        <w:t xml:space="preserve"> of time and </w:t>
      </w:r>
      <w:r w:rsidR="005E59DD" w:rsidRPr="005E59DD">
        <w:rPr>
          <w:noProof/>
        </w:rPr>
        <w:t xml:space="preserve"> </w:t>
      </w:r>
      <w:r w:rsidR="005E59DD">
        <w:rPr>
          <w:noProof/>
        </w:rPr>
        <w:t>the fulfilment of</w:t>
      </w:r>
      <w:r w:rsidR="00BD4149" w:rsidRPr="00DD7480">
        <w:rPr>
          <w:noProof/>
          <w:lang w:val="en-US"/>
        </w:rPr>
        <w:t xml:space="preserve"> additional conditions,</w:t>
      </w:r>
      <w:r w:rsidR="005E59DD">
        <w:rPr>
          <w:noProof/>
          <w:lang w:val="en-US"/>
        </w:rPr>
        <w:t xml:space="preserve"> </w:t>
      </w:r>
      <w:r w:rsidR="005E59DD" w:rsidRPr="00673A4E">
        <w:rPr>
          <w:noProof/>
        </w:rPr>
        <w:t xml:space="preserve">the Member State of issuance </w:t>
      </w:r>
      <w:r w:rsidR="005E59DD">
        <w:rPr>
          <w:noProof/>
        </w:rPr>
        <w:t>shall take into account</w:t>
      </w:r>
      <w:r w:rsidR="00BD4149" w:rsidRPr="00DD7480">
        <w:rPr>
          <w:noProof/>
          <w:lang w:val="en-US"/>
        </w:rPr>
        <w:t xml:space="preserve"> only the fixed period of time</w:t>
      </w:r>
      <w:r w:rsidR="005E59DD">
        <w:rPr>
          <w:noProof/>
          <w:lang w:val="en-US"/>
        </w:rPr>
        <w:t>;</w:t>
      </w:r>
    </w:p>
    <w:p w:rsidR="00BD4149" w:rsidRPr="005E59DD" w:rsidRDefault="00E1781F" w:rsidP="00E1781F">
      <w:pPr>
        <w:pStyle w:val="Point1"/>
        <w:rPr>
          <w:noProof/>
          <w:lang w:val="en-US"/>
        </w:rPr>
      </w:pPr>
      <w:r w:rsidRPr="00E1781F">
        <w:t>(c)</w:t>
      </w:r>
      <w:r w:rsidRPr="00E1781F">
        <w:tab/>
      </w:r>
      <w:r w:rsidR="005E59DD" w:rsidRPr="005E59DD">
        <w:rPr>
          <w:noProof/>
          <w:lang w:val="en-US"/>
        </w:rPr>
        <w:t>where a restriction is imposed and notified by the Member State of the offence, it shall be taken into account insofar as compatible with the law of the Member State of issuance in terms of its nature or duration.</w:t>
      </w:r>
    </w:p>
    <w:p w:rsidR="00BD4149" w:rsidRPr="0042762C" w:rsidRDefault="00E1781F" w:rsidP="00E1781F">
      <w:pPr>
        <w:pStyle w:val="ManualNumPar1"/>
        <w:rPr>
          <w:noProof/>
          <w:lang w:val="en-US"/>
        </w:rPr>
      </w:pPr>
      <w:r w:rsidRPr="00E1781F">
        <w:t>4.</w:t>
      </w:r>
      <w:r w:rsidRPr="00E1781F">
        <w:tab/>
      </w:r>
      <w:r w:rsidR="00BD4149" w:rsidRPr="0042762C">
        <w:rPr>
          <w:noProof/>
          <w:lang w:val="en-US"/>
        </w:rPr>
        <w:t>Without prejudice to the ground for exemption laid down in Article 8(1), point (a), when adopting measures under this Article, the Member State of issuance shall be bound by and rely on the information and facts provided by the Member State of the offence in accordance with Article 5.</w:t>
      </w:r>
    </w:p>
    <w:p w:rsidR="00BD4149" w:rsidRPr="0042762C" w:rsidRDefault="00BD4149" w:rsidP="00BD4149">
      <w:pPr>
        <w:rPr>
          <w:noProof/>
          <w:lang w:val="en-US"/>
        </w:rPr>
      </w:pPr>
    </w:p>
    <w:p w:rsidR="00BD4149" w:rsidRPr="0042762C" w:rsidRDefault="00BD4149" w:rsidP="00BD4149">
      <w:pPr>
        <w:spacing w:before="0" w:after="160"/>
        <w:jc w:val="center"/>
        <w:rPr>
          <w:rFonts w:eastAsia="Times New Roman"/>
          <w:i/>
          <w:iCs/>
          <w:noProof/>
          <w:szCs w:val="24"/>
          <w:lang w:val="en-US"/>
        </w:rPr>
      </w:pPr>
      <w:r w:rsidRPr="0042762C">
        <w:rPr>
          <w:rFonts w:eastAsia="Times New Roman"/>
          <w:i/>
          <w:iCs/>
          <w:noProof/>
          <w:szCs w:val="24"/>
          <w:lang w:val="en-US"/>
        </w:rPr>
        <w:t>Article 7</w:t>
      </w:r>
    </w:p>
    <w:p w:rsidR="00BD4149" w:rsidRPr="0042762C" w:rsidRDefault="00BD4149" w:rsidP="00BD4149">
      <w:pPr>
        <w:spacing w:before="0" w:after="160"/>
        <w:jc w:val="center"/>
        <w:rPr>
          <w:rFonts w:eastAsia="Times New Roman"/>
          <w:b/>
          <w:bCs/>
          <w:noProof/>
          <w:szCs w:val="24"/>
          <w:lang w:val="en-US"/>
        </w:rPr>
      </w:pPr>
      <w:r w:rsidRPr="0042762C">
        <w:rPr>
          <w:rFonts w:eastAsia="Times New Roman"/>
          <w:b/>
          <w:bCs/>
          <w:noProof/>
          <w:szCs w:val="24"/>
          <w:lang w:val="en-US"/>
        </w:rPr>
        <w:t>Effects of driving disqualifications in the Member State of the offence</w:t>
      </w:r>
    </w:p>
    <w:p w:rsidR="00BD4149" w:rsidRPr="0042762C" w:rsidRDefault="00E1781F" w:rsidP="00E1781F">
      <w:pPr>
        <w:pStyle w:val="ManualNumPar1"/>
        <w:rPr>
          <w:noProof/>
          <w:lang w:val="en-US"/>
        </w:rPr>
      </w:pPr>
      <w:r w:rsidRPr="00E1781F">
        <w:t>1.</w:t>
      </w:r>
      <w:r w:rsidRPr="00E1781F">
        <w:tab/>
      </w:r>
      <w:r w:rsidR="00BD4149" w:rsidRPr="0042762C">
        <w:rPr>
          <w:noProof/>
          <w:lang w:val="en-US"/>
        </w:rPr>
        <w:t>Th</w:t>
      </w:r>
      <w:r w:rsidR="008F3BF8">
        <w:rPr>
          <w:noProof/>
          <w:lang w:val="en-US"/>
        </w:rPr>
        <w:t xml:space="preserve">is </w:t>
      </w:r>
      <w:r w:rsidR="00BD4149">
        <w:rPr>
          <w:noProof/>
          <w:lang w:val="en-US"/>
        </w:rPr>
        <w:t xml:space="preserve">Directive </w:t>
      </w:r>
      <w:r w:rsidR="00BD4149" w:rsidRPr="0042762C">
        <w:rPr>
          <w:noProof/>
          <w:lang w:val="en-US"/>
        </w:rPr>
        <w:t xml:space="preserve">shall not prevent the </w:t>
      </w:r>
      <w:r w:rsidR="008F3BF8" w:rsidRPr="00673A4E">
        <w:rPr>
          <w:noProof/>
        </w:rPr>
        <w:t xml:space="preserve">Member State of the offence </w:t>
      </w:r>
      <w:r w:rsidR="008F3BF8">
        <w:rPr>
          <w:noProof/>
        </w:rPr>
        <w:t xml:space="preserve">from </w:t>
      </w:r>
      <w:r w:rsidR="008F3BF8" w:rsidRPr="00E535DA">
        <w:rPr>
          <w:noProof/>
        </w:rPr>
        <w:t>executing</w:t>
      </w:r>
      <w:r w:rsidR="00BD4149" w:rsidRPr="0042762C">
        <w:rPr>
          <w:noProof/>
          <w:lang w:val="en-US"/>
        </w:rPr>
        <w:t xml:space="preserve"> the driving disqualification within its territory</w:t>
      </w:r>
      <w:r w:rsidR="00464387">
        <w:rPr>
          <w:noProof/>
          <w:lang w:val="en-US"/>
        </w:rPr>
        <w:t xml:space="preserve"> and</w:t>
      </w:r>
      <w:r w:rsidR="00BD4149" w:rsidRPr="0042762C">
        <w:rPr>
          <w:noProof/>
          <w:lang w:val="en-US"/>
        </w:rPr>
        <w:t xml:space="preserve"> in accordance with its national rules.</w:t>
      </w:r>
    </w:p>
    <w:p w:rsidR="00E71919" w:rsidRDefault="00E1781F" w:rsidP="00E1781F">
      <w:pPr>
        <w:pStyle w:val="ManualNumPar1"/>
        <w:rPr>
          <w:noProof/>
          <w:lang w:val="en-US"/>
        </w:rPr>
      </w:pPr>
      <w:r w:rsidRPr="00E1781F">
        <w:t>2.</w:t>
      </w:r>
      <w:r w:rsidRPr="00E1781F">
        <w:tab/>
      </w:r>
      <w:r w:rsidR="00BD4149" w:rsidRPr="00861EBB">
        <w:rPr>
          <w:noProof/>
          <w:lang w:val="en-US"/>
        </w:rPr>
        <w:t xml:space="preserve">Where a driving disqualification </w:t>
      </w:r>
      <w:r w:rsidR="00E71919">
        <w:rPr>
          <w:noProof/>
        </w:rPr>
        <w:t xml:space="preserve">containing </w:t>
      </w:r>
      <w:r w:rsidR="00E71919" w:rsidRPr="00673A4E">
        <w:rPr>
          <w:noProof/>
        </w:rPr>
        <w:t xml:space="preserve">additional conditions </w:t>
      </w:r>
      <w:r w:rsidR="00E71919">
        <w:rPr>
          <w:noProof/>
        </w:rPr>
        <w:t xml:space="preserve">has been </w:t>
      </w:r>
      <w:r w:rsidR="00E71919" w:rsidRPr="00673A4E">
        <w:rPr>
          <w:noProof/>
        </w:rPr>
        <w:t xml:space="preserve">notified </w:t>
      </w:r>
      <w:r w:rsidR="00E71919">
        <w:rPr>
          <w:noProof/>
        </w:rPr>
        <w:t>to the Member State of issuance</w:t>
      </w:r>
      <w:r w:rsidR="00BD4149" w:rsidRPr="00861EBB">
        <w:rPr>
          <w:noProof/>
          <w:lang w:val="en-US"/>
        </w:rPr>
        <w:t xml:space="preserve"> in accordance with Article 4(1), the Member State of</w:t>
      </w:r>
      <w:r w:rsidR="00E71919">
        <w:rPr>
          <w:noProof/>
          <w:lang w:val="en-US"/>
        </w:rPr>
        <w:t xml:space="preserve"> the</w:t>
      </w:r>
      <w:r w:rsidR="00BD4149" w:rsidRPr="00861EBB">
        <w:rPr>
          <w:noProof/>
          <w:lang w:val="en-US"/>
        </w:rPr>
        <w:t xml:space="preserve"> offence may continue to apply such driving disqualification within its territory until the person concerned complies with</w:t>
      </w:r>
      <w:r w:rsidR="00E71919">
        <w:rPr>
          <w:noProof/>
          <w:lang w:val="en-US"/>
        </w:rPr>
        <w:t xml:space="preserve"> those conditions</w:t>
      </w:r>
      <w:r w:rsidR="00BD4149" w:rsidRPr="00861EBB">
        <w:rPr>
          <w:noProof/>
          <w:lang w:val="en-US"/>
        </w:rPr>
        <w:t xml:space="preserve">. </w:t>
      </w:r>
    </w:p>
    <w:p w:rsidR="00BD4149" w:rsidRPr="00861EBB" w:rsidRDefault="00E1781F" w:rsidP="00E1781F">
      <w:pPr>
        <w:pStyle w:val="ManualNumPar1"/>
        <w:rPr>
          <w:noProof/>
          <w:lang w:val="en-US"/>
        </w:rPr>
      </w:pPr>
      <w:r w:rsidRPr="00E1781F">
        <w:t>3.</w:t>
      </w:r>
      <w:r w:rsidRPr="00E1781F">
        <w:tab/>
      </w:r>
      <w:r w:rsidR="00BD4149" w:rsidRPr="00861EBB">
        <w:rPr>
          <w:noProof/>
          <w:lang w:val="en-US"/>
        </w:rPr>
        <w:t xml:space="preserve">However, additional conditions attached to a driving </w:t>
      </w:r>
      <w:r w:rsidR="00D500AF" w:rsidRPr="00861EBB">
        <w:rPr>
          <w:noProof/>
          <w:lang w:val="en-US"/>
        </w:rPr>
        <w:t>disqualification</w:t>
      </w:r>
      <w:r w:rsidR="00BD4149" w:rsidRPr="00861EBB">
        <w:rPr>
          <w:noProof/>
          <w:lang w:val="en-US"/>
        </w:rPr>
        <w:t xml:space="preserve"> notified in accordance with Article 4(1) shall be deemed to be fulfilled by the Member State of the offence where the Member State of issuance</w:t>
      </w:r>
      <w:r w:rsidR="00D500AF">
        <w:rPr>
          <w:noProof/>
          <w:lang w:val="en-US"/>
        </w:rPr>
        <w:t xml:space="preserve"> has</w:t>
      </w:r>
      <w:r w:rsidR="00BD4149" w:rsidRPr="00861EBB">
        <w:rPr>
          <w:noProof/>
          <w:lang w:val="en-US"/>
        </w:rPr>
        <w:t xml:space="preserve"> positively assessed that the person concerned fulfills the conditions </w:t>
      </w:r>
      <w:r w:rsidR="00151CD2">
        <w:rPr>
          <w:noProof/>
        </w:rPr>
        <w:t>applicable in</w:t>
      </w:r>
      <w:r w:rsidR="00BD4149" w:rsidRPr="00861EBB">
        <w:rPr>
          <w:noProof/>
          <w:lang w:val="en-US"/>
        </w:rPr>
        <w:t xml:space="preserve"> the</w:t>
      </w:r>
      <w:r w:rsidR="00BD4149">
        <w:rPr>
          <w:noProof/>
          <w:lang w:val="en-US"/>
        </w:rPr>
        <w:t xml:space="preserve"> </w:t>
      </w:r>
      <w:r w:rsidR="00BD4149" w:rsidRPr="00861EBB">
        <w:rPr>
          <w:noProof/>
          <w:lang w:val="en-US"/>
        </w:rPr>
        <w:t>Member State</w:t>
      </w:r>
      <w:r w:rsidR="00D500AF">
        <w:rPr>
          <w:noProof/>
          <w:lang w:val="en-US"/>
        </w:rPr>
        <w:t xml:space="preserve"> of issuance</w:t>
      </w:r>
      <w:r w:rsidR="00BD4149" w:rsidRPr="00861EBB">
        <w:rPr>
          <w:noProof/>
          <w:lang w:val="en-US"/>
        </w:rPr>
        <w:t xml:space="preserve"> for recovering </w:t>
      </w:r>
      <w:r w:rsidR="00D500AF">
        <w:rPr>
          <w:noProof/>
          <w:lang w:val="en-US"/>
        </w:rPr>
        <w:t>the</w:t>
      </w:r>
      <w:r w:rsidR="00BD4149" w:rsidRPr="00861EBB">
        <w:rPr>
          <w:noProof/>
          <w:lang w:val="en-US"/>
        </w:rPr>
        <w:t xml:space="preserve"> right to drive or </w:t>
      </w:r>
      <w:r w:rsidR="006E0D00">
        <w:rPr>
          <w:noProof/>
          <w:lang w:val="en-US"/>
        </w:rPr>
        <w:t xml:space="preserve">the </w:t>
      </w:r>
      <w:r w:rsidR="00BD4149" w:rsidRPr="00861EBB">
        <w:rPr>
          <w:noProof/>
          <w:lang w:val="en-US"/>
        </w:rPr>
        <w:t>driving licence or to be able to apply for a new one.</w:t>
      </w:r>
      <w:r w:rsidR="00BD4149" w:rsidRPr="00861EBB" w:rsidDel="00B575D6">
        <w:rPr>
          <w:noProof/>
          <w:lang w:val="en-US"/>
        </w:rPr>
        <w:t xml:space="preserve"> </w:t>
      </w:r>
      <w:r w:rsidR="00BD4149" w:rsidRPr="00861EBB">
        <w:rPr>
          <w:noProof/>
          <w:lang w:val="en-US"/>
        </w:rPr>
        <w:t xml:space="preserve"> </w:t>
      </w:r>
    </w:p>
    <w:p w:rsidR="00BD4149" w:rsidRPr="0042762C" w:rsidRDefault="00BD4149" w:rsidP="00BD4149">
      <w:pPr>
        <w:spacing w:before="0" w:after="160"/>
        <w:jc w:val="center"/>
        <w:rPr>
          <w:rFonts w:eastAsia="Times New Roman"/>
          <w:i/>
          <w:iCs/>
          <w:noProof/>
          <w:szCs w:val="24"/>
          <w:lang w:val="en-US"/>
        </w:rPr>
      </w:pPr>
      <w:r w:rsidRPr="0042762C">
        <w:rPr>
          <w:rFonts w:eastAsia="Times New Roman"/>
          <w:i/>
          <w:iCs/>
          <w:noProof/>
          <w:szCs w:val="24"/>
          <w:lang w:val="en-US"/>
        </w:rPr>
        <w:t>Article 8</w:t>
      </w:r>
    </w:p>
    <w:p w:rsidR="00BD4149" w:rsidRPr="0042762C" w:rsidRDefault="00BD4149" w:rsidP="00BD4149">
      <w:pPr>
        <w:spacing w:before="0" w:after="160"/>
        <w:jc w:val="center"/>
        <w:rPr>
          <w:rFonts w:eastAsia="Times New Roman"/>
          <w:b/>
          <w:bCs/>
          <w:noProof/>
          <w:szCs w:val="24"/>
          <w:lang w:val="en-US"/>
        </w:rPr>
      </w:pPr>
      <w:r w:rsidRPr="0042762C">
        <w:rPr>
          <w:rFonts w:eastAsia="Times New Roman"/>
          <w:b/>
          <w:bCs/>
          <w:noProof/>
          <w:szCs w:val="24"/>
          <w:lang w:val="en-US"/>
        </w:rPr>
        <w:t xml:space="preserve">Grounds for exemption </w:t>
      </w:r>
    </w:p>
    <w:p w:rsidR="00BD4149" w:rsidRPr="0042762C" w:rsidRDefault="00E1781F" w:rsidP="00E1781F">
      <w:pPr>
        <w:pStyle w:val="ManualNumPar1"/>
        <w:rPr>
          <w:noProof/>
          <w:lang w:val="en-US"/>
        </w:rPr>
      </w:pPr>
      <w:r w:rsidRPr="00E1781F">
        <w:t>1.</w:t>
      </w:r>
      <w:r w:rsidRPr="00E1781F">
        <w:tab/>
      </w:r>
      <w:r w:rsidR="00BD4149" w:rsidRPr="0042762C">
        <w:rPr>
          <w:noProof/>
          <w:lang w:val="en-US"/>
        </w:rPr>
        <w:t>The Member State of issuance shall not take the measures referred to in Article 6(1) where:</w:t>
      </w:r>
    </w:p>
    <w:p w:rsidR="00BD4149" w:rsidRPr="002A67EC" w:rsidRDefault="00E1781F" w:rsidP="00E1781F">
      <w:pPr>
        <w:pStyle w:val="Point1"/>
        <w:rPr>
          <w:noProof/>
          <w:lang w:val="en-US"/>
        </w:rPr>
      </w:pPr>
      <w:r w:rsidRPr="00E1781F">
        <w:t>(a)</w:t>
      </w:r>
      <w:r w:rsidRPr="00E1781F">
        <w:tab/>
      </w:r>
      <w:r w:rsidR="00BD4149" w:rsidRPr="002A67EC">
        <w:rPr>
          <w:noProof/>
          <w:lang w:val="en-US"/>
        </w:rPr>
        <w:t xml:space="preserve">the certificate referred to in Article 5 is incomplete or manifestly incorrect and </w:t>
      </w:r>
      <w:r w:rsidR="002A67EC" w:rsidRPr="002A67EC">
        <w:rPr>
          <w:noProof/>
          <w:lang w:val="en-US"/>
        </w:rPr>
        <w:t xml:space="preserve">the missing or the correct information </w:t>
      </w:r>
      <w:r w:rsidR="00BD4149" w:rsidRPr="002A67EC">
        <w:rPr>
          <w:noProof/>
          <w:lang w:val="en-US"/>
        </w:rPr>
        <w:t>has not been</w:t>
      </w:r>
      <w:r w:rsidR="002A67EC">
        <w:rPr>
          <w:noProof/>
          <w:lang w:val="en-US"/>
        </w:rPr>
        <w:t xml:space="preserve"> provided in accordance with</w:t>
      </w:r>
      <w:r w:rsidR="00BD4149" w:rsidRPr="002A67EC">
        <w:rPr>
          <w:noProof/>
          <w:lang w:val="en-US"/>
        </w:rPr>
        <w:t xml:space="preserve"> paragraph </w:t>
      </w:r>
      <w:r w:rsidR="002A67EC">
        <w:rPr>
          <w:noProof/>
          <w:lang w:val="en-US"/>
        </w:rPr>
        <w:t>3</w:t>
      </w:r>
      <w:r w:rsidR="00BD4149" w:rsidRPr="002A67EC">
        <w:rPr>
          <w:noProof/>
          <w:lang w:val="en-US"/>
        </w:rPr>
        <w:t xml:space="preserve">, of this Article; </w:t>
      </w:r>
    </w:p>
    <w:p w:rsidR="00BD4149" w:rsidRPr="0042762C" w:rsidRDefault="00E1781F" w:rsidP="00E1781F">
      <w:pPr>
        <w:pStyle w:val="Point1"/>
        <w:rPr>
          <w:noProof/>
        </w:rPr>
      </w:pPr>
      <w:r w:rsidRPr="00E1781F">
        <w:t>(b)</w:t>
      </w:r>
      <w:r w:rsidRPr="00E1781F">
        <w:tab/>
      </w:r>
      <w:r w:rsidR="00BD4149" w:rsidRPr="0042762C">
        <w:rPr>
          <w:noProof/>
        </w:rPr>
        <w:t xml:space="preserve">the driving disqualification has already been fully executed in the </w:t>
      </w:r>
      <w:r w:rsidR="00BD4149">
        <w:rPr>
          <w:noProof/>
        </w:rPr>
        <w:t>Member</w:t>
      </w:r>
      <w:r w:rsidR="00BD4149" w:rsidRPr="0042762C">
        <w:rPr>
          <w:noProof/>
        </w:rPr>
        <w:t xml:space="preserve"> State</w:t>
      </w:r>
      <w:r w:rsidR="00BD4149">
        <w:rPr>
          <w:noProof/>
        </w:rPr>
        <w:t xml:space="preserve"> of the offence</w:t>
      </w:r>
      <w:r w:rsidR="00BD4149" w:rsidRPr="0042762C">
        <w:rPr>
          <w:noProof/>
        </w:rPr>
        <w:t xml:space="preserve">; </w:t>
      </w:r>
    </w:p>
    <w:p w:rsidR="00BD4149" w:rsidRPr="0042762C" w:rsidRDefault="00E1781F" w:rsidP="00E1781F">
      <w:pPr>
        <w:pStyle w:val="Point1"/>
        <w:rPr>
          <w:noProof/>
        </w:rPr>
      </w:pPr>
      <w:r w:rsidRPr="00E1781F">
        <w:t>(c)</w:t>
      </w:r>
      <w:r w:rsidRPr="00E1781F">
        <w:tab/>
      </w:r>
      <w:r w:rsidR="00BD4149" w:rsidRPr="0042762C">
        <w:rPr>
          <w:noProof/>
        </w:rPr>
        <w:t xml:space="preserve">the driving disqualification is statute-barred in accordance with the law of the </w:t>
      </w:r>
      <w:r w:rsidR="00BD4149">
        <w:rPr>
          <w:noProof/>
        </w:rPr>
        <w:t xml:space="preserve">Member </w:t>
      </w:r>
      <w:r w:rsidR="00BD4149" w:rsidRPr="0042762C">
        <w:rPr>
          <w:noProof/>
        </w:rPr>
        <w:t>State</w:t>
      </w:r>
      <w:r w:rsidR="00BD4149">
        <w:rPr>
          <w:noProof/>
        </w:rPr>
        <w:t xml:space="preserve"> of issuance</w:t>
      </w:r>
      <w:r w:rsidR="00BD4149" w:rsidRPr="0042762C">
        <w:rPr>
          <w:noProof/>
        </w:rPr>
        <w:t xml:space="preserve">; </w:t>
      </w:r>
    </w:p>
    <w:p w:rsidR="00BD4149" w:rsidRPr="0042762C" w:rsidRDefault="00E1781F" w:rsidP="00E1781F">
      <w:pPr>
        <w:pStyle w:val="Point1"/>
        <w:rPr>
          <w:noProof/>
          <w:lang w:val="en-US"/>
        </w:rPr>
      </w:pPr>
      <w:r w:rsidRPr="00E1781F">
        <w:t>(d)</w:t>
      </w:r>
      <w:r w:rsidRPr="00E1781F">
        <w:tab/>
      </w:r>
      <w:r w:rsidR="00BD4149" w:rsidRPr="0042762C">
        <w:rPr>
          <w:noProof/>
          <w:lang w:val="en-US"/>
        </w:rPr>
        <w:t xml:space="preserve">there is a privilege or immunity under the law of the </w:t>
      </w:r>
      <w:r w:rsidR="00BD4149">
        <w:rPr>
          <w:noProof/>
          <w:lang w:val="en-US"/>
        </w:rPr>
        <w:t xml:space="preserve">Member </w:t>
      </w:r>
      <w:r w:rsidR="00BD4149" w:rsidRPr="0042762C">
        <w:rPr>
          <w:noProof/>
          <w:lang w:val="en-US"/>
        </w:rPr>
        <w:t xml:space="preserve">State </w:t>
      </w:r>
      <w:r w:rsidR="00BD4149">
        <w:rPr>
          <w:noProof/>
          <w:lang w:val="en-US"/>
        </w:rPr>
        <w:t xml:space="preserve">of issuance </w:t>
      </w:r>
      <w:r w:rsidR="00BD4149" w:rsidRPr="0042762C">
        <w:rPr>
          <w:noProof/>
          <w:lang w:val="en-US"/>
        </w:rPr>
        <w:t xml:space="preserve">that prevents the execution of the driving disqualification; </w:t>
      </w:r>
    </w:p>
    <w:p w:rsidR="00BD4149" w:rsidRPr="0042762C" w:rsidRDefault="00E1781F" w:rsidP="00E1781F">
      <w:pPr>
        <w:pStyle w:val="Point1"/>
        <w:rPr>
          <w:noProof/>
          <w:lang w:val="en-US"/>
        </w:rPr>
      </w:pPr>
      <w:r w:rsidRPr="00E1781F">
        <w:t>(e)</w:t>
      </w:r>
      <w:r w:rsidRPr="00E1781F">
        <w:tab/>
      </w:r>
      <w:r w:rsidR="00BD4149" w:rsidRPr="0042762C">
        <w:rPr>
          <w:noProof/>
          <w:lang w:val="en-US"/>
        </w:rPr>
        <w:t>at the moment of adopting the measures,</w:t>
      </w:r>
      <w:r w:rsidR="002A67EC">
        <w:rPr>
          <w:noProof/>
          <w:lang w:val="en-US"/>
        </w:rPr>
        <w:t xml:space="preserve"> </w:t>
      </w:r>
      <w:r w:rsidR="002A67EC">
        <w:rPr>
          <w:noProof/>
        </w:rPr>
        <w:t>referred to in Article 6(3)</w:t>
      </w:r>
      <w:r w:rsidR="002A67EC" w:rsidRPr="00673A4E">
        <w:rPr>
          <w:noProof/>
        </w:rPr>
        <w:t>,</w:t>
      </w:r>
      <w:r w:rsidR="00BD4149" w:rsidRPr="0042762C">
        <w:rPr>
          <w:noProof/>
          <w:lang w:val="en-US"/>
        </w:rPr>
        <w:t xml:space="preserve"> the remaining period of</w:t>
      </w:r>
      <w:r w:rsidR="002A67EC">
        <w:rPr>
          <w:noProof/>
          <w:lang w:val="en-US"/>
        </w:rPr>
        <w:t xml:space="preserve"> the</w:t>
      </w:r>
      <w:r w:rsidR="00BD4149" w:rsidRPr="0042762C">
        <w:rPr>
          <w:noProof/>
          <w:lang w:val="en-US"/>
        </w:rPr>
        <w:t xml:space="preserve"> suspension</w:t>
      </w:r>
      <w:r w:rsidR="002A67EC">
        <w:rPr>
          <w:noProof/>
          <w:lang w:val="en-US"/>
        </w:rPr>
        <w:t xml:space="preserve"> </w:t>
      </w:r>
      <w:r w:rsidR="002A67EC">
        <w:rPr>
          <w:noProof/>
        </w:rPr>
        <w:t xml:space="preserve">or of the restriction to be </w:t>
      </w:r>
      <w:r w:rsidR="002A67EC" w:rsidRPr="009C307E">
        <w:rPr>
          <w:noProof/>
        </w:rPr>
        <w:t>served</w:t>
      </w:r>
      <w:r w:rsidR="00BD4149" w:rsidRPr="0042762C">
        <w:rPr>
          <w:noProof/>
          <w:lang w:val="en-US"/>
        </w:rPr>
        <w:t xml:space="preserve"> pursuant to the driving disqualification is less than one month; </w:t>
      </w:r>
    </w:p>
    <w:p w:rsidR="00BD4149" w:rsidRPr="0042762C" w:rsidRDefault="00E1781F" w:rsidP="00E1781F">
      <w:pPr>
        <w:pStyle w:val="Point1"/>
        <w:rPr>
          <w:noProof/>
          <w:lang w:val="en-US"/>
        </w:rPr>
      </w:pPr>
      <w:r w:rsidRPr="00E1781F">
        <w:t>(f)</w:t>
      </w:r>
      <w:r w:rsidRPr="00E1781F">
        <w:tab/>
      </w:r>
      <w:r w:rsidR="00BD4149" w:rsidRPr="0042762C">
        <w:rPr>
          <w:noProof/>
          <w:lang w:val="en-US"/>
        </w:rPr>
        <w:t>judicial proceedings took place and according to the certificate the person concerned did not appear in person at the trial that resulted in the adoption of the driving disqualification, unless the certificate states that, in accordance with further procedural requirements defined in the law of the</w:t>
      </w:r>
      <w:r w:rsidR="002A67EC">
        <w:rPr>
          <w:noProof/>
          <w:lang w:val="en-US"/>
        </w:rPr>
        <w:t xml:space="preserve"> Member</w:t>
      </w:r>
      <w:r w:rsidR="00BD4149" w:rsidRPr="0042762C">
        <w:rPr>
          <w:noProof/>
          <w:lang w:val="en-US"/>
        </w:rPr>
        <w:t xml:space="preserve"> State</w:t>
      </w:r>
      <w:r w:rsidR="002A67EC">
        <w:rPr>
          <w:noProof/>
          <w:lang w:val="en-US"/>
        </w:rPr>
        <w:t xml:space="preserve"> of the offence</w:t>
      </w:r>
      <w:r w:rsidR="00BD4149" w:rsidRPr="0042762C">
        <w:rPr>
          <w:noProof/>
          <w:lang w:val="en-US"/>
        </w:rPr>
        <w:t xml:space="preserve">, </w:t>
      </w:r>
      <w:r w:rsidR="00BD4149" w:rsidRPr="0042762C">
        <w:rPr>
          <w:rFonts w:eastAsia="Times New Roman"/>
          <w:noProof/>
          <w:szCs w:val="24"/>
          <w:lang w:val="en-US"/>
        </w:rPr>
        <w:t>either of the following circumstances have occurred</w:t>
      </w:r>
      <w:r w:rsidR="00BD4149" w:rsidRPr="0042762C">
        <w:rPr>
          <w:noProof/>
          <w:lang w:val="en-US"/>
        </w:rPr>
        <w:t xml:space="preserve">: </w:t>
      </w:r>
    </w:p>
    <w:p w:rsidR="00BD4149" w:rsidRPr="0042762C" w:rsidRDefault="00BD4149" w:rsidP="00BD4149">
      <w:pPr>
        <w:ind w:left="1417"/>
        <w:rPr>
          <w:noProof/>
          <w:lang w:val="en-US"/>
        </w:rPr>
      </w:pPr>
      <w:r w:rsidRPr="0042762C">
        <w:rPr>
          <w:noProof/>
          <w:lang w:val="en-US"/>
        </w:rPr>
        <w:t xml:space="preserve">(i) the person concerned was summoned in person in due time and was thereby informed of the scheduled date and place of the trial that resulted in the driving disqualification, or actually received, by other means, official information of the scheduled date and place of that trial in such a manner that it was established unequivocally that that person was aware of the scheduled trial, and was informed in due time that such a driving disqualification could be handed down if that person did not appear at the trial; </w:t>
      </w:r>
    </w:p>
    <w:p w:rsidR="00BD4149" w:rsidRPr="0042762C" w:rsidRDefault="00BD4149" w:rsidP="00BD4149">
      <w:pPr>
        <w:ind w:left="1417"/>
        <w:rPr>
          <w:noProof/>
          <w:lang w:val="en-US"/>
        </w:rPr>
      </w:pPr>
      <w:r w:rsidRPr="0042762C">
        <w:rPr>
          <w:noProof/>
          <w:lang w:val="en-US"/>
        </w:rPr>
        <w:t xml:space="preserve">(ii) being aware of the scheduled trial, the person concerned had given a mandate to a lawyer, who was either appointed by the person concerned or by the State, to defend that person at the trial and was actually defended by that lawyer at the trial; or </w:t>
      </w:r>
    </w:p>
    <w:p w:rsidR="00BD4149" w:rsidRPr="0042762C" w:rsidRDefault="00BD4149" w:rsidP="00BD4149">
      <w:pPr>
        <w:ind w:left="1417"/>
        <w:rPr>
          <w:noProof/>
          <w:lang w:val="en-US"/>
        </w:rPr>
      </w:pPr>
      <w:r w:rsidRPr="0042762C">
        <w:rPr>
          <w:noProof/>
          <w:lang w:val="en-US"/>
        </w:rPr>
        <w:t>(iii) after having been served with the driving disqualification and having been expressly informed of the right to a retrial or an appeal, in which the person concerned would have the right to participate and which would allow a re-examination of the merits of the case including an examination of fresh evidence, and which could lead to the original driving disqualification being reversed, that person expressly stated that he or she did not contest the driving disqualification, or did not request a retrial or appeal within the applicable time limits;</w:t>
      </w:r>
    </w:p>
    <w:p w:rsidR="00BD4149" w:rsidRPr="0042762C" w:rsidRDefault="00E1781F" w:rsidP="00E1781F">
      <w:pPr>
        <w:pStyle w:val="Point1"/>
        <w:rPr>
          <w:noProof/>
          <w:lang w:val="en-US"/>
        </w:rPr>
      </w:pPr>
      <w:r w:rsidRPr="00E1781F">
        <w:t>(g)</w:t>
      </w:r>
      <w:r w:rsidRPr="00E1781F">
        <w:tab/>
      </w:r>
      <w:r w:rsidR="00BD4149" w:rsidRPr="0042762C">
        <w:rPr>
          <w:noProof/>
          <w:lang w:val="en-US"/>
        </w:rPr>
        <w:t xml:space="preserve">in exceptional situations, there are substantial grounds to believe, on the basis of specific and objective evidence, that the execution of the driving disqualification would, in the particular circumstances of the case, entail a breach of a fundamental right as set out in the Charter. </w:t>
      </w:r>
    </w:p>
    <w:p w:rsidR="00BD4149" w:rsidRPr="0042762C" w:rsidRDefault="00E1781F" w:rsidP="00E1781F">
      <w:pPr>
        <w:pStyle w:val="ManualNumPar1"/>
        <w:rPr>
          <w:noProof/>
        </w:rPr>
      </w:pPr>
      <w:r w:rsidRPr="00E1781F">
        <w:t>2.</w:t>
      </w:r>
      <w:r w:rsidRPr="00E1781F">
        <w:tab/>
      </w:r>
      <w:r w:rsidR="002A67EC">
        <w:rPr>
          <w:noProof/>
          <w:lang w:val="en-US"/>
        </w:rPr>
        <w:t xml:space="preserve">The </w:t>
      </w:r>
      <w:r w:rsidR="00BD4149" w:rsidRPr="0042762C">
        <w:rPr>
          <w:noProof/>
          <w:lang w:val="en-US"/>
        </w:rPr>
        <w:t>Member State</w:t>
      </w:r>
      <w:r w:rsidR="002A67EC">
        <w:rPr>
          <w:noProof/>
          <w:lang w:val="en-US"/>
        </w:rPr>
        <w:t xml:space="preserve"> of issuance</w:t>
      </w:r>
      <w:r w:rsidR="00BD4149" w:rsidRPr="0042762C">
        <w:rPr>
          <w:noProof/>
          <w:lang w:val="en-US"/>
        </w:rPr>
        <w:t xml:space="preserve"> may decide to apply</w:t>
      </w:r>
      <w:r w:rsidR="002926FE">
        <w:rPr>
          <w:noProof/>
          <w:lang w:val="en-US"/>
        </w:rPr>
        <w:t xml:space="preserve"> also</w:t>
      </w:r>
      <w:r w:rsidR="00BD4149" w:rsidRPr="0042762C">
        <w:rPr>
          <w:noProof/>
          <w:lang w:val="en-US"/>
        </w:rPr>
        <w:t xml:space="preserve"> the following ground</w:t>
      </w:r>
      <w:r w:rsidR="002926FE">
        <w:rPr>
          <w:noProof/>
          <w:lang w:val="en-US"/>
        </w:rPr>
        <w:t>s</w:t>
      </w:r>
      <w:r w:rsidR="00BD4149" w:rsidRPr="0042762C">
        <w:rPr>
          <w:noProof/>
          <w:lang w:val="en-US"/>
        </w:rPr>
        <w:t xml:space="preserve"> of exemption:</w:t>
      </w:r>
    </w:p>
    <w:p w:rsidR="00BD4149" w:rsidRPr="0042762C" w:rsidRDefault="00E1781F" w:rsidP="00E1781F">
      <w:pPr>
        <w:pStyle w:val="Point1"/>
        <w:rPr>
          <w:noProof/>
        </w:rPr>
      </w:pPr>
      <w:r w:rsidRPr="00E1781F">
        <w:t>(a)</w:t>
      </w:r>
      <w:r w:rsidRPr="00E1781F">
        <w:tab/>
      </w:r>
      <w:r w:rsidR="00BD4149" w:rsidRPr="0042762C">
        <w:rPr>
          <w:noProof/>
        </w:rPr>
        <w:t xml:space="preserve">the driving disqualification relates to </w:t>
      </w:r>
      <w:r w:rsidR="00560238" w:rsidRPr="00560238">
        <w:rPr>
          <w:noProof/>
        </w:rPr>
        <w:t>a major road-safety-related traffic</w:t>
      </w:r>
      <w:r w:rsidR="00BD4149" w:rsidRPr="0042762C">
        <w:rPr>
          <w:noProof/>
        </w:rPr>
        <w:t xml:space="preserve"> offence</w:t>
      </w:r>
      <w:r w:rsidR="00560238">
        <w:rPr>
          <w:noProof/>
        </w:rPr>
        <w:t xml:space="preserve"> </w:t>
      </w:r>
      <w:r w:rsidR="00BD4149" w:rsidRPr="0042762C">
        <w:rPr>
          <w:noProof/>
        </w:rPr>
        <w:t>that</w:t>
      </w:r>
      <w:r w:rsidR="00360E74">
        <w:rPr>
          <w:noProof/>
        </w:rPr>
        <w:t>, on the basis of the information notified under Article 4(1), would</w:t>
      </w:r>
      <w:r w:rsidR="00560238">
        <w:rPr>
          <w:noProof/>
        </w:rPr>
        <w:t xml:space="preserve"> not</w:t>
      </w:r>
      <w:r w:rsidR="00360E74">
        <w:rPr>
          <w:noProof/>
        </w:rPr>
        <w:t xml:space="preserve"> be</w:t>
      </w:r>
      <w:r w:rsidR="00BD4149" w:rsidRPr="0042762C">
        <w:rPr>
          <w:noProof/>
        </w:rPr>
        <w:t xml:space="preserve"> sanctioned with a driving disqualification</w:t>
      </w:r>
      <w:r w:rsidR="00560238">
        <w:rPr>
          <w:noProof/>
        </w:rPr>
        <w:t xml:space="preserve"> </w:t>
      </w:r>
      <w:r w:rsidR="00560238" w:rsidRPr="00685C46">
        <w:rPr>
          <w:noProof/>
        </w:rPr>
        <w:t>under the law of the Member State of issuance</w:t>
      </w:r>
      <w:r w:rsidR="00BD4149" w:rsidRPr="0042762C">
        <w:rPr>
          <w:noProof/>
        </w:rPr>
        <w:t>;</w:t>
      </w:r>
    </w:p>
    <w:p w:rsidR="00BD4149" w:rsidRPr="0042762C" w:rsidRDefault="00E1781F" w:rsidP="00E1781F">
      <w:pPr>
        <w:pStyle w:val="Point1"/>
        <w:rPr>
          <w:noProof/>
          <w:lang w:val="en-US"/>
        </w:rPr>
      </w:pPr>
      <w:r w:rsidRPr="00E1781F">
        <w:t>(b)</w:t>
      </w:r>
      <w:r w:rsidRPr="00E1781F">
        <w:tab/>
      </w:r>
      <w:r w:rsidR="00BD4149" w:rsidRPr="0042762C">
        <w:rPr>
          <w:noProof/>
        </w:rPr>
        <w:t xml:space="preserve">the driving disqualification was imposed only on grounds of </w:t>
      </w:r>
      <w:r w:rsidR="00BD4149" w:rsidRPr="0042762C">
        <w:rPr>
          <w:noProof/>
          <w:lang w:val="en-US"/>
        </w:rPr>
        <w:t xml:space="preserve">speeding and the speed limits  in force in the Member State </w:t>
      </w:r>
      <w:r w:rsidR="00BD4149">
        <w:rPr>
          <w:noProof/>
          <w:lang w:val="en-US"/>
        </w:rPr>
        <w:t xml:space="preserve">of the offence </w:t>
      </w:r>
      <w:r w:rsidR="00BD4149" w:rsidRPr="0042762C">
        <w:rPr>
          <w:noProof/>
          <w:lang w:val="en-US"/>
        </w:rPr>
        <w:t>were exceeded by less than 50 km/h;</w:t>
      </w:r>
    </w:p>
    <w:p w:rsidR="00BD4149" w:rsidRPr="0042762C" w:rsidRDefault="00E1781F" w:rsidP="00E1781F">
      <w:pPr>
        <w:pStyle w:val="Point1"/>
        <w:rPr>
          <w:noProof/>
        </w:rPr>
      </w:pPr>
      <w:r w:rsidRPr="00E1781F">
        <w:t>(c)</w:t>
      </w:r>
      <w:r w:rsidRPr="00E1781F">
        <w:tab/>
      </w:r>
      <w:r w:rsidR="00560238" w:rsidRPr="00673A4E">
        <w:rPr>
          <w:noProof/>
        </w:rPr>
        <w:t>under the law of the Member State of issuance</w:t>
      </w:r>
      <w:r w:rsidR="00560238">
        <w:rPr>
          <w:noProof/>
        </w:rPr>
        <w:t xml:space="preserve">, the </w:t>
      </w:r>
      <w:r w:rsidR="00BD4149" w:rsidRPr="0042762C">
        <w:rPr>
          <w:noProof/>
        </w:rPr>
        <w:t>person</w:t>
      </w:r>
      <w:r w:rsidR="00560238">
        <w:rPr>
          <w:noProof/>
        </w:rPr>
        <w:t xml:space="preserve"> concerned cannot,</w:t>
      </w:r>
      <w:r w:rsidR="00BD4149" w:rsidRPr="0042762C">
        <w:rPr>
          <w:noProof/>
        </w:rPr>
        <w:t xml:space="preserve"> due to his or her age</w:t>
      </w:r>
      <w:r w:rsidR="00560238">
        <w:rPr>
          <w:noProof/>
        </w:rPr>
        <w:t xml:space="preserve">, be </w:t>
      </w:r>
      <w:r w:rsidR="00BD4149" w:rsidRPr="0042762C">
        <w:rPr>
          <w:noProof/>
        </w:rPr>
        <w:t>held liable for the</w:t>
      </w:r>
      <w:r w:rsidR="00560238">
        <w:rPr>
          <w:noProof/>
        </w:rPr>
        <w:t xml:space="preserve"> </w:t>
      </w:r>
      <w:r w:rsidR="00560238" w:rsidRPr="00673A4E">
        <w:rPr>
          <w:noProof/>
        </w:rPr>
        <w:t>major road-safety-related traffic offence</w:t>
      </w:r>
      <w:r w:rsidR="00BD4149" w:rsidRPr="0042762C">
        <w:rPr>
          <w:noProof/>
        </w:rPr>
        <w:t xml:space="preserve"> in respect of which the </w:t>
      </w:r>
      <w:r w:rsidR="00560238">
        <w:rPr>
          <w:noProof/>
        </w:rPr>
        <w:t>driving disqualification</w:t>
      </w:r>
      <w:r w:rsidR="00BD4149" w:rsidRPr="0042762C">
        <w:rPr>
          <w:noProof/>
        </w:rPr>
        <w:t xml:space="preserve"> was issued.</w:t>
      </w:r>
    </w:p>
    <w:p w:rsidR="00BD4149" w:rsidRPr="0042762C" w:rsidRDefault="00E1781F" w:rsidP="00E1781F">
      <w:pPr>
        <w:pStyle w:val="ManualNumPar1"/>
        <w:rPr>
          <w:noProof/>
          <w:lang w:val="en-US"/>
        </w:rPr>
      </w:pPr>
      <w:r w:rsidRPr="00E1781F">
        <w:t>3.</w:t>
      </w:r>
      <w:r w:rsidRPr="00E1781F">
        <w:tab/>
      </w:r>
      <w:r w:rsidR="00BD4149" w:rsidRPr="0042762C">
        <w:rPr>
          <w:noProof/>
        </w:rPr>
        <w:t xml:space="preserve">Whenever the Member State of issuance intends to apply in a specific case a ground for </w:t>
      </w:r>
      <w:r w:rsidR="00BD4149" w:rsidRPr="00DD7480">
        <w:rPr>
          <w:noProof/>
        </w:rPr>
        <w:t>exemption pursuant to paragraph 1 or 2, it shall inform without delay the Member State</w:t>
      </w:r>
      <w:r w:rsidR="00BD4149" w:rsidRPr="0042762C">
        <w:rPr>
          <w:noProof/>
          <w:lang w:val="en-US"/>
        </w:rPr>
        <w:t xml:space="preserve"> of the offence and</w:t>
      </w:r>
      <w:r w:rsidR="000166EE" w:rsidRPr="0089699E">
        <w:rPr>
          <w:noProof/>
        </w:rPr>
        <w:t>, where applicable,</w:t>
      </w:r>
      <w:r w:rsidR="000166EE">
        <w:rPr>
          <w:noProof/>
        </w:rPr>
        <w:t xml:space="preserve"> </w:t>
      </w:r>
      <w:r w:rsidR="00BD4149" w:rsidRPr="0042762C">
        <w:rPr>
          <w:noProof/>
          <w:lang w:val="en-US"/>
        </w:rPr>
        <w:t xml:space="preserve">request any necessary information for the purpose of examining whether a ground for exemption referred to </w:t>
      </w:r>
      <w:r w:rsidR="000166EE">
        <w:rPr>
          <w:noProof/>
          <w:lang w:val="en-US"/>
        </w:rPr>
        <w:t>there</w:t>
      </w:r>
      <w:r w:rsidR="00BD4149" w:rsidRPr="0042762C">
        <w:rPr>
          <w:noProof/>
          <w:lang w:val="en-US"/>
        </w:rPr>
        <w:t xml:space="preserve">in applies. The Member State of the offence shall provide the requested information without delay and may provide any additional information or comment it deems relevant. </w:t>
      </w:r>
    </w:p>
    <w:p w:rsidR="00BD4149" w:rsidRPr="0042762C" w:rsidRDefault="00BD4149" w:rsidP="00BD4149">
      <w:pPr>
        <w:ind w:left="850"/>
        <w:rPr>
          <w:noProof/>
          <w:lang w:val="en-US"/>
        </w:rPr>
      </w:pPr>
      <w:r w:rsidRPr="0042762C">
        <w:rPr>
          <w:noProof/>
          <w:lang w:val="en-US"/>
        </w:rPr>
        <w:t>Information provided under this paragraph shall</w:t>
      </w:r>
      <w:r w:rsidR="000166EE">
        <w:rPr>
          <w:noProof/>
          <w:lang w:val="en-US"/>
        </w:rPr>
        <w:t xml:space="preserve"> </w:t>
      </w:r>
      <w:r w:rsidR="000166EE">
        <w:rPr>
          <w:noProof/>
        </w:rPr>
        <w:t>not include personal data other than those strictly necessary for the application of paragraphs 1 and 2 and shall</w:t>
      </w:r>
      <w:r w:rsidRPr="0042762C">
        <w:rPr>
          <w:noProof/>
          <w:lang w:val="en-US"/>
        </w:rPr>
        <w:t xml:space="preserve"> be used for the sole purpose of</w:t>
      </w:r>
      <w:r w:rsidR="000166EE">
        <w:rPr>
          <w:noProof/>
          <w:lang w:val="en-US"/>
        </w:rPr>
        <w:t xml:space="preserve"> </w:t>
      </w:r>
      <w:r w:rsidR="000166EE" w:rsidRPr="000166EE">
        <w:rPr>
          <w:noProof/>
          <w:lang w:val="en-US"/>
        </w:rPr>
        <w:t>applying those paragraphs</w:t>
      </w:r>
      <w:r w:rsidRPr="0042762C">
        <w:rPr>
          <w:noProof/>
          <w:lang w:val="en-US"/>
        </w:rPr>
        <w:t>.</w:t>
      </w:r>
    </w:p>
    <w:p w:rsidR="00BD4149" w:rsidRPr="0042762C" w:rsidRDefault="00BD4149" w:rsidP="00BD4149">
      <w:pPr>
        <w:spacing w:before="0" w:after="160"/>
        <w:rPr>
          <w:rFonts w:eastAsia="Times New Roman"/>
          <w:b/>
          <w:bCs/>
          <w:noProof/>
          <w:szCs w:val="24"/>
          <w:lang w:val="en-US"/>
        </w:rPr>
      </w:pPr>
    </w:p>
    <w:p w:rsidR="00BD4149" w:rsidRPr="0042762C" w:rsidRDefault="00BD4149" w:rsidP="00BD4149">
      <w:pPr>
        <w:spacing w:before="0" w:after="160"/>
        <w:jc w:val="center"/>
        <w:rPr>
          <w:rFonts w:eastAsia="Times New Roman"/>
          <w:i/>
          <w:iCs/>
          <w:noProof/>
          <w:szCs w:val="24"/>
          <w:lang w:val="en-US"/>
        </w:rPr>
      </w:pPr>
      <w:r w:rsidRPr="0042762C">
        <w:rPr>
          <w:rFonts w:eastAsia="Times New Roman"/>
          <w:i/>
          <w:iCs/>
          <w:noProof/>
          <w:szCs w:val="24"/>
          <w:lang w:val="en-US"/>
        </w:rPr>
        <w:t>Article 9</w:t>
      </w:r>
    </w:p>
    <w:p w:rsidR="00BD4149" w:rsidRPr="0042762C" w:rsidRDefault="00BD4149" w:rsidP="00BD4149">
      <w:pPr>
        <w:spacing w:before="0" w:after="160"/>
        <w:jc w:val="center"/>
        <w:rPr>
          <w:rFonts w:eastAsia="Times New Roman"/>
          <w:b/>
          <w:noProof/>
          <w:lang w:val="en-US"/>
        </w:rPr>
      </w:pPr>
      <w:r w:rsidRPr="0042762C">
        <w:rPr>
          <w:rFonts w:eastAsia="Times New Roman"/>
          <w:b/>
          <w:noProof/>
          <w:lang w:val="en-US"/>
        </w:rPr>
        <w:t>Time</w:t>
      </w:r>
      <w:r w:rsidRPr="0042762C">
        <w:rPr>
          <w:rFonts w:eastAsia="Times New Roman"/>
          <w:b/>
          <w:bCs/>
          <w:noProof/>
          <w:lang w:val="en-US"/>
        </w:rPr>
        <w:t>-</w:t>
      </w:r>
      <w:r w:rsidRPr="0042762C">
        <w:rPr>
          <w:rFonts w:eastAsia="Times New Roman"/>
          <w:b/>
          <w:noProof/>
          <w:lang w:val="en-US"/>
        </w:rPr>
        <w:t xml:space="preserve">limits </w:t>
      </w:r>
    </w:p>
    <w:p w:rsidR="00BD4149" w:rsidRPr="0042762C" w:rsidRDefault="00E1781F" w:rsidP="00E1781F">
      <w:pPr>
        <w:pStyle w:val="ManualNumPar1"/>
        <w:rPr>
          <w:noProof/>
          <w:lang w:val="en-US"/>
        </w:rPr>
      </w:pPr>
      <w:r w:rsidRPr="00E1781F">
        <w:t>1.</w:t>
      </w:r>
      <w:r w:rsidRPr="00E1781F">
        <w:tab/>
      </w:r>
      <w:r w:rsidR="00BD4149" w:rsidRPr="0042762C">
        <w:rPr>
          <w:noProof/>
          <w:lang w:val="en-US"/>
        </w:rPr>
        <w:t>The Member State of issuance shall take the measures referred to in Article 6</w:t>
      </w:r>
      <w:r w:rsidR="00CF747D">
        <w:rPr>
          <w:noProof/>
          <w:lang w:val="en-US"/>
        </w:rPr>
        <w:t xml:space="preserve"> </w:t>
      </w:r>
      <w:r w:rsidR="00BD4149" w:rsidRPr="0042762C">
        <w:rPr>
          <w:noProof/>
          <w:lang w:val="en-US"/>
        </w:rPr>
        <w:t xml:space="preserve">(1) or </w:t>
      </w:r>
      <w:r w:rsidR="00CF747D">
        <w:rPr>
          <w:noProof/>
          <w:lang w:val="en-US"/>
        </w:rPr>
        <w:t>adopt</w:t>
      </w:r>
      <w:r w:rsidR="00BD4149" w:rsidRPr="0042762C">
        <w:rPr>
          <w:noProof/>
          <w:lang w:val="en-US"/>
        </w:rPr>
        <w:t xml:space="preserve"> the </w:t>
      </w:r>
      <w:r w:rsidR="00CF747D">
        <w:rPr>
          <w:noProof/>
          <w:lang w:val="en-US"/>
        </w:rPr>
        <w:t>decision that</w:t>
      </w:r>
      <w:r w:rsidR="00BD4149" w:rsidRPr="0042762C">
        <w:rPr>
          <w:noProof/>
          <w:lang w:val="en-US"/>
        </w:rPr>
        <w:t xml:space="preserve"> a ground </w:t>
      </w:r>
      <w:r w:rsidR="00CF747D">
        <w:rPr>
          <w:noProof/>
          <w:lang w:val="en-US"/>
        </w:rPr>
        <w:t>of</w:t>
      </w:r>
      <w:r w:rsidR="00BD4149" w:rsidRPr="0042762C">
        <w:rPr>
          <w:noProof/>
          <w:lang w:val="en-US"/>
        </w:rPr>
        <w:t xml:space="preserve"> exemption pursuant to Article 8</w:t>
      </w:r>
      <w:r w:rsidR="00CF747D">
        <w:rPr>
          <w:noProof/>
          <w:lang w:val="en-US"/>
        </w:rPr>
        <w:t xml:space="preserve"> applies</w:t>
      </w:r>
      <w:r w:rsidR="00BD4149" w:rsidRPr="0042762C">
        <w:rPr>
          <w:noProof/>
          <w:lang w:val="en-US"/>
        </w:rPr>
        <w:t xml:space="preserve"> without delay and, </w:t>
      </w:r>
      <w:r w:rsidR="00F2353E">
        <w:rPr>
          <w:noProof/>
          <w:lang w:val="en-US"/>
        </w:rPr>
        <w:t>without prejudice to paragraph 3</w:t>
      </w:r>
      <w:r w:rsidR="00BD4149" w:rsidRPr="0042762C">
        <w:rPr>
          <w:noProof/>
          <w:lang w:val="en-US"/>
        </w:rPr>
        <w:t xml:space="preserve">, no later than 15 days after it </w:t>
      </w:r>
      <w:r w:rsidR="00CF747D">
        <w:rPr>
          <w:noProof/>
          <w:lang w:val="en-US"/>
        </w:rPr>
        <w:t xml:space="preserve">received </w:t>
      </w:r>
      <w:r w:rsidR="00BD4149" w:rsidRPr="0042762C">
        <w:rPr>
          <w:noProof/>
          <w:lang w:val="en-US"/>
        </w:rPr>
        <w:t xml:space="preserve">the certificate in accordance with Article 5(1). </w:t>
      </w:r>
    </w:p>
    <w:p w:rsidR="00BD4149" w:rsidRPr="0042762C" w:rsidRDefault="00E1781F" w:rsidP="00E1781F">
      <w:pPr>
        <w:pStyle w:val="ManualNumPar1"/>
        <w:rPr>
          <w:noProof/>
          <w:lang w:val="en-US"/>
        </w:rPr>
      </w:pPr>
      <w:r w:rsidRPr="00E1781F">
        <w:t>2.</w:t>
      </w:r>
      <w:r w:rsidRPr="00E1781F">
        <w:tab/>
      </w:r>
      <w:r w:rsidR="00BD4149" w:rsidRPr="0042762C">
        <w:rPr>
          <w:noProof/>
          <w:lang w:val="en-US"/>
        </w:rPr>
        <w:t xml:space="preserve">The national contact point of the Member State of issuance shall communicate without delay the measures taken under Article 6(1) or the </w:t>
      </w:r>
      <w:r w:rsidR="00633243">
        <w:rPr>
          <w:noProof/>
          <w:lang w:val="en-US"/>
        </w:rPr>
        <w:t>decision</w:t>
      </w:r>
      <w:r w:rsidR="00BD4149" w:rsidRPr="0042762C">
        <w:rPr>
          <w:noProof/>
          <w:lang w:val="en-US"/>
        </w:rPr>
        <w:t xml:space="preserve"> that a ground of exemption applies pursuant to Article 8 to the national contact point of the Member State of the offence </w:t>
      </w:r>
      <w:r w:rsidR="00633243">
        <w:rPr>
          <w:noProof/>
          <w:lang w:val="en-US"/>
        </w:rPr>
        <w:t>through</w:t>
      </w:r>
      <w:r w:rsidR="00BD4149" w:rsidRPr="0042762C">
        <w:rPr>
          <w:noProof/>
          <w:lang w:val="en-US"/>
        </w:rPr>
        <w:t xml:space="preserve"> RESPER.</w:t>
      </w:r>
    </w:p>
    <w:p w:rsidR="00BD4149" w:rsidRPr="0042762C" w:rsidRDefault="00E1781F" w:rsidP="00E1781F">
      <w:pPr>
        <w:pStyle w:val="ManualNumPar1"/>
        <w:rPr>
          <w:noProof/>
          <w:lang w:val="en-US"/>
        </w:rPr>
      </w:pPr>
      <w:r w:rsidRPr="00E1781F">
        <w:t>3.</w:t>
      </w:r>
      <w:r w:rsidRPr="00E1781F">
        <w:tab/>
      </w:r>
      <w:r w:rsidR="00BD4149" w:rsidRPr="0042762C">
        <w:rPr>
          <w:noProof/>
          <w:lang w:val="en-US"/>
        </w:rPr>
        <w:t xml:space="preserve">Where it is not possible, in a specific case, to meet the time-limit set out in paragraph 1, the national contact point of the Member State of issuance shall inform the national contact point of the Member State of the offence without delay by any means, giving the reasons for which it was not possible to meet that time-limit. </w:t>
      </w:r>
    </w:p>
    <w:p w:rsidR="00BD4149" w:rsidRPr="0042762C" w:rsidRDefault="00BD4149" w:rsidP="00BD4149">
      <w:pPr>
        <w:ind w:left="850"/>
        <w:rPr>
          <w:noProof/>
          <w:lang w:val="en-US"/>
        </w:rPr>
      </w:pPr>
      <w:r w:rsidRPr="0042762C">
        <w:rPr>
          <w:noProof/>
          <w:lang w:val="en-US"/>
        </w:rPr>
        <w:t>The expiry of the time-limit set in paragraph 1 shall not relieve the Member State of issuance of its obligation to take the measure</w:t>
      </w:r>
      <w:r w:rsidR="00633243">
        <w:rPr>
          <w:noProof/>
          <w:lang w:val="en-US"/>
        </w:rPr>
        <w:t>s</w:t>
      </w:r>
      <w:r w:rsidRPr="0042762C">
        <w:rPr>
          <w:noProof/>
          <w:lang w:val="en-US"/>
        </w:rPr>
        <w:t xml:space="preserve"> referred to in Article 6(1) without delay.</w:t>
      </w:r>
    </w:p>
    <w:p w:rsidR="00BD4149" w:rsidRPr="0042762C" w:rsidRDefault="00BD4149" w:rsidP="00BD4149">
      <w:pPr>
        <w:spacing w:before="0" w:after="160"/>
        <w:rPr>
          <w:noProof/>
          <w:szCs w:val="24"/>
          <w:lang w:val="en-US"/>
        </w:rPr>
      </w:pPr>
    </w:p>
    <w:p w:rsidR="00BD4149" w:rsidRPr="0042762C" w:rsidRDefault="00BD4149" w:rsidP="00BD4149">
      <w:pPr>
        <w:spacing w:before="240" w:after="240"/>
        <w:jc w:val="center"/>
        <w:rPr>
          <w:rFonts w:eastAsia="Times New Roman"/>
          <w:i/>
          <w:iCs/>
          <w:noProof/>
          <w:szCs w:val="24"/>
        </w:rPr>
      </w:pPr>
      <w:r w:rsidRPr="0042762C">
        <w:rPr>
          <w:rFonts w:eastAsia="Times New Roman"/>
          <w:i/>
          <w:iCs/>
          <w:noProof/>
          <w:szCs w:val="24"/>
        </w:rPr>
        <w:t>Article 10</w:t>
      </w:r>
    </w:p>
    <w:p w:rsidR="00BD4149" w:rsidRPr="0042762C" w:rsidRDefault="00BD4149" w:rsidP="00BD4149">
      <w:pPr>
        <w:spacing w:before="240" w:after="240"/>
        <w:jc w:val="center"/>
        <w:rPr>
          <w:rFonts w:eastAsia="Times New Roman"/>
          <w:b/>
          <w:bCs/>
          <w:noProof/>
          <w:szCs w:val="24"/>
        </w:rPr>
      </w:pPr>
      <w:r w:rsidRPr="0042762C">
        <w:rPr>
          <w:rFonts w:eastAsia="Times New Roman"/>
          <w:b/>
          <w:bCs/>
          <w:noProof/>
          <w:szCs w:val="24"/>
        </w:rPr>
        <w:t>Consultations between the Member States</w:t>
      </w:r>
    </w:p>
    <w:p w:rsidR="00BD4149" w:rsidRPr="0042762C" w:rsidRDefault="00BD4149" w:rsidP="00BD4149">
      <w:pPr>
        <w:spacing w:before="240" w:after="240"/>
        <w:rPr>
          <w:rFonts w:eastAsia="Times New Roman"/>
          <w:noProof/>
          <w:szCs w:val="24"/>
        </w:rPr>
      </w:pPr>
      <w:r w:rsidRPr="0042762C">
        <w:rPr>
          <w:rFonts w:eastAsia="Times New Roman"/>
          <w:noProof/>
        </w:rPr>
        <w:t>Where necessary, Member States shall consult each other, via appropriate means and without delay, to ensure the eff</w:t>
      </w:r>
      <w:r w:rsidR="00633243">
        <w:rPr>
          <w:rFonts w:eastAsia="Times New Roman"/>
          <w:noProof/>
        </w:rPr>
        <w:t>ective</w:t>
      </w:r>
      <w:r w:rsidRPr="0042762C">
        <w:rPr>
          <w:rFonts w:eastAsia="Times New Roman"/>
          <w:noProof/>
        </w:rPr>
        <w:t xml:space="preserve"> application of this Directive. </w:t>
      </w:r>
    </w:p>
    <w:p w:rsidR="00BD4149" w:rsidRPr="0042762C" w:rsidRDefault="00BD4149" w:rsidP="00BD4149">
      <w:pPr>
        <w:spacing w:before="240" w:after="240"/>
        <w:jc w:val="center"/>
        <w:rPr>
          <w:rFonts w:eastAsia="Times New Roman"/>
          <w:b/>
          <w:bCs/>
          <w:noProof/>
          <w:szCs w:val="24"/>
          <w:lang w:val="en-US"/>
        </w:rPr>
      </w:pPr>
      <w:r w:rsidRPr="0042762C">
        <w:rPr>
          <w:rFonts w:eastAsia="Times New Roman"/>
          <w:i/>
          <w:iCs/>
          <w:noProof/>
          <w:szCs w:val="24"/>
          <w:lang w:val="en-US"/>
        </w:rPr>
        <w:t>Article 11</w:t>
      </w:r>
    </w:p>
    <w:p w:rsidR="00BD4149" w:rsidRPr="0042762C" w:rsidRDefault="00BD4149" w:rsidP="00BD4149">
      <w:pPr>
        <w:spacing w:before="240" w:after="240"/>
        <w:ind w:left="2160"/>
        <w:rPr>
          <w:rFonts w:eastAsia="Times New Roman"/>
          <w:b/>
          <w:bCs/>
          <w:noProof/>
          <w:szCs w:val="24"/>
          <w:lang w:val="en-US"/>
        </w:rPr>
      </w:pPr>
      <w:r w:rsidRPr="0042762C">
        <w:rPr>
          <w:rFonts w:eastAsia="Times New Roman"/>
          <w:b/>
          <w:bCs/>
          <w:noProof/>
          <w:szCs w:val="24"/>
          <w:lang w:val="en-US"/>
        </w:rPr>
        <w:t>Information to be given by the Member State of issuance</w:t>
      </w:r>
    </w:p>
    <w:p w:rsidR="00BD4149" w:rsidRPr="0042762C" w:rsidRDefault="00BD4149" w:rsidP="00BD4149">
      <w:pPr>
        <w:spacing w:before="0" w:after="160"/>
        <w:rPr>
          <w:rFonts w:eastAsia="Times New Roman"/>
          <w:noProof/>
          <w:lang w:val="en-US"/>
        </w:rPr>
      </w:pPr>
      <w:r w:rsidRPr="0042762C">
        <w:rPr>
          <w:rFonts w:eastAsia="Times New Roman"/>
          <w:noProof/>
          <w:lang w:val="en-US"/>
        </w:rPr>
        <w:t>The national contact point of the Member State of issuance shall without delay inform the national contact point of the Member State the offence:</w:t>
      </w:r>
    </w:p>
    <w:p w:rsidR="00BD4149" w:rsidRPr="0042762C" w:rsidRDefault="00E1781F" w:rsidP="00E1781F">
      <w:pPr>
        <w:pStyle w:val="Point1"/>
        <w:rPr>
          <w:noProof/>
        </w:rPr>
      </w:pPr>
      <w:r w:rsidRPr="00E1781F">
        <w:t>(a)</w:t>
      </w:r>
      <w:r w:rsidRPr="00E1781F">
        <w:tab/>
      </w:r>
      <w:r w:rsidR="00BD4149" w:rsidRPr="00DD7480">
        <w:rPr>
          <w:noProof/>
          <w:lang w:val="en-US"/>
        </w:rPr>
        <w:t>of the reception of the notification of the driving disqualification, in accordance with Article 4(1);</w:t>
      </w:r>
    </w:p>
    <w:p w:rsidR="00BD4149" w:rsidRPr="0042762C" w:rsidRDefault="00E1781F" w:rsidP="00E1781F">
      <w:pPr>
        <w:pStyle w:val="Point1"/>
        <w:rPr>
          <w:noProof/>
        </w:rPr>
      </w:pPr>
      <w:r w:rsidRPr="00E1781F">
        <w:t>(b)</w:t>
      </w:r>
      <w:r w:rsidRPr="00E1781F">
        <w:tab/>
      </w:r>
      <w:r w:rsidR="00BD4149" w:rsidRPr="00DD7480">
        <w:rPr>
          <w:noProof/>
          <w:lang w:val="en-US"/>
        </w:rPr>
        <w:t>of the measures taken under Article 6, once they have become legally binding;</w:t>
      </w:r>
    </w:p>
    <w:p w:rsidR="00BD4149" w:rsidRPr="00DD7480" w:rsidRDefault="00E1781F" w:rsidP="00E1781F">
      <w:pPr>
        <w:pStyle w:val="Point1"/>
        <w:rPr>
          <w:noProof/>
          <w:lang w:val="en-US"/>
        </w:rPr>
      </w:pPr>
      <w:r w:rsidRPr="00E1781F">
        <w:t>(c)</w:t>
      </w:r>
      <w:r w:rsidRPr="00E1781F">
        <w:tab/>
      </w:r>
      <w:r w:rsidR="00BD4149" w:rsidRPr="00DD7480">
        <w:rPr>
          <w:noProof/>
          <w:lang w:val="en-US"/>
        </w:rPr>
        <w:t>of any decision</w:t>
      </w:r>
      <w:r w:rsidR="00D612F8">
        <w:rPr>
          <w:noProof/>
          <w:lang w:val="en-US"/>
        </w:rPr>
        <w:t xml:space="preserve"> </w:t>
      </w:r>
      <w:r w:rsidR="00D612F8">
        <w:rPr>
          <w:noProof/>
        </w:rPr>
        <w:t>that a ground</w:t>
      </w:r>
      <w:r w:rsidR="00BD4149" w:rsidRPr="00DD7480">
        <w:rPr>
          <w:noProof/>
          <w:lang w:val="en-US"/>
        </w:rPr>
        <w:t xml:space="preserve"> of exemption pursuant to Article 8</w:t>
      </w:r>
      <w:r w:rsidR="00D612F8">
        <w:rPr>
          <w:noProof/>
          <w:lang w:val="en-US"/>
        </w:rPr>
        <w:t xml:space="preserve"> applies</w:t>
      </w:r>
      <w:r w:rsidR="00BD4149" w:rsidRPr="00DD7480">
        <w:rPr>
          <w:noProof/>
          <w:lang w:val="en-US"/>
        </w:rPr>
        <w:t xml:space="preserve"> together with the reasons for the decision;</w:t>
      </w:r>
    </w:p>
    <w:p w:rsidR="00BD4149" w:rsidRPr="00DD7480" w:rsidRDefault="00E1781F" w:rsidP="00E1781F">
      <w:pPr>
        <w:pStyle w:val="Point1"/>
        <w:rPr>
          <w:noProof/>
          <w:lang w:val="en-US"/>
        </w:rPr>
      </w:pPr>
      <w:r w:rsidRPr="00E1781F">
        <w:t>(d)</w:t>
      </w:r>
      <w:r w:rsidRPr="00E1781F">
        <w:tab/>
      </w:r>
      <w:r w:rsidR="00BD4149" w:rsidRPr="00DD7480">
        <w:rPr>
          <w:noProof/>
          <w:lang w:val="en-US"/>
        </w:rPr>
        <w:t xml:space="preserve">of </w:t>
      </w:r>
      <w:r w:rsidR="00D612F8">
        <w:rPr>
          <w:noProof/>
        </w:rPr>
        <w:t>any measure suspending or terminating</w:t>
      </w:r>
      <w:r w:rsidR="00D612F8">
        <w:rPr>
          <w:noProof/>
          <w:lang w:val="en-US"/>
        </w:rPr>
        <w:t xml:space="preserve"> </w:t>
      </w:r>
      <w:r w:rsidR="00BD4149" w:rsidRPr="00DD7480">
        <w:rPr>
          <w:noProof/>
          <w:lang w:val="en-US"/>
        </w:rPr>
        <w:t>the Union-wide effect of the driving disqualification</w:t>
      </w:r>
      <w:r w:rsidR="00D612F8">
        <w:rPr>
          <w:noProof/>
          <w:lang w:val="en-US"/>
        </w:rPr>
        <w:t xml:space="preserve"> </w:t>
      </w:r>
      <w:r w:rsidR="00D612F8">
        <w:rPr>
          <w:noProof/>
        </w:rPr>
        <w:t>and the underlying reasons, including on account of the successful challenge by the person concerned</w:t>
      </w:r>
      <w:r w:rsidR="00BD4149" w:rsidRPr="00DD7480">
        <w:rPr>
          <w:noProof/>
          <w:lang w:val="en-US"/>
        </w:rPr>
        <w:t>.</w:t>
      </w:r>
    </w:p>
    <w:p w:rsidR="00BD4149" w:rsidRPr="0042762C" w:rsidRDefault="00BD4149" w:rsidP="00BD4149">
      <w:pPr>
        <w:ind w:left="850"/>
        <w:rPr>
          <w:noProof/>
          <w:szCs w:val="24"/>
        </w:rPr>
      </w:pPr>
    </w:p>
    <w:p w:rsidR="00BD4149" w:rsidRPr="0042762C" w:rsidRDefault="00BD4149" w:rsidP="00BD4149">
      <w:pPr>
        <w:spacing w:before="240" w:after="240"/>
        <w:jc w:val="center"/>
        <w:rPr>
          <w:rFonts w:eastAsia="Times New Roman"/>
          <w:i/>
          <w:iCs/>
          <w:noProof/>
          <w:szCs w:val="24"/>
          <w:lang w:val="en-US"/>
        </w:rPr>
      </w:pPr>
      <w:r w:rsidRPr="0042762C">
        <w:rPr>
          <w:rFonts w:eastAsia="Times New Roman"/>
          <w:i/>
          <w:iCs/>
          <w:noProof/>
          <w:szCs w:val="24"/>
          <w:lang w:val="en-US"/>
        </w:rPr>
        <w:t>Article 12</w:t>
      </w:r>
    </w:p>
    <w:p w:rsidR="00BD4149" w:rsidRPr="0042762C" w:rsidRDefault="00BD4149" w:rsidP="00BD4149">
      <w:pPr>
        <w:spacing w:before="0" w:after="160"/>
        <w:jc w:val="center"/>
        <w:rPr>
          <w:rFonts w:eastAsia="Times New Roman"/>
          <w:b/>
          <w:i/>
          <w:noProof/>
          <w:lang w:val="en-US"/>
        </w:rPr>
      </w:pPr>
      <w:r w:rsidRPr="0042762C">
        <w:rPr>
          <w:rFonts w:eastAsia="Times New Roman"/>
          <w:b/>
          <w:noProof/>
          <w:lang w:val="en-US"/>
        </w:rPr>
        <w:t xml:space="preserve">Information to be given </w:t>
      </w:r>
      <w:r w:rsidRPr="0042762C">
        <w:rPr>
          <w:rFonts w:eastAsia="Times New Roman"/>
          <w:b/>
          <w:bCs/>
          <w:noProof/>
          <w:lang w:val="en-US"/>
        </w:rPr>
        <w:t>by</w:t>
      </w:r>
      <w:r w:rsidRPr="0042762C">
        <w:rPr>
          <w:rFonts w:eastAsia="Times New Roman"/>
          <w:b/>
          <w:noProof/>
          <w:lang w:val="en-US"/>
        </w:rPr>
        <w:t xml:space="preserve"> the Member State of the offence</w:t>
      </w:r>
    </w:p>
    <w:p w:rsidR="00BD4149" w:rsidRPr="0042762C" w:rsidRDefault="00BD4149" w:rsidP="00BD4149">
      <w:pPr>
        <w:spacing w:before="0" w:after="160"/>
        <w:rPr>
          <w:rFonts w:eastAsia="Times New Roman"/>
          <w:noProof/>
          <w:lang w:val="en-US"/>
        </w:rPr>
      </w:pPr>
      <w:r w:rsidRPr="0042762C">
        <w:rPr>
          <w:rFonts w:eastAsia="Times New Roman"/>
          <w:noProof/>
          <w:lang w:val="en-US"/>
        </w:rPr>
        <w:t>The national contact point of the Member State of the offence shall without delay inform the national contact point of the Member State issuance:</w:t>
      </w:r>
    </w:p>
    <w:p w:rsidR="00BD4149" w:rsidRPr="00DD7480" w:rsidRDefault="00E1781F" w:rsidP="00E1781F">
      <w:pPr>
        <w:pStyle w:val="Point1"/>
        <w:rPr>
          <w:noProof/>
          <w:lang w:val="en-US"/>
        </w:rPr>
      </w:pPr>
      <w:r w:rsidRPr="00E1781F">
        <w:t>(a)</w:t>
      </w:r>
      <w:r w:rsidRPr="00E1781F">
        <w:tab/>
      </w:r>
      <w:r w:rsidR="00BD4149" w:rsidRPr="00DD7480">
        <w:rPr>
          <w:noProof/>
          <w:lang w:val="en-US"/>
        </w:rPr>
        <w:t>any circumstance that affects the decision that imposed the driving disqualification;</w:t>
      </w:r>
    </w:p>
    <w:p w:rsidR="00BD4149" w:rsidRPr="00DD7480" w:rsidRDefault="00E1781F" w:rsidP="00E1781F">
      <w:pPr>
        <w:pStyle w:val="Point1"/>
        <w:rPr>
          <w:noProof/>
          <w:lang w:val="en-US"/>
        </w:rPr>
      </w:pPr>
      <w:r w:rsidRPr="00E1781F">
        <w:t>(b)</w:t>
      </w:r>
      <w:r w:rsidRPr="00E1781F">
        <w:tab/>
      </w:r>
      <w:r w:rsidR="00D612F8">
        <w:rPr>
          <w:noProof/>
          <w:lang w:val="en-US"/>
        </w:rPr>
        <w:t>of the execution</w:t>
      </w:r>
      <w:r w:rsidR="00BD4149" w:rsidRPr="00DD7480">
        <w:rPr>
          <w:noProof/>
          <w:lang w:val="en-US"/>
        </w:rPr>
        <w:t xml:space="preserve"> of the driving disqualification in the Member State of the offence.</w:t>
      </w:r>
    </w:p>
    <w:p w:rsidR="00BD4149" w:rsidRPr="0042762C" w:rsidRDefault="00BD4149" w:rsidP="00BD4149">
      <w:pPr>
        <w:spacing w:before="0" w:after="160"/>
        <w:jc w:val="center"/>
        <w:rPr>
          <w:rFonts w:eastAsia="Times New Roman"/>
          <w:i/>
          <w:iCs/>
          <w:noProof/>
          <w:szCs w:val="24"/>
          <w:lang w:val="en-US"/>
        </w:rPr>
      </w:pPr>
    </w:p>
    <w:p w:rsidR="00BD4149" w:rsidRPr="0042762C" w:rsidRDefault="00BD4149" w:rsidP="00BD4149">
      <w:pPr>
        <w:spacing w:before="0" w:after="160"/>
        <w:jc w:val="center"/>
        <w:rPr>
          <w:rFonts w:eastAsia="Times New Roman"/>
          <w:i/>
          <w:iCs/>
          <w:noProof/>
          <w:szCs w:val="24"/>
          <w:lang w:val="en-US"/>
        </w:rPr>
      </w:pPr>
      <w:r w:rsidRPr="0042762C">
        <w:rPr>
          <w:rFonts w:eastAsia="Times New Roman"/>
          <w:i/>
          <w:iCs/>
          <w:noProof/>
          <w:szCs w:val="24"/>
          <w:lang w:val="en-US"/>
        </w:rPr>
        <w:t xml:space="preserve">Article 13 </w:t>
      </w:r>
    </w:p>
    <w:p w:rsidR="00BD4149" w:rsidRPr="0042762C" w:rsidRDefault="00BD4149" w:rsidP="00BD4149">
      <w:pPr>
        <w:spacing w:before="0" w:after="160"/>
        <w:jc w:val="center"/>
        <w:rPr>
          <w:rFonts w:eastAsia="Times New Roman"/>
          <w:b/>
          <w:bCs/>
          <w:noProof/>
          <w:szCs w:val="24"/>
          <w:lang w:val="en-US"/>
        </w:rPr>
      </w:pPr>
      <w:r w:rsidRPr="0042762C">
        <w:rPr>
          <w:rFonts w:eastAsia="Times New Roman"/>
          <w:b/>
          <w:bCs/>
          <w:noProof/>
          <w:szCs w:val="24"/>
          <w:lang w:val="en-US"/>
        </w:rPr>
        <w:t>Obligation to inform the person concerned</w:t>
      </w:r>
    </w:p>
    <w:p w:rsidR="00BD4149" w:rsidRPr="00DD7480" w:rsidRDefault="00E1781F" w:rsidP="00E1781F">
      <w:pPr>
        <w:pStyle w:val="ManualNumPar1"/>
        <w:rPr>
          <w:noProof/>
          <w:lang w:val="en-US"/>
        </w:rPr>
      </w:pPr>
      <w:r w:rsidRPr="00E1781F">
        <w:t>1.</w:t>
      </w:r>
      <w:r w:rsidRPr="00E1781F">
        <w:tab/>
      </w:r>
      <w:r w:rsidR="00BD4149" w:rsidRPr="00DD7480">
        <w:rPr>
          <w:noProof/>
          <w:lang w:val="en-US"/>
        </w:rPr>
        <w:t>Following both the reception of the notification under Article 4(1) and the</w:t>
      </w:r>
      <w:r w:rsidR="00773E49">
        <w:rPr>
          <w:noProof/>
          <w:lang w:val="en-US"/>
        </w:rPr>
        <w:t xml:space="preserve"> adoption of</w:t>
      </w:r>
      <w:r w:rsidR="00BD4149" w:rsidRPr="00DD7480">
        <w:rPr>
          <w:noProof/>
          <w:lang w:val="en-US"/>
        </w:rPr>
        <w:t xml:space="preserve"> measures under Article 6(1),</w:t>
      </w:r>
      <w:r w:rsidR="00773E49">
        <w:rPr>
          <w:noProof/>
          <w:lang w:val="en-US"/>
        </w:rPr>
        <w:t xml:space="preserve"> respectively,</w:t>
      </w:r>
      <w:r w:rsidR="00BD4149" w:rsidRPr="00DD7480">
        <w:rPr>
          <w:noProof/>
          <w:lang w:val="en-US"/>
        </w:rPr>
        <w:t xml:space="preserve"> the Member State of issuance shall inform the person concerned without delay, in accordance with procedures under its national law.</w:t>
      </w:r>
    </w:p>
    <w:p w:rsidR="00BD4149" w:rsidRPr="0042762C" w:rsidRDefault="00E1781F" w:rsidP="00E1781F">
      <w:pPr>
        <w:pStyle w:val="ManualNumPar1"/>
        <w:rPr>
          <w:noProof/>
          <w:lang w:val="en-US"/>
        </w:rPr>
      </w:pPr>
      <w:r w:rsidRPr="00E1781F">
        <w:t>2.</w:t>
      </w:r>
      <w:r w:rsidRPr="00E1781F">
        <w:tab/>
      </w:r>
      <w:r w:rsidR="00BD4149" w:rsidRPr="0042762C">
        <w:rPr>
          <w:noProof/>
          <w:lang w:val="en-US"/>
        </w:rPr>
        <w:t>The information to be provided in accordance with paragraph 1 shall at least</w:t>
      </w:r>
      <w:r w:rsidR="00773E49">
        <w:rPr>
          <w:noProof/>
          <w:lang w:val="en-US"/>
        </w:rPr>
        <w:t xml:space="preserve"> specify</w:t>
      </w:r>
      <w:r w:rsidR="00BD4149" w:rsidRPr="0042762C">
        <w:rPr>
          <w:noProof/>
          <w:lang w:val="en-US"/>
        </w:rPr>
        <w:t xml:space="preserve">: </w:t>
      </w:r>
    </w:p>
    <w:p w:rsidR="00773E49" w:rsidRPr="00773E49" w:rsidRDefault="00E1781F" w:rsidP="00E1781F">
      <w:pPr>
        <w:pStyle w:val="Point1"/>
        <w:rPr>
          <w:noProof/>
          <w:lang w:val="en-US"/>
        </w:rPr>
      </w:pPr>
      <w:r w:rsidRPr="00E1781F">
        <w:t>(a)</w:t>
      </w:r>
      <w:r w:rsidRPr="00E1781F">
        <w:tab/>
      </w:r>
      <w:r w:rsidR="00773E49" w:rsidRPr="00773E49">
        <w:rPr>
          <w:noProof/>
          <w:lang w:val="en-US"/>
        </w:rPr>
        <w:t>when the information is given following the reception of the notification under Article 4(1):</w:t>
      </w:r>
    </w:p>
    <w:p w:rsidR="00BD4149" w:rsidRDefault="00773E49" w:rsidP="003056ED">
      <w:pPr>
        <w:pStyle w:val="Point1letter"/>
        <w:numPr>
          <w:ilvl w:val="0"/>
          <w:numId w:val="0"/>
        </w:numPr>
        <w:ind w:left="1417"/>
        <w:rPr>
          <w:noProof/>
          <w:lang w:val="en-US"/>
        </w:rPr>
      </w:pPr>
      <w:r>
        <w:rPr>
          <w:noProof/>
          <w:lang w:val="en-US"/>
        </w:rPr>
        <w:t xml:space="preserve">(i) </w:t>
      </w:r>
      <w:r w:rsidR="00BD4149" w:rsidRPr="00DD7480">
        <w:rPr>
          <w:noProof/>
          <w:lang w:val="en-US"/>
        </w:rPr>
        <w:t xml:space="preserve">the name of the authorities </w:t>
      </w:r>
      <w:r>
        <w:rPr>
          <w:noProof/>
          <w:lang w:val="en-US"/>
        </w:rPr>
        <w:t>competent for</w:t>
      </w:r>
      <w:r w:rsidR="00BD4149" w:rsidRPr="00DD7480">
        <w:rPr>
          <w:noProof/>
          <w:lang w:val="en-US"/>
        </w:rPr>
        <w:t xml:space="preserve"> the enforcement of the driving disqualification of both the Member State of issuance and </w:t>
      </w:r>
      <w:r>
        <w:rPr>
          <w:noProof/>
          <w:lang w:val="en-US"/>
        </w:rPr>
        <w:t xml:space="preserve">the </w:t>
      </w:r>
      <w:r w:rsidR="00BD4149" w:rsidRPr="00DD7480">
        <w:rPr>
          <w:noProof/>
          <w:lang w:val="en-US"/>
        </w:rPr>
        <w:t>Member State of the offence;</w:t>
      </w:r>
      <w:r>
        <w:rPr>
          <w:noProof/>
          <w:lang w:val="en-US"/>
        </w:rPr>
        <w:t xml:space="preserve"> and</w:t>
      </w:r>
    </w:p>
    <w:p w:rsidR="00773E49" w:rsidRPr="00DD7480" w:rsidRDefault="00773E49" w:rsidP="003056ED">
      <w:pPr>
        <w:pStyle w:val="Point1letter"/>
        <w:numPr>
          <w:ilvl w:val="0"/>
          <w:numId w:val="0"/>
        </w:numPr>
        <w:ind w:left="1417"/>
        <w:rPr>
          <w:noProof/>
          <w:lang w:val="en-US"/>
        </w:rPr>
      </w:pPr>
      <w:r>
        <w:rPr>
          <w:noProof/>
          <w:lang w:val="en-US"/>
        </w:rPr>
        <w:t xml:space="preserve">(ii) </w:t>
      </w:r>
      <w:r w:rsidRPr="00DD7480">
        <w:rPr>
          <w:noProof/>
          <w:lang w:val="en-US"/>
        </w:rPr>
        <w:t>legal remedies available under the law of the Member State of issuance, including the right to be heard</w:t>
      </w:r>
      <w:r>
        <w:rPr>
          <w:noProof/>
          <w:lang w:val="en-US"/>
        </w:rPr>
        <w:t>;</w:t>
      </w:r>
    </w:p>
    <w:p w:rsidR="00773E49" w:rsidRPr="00773E49" w:rsidRDefault="00E1781F" w:rsidP="00E1781F">
      <w:pPr>
        <w:pStyle w:val="Point1"/>
        <w:rPr>
          <w:noProof/>
          <w:lang w:val="en-US"/>
        </w:rPr>
      </w:pPr>
      <w:r w:rsidRPr="00E1781F">
        <w:t>(b)</w:t>
      </w:r>
      <w:r w:rsidRPr="00E1781F">
        <w:tab/>
      </w:r>
      <w:r w:rsidR="00773E49" w:rsidRPr="00773E49">
        <w:rPr>
          <w:noProof/>
          <w:lang w:val="en-US"/>
        </w:rPr>
        <w:t>when the information is given following the adoption of measures taken under Article 6(1):</w:t>
      </w:r>
    </w:p>
    <w:p w:rsidR="00BD4149" w:rsidRPr="00DD7480" w:rsidRDefault="00773E49" w:rsidP="003056ED">
      <w:pPr>
        <w:pStyle w:val="Point1letter"/>
        <w:numPr>
          <w:ilvl w:val="0"/>
          <w:numId w:val="0"/>
        </w:numPr>
        <w:ind w:left="1417"/>
        <w:rPr>
          <w:noProof/>
          <w:lang w:val="en-US"/>
        </w:rPr>
      </w:pPr>
      <w:r>
        <w:rPr>
          <w:noProof/>
          <w:lang w:val="en-US"/>
        </w:rPr>
        <w:t xml:space="preserve">(i) </w:t>
      </w:r>
      <w:r w:rsidR="00BD4149" w:rsidRPr="00DD7480">
        <w:rPr>
          <w:noProof/>
          <w:lang w:val="en-US"/>
        </w:rPr>
        <w:t>the details of the</w:t>
      </w:r>
      <w:r>
        <w:rPr>
          <w:noProof/>
          <w:lang w:val="en-US"/>
        </w:rPr>
        <w:t xml:space="preserve"> measures</w:t>
      </w:r>
      <w:r w:rsidR="00BD4149" w:rsidRPr="00DD7480">
        <w:rPr>
          <w:noProof/>
          <w:lang w:val="en-US"/>
        </w:rPr>
        <w:t xml:space="preserve"> taken by the Member State of issuance; </w:t>
      </w:r>
    </w:p>
    <w:p w:rsidR="00BD4149" w:rsidRPr="00DD7480" w:rsidRDefault="00773E49" w:rsidP="003056ED">
      <w:pPr>
        <w:pStyle w:val="Point1letter"/>
        <w:numPr>
          <w:ilvl w:val="0"/>
          <w:numId w:val="0"/>
        </w:numPr>
        <w:ind w:left="1417"/>
        <w:rPr>
          <w:rFonts w:eastAsia="Times New Roman"/>
          <w:noProof/>
          <w:szCs w:val="24"/>
          <w:lang w:val="en-US"/>
        </w:rPr>
      </w:pPr>
      <w:r>
        <w:rPr>
          <w:noProof/>
          <w:lang w:val="en-US"/>
        </w:rPr>
        <w:t xml:space="preserve">(ii) </w:t>
      </w:r>
      <w:r w:rsidR="00BD4149" w:rsidRPr="00DD7480">
        <w:rPr>
          <w:noProof/>
          <w:lang w:val="en-US"/>
        </w:rPr>
        <w:t>legal remedies available under the law of the Member State of issuance to challenge the</w:t>
      </w:r>
      <w:r>
        <w:rPr>
          <w:noProof/>
          <w:lang w:val="en-US"/>
        </w:rPr>
        <w:t xml:space="preserve"> measures taken.</w:t>
      </w:r>
    </w:p>
    <w:p w:rsidR="00BD4149" w:rsidRPr="00C17164" w:rsidRDefault="00BD4149" w:rsidP="00BD4149">
      <w:pPr>
        <w:spacing w:before="240" w:after="240"/>
        <w:jc w:val="center"/>
        <w:rPr>
          <w:rFonts w:eastAsia="Times New Roman"/>
          <w:i/>
          <w:iCs/>
          <w:noProof/>
          <w:szCs w:val="24"/>
          <w:lang w:val="en-IE"/>
        </w:rPr>
      </w:pPr>
      <w:r w:rsidRPr="00C17164">
        <w:rPr>
          <w:rFonts w:eastAsia="Times New Roman"/>
          <w:i/>
          <w:iCs/>
          <w:noProof/>
          <w:szCs w:val="24"/>
          <w:lang w:val="en-IE"/>
        </w:rPr>
        <w:t>Article 14</w:t>
      </w:r>
    </w:p>
    <w:p w:rsidR="00BD4149" w:rsidRPr="00C17164" w:rsidRDefault="00BD4149" w:rsidP="00BD4149">
      <w:pPr>
        <w:spacing w:before="240" w:after="240"/>
        <w:jc w:val="center"/>
        <w:rPr>
          <w:rFonts w:eastAsia="Times New Roman"/>
          <w:b/>
          <w:bCs/>
          <w:iCs/>
          <w:noProof/>
          <w:szCs w:val="24"/>
          <w:lang w:val="en-IE"/>
        </w:rPr>
      </w:pPr>
      <w:r w:rsidRPr="00C17164">
        <w:rPr>
          <w:rFonts w:eastAsia="Times New Roman"/>
          <w:b/>
          <w:bCs/>
          <w:noProof/>
          <w:szCs w:val="24"/>
          <w:lang w:val="en-IE"/>
        </w:rPr>
        <w:t xml:space="preserve">Legal remedies </w:t>
      </w:r>
    </w:p>
    <w:p w:rsidR="00BD4149" w:rsidRPr="00C17164" w:rsidRDefault="00E1781F" w:rsidP="00E1781F">
      <w:pPr>
        <w:pStyle w:val="ManualNumPar1"/>
        <w:rPr>
          <w:noProof/>
          <w:lang w:val="en-US"/>
        </w:rPr>
      </w:pPr>
      <w:r w:rsidRPr="00E1781F">
        <w:t>1.</w:t>
      </w:r>
      <w:r w:rsidRPr="00E1781F">
        <w:tab/>
      </w:r>
      <w:r w:rsidR="00BD4149" w:rsidRPr="00C17164">
        <w:rPr>
          <w:noProof/>
          <w:lang w:val="en-US"/>
        </w:rPr>
        <w:t>Member States shall ensure adequate legal remedies against decisions</w:t>
      </w:r>
      <w:r w:rsidR="003038C3">
        <w:rPr>
          <w:noProof/>
          <w:lang w:val="en-US"/>
        </w:rPr>
        <w:t xml:space="preserve"> or measures</w:t>
      </w:r>
      <w:r w:rsidR="00BD4149" w:rsidRPr="00C17164">
        <w:rPr>
          <w:noProof/>
          <w:lang w:val="en-US"/>
        </w:rPr>
        <w:t xml:space="preserve"> taken pursuant to this Directive, equivalent to those available in similar domestic cases. They shall take the appropriate measures to ensure that information about such remedies is provided in due time to ensure that they can be exercised effectively. </w:t>
      </w:r>
    </w:p>
    <w:p w:rsidR="003038C3" w:rsidRDefault="00E1781F" w:rsidP="00E1781F">
      <w:pPr>
        <w:pStyle w:val="ManualNumPar1"/>
        <w:rPr>
          <w:noProof/>
          <w:lang w:val="en-US"/>
        </w:rPr>
      </w:pPr>
      <w:r w:rsidRPr="00E1781F">
        <w:t>2.</w:t>
      </w:r>
      <w:r w:rsidRPr="00E1781F">
        <w:tab/>
      </w:r>
      <w:r w:rsidR="003038C3">
        <w:rPr>
          <w:noProof/>
          <w:lang w:val="en-US"/>
        </w:rPr>
        <w:t xml:space="preserve">A </w:t>
      </w:r>
      <w:r w:rsidR="00BD4149" w:rsidRPr="00C17164">
        <w:rPr>
          <w:noProof/>
          <w:lang w:val="en-US"/>
        </w:rPr>
        <w:t>driv</w:t>
      </w:r>
      <w:r w:rsidR="003038C3">
        <w:rPr>
          <w:noProof/>
          <w:lang w:val="en-US"/>
        </w:rPr>
        <w:t>ing</w:t>
      </w:r>
      <w:r w:rsidR="00BD4149" w:rsidRPr="00C17164">
        <w:rPr>
          <w:noProof/>
          <w:lang w:val="en-US"/>
        </w:rPr>
        <w:t xml:space="preserve"> disqualification notified under Article 4(1) may be challenged only in an action brought in the Member State of the offence.</w:t>
      </w:r>
    </w:p>
    <w:p w:rsidR="00BD4149" w:rsidRPr="003038C3" w:rsidRDefault="00E1781F" w:rsidP="00E1781F">
      <w:pPr>
        <w:pStyle w:val="ManualNumPar1"/>
        <w:rPr>
          <w:noProof/>
          <w:lang w:val="en-US"/>
        </w:rPr>
      </w:pPr>
      <w:r w:rsidRPr="00E1781F">
        <w:t>3.</w:t>
      </w:r>
      <w:r w:rsidRPr="00E1781F">
        <w:tab/>
      </w:r>
      <w:r w:rsidR="003038C3" w:rsidRPr="003038C3">
        <w:rPr>
          <w:noProof/>
          <w:lang w:val="en-US"/>
        </w:rPr>
        <w:t>The Member State of the offence and the Member State of issuance shall inform each other about the legal remedies sought against decisions or measures taken pursuant to this Directive.</w:t>
      </w:r>
    </w:p>
    <w:p w:rsidR="00BD4149" w:rsidRPr="0042762C" w:rsidRDefault="00BD4149" w:rsidP="00BD4149">
      <w:pPr>
        <w:spacing w:before="0" w:after="160"/>
        <w:rPr>
          <w:rFonts w:eastAsia="Times New Roman"/>
          <w:i/>
          <w:iCs/>
          <w:noProof/>
          <w:szCs w:val="24"/>
          <w:lang w:val="en-US"/>
        </w:rPr>
      </w:pPr>
    </w:p>
    <w:p w:rsidR="00BD4149" w:rsidRPr="00E2216B" w:rsidRDefault="00BD4149" w:rsidP="00BD4149">
      <w:pPr>
        <w:shd w:val="clear" w:color="auto" w:fill="FFFFFF"/>
        <w:spacing w:before="240" w:after="240"/>
        <w:jc w:val="center"/>
        <w:rPr>
          <w:rFonts w:eastAsia="Times New Roman"/>
          <w:bCs/>
          <w:i/>
          <w:noProof/>
          <w:szCs w:val="24"/>
        </w:rPr>
      </w:pPr>
      <w:r w:rsidRPr="00E2216B">
        <w:rPr>
          <w:rFonts w:eastAsia="Times New Roman"/>
          <w:bCs/>
          <w:i/>
          <w:noProof/>
          <w:szCs w:val="24"/>
        </w:rPr>
        <w:t>Article 15</w:t>
      </w:r>
    </w:p>
    <w:p w:rsidR="00BD4149" w:rsidRPr="00E2216B" w:rsidRDefault="00BD4149" w:rsidP="00BD4149">
      <w:pPr>
        <w:shd w:val="clear" w:color="auto" w:fill="FFFFFF"/>
        <w:spacing w:before="240" w:after="240"/>
        <w:jc w:val="center"/>
        <w:rPr>
          <w:rFonts w:eastAsia="Times New Roman"/>
          <w:noProof/>
          <w:szCs w:val="24"/>
        </w:rPr>
      </w:pPr>
      <w:r w:rsidRPr="00E2216B">
        <w:rPr>
          <w:rFonts w:eastAsia="Times New Roman"/>
          <w:b/>
          <w:bCs/>
          <w:noProof/>
          <w:szCs w:val="24"/>
        </w:rPr>
        <w:t xml:space="preserve"> National contact points </w:t>
      </w:r>
    </w:p>
    <w:p w:rsidR="00BD4149" w:rsidRPr="00405134" w:rsidRDefault="00E1781F" w:rsidP="00E1781F">
      <w:pPr>
        <w:pStyle w:val="ManualNumPar1"/>
        <w:rPr>
          <w:noProof/>
          <w:lang w:val="en-US"/>
        </w:rPr>
      </w:pPr>
      <w:r w:rsidRPr="00E1781F">
        <w:t>1.</w:t>
      </w:r>
      <w:r w:rsidRPr="00E1781F">
        <w:tab/>
      </w:r>
      <w:r w:rsidR="00BD4149" w:rsidRPr="00405134">
        <w:rPr>
          <w:rFonts w:eastAsia="Times New Roman"/>
          <w:noProof/>
          <w:lang w:val="en-US"/>
        </w:rPr>
        <w:t>By [date of transposition of this Directive]</w:t>
      </w:r>
      <w:r w:rsidR="00BD4149" w:rsidRPr="00405134">
        <w:rPr>
          <w:noProof/>
          <w:lang w:val="en-US"/>
        </w:rPr>
        <w:t xml:space="preserve">, each Member State shall designate a national contact point for the purposes of this Directive. </w:t>
      </w:r>
    </w:p>
    <w:p w:rsidR="00BD4149" w:rsidRPr="0042762C" w:rsidRDefault="00E1781F" w:rsidP="00E1781F">
      <w:pPr>
        <w:pStyle w:val="ManualNumPar1"/>
        <w:rPr>
          <w:rFonts w:eastAsia="Times New Roman"/>
          <w:noProof/>
          <w:szCs w:val="24"/>
          <w:lang w:val="en-US"/>
        </w:rPr>
      </w:pPr>
      <w:r w:rsidRPr="00E1781F">
        <w:t>2.</w:t>
      </w:r>
      <w:r w:rsidRPr="00E1781F">
        <w:tab/>
      </w:r>
      <w:r w:rsidR="00BD4149" w:rsidRPr="0042762C">
        <w:rPr>
          <w:noProof/>
          <w:lang w:val="en-US"/>
        </w:rPr>
        <w:t xml:space="preserve">Member States shall ensure that their respective national contact points cooperate with the authorities </w:t>
      </w:r>
      <w:r w:rsidR="003038C3">
        <w:rPr>
          <w:noProof/>
          <w:lang w:val="en-US"/>
        </w:rPr>
        <w:t>competent for</w:t>
      </w:r>
      <w:r w:rsidR="00BD4149" w:rsidRPr="0042762C">
        <w:rPr>
          <w:noProof/>
          <w:lang w:val="en-US"/>
        </w:rPr>
        <w:t xml:space="preserve"> the enforcement of the driving disqualifications imposed for the commission of major road-safety-related traffic offences, in particular in order to ensure that all necessary information is shared in due time, and that the time</w:t>
      </w:r>
      <w:r w:rsidR="0038707D">
        <w:rPr>
          <w:noProof/>
          <w:lang w:val="en-US"/>
        </w:rPr>
        <w:t>-</w:t>
      </w:r>
      <w:r w:rsidR="00BD4149" w:rsidRPr="0042762C">
        <w:rPr>
          <w:noProof/>
          <w:lang w:val="en-US"/>
        </w:rPr>
        <w:t>limits laid down in Article 9 are complied with.</w:t>
      </w:r>
    </w:p>
    <w:p w:rsidR="00BD4149" w:rsidRPr="0042762C" w:rsidRDefault="00E1781F" w:rsidP="00E1781F">
      <w:pPr>
        <w:pStyle w:val="ManualNumPar1"/>
        <w:rPr>
          <w:noProof/>
          <w:lang w:val="en-US"/>
        </w:rPr>
      </w:pPr>
      <w:r w:rsidRPr="00E1781F">
        <w:t>3.</w:t>
      </w:r>
      <w:r w:rsidRPr="00E1781F">
        <w:tab/>
      </w:r>
      <w:r w:rsidR="00BD4149" w:rsidRPr="0042762C">
        <w:rPr>
          <w:noProof/>
          <w:lang w:val="en-US"/>
        </w:rPr>
        <w:t>Member States shall inform the Commission of the national contact points designated for the purposes of this Directive. The Commission shall make the information received under this Article available to all Member States on</w:t>
      </w:r>
      <w:r w:rsidR="0038707D">
        <w:rPr>
          <w:noProof/>
          <w:lang w:val="en-US"/>
        </w:rPr>
        <w:t xml:space="preserve"> its</w:t>
      </w:r>
      <w:r w:rsidR="00BD4149" w:rsidRPr="0042762C">
        <w:rPr>
          <w:noProof/>
          <w:lang w:val="en-US"/>
        </w:rPr>
        <w:t xml:space="preserve"> website.</w:t>
      </w:r>
    </w:p>
    <w:p w:rsidR="00BD4149" w:rsidRPr="0042762C" w:rsidRDefault="00BD4149" w:rsidP="00BD4149">
      <w:pPr>
        <w:keepNext/>
        <w:spacing w:before="0" w:after="0"/>
        <w:jc w:val="center"/>
        <w:rPr>
          <w:rFonts w:eastAsia="Times New Roman"/>
          <w:noProof/>
          <w:szCs w:val="24"/>
          <w:lang w:val="en-US"/>
        </w:rPr>
      </w:pPr>
    </w:p>
    <w:p w:rsidR="00BD4149" w:rsidRPr="0042762C" w:rsidRDefault="00BD4149" w:rsidP="00BD4149">
      <w:pPr>
        <w:keepNext/>
        <w:spacing w:before="0" w:after="0"/>
        <w:jc w:val="center"/>
        <w:rPr>
          <w:rFonts w:eastAsia="Times New Roman"/>
          <w:b/>
          <w:noProof/>
          <w:szCs w:val="24"/>
          <w:lang w:val="en-US"/>
        </w:rPr>
      </w:pPr>
      <w:r w:rsidRPr="0042762C">
        <w:rPr>
          <w:rFonts w:eastAsia="Times New Roman"/>
          <w:i/>
          <w:iCs/>
          <w:noProof/>
          <w:szCs w:val="24"/>
          <w:lang w:val="en-US"/>
        </w:rPr>
        <w:t>Article 16</w:t>
      </w:r>
      <w:r w:rsidRPr="0042762C">
        <w:rPr>
          <w:rFonts w:eastAsia="Times New Roman"/>
          <w:noProof/>
          <w:szCs w:val="24"/>
          <w:lang w:val="en-US"/>
        </w:rPr>
        <w:br/>
      </w:r>
      <w:r w:rsidRPr="0042762C">
        <w:rPr>
          <w:rFonts w:eastAsia="Times New Roman"/>
          <w:b/>
          <w:noProof/>
          <w:szCs w:val="24"/>
          <w:lang w:val="en-US"/>
        </w:rPr>
        <w:t>Statistics</w:t>
      </w:r>
    </w:p>
    <w:p w:rsidR="00BD4149" w:rsidRPr="0042762C" w:rsidRDefault="00BD4149" w:rsidP="00BD4149">
      <w:pPr>
        <w:spacing w:before="0" w:after="160"/>
        <w:rPr>
          <w:rFonts w:eastAsia="Times New Roman"/>
          <w:noProof/>
          <w:szCs w:val="24"/>
          <w:lang w:val="en-IE"/>
        </w:rPr>
      </w:pPr>
      <w:r w:rsidRPr="0042762C">
        <w:rPr>
          <w:rFonts w:eastAsia="Times New Roman"/>
          <w:noProof/>
          <w:szCs w:val="24"/>
          <w:lang w:val="en-IE"/>
        </w:rPr>
        <w:t>Member States shall regularly collect comprehensive statistics on the application of this Directive and shall send them to the Commission each year. Those statistics shall include:</w:t>
      </w:r>
    </w:p>
    <w:p w:rsidR="00BD4149" w:rsidRPr="0042762C" w:rsidRDefault="00E1781F" w:rsidP="00E1781F">
      <w:pPr>
        <w:pStyle w:val="Point1"/>
        <w:rPr>
          <w:noProof/>
        </w:rPr>
      </w:pPr>
      <w:r w:rsidRPr="00E1781F">
        <w:t>(a)</w:t>
      </w:r>
      <w:r w:rsidRPr="00E1781F">
        <w:tab/>
      </w:r>
      <w:r w:rsidR="00BD4149" w:rsidRPr="00DD7480">
        <w:rPr>
          <w:noProof/>
          <w:lang w:val="en-US"/>
        </w:rPr>
        <w:t xml:space="preserve">the number of </w:t>
      </w:r>
      <w:r w:rsidR="0038707D" w:rsidRPr="00DD7480">
        <w:rPr>
          <w:noProof/>
          <w:lang w:val="en-US"/>
        </w:rPr>
        <w:t>notifications</w:t>
      </w:r>
      <w:r w:rsidR="00BD4149" w:rsidRPr="00DD7480">
        <w:rPr>
          <w:noProof/>
          <w:lang w:val="en-US"/>
        </w:rPr>
        <w:t xml:space="preserve"> made under Article 4(1),</w:t>
      </w:r>
      <w:r w:rsidR="0038707D">
        <w:rPr>
          <w:noProof/>
          <w:lang w:val="en-US"/>
        </w:rPr>
        <w:t xml:space="preserve"> separated</w:t>
      </w:r>
      <w:r w:rsidR="00BD4149" w:rsidRPr="00DD7480">
        <w:rPr>
          <w:noProof/>
          <w:lang w:val="en-US"/>
        </w:rPr>
        <w:t xml:space="preserve"> by Member State addressed; </w:t>
      </w:r>
    </w:p>
    <w:p w:rsidR="00BD4149" w:rsidRPr="0042762C" w:rsidRDefault="00E1781F" w:rsidP="00E1781F">
      <w:pPr>
        <w:pStyle w:val="Point1"/>
        <w:rPr>
          <w:noProof/>
        </w:rPr>
      </w:pPr>
      <w:r w:rsidRPr="00E1781F">
        <w:t>(b)</w:t>
      </w:r>
      <w:r w:rsidRPr="00E1781F">
        <w:tab/>
      </w:r>
      <w:r w:rsidR="00BD4149" w:rsidRPr="00DD7480">
        <w:rPr>
          <w:noProof/>
          <w:lang w:val="en-US"/>
        </w:rPr>
        <w:t>the number of times</w:t>
      </w:r>
      <w:r w:rsidR="0038707D">
        <w:rPr>
          <w:noProof/>
          <w:lang w:val="en-US"/>
        </w:rPr>
        <w:t xml:space="preserve"> a</w:t>
      </w:r>
      <w:r w:rsidR="00BD4149" w:rsidRPr="00DD7480">
        <w:rPr>
          <w:noProof/>
          <w:lang w:val="en-US"/>
        </w:rPr>
        <w:t xml:space="preserve"> ground for exemption was invoked, including the grounds for exemption</w:t>
      </w:r>
      <w:r w:rsidR="0038707D">
        <w:rPr>
          <w:noProof/>
          <w:lang w:val="en-US"/>
        </w:rPr>
        <w:t xml:space="preserve"> </w:t>
      </w:r>
      <w:r w:rsidR="0038707D">
        <w:rPr>
          <w:noProof/>
        </w:rPr>
        <w:t>applied</w:t>
      </w:r>
      <w:r w:rsidR="0038707D" w:rsidRPr="00673A4E">
        <w:rPr>
          <w:noProof/>
        </w:rPr>
        <w:t xml:space="preserve">, </w:t>
      </w:r>
      <w:r w:rsidR="0038707D">
        <w:rPr>
          <w:noProof/>
        </w:rPr>
        <w:t>separated</w:t>
      </w:r>
      <w:r w:rsidR="00BD4149" w:rsidRPr="00DD7480">
        <w:rPr>
          <w:noProof/>
          <w:lang w:val="en-US"/>
        </w:rPr>
        <w:t xml:space="preserve"> by notifying Member State; </w:t>
      </w:r>
    </w:p>
    <w:p w:rsidR="00BD4149" w:rsidRPr="0042762C" w:rsidRDefault="00E1781F" w:rsidP="00E1781F">
      <w:pPr>
        <w:pStyle w:val="Point1"/>
        <w:rPr>
          <w:noProof/>
        </w:rPr>
      </w:pPr>
      <w:r w:rsidRPr="00E1781F">
        <w:t>(c)</w:t>
      </w:r>
      <w:r w:rsidRPr="00E1781F">
        <w:tab/>
      </w:r>
      <w:r w:rsidR="00BD4149" w:rsidRPr="00DD7480">
        <w:rPr>
          <w:noProof/>
          <w:lang w:val="en-US"/>
        </w:rPr>
        <w:t>the time</w:t>
      </w:r>
      <w:r w:rsidR="0038707D">
        <w:rPr>
          <w:noProof/>
          <w:lang w:val="en-US"/>
        </w:rPr>
        <w:t xml:space="preserve"> needed</w:t>
      </w:r>
      <w:r w:rsidR="00BD4149" w:rsidRPr="00DD7480">
        <w:rPr>
          <w:noProof/>
          <w:lang w:val="en-US"/>
        </w:rPr>
        <w:t xml:space="preserve"> to transmit information on the decision </w:t>
      </w:r>
      <w:r w:rsidR="00296961">
        <w:rPr>
          <w:noProof/>
          <w:lang w:val="en-US"/>
        </w:rPr>
        <w:t xml:space="preserve">on </w:t>
      </w:r>
      <w:r w:rsidR="00BD4149" w:rsidRPr="00DD7480">
        <w:rPr>
          <w:noProof/>
          <w:lang w:val="en-US"/>
        </w:rPr>
        <w:t xml:space="preserve">a ground </w:t>
      </w:r>
      <w:r w:rsidR="00296961">
        <w:rPr>
          <w:noProof/>
          <w:lang w:val="en-US"/>
        </w:rPr>
        <w:t>of</w:t>
      </w:r>
      <w:r w:rsidR="00BD4149" w:rsidRPr="00DD7480">
        <w:rPr>
          <w:noProof/>
          <w:lang w:val="en-US"/>
        </w:rPr>
        <w:t xml:space="preserve"> exemption;</w:t>
      </w:r>
    </w:p>
    <w:p w:rsidR="00BD4149" w:rsidRPr="00DD7480" w:rsidRDefault="00E1781F" w:rsidP="00E1781F">
      <w:pPr>
        <w:pStyle w:val="Point1"/>
        <w:rPr>
          <w:noProof/>
          <w:lang w:val="en-US"/>
        </w:rPr>
      </w:pPr>
      <w:r w:rsidRPr="00E1781F">
        <w:t>(d)</w:t>
      </w:r>
      <w:r w:rsidRPr="00E1781F">
        <w:tab/>
      </w:r>
      <w:r w:rsidR="00BD4149" w:rsidRPr="00DD7480">
        <w:rPr>
          <w:noProof/>
          <w:lang w:val="en-US"/>
        </w:rPr>
        <w:t xml:space="preserve"> the number of legal remedies</w:t>
      </w:r>
      <w:r w:rsidR="00296961">
        <w:rPr>
          <w:noProof/>
          <w:lang w:val="en-US"/>
        </w:rPr>
        <w:t xml:space="preserve"> </w:t>
      </w:r>
      <w:r w:rsidR="00296961" w:rsidRPr="005B13E9">
        <w:rPr>
          <w:noProof/>
        </w:rPr>
        <w:t>that have been lodged</w:t>
      </w:r>
      <w:r w:rsidR="00BD4149" w:rsidRPr="00DD7480">
        <w:rPr>
          <w:noProof/>
          <w:lang w:val="en-US"/>
        </w:rPr>
        <w:t xml:space="preserve"> against measures taken under Article 6(1).</w:t>
      </w:r>
    </w:p>
    <w:p w:rsidR="00BD4149" w:rsidRPr="0042762C" w:rsidRDefault="00BD4149" w:rsidP="00BD4149">
      <w:pPr>
        <w:ind w:left="1417" w:hanging="567"/>
        <w:rPr>
          <w:noProof/>
          <w:lang w:val="en-US"/>
        </w:rPr>
      </w:pPr>
    </w:p>
    <w:p w:rsidR="00BD4149" w:rsidRPr="0042762C" w:rsidRDefault="00BD4149" w:rsidP="00BD4149">
      <w:pPr>
        <w:keepNext/>
        <w:spacing w:before="0" w:after="0"/>
        <w:jc w:val="center"/>
        <w:rPr>
          <w:rFonts w:eastAsia="Times New Roman"/>
          <w:i/>
          <w:noProof/>
          <w:szCs w:val="24"/>
          <w:lang w:val="en-US"/>
        </w:rPr>
      </w:pPr>
      <w:r w:rsidRPr="0042762C">
        <w:rPr>
          <w:rFonts w:eastAsia="Times New Roman"/>
          <w:i/>
          <w:noProof/>
          <w:szCs w:val="24"/>
          <w:lang w:val="en-US"/>
        </w:rPr>
        <w:t>Article 17</w:t>
      </w:r>
    </w:p>
    <w:p w:rsidR="00BD4149" w:rsidRPr="0042762C" w:rsidRDefault="00BD4149" w:rsidP="00BD4149">
      <w:pPr>
        <w:keepNext/>
        <w:spacing w:before="0" w:after="0"/>
        <w:jc w:val="center"/>
        <w:rPr>
          <w:rFonts w:eastAsia="Times New Roman"/>
          <w:b/>
          <w:bCs/>
          <w:noProof/>
          <w:szCs w:val="24"/>
          <w:lang w:val="en-US"/>
        </w:rPr>
      </w:pPr>
      <w:r w:rsidRPr="0042762C">
        <w:rPr>
          <w:rFonts w:eastAsia="Times New Roman"/>
          <w:b/>
          <w:bCs/>
          <w:noProof/>
          <w:szCs w:val="24"/>
          <w:lang w:val="en-US"/>
        </w:rPr>
        <w:t xml:space="preserve">Committee procedure   </w:t>
      </w:r>
    </w:p>
    <w:p w:rsidR="00BD4149" w:rsidRPr="00405134" w:rsidRDefault="00E1781F" w:rsidP="00E1781F">
      <w:pPr>
        <w:pStyle w:val="ManualNumPar1"/>
        <w:rPr>
          <w:noProof/>
          <w:lang w:val="en-US"/>
        </w:rPr>
      </w:pPr>
      <w:r w:rsidRPr="00E1781F">
        <w:t>1.</w:t>
      </w:r>
      <w:r w:rsidRPr="00E1781F">
        <w:tab/>
      </w:r>
      <w:r w:rsidR="00BD4149" w:rsidRPr="0042762C">
        <w:rPr>
          <w:noProof/>
        </w:rPr>
        <w:t>The Commission shall be assisted by the committee on driving lice</w:t>
      </w:r>
      <w:r w:rsidR="00BD4149" w:rsidRPr="00C17164">
        <w:rPr>
          <w:noProof/>
        </w:rPr>
        <w:t xml:space="preserve">nces </w:t>
      </w:r>
      <w:r w:rsidR="007B495E">
        <w:rPr>
          <w:noProof/>
        </w:rPr>
        <w:t xml:space="preserve">established by </w:t>
      </w:r>
      <w:r w:rsidR="00BD4149" w:rsidRPr="00C17164">
        <w:rPr>
          <w:noProof/>
        </w:rPr>
        <w:t>Article 22 of [</w:t>
      </w:r>
      <w:r w:rsidR="00BD4149" w:rsidRPr="0042762C">
        <w:rPr>
          <w:noProof/>
        </w:rPr>
        <w:t xml:space="preserve">NEW </w:t>
      </w:r>
      <w:r w:rsidR="008C2F3B">
        <w:rPr>
          <w:noProof/>
        </w:rPr>
        <w:t xml:space="preserve">DIRECTIVE ON </w:t>
      </w:r>
      <w:r w:rsidR="00BD4149" w:rsidRPr="0042762C">
        <w:rPr>
          <w:noProof/>
        </w:rPr>
        <w:t>DRIVIN</w:t>
      </w:r>
      <w:r w:rsidR="007B495E">
        <w:rPr>
          <w:noProof/>
        </w:rPr>
        <w:t>G</w:t>
      </w:r>
      <w:r w:rsidR="00BD4149" w:rsidRPr="0042762C">
        <w:rPr>
          <w:noProof/>
        </w:rPr>
        <w:t xml:space="preserve"> LICENCE</w:t>
      </w:r>
      <w:r w:rsidR="008C2F3B">
        <w:rPr>
          <w:noProof/>
        </w:rPr>
        <w:t>S</w:t>
      </w:r>
      <w:r w:rsidR="00BD4149" w:rsidRPr="0042762C">
        <w:rPr>
          <w:noProof/>
        </w:rPr>
        <w:t>]. That committee shall be a committee within the meaning of Regulation (EU) No 182/2011.  </w:t>
      </w:r>
    </w:p>
    <w:p w:rsidR="00BD4149" w:rsidRPr="0042762C" w:rsidRDefault="00E1781F" w:rsidP="00E1781F">
      <w:pPr>
        <w:pStyle w:val="ManualNumPar1"/>
        <w:rPr>
          <w:noProof/>
        </w:rPr>
      </w:pPr>
      <w:r w:rsidRPr="00E1781F">
        <w:t>2.</w:t>
      </w:r>
      <w:r w:rsidRPr="00E1781F">
        <w:tab/>
      </w:r>
      <w:r w:rsidR="00BD4149" w:rsidRPr="0042762C">
        <w:rPr>
          <w:noProof/>
        </w:rPr>
        <w:t xml:space="preserve">Where reference is made to this paragraph, Article 5 of Regulation (EU) No 182/2011 shall apply. </w:t>
      </w:r>
    </w:p>
    <w:p w:rsidR="00BD4149" w:rsidRPr="0042762C" w:rsidRDefault="00BD4149" w:rsidP="006C3A14">
      <w:pPr>
        <w:pStyle w:val="NumPar1"/>
        <w:numPr>
          <w:ilvl w:val="0"/>
          <w:numId w:val="0"/>
        </w:numPr>
        <w:ind w:left="850"/>
        <w:rPr>
          <w:noProof/>
        </w:rPr>
      </w:pPr>
      <w:r w:rsidRPr="0042762C">
        <w:rPr>
          <w:noProof/>
        </w:rPr>
        <w:t xml:space="preserve">Where the opinion of the committee is to be obtained by written procedure, that procedure shall be terminated without result when, within the time limit for delivery of the opinion, the chair of the committee so decides or a simple majority of committee members so request. </w:t>
      </w:r>
    </w:p>
    <w:p w:rsidR="00BD4149" w:rsidRPr="0042762C" w:rsidRDefault="00BD4149" w:rsidP="006C3A14">
      <w:pPr>
        <w:pStyle w:val="NumPar1"/>
        <w:numPr>
          <w:ilvl w:val="0"/>
          <w:numId w:val="0"/>
        </w:numPr>
        <w:ind w:left="850"/>
        <w:rPr>
          <w:noProof/>
        </w:rPr>
      </w:pPr>
      <w:r w:rsidRPr="0042762C">
        <w:rPr>
          <w:noProof/>
        </w:rPr>
        <w:t>Where the committee delivers no opinion, the Commission shall not adopt the implementing act and Article 5(4), third subparagraph, of Regulation (EU) No 182/2011 shall apply.</w:t>
      </w:r>
    </w:p>
    <w:p w:rsidR="00BD4149" w:rsidRPr="0042762C" w:rsidRDefault="00BD4149" w:rsidP="00BD4149">
      <w:pPr>
        <w:shd w:val="clear" w:color="auto" w:fill="FFFFFF" w:themeFill="background1"/>
        <w:spacing w:before="360"/>
        <w:jc w:val="center"/>
        <w:rPr>
          <w:rFonts w:eastAsia="Times New Roman"/>
          <w:i/>
          <w:noProof/>
          <w:lang w:eastAsia="en-GB"/>
        </w:rPr>
      </w:pPr>
      <w:r w:rsidRPr="0042762C">
        <w:rPr>
          <w:rFonts w:eastAsia="Times New Roman"/>
          <w:i/>
          <w:noProof/>
          <w:lang w:eastAsia="en-GB"/>
        </w:rPr>
        <w:t xml:space="preserve">Article </w:t>
      </w:r>
      <w:r w:rsidRPr="0042762C">
        <w:rPr>
          <w:rFonts w:eastAsia="Times New Roman"/>
          <w:i/>
          <w:iCs/>
          <w:noProof/>
          <w:lang w:eastAsia="en-GB"/>
        </w:rPr>
        <w:t>18</w:t>
      </w:r>
    </w:p>
    <w:p w:rsidR="00BD4149" w:rsidRPr="0042762C" w:rsidRDefault="00BD4149" w:rsidP="00BD4149">
      <w:pPr>
        <w:shd w:val="clear" w:color="auto" w:fill="FFFFFF"/>
        <w:spacing w:before="360"/>
        <w:jc w:val="center"/>
        <w:rPr>
          <w:rFonts w:eastAsia="Times New Roman"/>
          <w:b/>
          <w:bCs/>
          <w:noProof/>
          <w:szCs w:val="24"/>
          <w:lang w:eastAsia="en-GB"/>
        </w:rPr>
      </w:pPr>
      <w:r w:rsidRPr="0042762C">
        <w:rPr>
          <w:rFonts w:eastAsia="Times New Roman"/>
          <w:b/>
          <w:bCs/>
          <w:noProof/>
          <w:szCs w:val="24"/>
          <w:lang w:eastAsia="en-GB"/>
        </w:rPr>
        <w:t xml:space="preserve">Relationship with other legal </w:t>
      </w:r>
      <w:r w:rsidR="007B495E">
        <w:rPr>
          <w:rFonts w:eastAsia="Times New Roman"/>
          <w:b/>
          <w:bCs/>
          <w:noProof/>
          <w:szCs w:val="24"/>
          <w:lang w:eastAsia="en-GB"/>
        </w:rPr>
        <w:t>acts</w:t>
      </w:r>
    </w:p>
    <w:p w:rsidR="00BD4149" w:rsidRPr="00B3654F" w:rsidRDefault="00E1781F" w:rsidP="00E1781F">
      <w:pPr>
        <w:pStyle w:val="ManualNumPar1"/>
        <w:rPr>
          <w:noProof/>
          <w:lang w:val="en-US"/>
        </w:rPr>
      </w:pPr>
      <w:r w:rsidRPr="00E1781F">
        <w:t>1.</w:t>
      </w:r>
      <w:r w:rsidRPr="00E1781F">
        <w:tab/>
      </w:r>
      <w:r w:rsidR="00BD4149" w:rsidRPr="00B3654F">
        <w:rPr>
          <w:noProof/>
          <w:lang w:val="en-US"/>
        </w:rPr>
        <w:t>This Directive shall not affect the rights and obligations stemming from</w:t>
      </w:r>
      <w:r w:rsidR="007B495E">
        <w:rPr>
          <w:noProof/>
          <w:lang w:val="en-US"/>
        </w:rPr>
        <w:t xml:space="preserve"> </w:t>
      </w:r>
      <w:r w:rsidR="007B495E" w:rsidRPr="005B13E9">
        <w:rPr>
          <w:noProof/>
        </w:rPr>
        <w:t>the following legal acts</w:t>
      </w:r>
      <w:r w:rsidR="00BD4149" w:rsidRPr="00B3654F">
        <w:rPr>
          <w:noProof/>
          <w:lang w:val="en-US"/>
        </w:rPr>
        <w:t>:</w:t>
      </w:r>
    </w:p>
    <w:p w:rsidR="00BD4149" w:rsidRPr="007B7969" w:rsidRDefault="00E1781F" w:rsidP="00E1781F">
      <w:pPr>
        <w:pStyle w:val="Point1"/>
        <w:rPr>
          <w:noProof/>
          <w:lang w:val="en-US"/>
        </w:rPr>
      </w:pPr>
      <w:r w:rsidRPr="00E1781F">
        <w:t>(a)</w:t>
      </w:r>
      <w:r w:rsidRPr="00E1781F">
        <w:tab/>
      </w:r>
      <w:r w:rsidR="00BD4149" w:rsidRPr="007B7969">
        <w:rPr>
          <w:noProof/>
          <w:lang w:val="en-US"/>
        </w:rPr>
        <w:t>Council Framework Decision 2008/947/JHA;</w:t>
      </w:r>
    </w:p>
    <w:p w:rsidR="00BD4149" w:rsidRPr="007B7969" w:rsidRDefault="00E1781F" w:rsidP="00E1781F">
      <w:pPr>
        <w:pStyle w:val="Point1"/>
        <w:rPr>
          <w:noProof/>
          <w:lang w:val="en-US"/>
        </w:rPr>
      </w:pPr>
      <w:r w:rsidRPr="00E1781F">
        <w:t>(b)</w:t>
      </w:r>
      <w:r w:rsidRPr="00E1781F">
        <w:tab/>
      </w:r>
      <w:r w:rsidR="00BD4149" w:rsidRPr="007B7969">
        <w:rPr>
          <w:noProof/>
          <w:lang w:val="en-US"/>
        </w:rPr>
        <w:t>Council Framework Decision 2005/214/JHA;</w:t>
      </w:r>
    </w:p>
    <w:p w:rsidR="00BD4149" w:rsidRPr="007B7969" w:rsidRDefault="00E1781F" w:rsidP="00E1781F">
      <w:pPr>
        <w:pStyle w:val="Point1"/>
        <w:rPr>
          <w:noProof/>
          <w:lang w:val="en-US"/>
        </w:rPr>
      </w:pPr>
      <w:r w:rsidRPr="00E1781F">
        <w:t>(c)</w:t>
      </w:r>
      <w:r w:rsidRPr="00E1781F">
        <w:tab/>
      </w:r>
      <w:r w:rsidR="00BD4149" w:rsidRPr="007B7969">
        <w:rPr>
          <w:noProof/>
          <w:lang w:val="en-US"/>
        </w:rPr>
        <w:t xml:space="preserve">the rights of suspects and accused persons as provided for in Directive 2010/64/EU, Directive 2012/13/EU, Directive 2013/48/EU, Directive (EU) 2016/343, Directive </w:t>
      </w:r>
      <w:r w:rsidR="007B495E">
        <w:rPr>
          <w:noProof/>
          <w:lang w:val="en-US"/>
        </w:rPr>
        <w:t xml:space="preserve">(EU) </w:t>
      </w:r>
      <w:r w:rsidR="00BD4149" w:rsidRPr="007B7969">
        <w:rPr>
          <w:noProof/>
          <w:lang w:val="en-US"/>
        </w:rPr>
        <w:t>2016/800 and Directive (EU) 2016/1919 of the European Parliament and of the Council.</w:t>
      </w:r>
    </w:p>
    <w:p w:rsidR="00BD4149" w:rsidRPr="0042762C" w:rsidRDefault="00E1781F" w:rsidP="00E1781F">
      <w:pPr>
        <w:pStyle w:val="ManualNumPar1"/>
        <w:rPr>
          <w:noProof/>
          <w:lang w:eastAsia="en-GB"/>
        </w:rPr>
      </w:pPr>
      <w:r w:rsidRPr="00E1781F">
        <w:t>2.</w:t>
      </w:r>
      <w:r w:rsidRPr="00E1781F">
        <w:tab/>
      </w:r>
      <w:r w:rsidR="00BD4149" w:rsidRPr="0042762C">
        <w:rPr>
          <w:noProof/>
          <w:lang w:eastAsia="en-GB"/>
        </w:rPr>
        <w:t xml:space="preserve">Member States may conclude bilateral or multilateral agreements or arrangements </w:t>
      </w:r>
      <w:r w:rsidR="00BD4149">
        <w:rPr>
          <w:noProof/>
          <w:lang w:eastAsia="en-GB"/>
        </w:rPr>
        <w:t xml:space="preserve">with other Member States </w:t>
      </w:r>
      <w:r w:rsidR="00BD4149" w:rsidRPr="0042762C">
        <w:rPr>
          <w:noProof/>
          <w:lang w:eastAsia="en-GB"/>
        </w:rPr>
        <w:t>after [DD/MM/YYYY], in so far as such agreements or arrangements allow the provisions of this Directive to be extended and help</w:t>
      </w:r>
      <w:r w:rsidR="007B495E">
        <w:rPr>
          <w:noProof/>
          <w:lang w:eastAsia="en-GB"/>
        </w:rPr>
        <w:t xml:space="preserve"> to</w:t>
      </w:r>
      <w:r w:rsidR="00BD4149" w:rsidRPr="0042762C">
        <w:rPr>
          <w:noProof/>
          <w:lang w:eastAsia="en-GB"/>
        </w:rPr>
        <w:t xml:space="preserve"> simplify or facilitate further the procedures for the enforcement of driving disqualifications imposed for the commission of offe</w:t>
      </w:r>
      <w:r w:rsidR="00332F6B">
        <w:rPr>
          <w:noProof/>
          <w:lang w:eastAsia="en-GB"/>
        </w:rPr>
        <w:t>nces in a Member State other tha</w:t>
      </w:r>
      <w:r w:rsidR="00BD4149" w:rsidRPr="0042762C">
        <w:rPr>
          <w:noProof/>
          <w:lang w:eastAsia="en-GB"/>
        </w:rPr>
        <w:t xml:space="preserve">n the one that issued the driving licence of the </w:t>
      </w:r>
      <w:r w:rsidR="00BF011A">
        <w:rPr>
          <w:noProof/>
          <w:lang w:eastAsia="en-GB"/>
        </w:rPr>
        <w:t>person concerned</w:t>
      </w:r>
      <w:r w:rsidR="00BD4149">
        <w:rPr>
          <w:noProof/>
          <w:lang w:eastAsia="en-GB"/>
        </w:rPr>
        <w:t>.</w:t>
      </w:r>
    </w:p>
    <w:p w:rsidR="00BD4149" w:rsidRPr="0042762C" w:rsidRDefault="00BD4149" w:rsidP="00BD4149">
      <w:pPr>
        <w:spacing w:before="240" w:after="240"/>
        <w:jc w:val="center"/>
        <w:rPr>
          <w:rFonts w:eastAsia="Times New Roman"/>
          <w:i/>
          <w:noProof/>
          <w:lang w:val="en-US"/>
        </w:rPr>
      </w:pPr>
      <w:r w:rsidRPr="0042762C">
        <w:rPr>
          <w:rFonts w:eastAsia="Times New Roman"/>
          <w:i/>
          <w:noProof/>
          <w:lang w:val="en-US"/>
        </w:rPr>
        <w:t>Article </w:t>
      </w:r>
      <w:r w:rsidRPr="0042762C">
        <w:rPr>
          <w:rFonts w:eastAsia="Times New Roman"/>
          <w:i/>
          <w:iCs/>
          <w:noProof/>
          <w:lang w:val="en-US"/>
        </w:rPr>
        <w:t>19</w:t>
      </w:r>
    </w:p>
    <w:p w:rsidR="00BD4149" w:rsidRPr="0042762C" w:rsidRDefault="00BD4149" w:rsidP="00BD4149">
      <w:pPr>
        <w:spacing w:before="240" w:after="240"/>
        <w:jc w:val="center"/>
        <w:rPr>
          <w:rFonts w:eastAsia="Times New Roman"/>
          <w:b/>
          <w:bCs/>
          <w:iCs/>
          <w:noProof/>
          <w:szCs w:val="24"/>
          <w:lang w:val="en-US"/>
        </w:rPr>
      </w:pPr>
      <w:r w:rsidRPr="0042762C">
        <w:rPr>
          <w:rFonts w:eastAsia="Times New Roman"/>
          <w:b/>
          <w:bCs/>
          <w:iCs/>
          <w:noProof/>
          <w:szCs w:val="24"/>
          <w:lang w:val="en-US"/>
        </w:rPr>
        <w:t>Transposition</w:t>
      </w:r>
    </w:p>
    <w:p w:rsidR="00BD4149" w:rsidRPr="0042762C" w:rsidRDefault="00E1781F" w:rsidP="00E1781F">
      <w:pPr>
        <w:pStyle w:val="ManualNumPar1"/>
        <w:rPr>
          <w:noProof/>
          <w:lang w:eastAsia="en-GB"/>
        </w:rPr>
      </w:pPr>
      <w:r w:rsidRPr="00E1781F">
        <w:t>1.</w:t>
      </w:r>
      <w:r w:rsidRPr="00E1781F">
        <w:tab/>
      </w:r>
      <w:r w:rsidR="00BD4149" w:rsidRPr="0042762C">
        <w:rPr>
          <w:noProof/>
          <w:lang w:eastAsia="en-GB"/>
        </w:rPr>
        <w:t>Member States shall bring into force the laws, regulations and administrative provisions necessary to comply with this Directive by [DD/MM/YYYY]. They shall forthwith communicate to the Commission the text of those provisions.</w:t>
      </w:r>
    </w:p>
    <w:p w:rsidR="00BD4149" w:rsidRPr="0042762C" w:rsidRDefault="00BD4149" w:rsidP="00BD4149">
      <w:pPr>
        <w:ind w:left="850"/>
        <w:rPr>
          <w:noProof/>
          <w:lang w:val="en-US"/>
        </w:rPr>
      </w:pPr>
      <w:r w:rsidRPr="0042762C">
        <w:rPr>
          <w:noProof/>
          <w:lang w:val="en-US"/>
        </w:rPr>
        <w:t xml:space="preserve">When Member States adopt those provisions, they shall contain a reference to this Directive or shall be accompanied by such a reference on the occasion of their official publication. Member States </w:t>
      </w:r>
      <w:r w:rsidRPr="0042762C">
        <w:rPr>
          <w:noProof/>
        </w:rPr>
        <w:t>shall determine how such reference is to be made</w:t>
      </w:r>
      <w:r w:rsidRPr="0042762C">
        <w:rPr>
          <w:noProof/>
          <w:lang w:val="en-US"/>
        </w:rPr>
        <w:t>.</w:t>
      </w:r>
    </w:p>
    <w:p w:rsidR="00BD4149" w:rsidRPr="007B7969" w:rsidRDefault="00E1781F" w:rsidP="00E1781F">
      <w:pPr>
        <w:pStyle w:val="ManualNumPar1"/>
        <w:rPr>
          <w:noProof/>
          <w:lang w:eastAsia="en-GB"/>
        </w:rPr>
      </w:pPr>
      <w:r w:rsidRPr="00E1781F">
        <w:t>2.</w:t>
      </w:r>
      <w:r w:rsidRPr="00E1781F">
        <w:tab/>
      </w:r>
      <w:r w:rsidR="00BD4149" w:rsidRPr="0042762C">
        <w:rPr>
          <w:noProof/>
          <w:lang w:eastAsia="en-GB"/>
        </w:rPr>
        <w:t>By [DD/MM/YYYY], Member States shall communicate to the Commission the text of the main provisions of their national law which they adopt in the field covered by this Directive.</w:t>
      </w:r>
    </w:p>
    <w:p w:rsidR="00BD4149" w:rsidRPr="0042762C" w:rsidRDefault="00BD4149" w:rsidP="00BD4149">
      <w:pPr>
        <w:spacing w:before="240" w:after="360"/>
        <w:ind w:left="2880" w:firstLine="720"/>
        <w:jc w:val="left"/>
        <w:rPr>
          <w:rFonts w:eastAsia="Times New Roman"/>
          <w:i/>
          <w:noProof/>
          <w:lang w:val="en-US"/>
        </w:rPr>
      </w:pPr>
      <w:r w:rsidRPr="0042762C">
        <w:rPr>
          <w:rFonts w:eastAsia="Times New Roman"/>
          <w:i/>
          <w:noProof/>
          <w:lang w:val="en-US"/>
        </w:rPr>
        <w:t xml:space="preserve">       Article </w:t>
      </w:r>
      <w:r w:rsidRPr="0042762C">
        <w:rPr>
          <w:rFonts w:eastAsia="Times New Roman"/>
          <w:i/>
          <w:iCs/>
          <w:noProof/>
          <w:lang w:val="en-US"/>
        </w:rPr>
        <w:t>20</w:t>
      </w:r>
    </w:p>
    <w:p w:rsidR="00BD4149" w:rsidRPr="0042762C" w:rsidRDefault="00BD4149" w:rsidP="00BD4149">
      <w:pPr>
        <w:spacing w:before="240" w:after="360"/>
        <w:ind w:left="2880"/>
        <w:rPr>
          <w:rFonts w:eastAsia="Times New Roman"/>
          <w:noProof/>
          <w:szCs w:val="24"/>
          <w:lang w:val="en-US"/>
        </w:rPr>
      </w:pPr>
      <w:r w:rsidRPr="0042762C">
        <w:rPr>
          <w:rFonts w:eastAsia="Times New Roman"/>
          <w:b/>
          <w:bCs/>
          <w:noProof/>
          <w:szCs w:val="24"/>
          <w:lang w:val="en-US"/>
        </w:rPr>
        <w:t xml:space="preserve">     Report on the application</w:t>
      </w:r>
      <w:r w:rsidRPr="0042762C">
        <w:rPr>
          <w:rFonts w:eastAsia="Times New Roman"/>
          <w:noProof/>
          <w:szCs w:val="24"/>
          <w:lang w:val="en-US"/>
        </w:rPr>
        <w:t xml:space="preserve"> </w:t>
      </w:r>
    </w:p>
    <w:p w:rsidR="00BD4149" w:rsidRPr="0042762C" w:rsidRDefault="00BD4149" w:rsidP="00BD4149">
      <w:pPr>
        <w:spacing w:before="240" w:after="360"/>
        <w:rPr>
          <w:rFonts w:eastAsia="Times New Roman"/>
          <w:noProof/>
          <w:lang w:val="en-US"/>
        </w:rPr>
      </w:pPr>
      <w:r w:rsidRPr="0042762C">
        <w:rPr>
          <w:rFonts w:eastAsia="Times New Roman"/>
          <w:noProof/>
          <w:lang w:val="en-US"/>
        </w:rPr>
        <w:t>By [entry into force + 5 years], and every five years thereafter, the Commission shall present a report to the European Parliament and the Council on the implementation of this Directive, including its impact on road safety. The report shall be accompanied, if necessary, by proposals for amendments to this Directive.</w:t>
      </w:r>
    </w:p>
    <w:p w:rsidR="00BD4149" w:rsidRPr="0042762C" w:rsidRDefault="00BD4149" w:rsidP="00BD4149">
      <w:pPr>
        <w:spacing w:before="240" w:after="240"/>
        <w:jc w:val="center"/>
        <w:rPr>
          <w:rFonts w:eastAsia="Times New Roman"/>
          <w:i/>
          <w:noProof/>
          <w:lang w:val="en-US"/>
        </w:rPr>
      </w:pPr>
      <w:r w:rsidRPr="0042762C">
        <w:rPr>
          <w:rFonts w:eastAsia="Times New Roman"/>
          <w:i/>
          <w:noProof/>
          <w:lang w:val="en-US"/>
        </w:rPr>
        <w:t xml:space="preserve">Article </w:t>
      </w:r>
      <w:r w:rsidRPr="0042762C">
        <w:rPr>
          <w:rFonts w:eastAsia="Times New Roman"/>
          <w:i/>
          <w:iCs/>
          <w:noProof/>
          <w:lang w:val="en-US"/>
        </w:rPr>
        <w:t>21</w:t>
      </w:r>
    </w:p>
    <w:p w:rsidR="00BD4149" w:rsidRPr="0042762C" w:rsidRDefault="00BD4149" w:rsidP="00BD4149">
      <w:pPr>
        <w:spacing w:before="240" w:after="240"/>
        <w:jc w:val="center"/>
        <w:rPr>
          <w:rFonts w:eastAsia="Times New Roman"/>
          <w:b/>
          <w:bCs/>
          <w:noProof/>
          <w:szCs w:val="24"/>
          <w:lang w:val="en-US"/>
        </w:rPr>
      </w:pPr>
      <w:r w:rsidRPr="0042762C">
        <w:rPr>
          <w:rFonts w:eastAsia="Times New Roman"/>
          <w:b/>
          <w:bCs/>
          <w:noProof/>
          <w:szCs w:val="24"/>
          <w:lang w:val="en-US"/>
        </w:rPr>
        <w:t>Entry into force and application</w:t>
      </w:r>
    </w:p>
    <w:p w:rsidR="00BD4149" w:rsidRPr="0042762C" w:rsidRDefault="00BD4149" w:rsidP="00BD4149">
      <w:pPr>
        <w:spacing w:before="0" w:after="160"/>
        <w:rPr>
          <w:rFonts w:eastAsia="Times New Roman"/>
          <w:noProof/>
          <w:szCs w:val="24"/>
          <w:highlight w:val="yellow"/>
          <w:lang w:val="en-US"/>
        </w:rPr>
      </w:pPr>
      <w:r w:rsidRPr="0042762C">
        <w:rPr>
          <w:rFonts w:eastAsia="Times New Roman"/>
          <w:noProof/>
          <w:szCs w:val="24"/>
          <w:lang w:val="en-US"/>
        </w:rPr>
        <w:t>This Directive shall enter into force on the twentieth day following that of its publication in the Official Journal of the European Union.</w:t>
      </w:r>
    </w:p>
    <w:p w:rsidR="00BD4149" w:rsidRPr="0042762C" w:rsidRDefault="00BD4149" w:rsidP="00BD4149">
      <w:pPr>
        <w:spacing w:before="0" w:after="160"/>
        <w:rPr>
          <w:rFonts w:eastAsia="Times New Roman"/>
          <w:noProof/>
          <w:szCs w:val="24"/>
          <w:lang w:val="en-US"/>
        </w:rPr>
      </w:pPr>
    </w:p>
    <w:p w:rsidR="00BD4149" w:rsidRPr="0042762C" w:rsidRDefault="00BD4149" w:rsidP="00BD4149">
      <w:pPr>
        <w:spacing w:before="240" w:after="240"/>
        <w:jc w:val="center"/>
        <w:rPr>
          <w:rFonts w:eastAsia="Times New Roman"/>
          <w:i/>
          <w:iCs/>
          <w:noProof/>
          <w:szCs w:val="24"/>
          <w:lang w:val="en-US"/>
        </w:rPr>
      </w:pPr>
      <w:r w:rsidRPr="0042762C">
        <w:rPr>
          <w:rFonts w:eastAsia="Times New Roman"/>
          <w:i/>
          <w:iCs/>
          <w:noProof/>
          <w:szCs w:val="24"/>
          <w:lang w:val="en-US"/>
        </w:rPr>
        <w:t>Article 22</w:t>
      </w:r>
    </w:p>
    <w:p w:rsidR="00BD4149" w:rsidRPr="0042762C" w:rsidRDefault="00BD4149" w:rsidP="00BD4149">
      <w:pPr>
        <w:spacing w:before="240" w:after="240"/>
        <w:jc w:val="center"/>
        <w:rPr>
          <w:rFonts w:eastAsia="Times New Roman"/>
          <w:b/>
          <w:bCs/>
          <w:noProof/>
          <w:szCs w:val="24"/>
          <w:lang w:val="en-US"/>
        </w:rPr>
      </w:pPr>
      <w:r w:rsidRPr="0042762C">
        <w:rPr>
          <w:rFonts w:eastAsia="Times New Roman"/>
          <w:b/>
          <w:bCs/>
          <w:noProof/>
          <w:szCs w:val="24"/>
          <w:lang w:val="en-US"/>
        </w:rPr>
        <w:t>Addressees</w:t>
      </w:r>
    </w:p>
    <w:p w:rsidR="00BD4149" w:rsidRPr="005D77D3" w:rsidRDefault="00BD4149" w:rsidP="00BD4149">
      <w:pPr>
        <w:keepNext/>
        <w:keepLines/>
        <w:rPr>
          <w:noProof/>
        </w:rPr>
      </w:pPr>
      <w:r w:rsidRPr="005D77D3">
        <w:rPr>
          <w:noProof/>
        </w:rPr>
        <w:t>This Directive is addressed to the Member States.</w:t>
      </w:r>
    </w:p>
    <w:p w:rsidR="00BD4149" w:rsidRPr="00BD4149" w:rsidRDefault="00BD4149" w:rsidP="00BD4149">
      <w:pPr>
        <w:pStyle w:val="Formuledadoption"/>
        <w:rPr>
          <w:noProof/>
        </w:rPr>
      </w:pPr>
    </w:p>
    <w:p w:rsidR="009D58A1" w:rsidRDefault="008E4D48" w:rsidP="00882F3A">
      <w:pPr>
        <w:pStyle w:val="Fait"/>
        <w:rPr>
          <w:noProof/>
        </w:rPr>
      </w:pPr>
      <w:r w:rsidRPr="008E4D48">
        <w:t>Done at Brussels,</w:t>
      </w:r>
    </w:p>
    <w:p w:rsidR="009D58A1" w:rsidRDefault="009D58A1" w:rsidP="00882F3A">
      <w:pPr>
        <w:pStyle w:val="Institutionquisigne"/>
        <w:rPr>
          <w:noProof/>
        </w:rPr>
      </w:pPr>
      <w:r>
        <w:rPr>
          <w:noProof/>
        </w:rPr>
        <w:t>For the European Parliament</w:t>
      </w:r>
      <w:r>
        <w:rPr>
          <w:noProof/>
        </w:rPr>
        <w:tab/>
        <w:t>For the Council</w:t>
      </w:r>
    </w:p>
    <w:p w:rsidR="009D58A1" w:rsidRPr="009D58A1" w:rsidRDefault="009D58A1" w:rsidP="009D58A1">
      <w:pPr>
        <w:pStyle w:val="Personnequisigne"/>
        <w:rPr>
          <w:noProof/>
        </w:rPr>
      </w:pPr>
      <w:r>
        <w:rPr>
          <w:noProof/>
        </w:rPr>
        <w:t>The President</w:t>
      </w:r>
      <w:r>
        <w:rPr>
          <w:noProof/>
        </w:rPr>
        <w:tab/>
        <w:t>The President</w:t>
      </w:r>
    </w:p>
    <w:sectPr w:rsidR="009D58A1" w:rsidRPr="009D58A1" w:rsidSect="00E2216B">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7A3" w:rsidRDefault="003147A3" w:rsidP="009D58A1">
      <w:pPr>
        <w:spacing w:before="0" w:after="0"/>
      </w:pPr>
      <w:r>
        <w:separator/>
      </w:r>
    </w:p>
  </w:endnote>
  <w:endnote w:type="continuationSeparator" w:id="0">
    <w:p w:rsidR="003147A3" w:rsidRDefault="003147A3" w:rsidP="009D58A1">
      <w:pPr>
        <w:spacing w:before="0" w:after="0"/>
      </w:pPr>
      <w:r>
        <w:continuationSeparator/>
      </w:r>
    </w:p>
  </w:endnote>
  <w:endnote w:type="continuationNotice" w:id="1">
    <w:p w:rsidR="003147A3" w:rsidRDefault="003147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6B" w:rsidRPr="00E2216B" w:rsidRDefault="00E2216B" w:rsidP="00E22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0BB" w:rsidRPr="00E2216B" w:rsidRDefault="00E2216B" w:rsidP="00E2216B">
    <w:pPr>
      <w:pStyle w:val="Footer"/>
      <w:rPr>
        <w:rFonts w:ascii="Arial" w:hAnsi="Arial" w:cs="Arial"/>
        <w:b/>
        <w:sz w:val="48"/>
      </w:rPr>
    </w:pPr>
    <w:r w:rsidRPr="00E2216B">
      <w:rPr>
        <w:rFonts w:ascii="Arial" w:hAnsi="Arial" w:cs="Arial"/>
        <w:b/>
        <w:sz w:val="48"/>
      </w:rPr>
      <w:t>EN</w:t>
    </w:r>
    <w:r w:rsidRPr="00E2216B">
      <w:rPr>
        <w:rFonts w:ascii="Arial" w:hAnsi="Arial" w:cs="Arial"/>
        <w:b/>
        <w:sz w:val="48"/>
      </w:rPr>
      <w:tab/>
    </w:r>
    <w:r w:rsidRPr="00E2216B">
      <w:rPr>
        <w:rFonts w:ascii="Arial" w:hAnsi="Arial" w:cs="Arial"/>
        <w:b/>
        <w:sz w:val="48"/>
      </w:rPr>
      <w:tab/>
    </w:r>
    <w:r w:rsidRPr="00E2216B">
      <w:tab/>
    </w:r>
    <w:r w:rsidRPr="00E2216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6B" w:rsidRPr="00E2216B" w:rsidRDefault="00E2216B" w:rsidP="00E221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6B" w:rsidRPr="00E2216B" w:rsidRDefault="00E2216B" w:rsidP="00E2216B">
    <w:pPr>
      <w:pStyle w:val="Footer"/>
      <w:rPr>
        <w:rFonts w:ascii="Arial" w:hAnsi="Arial" w:cs="Arial"/>
        <w:b/>
        <w:sz w:val="48"/>
      </w:rPr>
    </w:pPr>
    <w:r w:rsidRPr="00E2216B">
      <w:rPr>
        <w:rFonts w:ascii="Arial" w:hAnsi="Arial" w:cs="Arial"/>
        <w:b/>
        <w:sz w:val="48"/>
      </w:rPr>
      <w:t>EN</w:t>
    </w:r>
    <w:r w:rsidRPr="00E2216B">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rsidRPr="00E2216B">
      <w:tab/>
    </w:r>
    <w:r w:rsidRPr="00E2216B">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6B" w:rsidRPr="00E2216B" w:rsidRDefault="00E2216B" w:rsidP="00E22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7A3" w:rsidRDefault="003147A3" w:rsidP="009D58A1">
      <w:pPr>
        <w:spacing w:before="0" w:after="0"/>
      </w:pPr>
      <w:r>
        <w:separator/>
      </w:r>
    </w:p>
  </w:footnote>
  <w:footnote w:type="continuationSeparator" w:id="0">
    <w:p w:rsidR="003147A3" w:rsidRDefault="003147A3" w:rsidP="009D58A1">
      <w:pPr>
        <w:spacing w:before="0" w:after="0"/>
      </w:pPr>
      <w:r>
        <w:continuationSeparator/>
      </w:r>
    </w:p>
  </w:footnote>
  <w:footnote w:type="continuationNotice" w:id="1">
    <w:p w:rsidR="003147A3" w:rsidRDefault="003147A3">
      <w:pPr>
        <w:spacing w:before="0" w:after="0"/>
      </w:pPr>
    </w:p>
  </w:footnote>
  <w:footnote w:id="2">
    <w:p w:rsidR="008578F4" w:rsidRPr="00A12D92" w:rsidRDefault="008578F4" w:rsidP="00BD4149">
      <w:pPr>
        <w:pStyle w:val="FootnoteText"/>
        <w:rPr>
          <w:lang w:val="en-IE"/>
        </w:rPr>
      </w:pPr>
      <w:r w:rsidRPr="00A12D92">
        <w:rPr>
          <w:rStyle w:val="FootnoteReference"/>
        </w:rPr>
        <w:footnoteRef/>
      </w:r>
      <w:r w:rsidRPr="00A12D92">
        <w:rPr>
          <w:lang w:val="en-US"/>
        </w:rPr>
        <w:tab/>
        <w:t>COM(2001) 370 final</w:t>
      </w:r>
      <w:r>
        <w:rPr>
          <w:lang w:val="en-US"/>
        </w:rPr>
        <w:t>.</w:t>
      </w:r>
    </w:p>
  </w:footnote>
  <w:footnote w:id="3">
    <w:p w:rsidR="008578F4" w:rsidRPr="00A12D92" w:rsidRDefault="008578F4" w:rsidP="00BD4149">
      <w:pPr>
        <w:pStyle w:val="FootnoteText"/>
        <w:rPr>
          <w:lang w:val="en-IE"/>
        </w:rPr>
      </w:pPr>
      <w:r w:rsidRPr="00A12D92">
        <w:rPr>
          <w:rStyle w:val="FootnoteReference"/>
        </w:rPr>
        <w:footnoteRef/>
      </w:r>
      <w:r w:rsidRPr="00A12D92">
        <w:rPr>
          <w:lang w:val="en-US"/>
        </w:rPr>
        <w:tab/>
        <w:t>COM(2010) 389 final</w:t>
      </w:r>
      <w:r>
        <w:rPr>
          <w:lang w:val="en-US"/>
        </w:rPr>
        <w:t>.</w:t>
      </w:r>
    </w:p>
  </w:footnote>
  <w:footnote w:id="4">
    <w:p w:rsidR="008578F4" w:rsidRPr="00A12D92" w:rsidRDefault="008578F4" w:rsidP="00BD4149">
      <w:pPr>
        <w:pStyle w:val="FootnoteText"/>
        <w:rPr>
          <w:lang w:val="en-IE"/>
        </w:rPr>
      </w:pPr>
      <w:r w:rsidRPr="00A12D92">
        <w:rPr>
          <w:rStyle w:val="FootnoteReference"/>
        </w:rPr>
        <w:footnoteRef/>
      </w:r>
      <w:r w:rsidRPr="00A12D92">
        <w:tab/>
        <w:t>COM(2020) 789 final</w:t>
      </w:r>
      <w:r>
        <w:t>.</w:t>
      </w:r>
    </w:p>
  </w:footnote>
  <w:footnote w:id="5">
    <w:p w:rsidR="008578F4" w:rsidRPr="00404649" w:rsidRDefault="008578F4" w:rsidP="003852FF">
      <w:pPr>
        <w:pStyle w:val="FootnoteText"/>
      </w:pPr>
      <w:r>
        <w:rPr>
          <w:rStyle w:val="FootnoteReference"/>
        </w:rPr>
        <w:footnoteRef/>
      </w:r>
      <w:r>
        <w:t xml:space="preserve"> </w:t>
      </w:r>
      <w:r w:rsidRPr="002A1C5A">
        <w:rPr>
          <w:lang w:val="en-US"/>
        </w:rPr>
        <w:tab/>
        <w:t>During the first lockdown in A</w:t>
      </w:r>
      <w:r>
        <w:rPr>
          <w:lang w:val="en-US"/>
        </w:rPr>
        <w:t>pril 2020, the European Transport Safety Council (ETSC) reported a 70-85% reduction in traffic volumes in major European cities (</w:t>
      </w:r>
      <w:hyperlink r:id="rId1" w:history="1">
        <w:r w:rsidRPr="00F17FF0">
          <w:rPr>
            <w:rStyle w:val="Hyperlink"/>
            <w:lang w:val="en-US"/>
          </w:rPr>
          <w:t>https://etsc.eu/covid-19-huge-drop-in-traffic-in-europe-but-impact-on-road-deaths-unclear/</w:t>
        </w:r>
      </w:hyperlink>
      <w:r>
        <w:rPr>
          <w:lang w:val="en-US"/>
        </w:rPr>
        <w:t>)</w:t>
      </w:r>
    </w:p>
  </w:footnote>
  <w:footnote w:id="6">
    <w:p w:rsidR="008578F4" w:rsidRPr="00A12D92" w:rsidRDefault="008578F4" w:rsidP="00BD4149">
      <w:pPr>
        <w:pStyle w:val="FootnoteText"/>
        <w:jc w:val="left"/>
      </w:pPr>
      <w:r w:rsidRPr="00A12D92">
        <w:rPr>
          <w:rStyle w:val="FootnoteReference"/>
        </w:rPr>
        <w:footnoteRef/>
      </w:r>
      <w:r w:rsidRPr="00A12D92">
        <w:tab/>
        <w:t xml:space="preserve">See: </w:t>
      </w:r>
      <w:hyperlink r:id="rId2" w:history="1">
        <w:r w:rsidRPr="00A12D92">
          <w:rPr>
            <w:rStyle w:val="Hyperlink"/>
          </w:rPr>
          <w:t>https://eumos.eu/wp-content/uploads/2017/07/Valletta_Declaration_on_Improving_Road_Safety.pdf</w:t>
        </w:r>
      </w:hyperlink>
      <w:r w:rsidRPr="00A12D92">
        <w:t>; in June 2017, the Council adopted conclusions on road safety endorsing the Valletta Declaration (see document 9994/17).</w:t>
      </w:r>
    </w:p>
  </w:footnote>
  <w:footnote w:id="7">
    <w:p w:rsidR="008578F4" w:rsidRPr="00A12D92" w:rsidRDefault="008578F4" w:rsidP="00BD4149">
      <w:pPr>
        <w:pStyle w:val="FootnoteText"/>
        <w:rPr>
          <w:lang w:val="en-IE"/>
        </w:rPr>
      </w:pPr>
      <w:r w:rsidRPr="006468C7">
        <w:rPr>
          <w:rStyle w:val="FootnoteReference"/>
        </w:rPr>
        <w:footnoteRef/>
      </w:r>
      <w:r>
        <w:tab/>
      </w:r>
      <w:r w:rsidRPr="00BE54F2">
        <w:rPr>
          <w:lang w:val="en-IE"/>
        </w:rPr>
        <w:t>Valletta Declaration on Road Safety, 2015, point 9(c).</w:t>
      </w:r>
    </w:p>
  </w:footnote>
  <w:footnote w:id="8">
    <w:p w:rsidR="008578F4" w:rsidRPr="00A12D92" w:rsidRDefault="008578F4" w:rsidP="00BD4149">
      <w:pPr>
        <w:pStyle w:val="FootnoteText"/>
        <w:rPr>
          <w:lang w:val="en-IE"/>
        </w:rPr>
      </w:pPr>
      <w:r w:rsidRPr="006468C7">
        <w:rPr>
          <w:rStyle w:val="FootnoteReference"/>
        </w:rPr>
        <w:footnoteRef/>
      </w:r>
      <w:r>
        <w:tab/>
      </w:r>
      <w:r w:rsidRPr="00BE54F2">
        <w:rPr>
          <w:lang w:val="en-IE"/>
        </w:rPr>
        <w:t>This interpretation is continuously reiterated in the case-law of the Court of Justice of the European Union as well, see for example: case C-419/10, Hofmann, ECLI:EU:C:2012:240, and case C-260/13, Aykul, ECLI:EU:C:2015:257.</w:t>
      </w:r>
    </w:p>
  </w:footnote>
  <w:footnote w:id="9">
    <w:p w:rsidR="008578F4" w:rsidRPr="00085281" w:rsidRDefault="008578F4" w:rsidP="00BD4149">
      <w:pPr>
        <w:pStyle w:val="FootnoteText"/>
      </w:pPr>
      <w:r w:rsidRPr="00DD7480">
        <w:rPr>
          <w:rStyle w:val="FootnoteReference"/>
        </w:rPr>
        <w:footnoteRef/>
      </w:r>
      <w:r>
        <w:tab/>
      </w:r>
      <w:r w:rsidRPr="00461444">
        <w:t>https://etsc.eu/wp-content/uploads/ETSC_PINFLASH42_v2TH_JC_FINAL_corrected-060522.pdf</w:t>
      </w:r>
    </w:p>
  </w:footnote>
  <w:footnote w:id="10">
    <w:p w:rsidR="008578F4" w:rsidRPr="008C2C22" w:rsidRDefault="008578F4" w:rsidP="00BD4149">
      <w:pPr>
        <w:pStyle w:val="FootnoteText"/>
        <w:rPr>
          <w:lang w:val="en-IE"/>
        </w:rPr>
      </w:pPr>
      <w:r w:rsidRPr="00DD7480">
        <w:rPr>
          <w:rStyle w:val="FootnoteReference"/>
        </w:rPr>
        <w:footnoteRef/>
      </w:r>
      <w:r>
        <w:tab/>
      </w:r>
      <w:r>
        <w:rPr>
          <w:lang w:val="en-IE"/>
        </w:rPr>
        <w:t>Ibid.</w:t>
      </w:r>
    </w:p>
  </w:footnote>
  <w:footnote w:id="11">
    <w:p w:rsidR="008578F4" w:rsidRPr="00085281" w:rsidRDefault="008578F4" w:rsidP="00BD4149">
      <w:pPr>
        <w:pStyle w:val="FootnoteText"/>
      </w:pPr>
      <w:r w:rsidRPr="00DD7480">
        <w:rPr>
          <w:rStyle w:val="FootnoteReference"/>
        </w:rPr>
        <w:footnoteRef/>
      </w:r>
      <w:r>
        <w:tab/>
        <w:t>Ibid.</w:t>
      </w:r>
    </w:p>
  </w:footnote>
  <w:footnote w:id="12">
    <w:p w:rsidR="008578F4" w:rsidRPr="0081729E" w:rsidRDefault="008578F4" w:rsidP="00BD4149">
      <w:pPr>
        <w:pStyle w:val="FootnoteText"/>
      </w:pPr>
      <w:r w:rsidRPr="00DD7480">
        <w:rPr>
          <w:rStyle w:val="FootnoteReference"/>
        </w:rPr>
        <w:footnoteRef/>
      </w:r>
      <w:r>
        <w:tab/>
      </w:r>
      <w:r w:rsidRPr="0081729E">
        <w:t xml:space="preserve">ETSC (2019), PIN Flash 36, Reducing Speeding in Europe </w:t>
      </w:r>
      <w:hyperlink r:id="rId3" w:history="1">
        <w:r w:rsidRPr="0081729E">
          <w:rPr>
            <w:rStyle w:val="Hyperlink"/>
          </w:rPr>
          <w:t>https://bit.ly/2YZgSzr</w:t>
        </w:r>
      </w:hyperlink>
      <w:r>
        <w:t xml:space="preserve"> </w:t>
      </w:r>
    </w:p>
  </w:footnote>
  <w:footnote w:id="13">
    <w:p w:rsidR="008578F4" w:rsidRPr="003056ED" w:rsidRDefault="008578F4">
      <w:pPr>
        <w:pStyle w:val="FootnoteText"/>
        <w:rPr>
          <w:lang w:val="en-IE"/>
        </w:rPr>
      </w:pPr>
      <w:r>
        <w:rPr>
          <w:rStyle w:val="FootnoteReference"/>
        </w:rPr>
        <w:footnoteRef/>
      </w:r>
      <w:r>
        <w:t xml:space="preserve"> </w:t>
      </w:r>
      <w:r>
        <w:tab/>
      </w:r>
      <w:r w:rsidRPr="00E16C5B">
        <w:t>European Commission, Directorate-General for Mobility and Transport, Modijefsky, M., Janse, R., Spit, W., et al., Prevention of driving under the influence of alcohol and drugs: final report, Publications Office of the European Union, 2022, https://data.europa.eu/doi/10.2832/284545</w:t>
      </w:r>
    </w:p>
  </w:footnote>
  <w:footnote w:id="14">
    <w:p w:rsidR="008578F4" w:rsidRPr="003056ED" w:rsidRDefault="008578F4">
      <w:pPr>
        <w:pStyle w:val="FootnoteText"/>
        <w:rPr>
          <w:lang w:val="en-IE"/>
        </w:rPr>
      </w:pPr>
      <w:r>
        <w:rPr>
          <w:rStyle w:val="FootnoteReference"/>
        </w:rPr>
        <w:footnoteRef/>
      </w:r>
      <w:r>
        <w:t xml:space="preserve"> </w:t>
      </w:r>
      <w:r>
        <w:rPr>
          <w:lang w:val="en-IE"/>
        </w:rPr>
        <w:tab/>
      </w:r>
      <w:r w:rsidRPr="00E16C5B">
        <w:rPr>
          <w:lang w:val="en-IE"/>
        </w:rPr>
        <w:t>European Monitoring Centre for Drugs and Drug Addiction (2012): Driving Under the Influence of Drugs, Alcohol and Medicines in Europe – findings from the DRUID project (https://www.emcdda.europa.eu/attachements.cfm/att_192773_EN_TDXA12006ENN.pdf)</w:t>
      </w:r>
    </w:p>
  </w:footnote>
  <w:footnote w:id="15">
    <w:p w:rsidR="008578F4" w:rsidRPr="003056ED" w:rsidRDefault="008578F4">
      <w:pPr>
        <w:pStyle w:val="FootnoteText"/>
        <w:rPr>
          <w:lang w:val="en-IE"/>
        </w:rPr>
      </w:pPr>
      <w:r>
        <w:rPr>
          <w:rStyle w:val="FootnoteReference"/>
        </w:rPr>
        <w:footnoteRef/>
      </w:r>
      <w:r>
        <w:t xml:space="preserve"> </w:t>
      </w:r>
      <w:r>
        <w:tab/>
      </w:r>
      <w:r w:rsidRPr="00FC3AB8">
        <w:t>SWD(2023) 126 final</w:t>
      </w:r>
    </w:p>
  </w:footnote>
  <w:footnote w:id="16">
    <w:p w:rsidR="008578F4" w:rsidRPr="007737A7" w:rsidRDefault="008578F4" w:rsidP="00BD4149">
      <w:pPr>
        <w:pStyle w:val="FootnoteText"/>
        <w:rPr>
          <w:lang w:val="en-IE"/>
        </w:rPr>
      </w:pPr>
      <w:r w:rsidRPr="00DD7480">
        <w:rPr>
          <w:rStyle w:val="FootnoteReference"/>
        </w:rPr>
        <w:footnoteRef/>
      </w:r>
      <w:r>
        <w:tab/>
      </w:r>
      <w:r w:rsidRPr="007737A7">
        <w:t xml:space="preserve">European Commission, Directorate-General for Mobility and Transport, Modijefsky, M., Janse, R., Spit, W., et al., Prevention of driving under the influence of alcohol and drugs : final report, Publications Office of the European Union, 2022, </w:t>
      </w:r>
      <w:hyperlink r:id="rId4" w:history="1">
        <w:r w:rsidRPr="00C50AFA">
          <w:rPr>
            <w:rStyle w:val="Hyperlink"/>
          </w:rPr>
          <w:t>https://data.europa.eu/doi/10.2832/284545</w:t>
        </w:r>
      </w:hyperlink>
      <w:r>
        <w:t xml:space="preserve"> </w:t>
      </w:r>
    </w:p>
  </w:footnote>
  <w:footnote w:id="17">
    <w:p w:rsidR="008578F4" w:rsidRPr="0075295C" w:rsidRDefault="008578F4" w:rsidP="00BD4149">
      <w:pPr>
        <w:pStyle w:val="FootnoteText"/>
        <w:rPr>
          <w:lang w:val="en-IE"/>
        </w:rPr>
      </w:pPr>
      <w:r w:rsidRPr="00DD7480">
        <w:rPr>
          <w:rStyle w:val="FootnoteReference"/>
        </w:rPr>
        <w:footnoteRef/>
      </w:r>
      <w:r>
        <w:tab/>
      </w:r>
      <w:hyperlink r:id="rId5" w:history="1">
        <w:r>
          <w:rPr>
            <w:rStyle w:val="Hyperlink"/>
          </w:rPr>
          <w:t>Microsoft Word - FINAL Deliverable 4_2_1 DRAFTv10 (bast.de)</w:t>
        </w:r>
      </w:hyperlink>
      <w:r>
        <w:t xml:space="preserve"> </w:t>
      </w:r>
      <w:r>
        <w:rPr>
          <w:rStyle w:val="FootnoteReference"/>
        </w:rPr>
        <w:t xml:space="preserve"> </w:t>
      </w:r>
      <w:r>
        <w:t xml:space="preserve"> </w:t>
      </w:r>
      <w:hyperlink r:id="rId6" w:history="1">
        <w:r w:rsidRPr="00097941" w:rsidDel="00097941">
          <w:rPr>
            <w:rStyle w:val="FootnoteReference"/>
          </w:rPr>
          <w:t xml:space="preserve"> </w:t>
        </w:r>
      </w:hyperlink>
      <w:r>
        <w:rPr>
          <w:rStyle w:val="FootnoteReference"/>
        </w:rPr>
        <w:t xml:space="preserve"> </w:t>
      </w:r>
    </w:p>
  </w:footnote>
  <w:footnote w:id="18">
    <w:p w:rsidR="008578F4" w:rsidRPr="0075295C" w:rsidRDefault="008578F4" w:rsidP="00BD4149">
      <w:pPr>
        <w:pStyle w:val="FootnoteText"/>
        <w:rPr>
          <w:lang w:val="en-IE"/>
        </w:rPr>
      </w:pPr>
      <w:r w:rsidRPr="00DD7480">
        <w:rPr>
          <w:rStyle w:val="FootnoteReference"/>
        </w:rPr>
        <w:footnoteRef/>
      </w:r>
      <w:r>
        <w:tab/>
      </w:r>
      <w:hyperlink r:id="rId7" w:history="1">
        <w:r w:rsidRPr="00C50AFA">
          <w:rPr>
            <w:rStyle w:val="Hyperlink"/>
          </w:rPr>
          <w:t>https://www.esranet.eu/en/publications/</w:t>
        </w:r>
      </w:hyperlink>
      <w:r>
        <w:t xml:space="preserve"> </w:t>
      </w:r>
    </w:p>
  </w:footnote>
  <w:footnote w:id="19">
    <w:p w:rsidR="008578F4" w:rsidRPr="00A12D92" w:rsidRDefault="008578F4" w:rsidP="00BD4149">
      <w:pPr>
        <w:pStyle w:val="FootnoteText"/>
        <w:rPr>
          <w:lang w:val="en-IE"/>
        </w:rPr>
      </w:pPr>
      <w:r w:rsidRPr="006468C7">
        <w:rPr>
          <w:rStyle w:val="FootnoteReference"/>
        </w:rPr>
        <w:footnoteRef/>
      </w:r>
      <w:r>
        <w:tab/>
      </w:r>
      <w:r w:rsidRPr="00A12D92">
        <w:t>Commission Staff Working Document SWD</w:t>
      </w:r>
      <w:r>
        <w:t>(</w:t>
      </w:r>
      <w:r w:rsidRPr="00A12D92">
        <w:t>2022</w:t>
      </w:r>
      <w:r>
        <w:t>)</w:t>
      </w:r>
      <w:r w:rsidRPr="00A12D92">
        <w:t>0017 final Evaluation of the Directive 2006/126/EC of the European Parliament and of the Council of 20 December 2006 on driving licences</w:t>
      </w:r>
      <w:r>
        <w:t>.</w:t>
      </w:r>
    </w:p>
  </w:footnote>
  <w:footnote w:id="20">
    <w:p w:rsidR="008578F4" w:rsidRPr="006468C7" w:rsidRDefault="008578F4" w:rsidP="00BD4149">
      <w:pPr>
        <w:pStyle w:val="FootnoteText"/>
        <w:rPr>
          <w:lang w:val="en-IE"/>
        </w:rPr>
      </w:pPr>
      <w:r w:rsidRPr="006468C7">
        <w:rPr>
          <w:rStyle w:val="FootnoteReference"/>
        </w:rPr>
        <w:footnoteRef/>
      </w:r>
      <w:r>
        <w:tab/>
      </w:r>
      <w:r w:rsidRPr="00A12D92">
        <w:t xml:space="preserve">The statistics and the results of survey presented herewith form part of </w:t>
      </w:r>
      <w:r>
        <w:t>Impact assessment support study for the revision of Directive (EU) 2015/413 facilitating cross-border exchange of information on road-safety-related traffic offences, ECORYS consortium (2022), MOVE/C2/SER/2019-425/SI2.819667 – link to be added.</w:t>
      </w:r>
    </w:p>
  </w:footnote>
  <w:footnote w:id="21">
    <w:p w:rsidR="008578F4" w:rsidRPr="00A12D92" w:rsidRDefault="008578F4" w:rsidP="00BD4149">
      <w:pPr>
        <w:pStyle w:val="FootnoteText"/>
        <w:rPr>
          <w:lang w:val="en-IE"/>
        </w:rPr>
      </w:pPr>
      <w:r w:rsidRPr="006468C7">
        <w:rPr>
          <w:rStyle w:val="FootnoteReference"/>
        </w:rPr>
        <w:footnoteRef/>
      </w:r>
      <w:r>
        <w:tab/>
      </w:r>
      <w:r w:rsidRPr="00A12D92">
        <w:t>European federation of road victims, FR, ETSC, HU, SE, SI, BE, CEETAR, and NL</w:t>
      </w:r>
      <w:r>
        <w:t>.</w:t>
      </w:r>
    </w:p>
  </w:footnote>
  <w:footnote w:id="22">
    <w:p w:rsidR="008578F4" w:rsidRDefault="008578F4" w:rsidP="00BD4149">
      <w:pPr>
        <w:pStyle w:val="FootnoteText"/>
      </w:pPr>
      <w:r w:rsidRPr="006468C7">
        <w:rPr>
          <w:rStyle w:val="FootnoteReference"/>
        </w:rPr>
        <w:footnoteRef/>
      </w:r>
      <w:r>
        <w:tab/>
      </w:r>
      <w:r w:rsidRPr="00BE54F2">
        <w:t>NL raised concerns regarding the diverse rules and procedures applicable across the EU</w:t>
      </w:r>
      <w:r>
        <w:t>.</w:t>
      </w:r>
    </w:p>
  </w:footnote>
  <w:footnote w:id="23">
    <w:p w:rsidR="008578F4" w:rsidRDefault="008578F4" w:rsidP="00BD4149">
      <w:pPr>
        <w:pStyle w:val="FootnoteText"/>
        <w:rPr>
          <w:rFonts w:eastAsia="Times New Roman"/>
        </w:rPr>
      </w:pPr>
      <w:r w:rsidRPr="00DD7480">
        <w:rPr>
          <w:rStyle w:val="FootnoteReference"/>
        </w:rPr>
        <w:footnoteRef/>
      </w:r>
      <w:r>
        <w:tab/>
        <w:t>t</w:t>
      </w:r>
      <w:r w:rsidRPr="76DD42A3">
        <w:rPr>
          <w:rFonts w:eastAsia="Times New Roman"/>
        </w:rPr>
        <w:t>he</w:t>
      </w:r>
      <w:r w:rsidRPr="76DD42A3">
        <w:rPr>
          <w:rFonts w:eastAsiaTheme="minorEastAsia"/>
        </w:rPr>
        <w:t xml:space="preserve"> </w:t>
      </w:r>
      <w:r w:rsidRPr="76DD42A3">
        <w:rPr>
          <w:rFonts w:eastAsiaTheme="minorEastAsia"/>
          <w:lang w:val="en-US"/>
        </w:rPr>
        <w:t>European Transport Safety Council,</w:t>
      </w:r>
      <w:r w:rsidRPr="76DD42A3">
        <w:rPr>
          <w:rFonts w:eastAsiaTheme="minorEastAsia"/>
        </w:rPr>
        <w:t xml:space="preserve"> th</w:t>
      </w:r>
      <w:r>
        <w:rPr>
          <w:rFonts w:eastAsiaTheme="minorEastAsia"/>
        </w:rPr>
        <w:t>e</w:t>
      </w:r>
      <w:r w:rsidRPr="76DD42A3">
        <w:rPr>
          <w:rFonts w:eastAsiaTheme="minorEastAsia"/>
        </w:rPr>
        <w:t xml:space="preserve"> </w:t>
      </w:r>
      <w:r w:rsidRPr="76DD42A3">
        <w:rPr>
          <w:rFonts w:eastAsiaTheme="minorEastAsia"/>
          <w:lang w:val="en-US"/>
        </w:rPr>
        <w:t>European Association of Motorcycle Manufacturers</w:t>
      </w:r>
      <w:r w:rsidRPr="76DD42A3">
        <w:rPr>
          <w:rFonts w:eastAsiaTheme="minorEastAsia"/>
        </w:rPr>
        <w:t xml:space="preserve"> and the </w:t>
      </w:r>
      <w:r w:rsidRPr="76DD42A3">
        <w:rPr>
          <w:rFonts w:eastAsiaTheme="minorEastAsia"/>
          <w:lang w:val="en-US"/>
        </w:rPr>
        <w:t>Dansk Kørelærer-Union</w:t>
      </w:r>
      <w:r w:rsidRPr="76DD42A3">
        <w:rPr>
          <w:rFonts w:eastAsiaTheme="minorEastAsia"/>
        </w:rPr>
        <w:t xml:space="preserve">  </w:t>
      </w:r>
    </w:p>
  </w:footnote>
  <w:footnote w:id="24">
    <w:p w:rsidR="008578F4" w:rsidRPr="00A12D92" w:rsidRDefault="008578F4" w:rsidP="00BD4149">
      <w:pPr>
        <w:pStyle w:val="FootnoteText"/>
        <w:rPr>
          <w:lang w:val="en-IE"/>
        </w:rPr>
      </w:pPr>
      <w:r w:rsidRPr="006468C7">
        <w:rPr>
          <w:rStyle w:val="FootnoteReference"/>
        </w:rPr>
        <w:footnoteRef/>
      </w:r>
      <w:r>
        <w:tab/>
      </w:r>
      <w:r w:rsidRPr="00A12D92">
        <w:t>Directive (EU) 2015/413 of the European Parliament and of the Council of 11 March 2015 facilitating cross-border exchange of information on road-safety-related traffic offences, OJ L 68, 13.3.2015, p. 9</w:t>
      </w:r>
      <w:r>
        <w:t>.</w:t>
      </w:r>
    </w:p>
  </w:footnote>
  <w:footnote w:id="25">
    <w:p w:rsidR="008578F4" w:rsidRPr="00BE54F2" w:rsidRDefault="008578F4" w:rsidP="00BD4149">
      <w:pPr>
        <w:pStyle w:val="FootnoteText"/>
      </w:pPr>
      <w:r w:rsidRPr="006468C7">
        <w:rPr>
          <w:rStyle w:val="FootnoteReference"/>
        </w:rPr>
        <w:footnoteRef/>
      </w:r>
      <w:r>
        <w:tab/>
      </w:r>
      <w:r w:rsidRPr="00BE54F2">
        <w:t>Directive 2006/126/EC of the European Parliament and of the Council of 20 December 2006 on driving licences (Recast),  OJ L 403, 30.12.2006, p. 18</w:t>
      </w:r>
      <w:r>
        <w:t>.</w:t>
      </w:r>
    </w:p>
  </w:footnote>
  <w:footnote w:id="26">
    <w:p w:rsidR="008578F4" w:rsidRPr="005C0935" w:rsidRDefault="008578F4" w:rsidP="00564C44">
      <w:pPr>
        <w:pStyle w:val="FootnoteText"/>
        <w:rPr>
          <w:lang w:val="en-IE"/>
        </w:rPr>
      </w:pPr>
      <w:r>
        <w:rPr>
          <w:rStyle w:val="FootnoteReference"/>
        </w:rPr>
        <w:footnoteRef/>
      </w:r>
      <w:r>
        <w:t xml:space="preserve"> </w:t>
      </w:r>
      <w:r>
        <w:rPr>
          <w:lang w:val="en-IE"/>
        </w:rPr>
        <w:tab/>
      </w:r>
      <w:r w:rsidRPr="00564C44">
        <w:rPr>
          <w:lang w:val="en-IE"/>
        </w:rPr>
        <w:t>Cf. the inception impact assessment of the initiative to revise the driving licence directive: https://ec.europa.eu/info/law/better-regulation/have-your-say/initiatives/12978-Revision-of-the-Directive-on-Driving-Licences_en</w:t>
      </w:r>
    </w:p>
  </w:footnote>
  <w:footnote w:id="27">
    <w:p w:rsidR="008578F4" w:rsidRPr="003056ED" w:rsidRDefault="008578F4" w:rsidP="00AD6300">
      <w:pPr>
        <w:pStyle w:val="FootnoteText"/>
        <w:rPr>
          <w:lang w:val="pt-PT"/>
        </w:rPr>
      </w:pPr>
      <w:r w:rsidRPr="006468C7">
        <w:rPr>
          <w:rStyle w:val="FootnoteReference"/>
        </w:rPr>
        <w:footnoteRef/>
      </w:r>
      <w:r w:rsidRPr="003056ED">
        <w:rPr>
          <w:lang w:val="pt-PT"/>
        </w:rPr>
        <w:tab/>
        <w:t>COM(2006) 73 final.</w:t>
      </w:r>
    </w:p>
  </w:footnote>
  <w:footnote w:id="28">
    <w:p w:rsidR="008578F4" w:rsidRPr="003056ED" w:rsidRDefault="008578F4">
      <w:pPr>
        <w:pStyle w:val="FootnoteText"/>
        <w:rPr>
          <w:lang w:val="pt-PT"/>
        </w:rPr>
      </w:pPr>
      <w:r>
        <w:rPr>
          <w:rStyle w:val="FootnoteReference"/>
        </w:rPr>
        <w:footnoteRef/>
      </w:r>
      <w:r w:rsidRPr="003056ED">
        <w:rPr>
          <w:lang w:val="pt-PT"/>
        </w:rPr>
        <w:t xml:space="preserve"> </w:t>
      </w:r>
      <w:r w:rsidRPr="003056ED">
        <w:rPr>
          <w:lang w:val="pt-PT"/>
        </w:rPr>
        <w:tab/>
        <w:t>OJ C 2016, 10.7.1998, p. 1.</w:t>
      </w:r>
    </w:p>
  </w:footnote>
  <w:footnote w:id="29">
    <w:p w:rsidR="008578F4" w:rsidRPr="00BE54F2" w:rsidRDefault="008578F4" w:rsidP="00BD4149">
      <w:pPr>
        <w:pStyle w:val="FootnoteText"/>
      </w:pPr>
      <w:r w:rsidRPr="006468C7">
        <w:rPr>
          <w:rStyle w:val="FootnoteReference"/>
        </w:rPr>
        <w:footnoteRef/>
      </w:r>
      <w:r>
        <w:tab/>
      </w:r>
      <w:r w:rsidRPr="00BE54F2">
        <w:t>Directive (EU) 2022/2561 of the European Parliament and of the Council of 14 December 2022 on the initial qualification and periodic training of drivers of certain road vehicles for the carriage of goods or passengers (codification), OJ L 330, 23.12.2022, p. 46</w:t>
      </w:r>
      <w:r>
        <w:t>.</w:t>
      </w:r>
    </w:p>
  </w:footnote>
  <w:footnote w:id="30">
    <w:p w:rsidR="008578F4" w:rsidRPr="00BE54F2" w:rsidRDefault="008578F4" w:rsidP="00BD4149">
      <w:pPr>
        <w:pStyle w:val="FootnoteText"/>
      </w:pPr>
      <w:r w:rsidRPr="006468C7">
        <w:rPr>
          <w:rStyle w:val="FootnoteReference"/>
        </w:rPr>
        <w:footnoteRef/>
      </w:r>
      <w:r>
        <w:tab/>
      </w:r>
      <w:r w:rsidRPr="00BE54F2">
        <w:t>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OJ L 325, 16.12.2019, p. 1</w:t>
      </w:r>
      <w:r>
        <w:t>.</w:t>
      </w:r>
    </w:p>
  </w:footnote>
  <w:footnote w:id="31">
    <w:p w:rsidR="008578F4" w:rsidRPr="00BE54F2" w:rsidRDefault="008578F4" w:rsidP="00BD4149">
      <w:pPr>
        <w:pStyle w:val="FootnoteText"/>
      </w:pPr>
      <w:r w:rsidRPr="006468C7">
        <w:rPr>
          <w:rStyle w:val="FootnoteReference"/>
        </w:rPr>
        <w:footnoteRef/>
      </w:r>
      <w:r>
        <w:tab/>
      </w:r>
      <w:r w:rsidRPr="00BE54F2">
        <w:t>SWD (2019) 283 final</w:t>
      </w:r>
      <w:r>
        <w:t>.</w:t>
      </w:r>
    </w:p>
  </w:footnote>
  <w:footnote w:id="32">
    <w:p w:rsidR="008578F4" w:rsidRPr="00BE54F2" w:rsidRDefault="008578F4" w:rsidP="00BD4149">
      <w:pPr>
        <w:pStyle w:val="FootnoteText"/>
      </w:pPr>
      <w:r w:rsidRPr="006468C7">
        <w:rPr>
          <w:rStyle w:val="FootnoteReference"/>
        </w:rPr>
        <w:footnoteRef/>
      </w:r>
      <w:r>
        <w:tab/>
      </w:r>
      <w:r w:rsidRPr="00801A22">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33">
    <w:p w:rsidR="008578F4" w:rsidRPr="00BE54F2" w:rsidRDefault="008578F4" w:rsidP="00BD4149">
      <w:pPr>
        <w:pStyle w:val="FootnoteText"/>
      </w:pPr>
      <w:r w:rsidRPr="006468C7">
        <w:rPr>
          <w:rStyle w:val="FootnoteReference"/>
        </w:rPr>
        <w:footnoteRef/>
      </w:r>
      <w:r>
        <w:tab/>
      </w:r>
      <w:r w:rsidRPr="00BE54F2">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OJ L 119, 4.5.2016, p. 89</w:t>
      </w:r>
      <w:r>
        <w:t>.</w:t>
      </w:r>
    </w:p>
  </w:footnote>
  <w:footnote w:id="34">
    <w:p w:rsidR="008578F4" w:rsidRPr="00A96471" w:rsidRDefault="008578F4" w:rsidP="00BD4149">
      <w:pPr>
        <w:pStyle w:val="FootnoteText"/>
        <w:rPr>
          <w:sz w:val="18"/>
          <w:szCs w:val="18"/>
          <w:lang w:val="en-IE"/>
        </w:rPr>
      </w:pPr>
      <w:r w:rsidRPr="00DD7480">
        <w:rPr>
          <w:rStyle w:val="FootnoteReference"/>
        </w:rPr>
        <w:footnoteRef/>
      </w:r>
      <w:r>
        <w:rPr>
          <w:sz w:val="18"/>
          <w:szCs w:val="18"/>
        </w:rPr>
        <w:tab/>
      </w:r>
      <w:r w:rsidRPr="00FB4F4E">
        <w:rPr>
          <w:sz w:val="18"/>
          <w:szCs w:val="18"/>
          <w:lang w:val="en-IE"/>
        </w:rPr>
        <w:t xml:space="preserve">Case C-223/02, </w:t>
      </w:r>
      <w:r w:rsidRPr="00A96471">
        <w:rPr>
          <w:i/>
          <w:sz w:val="18"/>
          <w:szCs w:val="18"/>
          <w:lang w:val="en-IE"/>
        </w:rPr>
        <w:t>Spain and Finland v Parliament and Council</w:t>
      </w:r>
      <w:r w:rsidRPr="00A96471">
        <w:rPr>
          <w:sz w:val="18"/>
          <w:szCs w:val="18"/>
          <w:lang w:val="en-IE"/>
        </w:rPr>
        <w:t>, ECLI:EU:C:2004:497, paragraph 29 and the case law cited there.</w:t>
      </w:r>
    </w:p>
  </w:footnote>
  <w:footnote w:id="35">
    <w:p w:rsidR="008578F4" w:rsidRPr="008C2C22" w:rsidRDefault="008578F4" w:rsidP="00BD4149">
      <w:pPr>
        <w:pStyle w:val="FootnoteText"/>
        <w:rPr>
          <w:lang w:val="en-IE"/>
        </w:rPr>
      </w:pPr>
      <w:r w:rsidRPr="00DD7480">
        <w:rPr>
          <w:rStyle w:val="FootnoteReference"/>
        </w:rPr>
        <w:footnoteRef/>
      </w:r>
      <w:r>
        <w:tab/>
      </w:r>
      <w:r w:rsidRPr="00FB4F4E">
        <w:rPr>
          <w:sz w:val="18"/>
          <w:szCs w:val="18"/>
          <w:lang w:val="en-IE"/>
        </w:rPr>
        <w:t xml:space="preserve">Case C-43/12, </w:t>
      </w:r>
      <w:r w:rsidRPr="00A96471">
        <w:rPr>
          <w:i/>
          <w:sz w:val="18"/>
          <w:szCs w:val="18"/>
          <w:lang w:val="en-IE"/>
        </w:rPr>
        <w:t>Commission v Parliament and Council</w:t>
      </w:r>
      <w:r w:rsidRPr="00A96471">
        <w:rPr>
          <w:sz w:val="18"/>
          <w:szCs w:val="18"/>
          <w:lang w:val="en-IE"/>
        </w:rPr>
        <w:t>, ECLI:EU:C:2014:298, paragraph 43 and the case law cited there.</w:t>
      </w:r>
    </w:p>
  </w:footnote>
  <w:footnote w:id="36">
    <w:p w:rsidR="008578F4" w:rsidRPr="00BE54F2" w:rsidRDefault="008578F4" w:rsidP="00BD4149">
      <w:pPr>
        <w:pStyle w:val="FootnoteText"/>
      </w:pPr>
      <w:r w:rsidRPr="006468C7">
        <w:rPr>
          <w:rStyle w:val="FootnoteReference"/>
        </w:rPr>
        <w:footnoteRef/>
      </w:r>
      <w:r w:rsidRPr="002C2114">
        <w:rPr>
          <w:lang w:val="de-DE"/>
        </w:rPr>
        <w:tab/>
        <w:t xml:space="preserve">Vermeulen, Gert &amp; Bondt, Wendy &amp; Ryckman, Charlotte &amp; Persak, Nina. </w:t>
      </w:r>
      <w:r w:rsidRPr="00BE54F2">
        <w:t>(2012). The disqualifications triad: approximating legislation, executing requests, ensuring equivalence.</w:t>
      </w:r>
    </w:p>
  </w:footnote>
  <w:footnote w:id="37">
    <w:p w:rsidR="008578F4" w:rsidRPr="00BE54F2" w:rsidRDefault="008578F4" w:rsidP="00BD4149">
      <w:pPr>
        <w:pStyle w:val="FootnoteText"/>
      </w:pPr>
      <w:r w:rsidRPr="006468C7">
        <w:rPr>
          <w:rStyle w:val="FootnoteReference"/>
        </w:rPr>
        <w:footnoteRef/>
      </w:r>
      <w:r>
        <w:tab/>
      </w:r>
      <w:r w:rsidRPr="00BE54F2">
        <w:t>Impact assessment support study for the revision of Directive (EU) 2015/413 facilitating cross-border exchange of information on road-safety-related traffic offences, ECORYS consortium (2022), MOVE/C2/SER/2019-425/SI2.819667 – link to be added</w:t>
      </w:r>
      <w:r>
        <w:t>.</w:t>
      </w:r>
    </w:p>
  </w:footnote>
  <w:footnote w:id="38">
    <w:p w:rsidR="008578F4" w:rsidRPr="00BE54F2" w:rsidRDefault="008578F4" w:rsidP="00BD4149">
      <w:pPr>
        <w:pStyle w:val="FootnoteText"/>
      </w:pPr>
      <w:r w:rsidRPr="006468C7">
        <w:rPr>
          <w:rStyle w:val="FootnoteReference"/>
        </w:rPr>
        <w:footnoteRef/>
      </w:r>
      <w:r>
        <w:tab/>
      </w:r>
      <w:r w:rsidRPr="00BE54F2">
        <w:t>Commission Staff Working Document – Evaluation of the Directive 2006/126/EC of the European Parliament and of the Council of 20 December 2006 on driving licences, SWD/2022/0017 final.</w:t>
      </w:r>
    </w:p>
  </w:footnote>
  <w:footnote w:id="39">
    <w:p w:rsidR="008578F4" w:rsidRPr="00A12D92" w:rsidRDefault="008578F4" w:rsidP="00BD4149">
      <w:pPr>
        <w:pStyle w:val="FootnoteText"/>
        <w:rPr>
          <w:lang w:val="en-IE"/>
        </w:rPr>
      </w:pPr>
      <w:r w:rsidRPr="006468C7">
        <w:rPr>
          <w:rStyle w:val="FootnoteReference"/>
        </w:rPr>
        <w:footnoteRef/>
      </w:r>
      <w:r>
        <w:tab/>
      </w:r>
      <w:hyperlink r:id="rId8" w:history="1">
        <w:r w:rsidRPr="00A12D92">
          <w:rPr>
            <w:rStyle w:val="Hyperlink"/>
          </w:rPr>
          <w:t>https://commission.europa.eu/law/law-making-process/planning-and-proposing-law/better-regulation_en</w:t>
        </w:r>
      </w:hyperlink>
    </w:p>
  </w:footnote>
  <w:footnote w:id="40">
    <w:p w:rsidR="008578F4" w:rsidRPr="00F41496" w:rsidRDefault="008578F4">
      <w:pPr>
        <w:pStyle w:val="FootnoteText"/>
        <w:rPr>
          <w:lang w:val="en-IE"/>
        </w:rPr>
      </w:pPr>
      <w:r>
        <w:rPr>
          <w:rStyle w:val="FootnoteReference"/>
        </w:rPr>
        <w:footnoteRef/>
      </w:r>
      <w:r>
        <w:t xml:space="preserve"> </w:t>
      </w:r>
      <w:r>
        <w:rPr>
          <w:lang w:val="en-IE"/>
        </w:rPr>
        <w:tab/>
      </w:r>
      <w:r w:rsidRPr="00632D08">
        <w:rPr>
          <w:lang w:val="en-IE"/>
        </w:rPr>
        <w:t>European Parliament resolution of 6 October 2021 on the EU Road Safety Policy Framework 2021-2030 – Recommendations on next steps towards ‘Vision Zero’ (2021/2014(INI))</w:t>
      </w:r>
    </w:p>
  </w:footnote>
  <w:footnote w:id="41">
    <w:p w:rsidR="008578F4" w:rsidRPr="00BE54F2" w:rsidRDefault="008578F4" w:rsidP="00BD4149">
      <w:pPr>
        <w:pStyle w:val="FootnoteText"/>
      </w:pPr>
      <w:r w:rsidRPr="006468C7">
        <w:rPr>
          <w:rStyle w:val="FootnoteReference"/>
        </w:rPr>
        <w:footnoteRef/>
      </w:r>
      <w:r w:rsidRPr="006468C7">
        <w:tab/>
      </w:r>
      <w:r w:rsidRPr="00BE54F2">
        <w:t>SWD(2023)</w:t>
      </w:r>
      <w:r>
        <w:t xml:space="preserve"> 128 </w:t>
      </w:r>
      <w:r w:rsidRPr="00BE54F2">
        <w:t>final</w:t>
      </w:r>
      <w:r>
        <w:t>.</w:t>
      </w:r>
    </w:p>
  </w:footnote>
  <w:footnote w:id="42">
    <w:p w:rsidR="008578F4" w:rsidRPr="00BE54F2" w:rsidRDefault="008578F4" w:rsidP="00BD4149">
      <w:pPr>
        <w:pStyle w:val="FootnoteText"/>
      </w:pPr>
      <w:r w:rsidRPr="006468C7">
        <w:rPr>
          <w:rStyle w:val="FootnoteReference"/>
        </w:rPr>
        <w:footnoteRef/>
      </w:r>
      <w:r>
        <w:tab/>
      </w:r>
      <w:r w:rsidRPr="00281678">
        <w:t>RSB/RM/cdd – rsb(2022)7907617</w:t>
      </w:r>
    </w:p>
  </w:footnote>
  <w:footnote w:id="43">
    <w:p w:rsidR="008578F4" w:rsidRPr="00BE54F2" w:rsidRDefault="008578F4" w:rsidP="00BD4149">
      <w:pPr>
        <w:pStyle w:val="FootnoteText"/>
      </w:pPr>
      <w:r w:rsidRPr="006468C7">
        <w:rPr>
          <w:rStyle w:val="FootnoteReference"/>
        </w:rPr>
        <w:footnoteRef/>
      </w:r>
      <w:r>
        <w:tab/>
      </w:r>
      <w:r w:rsidRPr="00BE54F2">
        <w:t xml:space="preserve">The assessment on establishing an EU-wide regime of mutual recognition of driving disqualifications </w:t>
      </w:r>
      <w:r w:rsidRPr="00902ED8">
        <w:t xml:space="preserve">presented in this Chapter </w:t>
      </w:r>
      <w:r w:rsidRPr="00BE54F2">
        <w:t xml:space="preserve">is largely based on the information gathered in the framework of the  Impact Assessment support study for the revision of Directive (EU) 2015/413 facilitating cross-border exchange of information on road-safety-related traffic offences – Final Report </w:t>
      </w:r>
      <w:r>
        <w:t>[to be published].</w:t>
      </w:r>
    </w:p>
  </w:footnote>
  <w:footnote w:id="44">
    <w:p w:rsidR="008578F4" w:rsidRDefault="008578F4" w:rsidP="00BD4149">
      <w:pPr>
        <w:pStyle w:val="FootnoteText"/>
      </w:pPr>
      <w:r w:rsidRPr="006468C7">
        <w:rPr>
          <w:rStyle w:val="FootnoteReference"/>
        </w:rPr>
        <w:footnoteRef/>
      </w:r>
      <w:r>
        <w:tab/>
        <w:t>COM(2023) 127 final</w:t>
      </w:r>
      <w:r w:rsidRPr="008C2C22" w:rsidDel="00F41496">
        <w:rPr>
          <w:highlight w:val="yellow"/>
        </w:rPr>
        <w:t xml:space="preserve"> </w:t>
      </w:r>
    </w:p>
  </w:footnote>
  <w:footnote w:id="45">
    <w:p w:rsidR="008578F4" w:rsidRPr="00BE54F2" w:rsidRDefault="008578F4" w:rsidP="00BD4149">
      <w:pPr>
        <w:pStyle w:val="FootnoteText"/>
      </w:pPr>
      <w:r w:rsidRPr="006468C7">
        <w:rPr>
          <w:rStyle w:val="FootnoteReference"/>
        </w:rPr>
        <w:footnoteRef/>
      </w:r>
      <w:r>
        <w:tab/>
      </w:r>
      <w:r w:rsidRPr="00BE54F2">
        <w:t>Council Act of 17 June 1998 drawing up the Convention on Driving Disqualifications (98/C 216/01).</w:t>
      </w:r>
    </w:p>
  </w:footnote>
  <w:footnote w:id="46">
    <w:p w:rsidR="008578F4" w:rsidRPr="00BE54F2" w:rsidRDefault="008578F4" w:rsidP="00BD4149">
      <w:pPr>
        <w:pStyle w:val="FootnoteText"/>
      </w:pPr>
      <w:r w:rsidRPr="006468C7">
        <w:rPr>
          <w:rStyle w:val="FootnoteReference"/>
        </w:rPr>
        <w:footnoteRef/>
      </w:r>
      <w:r>
        <w:tab/>
      </w:r>
      <w:r w:rsidRPr="00BE54F2">
        <w:t>BG, CY, IE, RO, SK, ES, and UK</w:t>
      </w:r>
      <w:r>
        <w:t>.</w:t>
      </w:r>
    </w:p>
  </w:footnote>
  <w:footnote w:id="47">
    <w:p w:rsidR="008578F4" w:rsidRPr="00BE54F2" w:rsidRDefault="008578F4" w:rsidP="00BD4149">
      <w:pPr>
        <w:pStyle w:val="FootnoteText"/>
      </w:pPr>
      <w:r w:rsidRPr="006468C7">
        <w:rPr>
          <w:rStyle w:val="FootnoteReference"/>
        </w:rPr>
        <w:footnoteRef/>
      </w:r>
      <w:r>
        <w:tab/>
      </w:r>
      <w:r w:rsidRPr="00BE54F2">
        <w:t>Regulation (EU) 2016/95 of the European Parliament and of the Council of 20 January 2016 repealing certain acts in the field of police cooperation and judicial cooperation in criminal matters, OJ L 26, 2.2.2016, p. 9.</w:t>
      </w:r>
    </w:p>
  </w:footnote>
  <w:footnote w:id="48">
    <w:p w:rsidR="008578F4" w:rsidRPr="008C2C22" w:rsidRDefault="008578F4" w:rsidP="00BD4149">
      <w:pPr>
        <w:pStyle w:val="FootnoteText"/>
        <w:rPr>
          <w:lang w:val="en-IE"/>
        </w:rPr>
      </w:pPr>
      <w:r w:rsidRPr="00DD7480">
        <w:rPr>
          <w:rStyle w:val="FootnoteReference"/>
        </w:rPr>
        <w:footnoteRef/>
      </w:r>
      <w:r>
        <w:tab/>
      </w:r>
      <w:r w:rsidRPr="00CA1566">
        <w:rPr>
          <w:lang w:val="en-IE"/>
        </w:rPr>
        <w:t>Council Directive 91/439/EEC of 29 July 1991 on driving licences</w:t>
      </w:r>
      <w:r>
        <w:rPr>
          <w:lang w:val="en-IE"/>
        </w:rPr>
        <w:t xml:space="preserve"> (</w:t>
      </w:r>
      <w:r w:rsidRPr="00CA1566">
        <w:rPr>
          <w:lang w:val="en-IE"/>
        </w:rPr>
        <w:t>OJ L 237, 24.8.1991, p. 1</w:t>
      </w:r>
      <w:r>
        <w:rPr>
          <w:lang w:val="en-IE"/>
        </w:rPr>
        <w:t>)</w:t>
      </w:r>
    </w:p>
  </w:footnote>
  <w:footnote w:id="49">
    <w:p w:rsidR="008578F4" w:rsidRPr="00BE54F2" w:rsidRDefault="008578F4" w:rsidP="00BD4149">
      <w:pPr>
        <w:pStyle w:val="FootnoteText"/>
      </w:pPr>
      <w:r w:rsidRPr="006468C7">
        <w:rPr>
          <w:rStyle w:val="FootnoteReference"/>
        </w:rPr>
        <w:footnoteRef/>
      </w:r>
      <w:r>
        <w:tab/>
      </w:r>
      <w:r w:rsidRPr="00BE54F2">
        <w:t>See, in particular, Judgement of 20 November 2008, Weber, Case C-1/07, ECLI:EU:C:2008:640; Judgement of 2 December 2010, Scheffler, Case 334-09, ECLI:EU:C:2010:731,; Judgement of 26 April 2012, Hofmann, C-419/10, ECLI:EU:C:2012:240, para. 71; Judgement of 23 April 2015, Aykul, C-260/13, CECLI:EU:C:2015:257; Judgement of 21 May 2015, Wittmann, C-339/14; ECLI:EU:C:2015:333</w:t>
      </w:r>
      <w:r>
        <w:t>.</w:t>
      </w:r>
    </w:p>
  </w:footnote>
  <w:footnote w:id="50">
    <w:p w:rsidR="008578F4" w:rsidRPr="003056ED" w:rsidRDefault="008578F4" w:rsidP="00BD4149">
      <w:pPr>
        <w:pStyle w:val="FootnoteText"/>
        <w:rPr>
          <w:lang w:val="en-US"/>
        </w:rPr>
      </w:pPr>
      <w:r w:rsidRPr="00DD7480">
        <w:rPr>
          <w:rStyle w:val="FootnoteReference"/>
        </w:rPr>
        <w:footnoteRef/>
      </w:r>
      <w:r w:rsidRPr="003056ED">
        <w:rPr>
          <w:lang w:val="en-US"/>
        </w:rPr>
        <w:tab/>
        <w:t xml:space="preserve">Case C‑419/10, </w:t>
      </w:r>
      <w:r w:rsidRPr="003056ED">
        <w:rPr>
          <w:i/>
          <w:lang w:val="en-US"/>
        </w:rPr>
        <w:t>Hofmann</w:t>
      </w:r>
      <w:r w:rsidRPr="003056ED">
        <w:rPr>
          <w:lang w:val="en-US"/>
        </w:rPr>
        <w:t>, ECLI:EU:C:2012:240, paragraph 82.</w:t>
      </w:r>
    </w:p>
  </w:footnote>
  <w:footnote w:id="51">
    <w:p w:rsidR="008578F4" w:rsidRPr="00BE54F2" w:rsidRDefault="008578F4" w:rsidP="00BD4149">
      <w:pPr>
        <w:pStyle w:val="Footnote10"/>
        <w:ind w:left="0"/>
        <w:rPr>
          <w:rFonts w:ascii="Times New Roman" w:hAnsi="Times New Roman"/>
          <w:lang w:val="en-GB"/>
        </w:rPr>
      </w:pPr>
      <w:r w:rsidRPr="00BB28F3">
        <w:rPr>
          <w:rStyle w:val="FootnoteReference"/>
        </w:rPr>
        <w:footnoteRef/>
      </w:r>
      <w:r>
        <w:rPr>
          <w:rFonts w:ascii="Times New Roman" w:hAnsi="Times New Roman"/>
        </w:rPr>
        <w:tab/>
      </w:r>
      <w:r w:rsidRPr="00BE54F2">
        <w:rPr>
          <w:rFonts w:ascii="Times New Roman" w:hAnsi="Times New Roman"/>
          <w:lang w:val="en-GB"/>
        </w:rPr>
        <w:t>Article 15, Article 7(5</w:t>
      </w:r>
      <w:r w:rsidRPr="00A12D92">
        <w:rPr>
          <w:rFonts w:ascii="Times New Roman" w:hAnsi="Times New Roman"/>
          <w:lang w:val="en-GB"/>
        </w:rPr>
        <w:t>)</w:t>
      </w:r>
      <w:r w:rsidRPr="00BE54F2">
        <w:rPr>
          <w:rFonts w:ascii="Times New Roman" w:hAnsi="Times New Roman"/>
          <w:lang w:val="en-GB"/>
        </w:rPr>
        <w:t xml:space="preserve"> and, according to case-law, also Article 11(4) of th</w:t>
      </w:r>
      <w:r>
        <w:rPr>
          <w:rFonts w:ascii="Times New Roman" w:hAnsi="Times New Roman"/>
          <w:lang w:val="en-GB"/>
        </w:rPr>
        <w:t>at</w:t>
      </w:r>
      <w:r w:rsidRPr="00BE54F2">
        <w:rPr>
          <w:rFonts w:ascii="Times New Roman" w:hAnsi="Times New Roman"/>
          <w:lang w:val="en-GB"/>
        </w:rPr>
        <w:t xml:space="preserve"> Directive.</w:t>
      </w:r>
    </w:p>
  </w:footnote>
  <w:footnote w:id="52">
    <w:p w:rsidR="008578F4" w:rsidRPr="00C22CE9" w:rsidRDefault="008578F4" w:rsidP="00BD4149">
      <w:pPr>
        <w:pStyle w:val="FootnoteText"/>
        <w:tabs>
          <w:tab w:val="left" w:pos="284"/>
        </w:tabs>
        <w:ind w:left="284" w:hanging="284"/>
        <w:rPr>
          <w:rStyle w:val="FootnoteReference"/>
        </w:rPr>
      </w:pPr>
      <w:r w:rsidRPr="00DD7480">
        <w:rPr>
          <w:rStyle w:val="FootnoteReference"/>
        </w:rPr>
        <w:footnoteRef/>
      </w:r>
      <w:r>
        <w:tab/>
      </w:r>
      <w:r>
        <w:tab/>
      </w:r>
      <w:r w:rsidRPr="00DD7480">
        <w:t>OJ C 326, 26.10.2012, p. 391</w:t>
      </w:r>
    </w:p>
  </w:footnote>
  <w:footnote w:id="53">
    <w:p w:rsidR="008578F4" w:rsidRPr="00F52E2B" w:rsidRDefault="008578F4" w:rsidP="00DD7480">
      <w:pPr>
        <w:pStyle w:val="FootnoteText"/>
        <w:tabs>
          <w:tab w:val="left" w:pos="284"/>
        </w:tabs>
        <w:rPr>
          <w:lang w:val="en-IE"/>
        </w:rPr>
      </w:pPr>
      <w:r w:rsidRPr="00DD7480">
        <w:rPr>
          <w:rStyle w:val="FootnoteReference"/>
        </w:rPr>
        <w:footnoteRef/>
      </w:r>
      <w:r>
        <w:tab/>
      </w:r>
      <w:r>
        <w:tab/>
      </w:r>
      <w:r w:rsidRPr="00DD7480">
        <w:t>Council of Europe, European Convention for the Protection of Human Rights and Fundamental Freedoms, as amended by Protocols Nos. 11, 14 and 15, 4 November 1950, ETS 5</w:t>
      </w:r>
    </w:p>
  </w:footnote>
  <w:footnote w:id="54">
    <w:p w:rsidR="008578F4" w:rsidRDefault="008578F4" w:rsidP="00BD4149">
      <w:pPr>
        <w:pStyle w:val="FootnoteText"/>
      </w:pPr>
      <w:r w:rsidRPr="00DD7480">
        <w:rPr>
          <w:rStyle w:val="FootnoteReference"/>
        </w:rPr>
        <w:footnoteRef/>
      </w:r>
      <w:r>
        <w:tab/>
      </w:r>
      <w:r w:rsidRPr="0051134D">
        <w:t>Council Framework Decision 2009/299/JHA of 26 February 2009 amending Framework Decisions 2002/584/JHA, 2005/214/JHA, 2006/783/JHA, 2008/909/JHA and 2008/947/JHA, thereby enhancing the procedural rights of persons and fostering the application of the principle of mutual recognition to decisions rendered in the absence of the person concerned at the trial</w:t>
      </w:r>
      <w:r>
        <w:t xml:space="preserve"> (</w:t>
      </w:r>
      <w:r w:rsidRPr="0051134D">
        <w:t>OJ L 81, 27.3.2009, p. 24</w:t>
      </w:r>
      <w:r>
        <w:t>.)</w:t>
      </w:r>
    </w:p>
  </w:footnote>
  <w:footnote w:id="55">
    <w:p w:rsidR="008578F4" w:rsidRPr="00CA5179" w:rsidRDefault="008578F4" w:rsidP="00BD4149">
      <w:pPr>
        <w:pStyle w:val="FootnoteText"/>
        <w:rPr>
          <w:lang w:val="pl-PL"/>
        </w:rPr>
      </w:pPr>
      <w:r>
        <w:rPr>
          <w:rStyle w:val="FootnoteReference"/>
        </w:rPr>
        <w:footnoteRef/>
      </w:r>
      <w:r w:rsidRPr="00CA5179">
        <w:rPr>
          <w:lang w:val="pl-PL"/>
        </w:rPr>
        <w:tab/>
        <w:t>OJ C , , p. .</w:t>
      </w:r>
    </w:p>
  </w:footnote>
  <w:footnote w:id="56">
    <w:p w:rsidR="008578F4" w:rsidRPr="00CA5179" w:rsidRDefault="008578F4" w:rsidP="00BD4149">
      <w:pPr>
        <w:pStyle w:val="FootnoteText"/>
        <w:rPr>
          <w:lang w:val="pl-PL"/>
        </w:rPr>
      </w:pPr>
      <w:r>
        <w:rPr>
          <w:rStyle w:val="FootnoteReference"/>
        </w:rPr>
        <w:footnoteRef/>
      </w:r>
      <w:r w:rsidRPr="00CA5179">
        <w:rPr>
          <w:lang w:val="pl-PL"/>
        </w:rPr>
        <w:tab/>
        <w:t>OJ C , , p. .</w:t>
      </w:r>
    </w:p>
  </w:footnote>
  <w:footnote w:id="57">
    <w:p w:rsidR="008578F4" w:rsidRPr="00E956B8" w:rsidRDefault="008578F4" w:rsidP="00BD4149">
      <w:pPr>
        <w:pStyle w:val="FootnoteText"/>
        <w:tabs>
          <w:tab w:val="left" w:pos="284"/>
        </w:tabs>
      </w:pPr>
      <w:r w:rsidRPr="00E956B8">
        <w:rPr>
          <w:rStyle w:val="FootnoteReference"/>
        </w:rPr>
        <w:footnoteRef/>
      </w:r>
      <w:r w:rsidRPr="00E956B8">
        <w:tab/>
      </w:r>
      <w:r>
        <w:tab/>
      </w:r>
      <w:r w:rsidRPr="00165279">
        <w:t>SWD(2019)283 final</w:t>
      </w:r>
      <w:r>
        <w:t>.</w:t>
      </w:r>
    </w:p>
  </w:footnote>
  <w:footnote w:id="58">
    <w:p w:rsidR="008578F4" w:rsidRPr="003056ED" w:rsidRDefault="008578F4" w:rsidP="00BD4149">
      <w:pPr>
        <w:pStyle w:val="FootnoteText"/>
        <w:rPr>
          <w:lang w:val="en-US"/>
        </w:rPr>
      </w:pPr>
      <w:r w:rsidRPr="00DD7480">
        <w:rPr>
          <w:rStyle w:val="FootnoteReference"/>
        </w:rPr>
        <w:footnoteRef/>
      </w:r>
      <w:r>
        <w:tab/>
      </w:r>
      <w:r w:rsidRPr="003056ED">
        <w:rPr>
          <w:lang w:val="en-US"/>
        </w:rPr>
        <w:t>OJ C 202, 7.6.2016.</w:t>
      </w:r>
    </w:p>
  </w:footnote>
  <w:footnote w:id="59">
    <w:p w:rsidR="008578F4" w:rsidRPr="003056ED" w:rsidRDefault="008578F4" w:rsidP="00BD4149">
      <w:pPr>
        <w:pStyle w:val="FootnoteText"/>
        <w:rPr>
          <w:lang w:val="en-US"/>
        </w:rPr>
      </w:pPr>
      <w:r w:rsidRPr="00DD7480">
        <w:rPr>
          <w:rStyle w:val="FootnoteReference"/>
        </w:rPr>
        <w:footnoteRef/>
      </w:r>
      <w:r>
        <w:tab/>
      </w:r>
      <w:r w:rsidRPr="003056ED">
        <w:rPr>
          <w:lang w:val="en-US"/>
        </w:rPr>
        <w:t xml:space="preserve">Judgment of the Court (Grand Chamber) of 6 May 2014 </w:t>
      </w:r>
      <w:r w:rsidRPr="001E4462">
        <w:t>in </w:t>
      </w:r>
      <w:r w:rsidRPr="001E4462">
        <w:rPr>
          <w:i/>
          <w:iCs/>
        </w:rPr>
        <w:t>Commission</w:t>
      </w:r>
      <w:r w:rsidRPr="001E4462">
        <w:t> v </w:t>
      </w:r>
      <w:r w:rsidRPr="001E4462">
        <w:rPr>
          <w:i/>
          <w:iCs/>
        </w:rPr>
        <w:t>Parliament and Council</w:t>
      </w:r>
      <w:r w:rsidRPr="001E4462">
        <w:t>, C-43/12, EU:C:2014:298</w:t>
      </w:r>
      <w:r>
        <w:t>, paragraph 43.</w:t>
      </w:r>
    </w:p>
  </w:footnote>
  <w:footnote w:id="60">
    <w:p w:rsidR="008578F4" w:rsidRPr="003056ED" w:rsidRDefault="008578F4" w:rsidP="00BD4149">
      <w:pPr>
        <w:pStyle w:val="FootnoteText"/>
        <w:rPr>
          <w:lang w:val="en-US"/>
        </w:rPr>
      </w:pPr>
      <w:r w:rsidRPr="00DD7480">
        <w:rPr>
          <w:rStyle w:val="FootnoteReference"/>
        </w:rPr>
        <w:footnoteRef/>
      </w:r>
      <w:r>
        <w:tab/>
      </w:r>
      <w:r w:rsidRPr="003056ED">
        <w:rPr>
          <w:lang w:val="en-US"/>
        </w:rPr>
        <w:t>OJ C 202, 7.6.2016, p. 391.</w:t>
      </w:r>
    </w:p>
  </w:footnote>
  <w:footnote w:id="61">
    <w:p w:rsidR="008578F4" w:rsidRPr="003056ED" w:rsidRDefault="008578F4" w:rsidP="00BD4149">
      <w:pPr>
        <w:pStyle w:val="FootnoteText"/>
        <w:rPr>
          <w:lang w:val="en-US"/>
        </w:rPr>
      </w:pPr>
      <w:r w:rsidRPr="00DD7480">
        <w:rPr>
          <w:rStyle w:val="FootnoteReference"/>
        </w:rPr>
        <w:footnoteRef/>
      </w:r>
      <w:r>
        <w:tab/>
      </w:r>
      <w:r w:rsidRPr="00FC6802">
        <w:rPr>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lang w:val="en-US"/>
        </w:rPr>
        <w:t xml:space="preserve"> (</w:t>
      </w:r>
      <w:r w:rsidRPr="00B6488C">
        <w:t>OJ L 119, 4.5.2016, p. 1</w:t>
      </w:r>
      <w:r>
        <w:t>).</w:t>
      </w:r>
    </w:p>
  </w:footnote>
  <w:footnote w:id="62">
    <w:p w:rsidR="008578F4" w:rsidRPr="003056ED" w:rsidRDefault="008578F4" w:rsidP="00BD4149">
      <w:pPr>
        <w:pStyle w:val="FootnoteText"/>
        <w:rPr>
          <w:lang w:val="en-US"/>
        </w:rPr>
      </w:pPr>
      <w:r w:rsidRPr="00DD7480">
        <w:rPr>
          <w:rStyle w:val="FootnoteReference"/>
        </w:rPr>
        <w:footnoteRef/>
      </w:r>
      <w:r>
        <w:tab/>
      </w:r>
      <w:r w:rsidRPr="00FC6802">
        <w:rPr>
          <w:lang w:val="en-US"/>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r>
        <w:rPr>
          <w:lang w:val="en-US"/>
        </w:rPr>
        <w:t xml:space="preserve"> (</w:t>
      </w:r>
      <w:r w:rsidRPr="00B6488C">
        <w:t>OJ L 119, 4.5.2016, p. 89</w:t>
      </w:r>
      <w:r>
        <w:t>).</w:t>
      </w:r>
    </w:p>
  </w:footnote>
  <w:footnote w:id="63">
    <w:p w:rsidR="008578F4" w:rsidRPr="00FC6802" w:rsidRDefault="008578F4" w:rsidP="00BD4149">
      <w:pPr>
        <w:pStyle w:val="FootnoteText"/>
      </w:pPr>
      <w:r w:rsidRPr="00DD7480">
        <w:rPr>
          <w:rStyle w:val="FootnoteReference"/>
        </w:rPr>
        <w:footnoteRef/>
      </w:r>
      <w:r>
        <w:tab/>
        <w:t>Council Framework Decision 2008/947/JHA of 27 November 2008 on the application of the principle of mutual recognition to judgments and probation decisions with a view to the supervision of probation measures and alternative sanctions (OJ L 337, 16.12.2008, p. 102).</w:t>
      </w:r>
    </w:p>
  </w:footnote>
  <w:footnote w:id="64">
    <w:p w:rsidR="008578F4" w:rsidRPr="00FC6802" w:rsidRDefault="008578F4" w:rsidP="00BD4149">
      <w:pPr>
        <w:pStyle w:val="FootnoteText"/>
      </w:pPr>
      <w:r w:rsidRPr="00DD7480">
        <w:rPr>
          <w:rStyle w:val="FootnoteReference"/>
        </w:rPr>
        <w:footnoteRef/>
      </w:r>
      <w:r>
        <w:tab/>
        <w:t>Council Framework Decision 2005/214/JHA of 24 February 2005 on the application of the principle of mutual recognition to financial penalties (OJ L 76, 22.3.2005, p. 16).</w:t>
      </w:r>
    </w:p>
  </w:footnote>
  <w:footnote w:id="65">
    <w:p w:rsidR="008578F4" w:rsidRPr="00FC6802" w:rsidRDefault="008578F4" w:rsidP="00BD4149">
      <w:pPr>
        <w:pStyle w:val="FootnoteText"/>
      </w:pPr>
      <w:r w:rsidRPr="00DD7480">
        <w:rPr>
          <w:rStyle w:val="FootnoteReference"/>
        </w:rPr>
        <w:footnoteRef/>
      </w:r>
      <w:r>
        <w:tab/>
        <w:t>Directive 2010/64/EU of the European Parliament and of the Council of 20 October 2010 on the right to interpretation and translation in criminal proceedings (OJ L 280, 26.10.2010, p. 1).</w:t>
      </w:r>
    </w:p>
  </w:footnote>
  <w:footnote w:id="66">
    <w:p w:rsidR="008578F4" w:rsidRPr="008E3B51" w:rsidRDefault="008578F4" w:rsidP="00BD4149">
      <w:pPr>
        <w:pStyle w:val="FootnoteText"/>
      </w:pPr>
      <w:r w:rsidRPr="00DD7480">
        <w:rPr>
          <w:rStyle w:val="FootnoteReference"/>
        </w:rPr>
        <w:footnoteRef/>
      </w:r>
      <w:r>
        <w:tab/>
        <w:t>Directive 2012/13/EU of the European Parliament and of the Council of 22 May 2012 on the right to information in criminal proceedings (OJ L 142, 1.6.2012, p. 1).</w:t>
      </w:r>
    </w:p>
  </w:footnote>
  <w:footnote w:id="67">
    <w:p w:rsidR="008578F4" w:rsidRPr="008E3B51" w:rsidRDefault="008578F4" w:rsidP="00BD4149">
      <w:pPr>
        <w:pStyle w:val="FootnoteText"/>
      </w:pPr>
      <w:r w:rsidRPr="00DD7480">
        <w:rPr>
          <w:rStyle w:val="FootnoteReference"/>
        </w:rPr>
        <w:footnoteRef/>
      </w:r>
      <w:r>
        <w:tab/>
        <w:t>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 (OJ L 294, 6.11.2013, p. 1).</w:t>
      </w:r>
    </w:p>
  </w:footnote>
  <w:footnote w:id="68">
    <w:p w:rsidR="008578F4" w:rsidRPr="008E3B51" w:rsidRDefault="008578F4" w:rsidP="00BD4149">
      <w:pPr>
        <w:pStyle w:val="FootnoteText"/>
      </w:pPr>
      <w:r w:rsidRPr="00DD7480">
        <w:rPr>
          <w:rStyle w:val="FootnoteReference"/>
        </w:rPr>
        <w:footnoteRef/>
      </w:r>
      <w:r>
        <w:tab/>
        <w:t>Directive (EU) 2016/343 of the European Parliament and of the Council of 9 March 2016 on the strengthening of certain aspects of the presumption of innocence and of the right to be present at the trial in criminal proceedings (OJ L 65, 11.3.2016, p. 1).</w:t>
      </w:r>
    </w:p>
  </w:footnote>
  <w:footnote w:id="69">
    <w:p w:rsidR="008578F4" w:rsidRPr="008E3B51" w:rsidRDefault="008578F4" w:rsidP="00BD4149">
      <w:pPr>
        <w:pStyle w:val="FootnoteText"/>
      </w:pPr>
      <w:r w:rsidRPr="00DD7480">
        <w:rPr>
          <w:rStyle w:val="FootnoteReference"/>
        </w:rPr>
        <w:footnoteRef/>
      </w:r>
      <w:r>
        <w:tab/>
        <w:t>Directive (EU) 2016/800 of the European Parliament and of the Council of 11 May 2016 on procedural safeguards for children who are suspects or accused persons in criminal proceedings (OJ L 132, 21.5.2016, p. 1).</w:t>
      </w:r>
    </w:p>
  </w:footnote>
  <w:footnote w:id="70">
    <w:p w:rsidR="008578F4" w:rsidRPr="008E3B51" w:rsidRDefault="008578F4" w:rsidP="00BD4149">
      <w:pPr>
        <w:pStyle w:val="FootnoteText"/>
      </w:pPr>
      <w:r w:rsidRPr="00DD7480">
        <w:rPr>
          <w:rStyle w:val="FootnoteReference"/>
        </w:rPr>
        <w:footnoteRef/>
      </w:r>
      <w:r>
        <w:tab/>
        <w:t>Directive (EU) 2016/1919 of the European Parliament and of the Council of 26 October 2016 on legal aid for suspects and accused persons in criminal proceedings and for requested persons in European arrest warrant proceedings (OJ L 297, 4.11.2016, p. 1).</w:t>
      </w:r>
    </w:p>
  </w:footnote>
  <w:footnote w:id="71">
    <w:p w:rsidR="008578F4" w:rsidRPr="002032B4" w:rsidRDefault="008578F4" w:rsidP="00DD7480">
      <w:pPr>
        <w:pStyle w:val="FootnoteText"/>
        <w:tabs>
          <w:tab w:val="left" w:pos="284"/>
        </w:tabs>
        <w:rPr>
          <w:lang w:val="en-IE"/>
        </w:rPr>
      </w:pPr>
      <w:r>
        <w:rPr>
          <w:rStyle w:val="FootnoteReference"/>
        </w:rPr>
        <w:footnoteRef/>
      </w:r>
      <w:r>
        <w:rPr>
          <w:lang w:val="en-IE"/>
        </w:rPr>
        <w:tab/>
      </w:r>
      <w:r>
        <w:rPr>
          <w:lang w:val="en-IE"/>
        </w:rPr>
        <w:tab/>
      </w:r>
      <w:r w:rsidRPr="002032B4">
        <w:rPr>
          <w:rFonts w:eastAsia="Times New Roman"/>
          <w:color w:val="000000" w:themeColor="text1"/>
        </w:rPr>
        <w:t xml:space="preserve">Regulation (EU) No 182/2011 of the European Parliament and of the Council of 16 February 2011 laying down the rules and general principles concerning mechanisms for control by Member States of the Commission’s exercise of implementing powers, </w:t>
      </w:r>
      <w:r w:rsidRPr="002032B4">
        <w:rPr>
          <w:rFonts w:eastAsia="Times New Roman"/>
        </w:rPr>
        <w:t>OJ L 55, 28.2.2011, p. 13</w:t>
      </w:r>
    </w:p>
  </w:footnote>
  <w:footnote w:id="72">
    <w:p w:rsidR="008578F4" w:rsidRPr="00A10F16" w:rsidRDefault="008578F4" w:rsidP="00BD4149">
      <w:pPr>
        <w:pStyle w:val="FootnoteText"/>
        <w:tabs>
          <w:tab w:val="left" w:pos="284"/>
        </w:tabs>
        <w:rPr>
          <w:lang w:val="en-IE"/>
        </w:rPr>
      </w:pPr>
      <w:r w:rsidRPr="00A10F16">
        <w:rPr>
          <w:rStyle w:val="FootnoteReference"/>
        </w:rPr>
        <w:footnoteRef/>
      </w:r>
      <w:r w:rsidRPr="00A10F16">
        <w:rPr>
          <w:lang w:val="en-IE"/>
        </w:rPr>
        <w:tab/>
      </w:r>
      <w:r>
        <w:rPr>
          <w:lang w:val="en-IE"/>
        </w:rPr>
        <w:tab/>
      </w:r>
      <w:r w:rsidRPr="00A10F16">
        <w:rPr>
          <w:rFonts w:eastAsia="Times New Roman"/>
        </w:rPr>
        <w:t xml:space="preserve">OJ C </w:t>
      </w:r>
      <w:r>
        <w:rPr>
          <w:rFonts w:eastAsia="Times New Roman"/>
        </w:rPr>
        <w:t>202</w:t>
      </w:r>
      <w:r w:rsidRPr="00A10F16">
        <w:rPr>
          <w:rFonts w:eastAsia="Times New Roman"/>
        </w:rPr>
        <w:t xml:space="preserve">, </w:t>
      </w:r>
      <w:r>
        <w:rPr>
          <w:rFonts w:eastAsia="Times New Roman"/>
        </w:rPr>
        <w:t>7.6.2016</w:t>
      </w:r>
      <w:r w:rsidRPr="00A10F16">
        <w:rPr>
          <w:rFonts w:eastAsia="Times New Roman"/>
        </w:rPr>
        <w:t>, p. 1</w:t>
      </w:r>
      <w:r>
        <w:rPr>
          <w:rFonts w:eastAsia="Times New Roman"/>
        </w:rPr>
        <w:t>3</w:t>
      </w:r>
      <w:r w:rsidRPr="00A10F16">
        <w:rPr>
          <w:rFonts w:eastAsia="Times New Roman"/>
        </w:rPr>
        <w:t>.</w:t>
      </w:r>
    </w:p>
  </w:footnote>
  <w:footnote w:id="73">
    <w:p w:rsidR="008578F4" w:rsidRPr="00D3418E" w:rsidRDefault="008578F4" w:rsidP="00DD7480">
      <w:pPr>
        <w:pStyle w:val="FootnoteText"/>
        <w:tabs>
          <w:tab w:val="left" w:pos="284"/>
        </w:tabs>
        <w:rPr>
          <w:lang w:val="en-IE"/>
        </w:rPr>
      </w:pPr>
      <w:r w:rsidRPr="00A10F16">
        <w:rPr>
          <w:rStyle w:val="FootnoteReference"/>
        </w:rPr>
        <w:footnoteRef/>
      </w:r>
      <w:r w:rsidRPr="00A10F16">
        <w:tab/>
      </w:r>
      <w:r>
        <w:tab/>
      </w:r>
      <w:r w:rsidRPr="00A10F16">
        <w:rPr>
          <w:rFonts w:eastAsia="Times New Roman"/>
          <w:color w:val="000000" w:themeColor="text1"/>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w:t>
      </w:r>
      <w:r w:rsidRPr="00E72A6A">
        <w:rPr>
          <w:rFonts w:eastAsia="Times New Roman"/>
          <w:color w:val="000000" w:themeColor="text1"/>
        </w:rPr>
        <w:t>and repealing Regulation (EC) No 45/2001 and Decision No 1247/2002/EC</w:t>
      </w:r>
      <w:r w:rsidRPr="00A10F16">
        <w:rPr>
          <w:rFonts w:eastAsia="Times New Roman"/>
          <w:color w:val="000000" w:themeColor="text1"/>
        </w:rPr>
        <w:t xml:space="preserve">, </w:t>
      </w:r>
      <w:r w:rsidRPr="00A10F16">
        <w:rPr>
          <w:rFonts w:eastAsia="Times New Roman"/>
        </w:rPr>
        <w:t>OJ L 295</w:t>
      </w:r>
      <w:r w:rsidRPr="00106CE5">
        <w:rPr>
          <w:rFonts w:eastAsia="Times New Roman"/>
        </w:rPr>
        <w:t>, 21.11.2018, p. 39</w:t>
      </w:r>
    </w:p>
  </w:footnote>
  <w:footnote w:id="74">
    <w:p w:rsidR="008578F4" w:rsidRPr="007B0B11" w:rsidRDefault="008578F4" w:rsidP="00920597">
      <w:pPr>
        <w:pStyle w:val="FootnoteText"/>
        <w:rPr>
          <w:lang w:val="en-IE"/>
        </w:rPr>
      </w:pPr>
      <w:r>
        <w:rPr>
          <w:rStyle w:val="FootnoteReference"/>
        </w:rPr>
        <w:footnoteRef/>
      </w:r>
      <w:r>
        <w:t xml:space="preserve"> </w:t>
      </w:r>
      <w:r w:rsidRPr="007B0B11">
        <w:rPr>
          <w:lang w:val="en-IE"/>
        </w:rPr>
        <w:tab/>
        <w:t>Directive (EU) 2015/413 of the European Parliament and of the Council of 11 March 2015 facilitating cross-border exchange of information on road-safety-related traffic offences Text with EEA relevance (OJ L 68, 13.3.2015, p.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6B" w:rsidRPr="00E2216B" w:rsidRDefault="00E2216B" w:rsidP="00E22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6B" w:rsidRPr="00E2216B" w:rsidRDefault="00E2216B" w:rsidP="00E2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6B" w:rsidRPr="00E2216B" w:rsidRDefault="00E2216B" w:rsidP="00E22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4817D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8602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80A656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BFA873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167A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74013B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F00499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A88F0C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FE85EE3"/>
    <w:multiLevelType w:val="hybridMultilevel"/>
    <w:tmpl w:val="0E2875E8"/>
    <w:lvl w:ilvl="0" w:tplc="C14E4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3"/>
  </w:num>
  <w:num w:numId="35">
    <w:abstractNumId w:val="22"/>
  </w:num>
  <w:num w:numId="36">
    <w:abstractNumId w:val="12"/>
  </w:num>
  <w:num w:numId="37">
    <w:abstractNumId w:val="14"/>
  </w:num>
  <w:num w:numId="38">
    <w:abstractNumId w:val="15"/>
  </w:num>
  <w:num w:numId="39">
    <w:abstractNumId w:val="10"/>
  </w:num>
  <w:num w:numId="40">
    <w:abstractNumId w:val="21"/>
  </w:num>
  <w:num w:numId="41">
    <w:abstractNumId w:val="9"/>
  </w:num>
  <w:num w:numId="42">
    <w:abstractNumId w:val="16"/>
  </w:num>
  <w:num w:numId="43">
    <w:abstractNumId w:val="18"/>
  </w:num>
  <w:num w:numId="44">
    <w:abstractNumId w:val="19"/>
  </w:num>
  <w:num w:numId="45">
    <w:abstractNumId w:val="11"/>
  </w:num>
  <w:num w:numId="46">
    <w:abstractNumId w:val="17"/>
  </w:num>
  <w:num w:numId="47">
    <w:abstractNumId w:val="23"/>
  </w:num>
  <w:num w:numId="48">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pl-PL"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fr-BE"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de-DE" w:vendorID="64" w:dllVersion="131078" w:nlCheck="1" w:checkStyle="0"/>
  <w:attachedTemplate r:id="rId1"/>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2-22 01:09:28"/>
    <w:docVar w:name="DQCNUMB_1" w:val="177"/>
    <w:docVar w:name="DQCNUMB_10" w:val="186"/>
    <w:docVar w:name="DQCNUMB_11" w:val="187"/>
    <w:docVar w:name="DQCNUMB_12" w:val="188"/>
    <w:docVar w:name="DQCNUMB_13" w:val="189"/>
    <w:docVar w:name="DQCNUMB_14" w:val="190"/>
    <w:docVar w:name="DQCNUMB_15" w:val="191"/>
    <w:docVar w:name="DQCNUMB_16" w:val="192"/>
    <w:docVar w:name="DQCNUMB_17" w:val="193"/>
    <w:docVar w:name="DQCNUMB_18" w:val="194"/>
    <w:docVar w:name="DQCNUMB_19" w:val="195"/>
    <w:docVar w:name="DQCNUMB_2" w:val="178"/>
    <w:docVar w:name="DQCNUMB_20" w:val="196"/>
    <w:docVar w:name="DQCNUMB_21" w:val="197"/>
    <w:docVar w:name="DQCNUMB_22" w:val="198"/>
    <w:docVar w:name="DQCNUMB_23" w:val="199"/>
    <w:docVar w:name="DQCNUMB_24" w:val="200"/>
    <w:docVar w:name="DQCNUMB_25" w:val="201"/>
    <w:docVar w:name="DQCNUMB_26" w:val="202"/>
    <w:docVar w:name="DQCNUMB_27" w:val="203"/>
    <w:docVar w:name="DQCNUMB_28" w:val="204"/>
    <w:docVar w:name="DQCNUMB_29" w:val="209"/>
    <w:docVar w:name="DQCNUMB_3" w:val="179"/>
    <w:docVar w:name="DQCNUMB_30" w:val="210"/>
    <w:docVar w:name="DQCNUMB_31" w:val="211"/>
    <w:docVar w:name="DQCNUMB_32" w:val="212"/>
    <w:docVar w:name="DQCNUMB_33" w:val="327"/>
    <w:docVar w:name="DQCNUMB_34" w:val="328"/>
    <w:docVar w:name="DQCNUMB_35" w:val="335"/>
    <w:docVar w:name="DQCNUMB_36" w:val="336"/>
    <w:docVar w:name="DQCNUMB_4" w:val="180"/>
    <w:docVar w:name="DQCNUMB_5" w:val="181"/>
    <w:docVar w:name="DQCNUMB_6" w:val="182"/>
    <w:docVar w:name="DQCNUMB_7" w:val="183"/>
    <w:docVar w:name="DQCNUMB_8" w:val="184"/>
    <w:docVar w:name="DQCNUMB_9" w:val="185"/>
    <w:docVar w:name="DQCResult_Distribution" w:val="0;0"/>
    <w:docVar w:name="DQCResult_DocumentContent" w:val="0;0"/>
    <w:docVar w:name="DQCResult_DocumentSize" w:val="0;0"/>
    <w:docVar w:name="DQCResult_InvalidFootnotes" w:val="1;0"/>
    <w:docVar w:name="DQCResult_ModifiedMarkers" w:val="0;0"/>
    <w:docVar w:name="DQCResult_ModifiedNumbering" w:val="0;0"/>
    <w:docVar w:name="DQCResult_Objects" w:val="0;0"/>
    <w:docVar w:name="DQCResult_StructureCheck" w:val="0;0"/>
    <w:docVar w:name="DQCStatus" w:val="Red"/>
    <w:docVar w:name="DQCVersion" w:val="3"/>
    <w:docVar w:name="DQCWithWarnings" w:val="0"/>
    <w:docVar w:name="LW_CORRIGENDUM" w:val="&lt;UNUSED&gt;"/>
    <w:docVar w:name="LW_COVERPAGE_EXISTS" w:val="False"/>
    <w:docVar w:name="LW_COVERPAGE_GUID" w:val="C93D495D-D4FD-41D0-8748-DC60DDB71444"/>
    <w:docVar w:name="LW_COVERPAGE_TYPE" w:val="1"/>
    <w:docVar w:name="LW_CROSSREFERENCE" w:val="{SWD(2023) 128-129}_x000a_{SEC(2023) 350}"/>
    <w:docVar w:name="LW_DocType" w:val="COM"/>
    <w:docVar w:name="LW_EMISSION" w:val="1.3.2023"/>
    <w:docVar w:name="LW_EMISSION_ISODATE" w:val="2023-03-01"/>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55"/>
    <w:docVar w:name="LW_REF.II.NEW.CP_YEAR" w:val="2023"/>
    <w:docVar w:name="LW_REF.INST.NEW" w:val="COM"/>
    <w:docVar w:name="LW_REF.INST.NEW_ADOPTED" w:val="final"/>
    <w:docVar w:name="LW_REF.INST.NEW_TEXT" w:val="(2023) 1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execution of driving disqualifications with a Union-wide effect"/>
    <w:docVar w:name="LW_TYPE.DOC.CP" w:val="DIRECTIVE OF THE EUROPEAN PARLIAMENT AND OF THE COUNCIL"/>
    <w:docVar w:name="LwApiVersions" w:val="LW4CoDe 1.23.2.0; LW 8.0, Build 20211117"/>
  </w:docVars>
  <w:rsids>
    <w:rsidRoot w:val="009D58A1"/>
    <w:rsid w:val="00002141"/>
    <w:rsid w:val="00002DDE"/>
    <w:rsid w:val="00003365"/>
    <w:rsid w:val="0000387A"/>
    <w:rsid w:val="00003D59"/>
    <w:rsid w:val="00013CAD"/>
    <w:rsid w:val="000141A7"/>
    <w:rsid w:val="00014C43"/>
    <w:rsid w:val="000166EE"/>
    <w:rsid w:val="00016F3E"/>
    <w:rsid w:val="000200AD"/>
    <w:rsid w:val="0002077C"/>
    <w:rsid w:val="0002205F"/>
    <w:rsid w:val="00022D49"/>
    <w:rsid w:val="000234EC"/>
    <w:rsid w:val="00024F7A"/>
    <w:rsid w:val="00025758"/>
    <w:rsid w:val="000263D1"/>
    <w:rsid w:val="0003050B"/>
    <w:rsid w:val="00034000"/>
    <w:rsid w:val="0003452F"/>
    <w:rsid w:val="00034565"/>
    <w:rsid w:val="00034E1B"/>
    <w:rsid w:val="00040A9C"/>
    <w:rsid w:val="000422E9"/>
    <w:rsid w:val="00042678"/>
    <w:rsid w:val="00043A5F"/>
    <w:rsid w:val="00045C0B"/>
    <w:rsid w:val="000466E3"/>
    <w:rsid w:val="00046AF1"/>
    <w:rsid w:val="00051864"/>
    <w:rsid w:val="00052464"/>
    <w:rsid w:val="00057E3B"/>
    <w:rsid w:val="0006052E"/>
    <w:rsid w:val="00064DC5"/>
    <w:rsid w:val="00067DCC"/>
    <w:rsid w:val="00070317"/>
    <w:rsid w:val="0007327D"/>
    <w:rsid w:val="000734F1"/>
    <w:rsid w:val="00074100"/>
    <w:rsid w:val="0007573F"/>
    <w:rsid w:val="00075757"/>
    <w:rsid w:val="000807DB"/>
    <w:rsid w:val="000823A5"/>
    <w:rsid w:val="00084356"/>
    <w:rsid w:val="00085151"/>
    <w:rsid w:val="000851E0"/>
    <w:rsid w:val="0008563C"/>
    <w:rsid w:val="000857C4"/>
    <w:rsid w:val="00085AFF"/>
    <w:rsid w:val="000878AD"/>
    <w:rsid w:val="00091C72"/>
    <w:rsid w:val="0009346E"/>
    <w:rsid w:val="00094DBE"/>
    <w:rsid w:val="0009615E"/>
    <w:rsid w:val="0009704A"/>
    <w:rsid w:val="00097D41"/>
    <w:rsid w:val="000A00F0"/>
    <w:rsid w:val="000A041A"/>
    <w:rsid w:val="000A3DF7"/>
    <w:rsid w:val="000A4903"/>
    <w:rsid w:val="000A74FC"/>
    <w:rsid w:val="000A7939"/>
    <w:rsid w:val="000B1F8A"/>
    <w:rsid w:val="000B69DF"/>
    <w:rsid w:val="000B6B6C"/>
    <w:rsid w:val="000B6B99"/>
    <w:rsid w:val="000C23CF"/>
    <w:rsid w:val="000C283E"/>
    <w:rsid w:val="000C2EA7"/>
    <w:rsid w:val="000C2FB0"/>
    <w:rsid w:val="000C36A9"/>
    <w:rsid w:val="000C3EB7"/>
    <w:rsid w:val="000C6E7B"/>
    <w:rsid w:val="000D0228"/>
    <w:rsid w:val="000D0B3A"/>
    <w:rsid w:val="000D313B"/>
    <w:rsid w:val="000D3CBE"/>
    <w:rsid w:val="000D47BA"/>
    <w:rsid w:val="000D64EE"/>
    <w:rsid w:val="000D7807"/>
    <w:rsid w:val="000D7D4E"/>
    <w:rsid w:val="000E1942"/>
    <w:rsid w:val="000E279F"/>
    <w:rsid w:val="000E2AFE"/>
    <w:rsid w:val="000E3358"/>
    <w:rsid w:val="000F0123"/>
    <w:rsid w:val="000F0209"/>
    <w:rsid w:val="000F1D84"/>
    <w:rsid w:val="000F28FD"/>
    <w:rsid w:val="000F60F4"/>
    <w:rsid w:val="000F61E0"/>
    <w:rsid w:val="000F6C4C"/>
    <w:rsid w:val="000F73E6"/>
    <w:rsid w:val="0010026C"/>
    <w:rsid w:val="001027E2"/>
    <w:rsid w:val="00104422"/>
    <w:rsid w:val="00104C09"/>
    <w:rsid w:val="001064C6"/>
    <w:rsid w:val="001065F5"/>
    <w:rsid w:val="00110BE4"/>
    <w:rsid w:val="00110BF5"/>
    <w:rsid w:val="001129B9"/>
    <w:rsid w:val="00113810"/>
    <w:rsid w:val="00113AE8"/>
    <w:rsid w:val="001156E3"/>
    <w:rsid w:val="00115C8F"/>
    <w:rsid w:val="0011666F"/>
    <w:rsid w:val="00116B24"/>
    <w:rsid w:val="00117A36"/>
    <w:rsid w:val="00121363"/>
    <w:rsid w:val="001217ED"/>
    <w:rsid w:val="00122E01"/>
    <w:rsid w:val="001238EF"/>
    <w:rsid w:val="001240BF"/>
    <w:rsid w:val="0012693D"/>
    <w:rsid w:val="00127B03"/>
    <w:rsid w:val="00130E39"/>
    <w:rsid w:val="001314B1"/>
    <w:rsid w:val="001329EF"/>
    <w:rsid w:val="001337F2"/>
    <w:rsid w:val="0013399B"/>
    <w:rsid w:val="00133EB6"/>
    <w:rsid w:val="00134C90"/>
    <w:rsid w:val="00134FF8"/>
    <w:rsid w:val="00135831"/>
    <w:rsid w:val="0013755D"/>
    <w:rsid w:val="00137899"/>
    <w:rsid w:val="00137A33"/>
    <w:rsid w:val="00141EF0"/>
    <w:rsid w:val="00142151"/>
    <w:rsid w:val="00143CEB"/>
    <w:rsid w:val="00144D5A"/>
    <w:rsid w:val="00147D52"/>
    <w:rsid w:val="00147D92"/>
    <w:rsid w:val="001505C3"/>
    <w:rsid w:val="00151CD2"/>
    <w:rsid w:val="00152237"/>
    <w:rsid w:val="00152FE0"/>
    <w:rsid w:val="00153A1E"/>
    <w:rsid w:val="0016081C"/>
    <w:rsid w:val="00160C7E"/>
    <w:rsid w:val="00161387"/>
    <w:rsid w:val="00161573"/>
    <w:rsid w:val="001701F2"/>
    <w:rsid w:val="001737A1"/>
    <w:rsid w:val="00173AED"/>
    <w:rsid w:val="00173F28"/>
    <w:rsid w:val="00180115"/>
    <w:rsid w:val="00180A6E"/>
    <w:rsid w:val="00181A1F"/>
    <w:rsid w:val="00182B9B"/>
    <w:rsid w:val="00184E1E"/>
    <w:rsid w:val="00186859"/>
    <w:rsid w:val="0018699D"/>
    <w:rsid w:val="001870D0"/>
    <w:rsid w:val="00187720"/>
    <w:rsid w:val="001922DE"/>
    <w:rsid w:val="00192738"/>
    <w:rsid w:val="0019347C"/>
    <w:rsid w:val="00197613"/>
    <w:rsid w:val="001A03B7"/>
    <w:rsid w:val="001A28AE"/>
    <w:rsid w:val="001A2F97"/>
    <w:rsid w:val="001A3212"/>
    <w:rsid w:val="001A4867"/>
    <w:rsid w:val="001B031A"/>
    <w:rsid w:val="001B2227"/>
    <w:rsid w:val="001B28AA"/>
    <w:rsid w:val="001B2AD2"/>
    <w:rsid w:val="001B2F89"/>
    <w:rsid w:val="001B4C9C"/>
    <w:rsid w:val="001B4E7E"/>
    <w:rsid w:val="001B5104"/>
    <w:rsid w:val="001B5DFD"/>
    <w:rsid w:val="001C5711"/>
    <w:rsid w:val="001C5D31"/>
    <w:rsid w:val="001C676E"/>
    <w:rsid w:val="001D00E5"/>
    <w:rsid w:val="001D10C4"/>
    <w:rsid w:val="001D1183"/>
    <w:rsid w:val="001D3650"/>
    <w:rsid w:val="001D71F7"/>
    <w:rsid w:val="001E17E3"/>
    <w:rsid w:val="001E2927"/>
    <w:rsid w:val="001E368B"/>
    <w:rsid w:val="001E4220"/>
    <w:rsid w:val="001E44F2"/>
    <w:rsid w:val="001F1EEA"/>
    <w:rsid w:val="001F2243"/>
    <w:rsid w:val="001F34F2"/>
    <w:rsid w:val="001F36F3"/>
    <w:rsid w:val="001F5B5C"/>
    <w:rsid w:val="001F76FE"/>
    <w:rsid w:val="001F7ABB"/>
    <w:rsid w:val="0020210A"/>
    <w:rsid w:val="00204C58"/>
    <w:rsid w:val="00210533"/>
    <w:rsid w:val="00215F0D"/>
    <w:rsid w:val="00216F37"/>
    <w:rsid w:val="002206A6"/>
    <w:rsid w:val="00220994"/>
    <w:rsid w:val="00221556"/>
    <w:rsid w:val="00221E6E"/>
    <w:rsid w:val="00223196"/>
    <w:rsid w:val="002254D8"/>
    <w:rsid w:val="00227829"/>
    <w:rsid w:val="00230A9D"/>
    <w:rsid w:val="00233DC7"/>
    <w:rsid w:val="002367E4"/>
    <w:rsid w:val="00241731"/>
    <w:rsid w:val="002417F8"/>
    <w:rsid w:val="002430D7"/>
    <w:rsid w:val="00243CAC"/>
    <w:rsid w:val="00244C3A"/>
    <w:rsid w:val="0024520A"/>
    <w:rsid w:val="00245A41"/>
    <w:rsid w:val="00247779"/>
    <w:rsid w:val="00251427"/>
    <w:rsid w:val="00251AC9"/>
    <w:rsid w:val="00253DD8"/>
    <w:rsid w:val="00253E13"/>
    <w:rsid w:val="00254250"/>
    <w:rsid w:val="00254FA4"/>
    <w:rsid w:val="00260F19"/>
    <w:rsid w:val="00261AC7"/>
    <w:rsid w:val="00266E71"/>
    <w:rsid w:val="0027165D"/>
    <w:rsid w:val="00272950"/>
    <w:rsid w:val="00273C0A"/>
    <w:rsid w:val="002740BC"/>
    <w:rsid w:val="002744BB"/>
    <w:rsid w:val="00274F38"/>
    <w:rsid w:val="00275135"/>
    <w:rsid w:val="00277E0C"/>
    <w:rsid w:val="00277F0E"/>
    <w:rsid w:val="0027CABF"/>
    <w:rsid w:val="00281678"/>
    <w:rsid w:val="00282584"/>
    <w:rsid w:val="00282C0E"/>
    <w:rsid w:val="002857A9"/>
    <w:rsid w:val="00285BEE"/>
    <w:rsid w:val="00286968"/>
    <w:rsid w:val="002926FE"/>
    <w:rsid w:val="0029409D"/>
    <w:rsid w:val="0029412A"/>
    <w:rsid w:val="0029533F"/>
    <w:rsid w:val="0029576F"/>
    <w:rsid w:val="002964DC"/>
    <w:rsid w:val="00296961"/>
    <w:rsid w:val="002971E3"/>
    <w:rsid w:val="002975FA"/>
    <w:rsid w:val="0029779D"/>
    <w:rsid w:val="002A1241"/>
    <w:rsid w:val="002A4184"/>
    <w:rsid w:val="002A43DE"/>
    <w:rsid w:val="002A608B"/>
    <w:rsid w:val="002A67EC"/>
    <w:rsid w:val="002A76C8"/>
    <w:rsid w:val="002B1640"/>
    <w:rsid w:val="002B1D53"/>
    <w:rsid w:val="002B30AF"/>
    <w:rsid w:val="002B3CE2"/>
    <w:rsid w:val="002B48B6"/>
    <w:rsid w:val="002B497C"/>
    <w:rsid w:val="002B4B7D"/>
    <w:rsid w:val="002B62D9"/>
    <w:rsid w:val="002B72FE"/>
    <w:rsid w:val="002B737E"/>
    <w:rsid w:val="002C04EF"/>
    <w:rsid w:val="002C3218"/>
    <w:rsid w:val="002C7FDD"/>
    <w:rsid w:val="002D13DE"/>
    <w:rsid w:val="002D1E85"/>
    <w:rsid w:val="002D2545"/>
    <w:rsid w:val="002D4266"/>
    <w:rsid w:val="002D4541"/>
    <w:rsid w:val="002D465A"/>
    <w:rsid w:val="002D4AEF"/>
    <w:rsid w:val="002D535E"/>
    <w:rsid w:val="002D53DA"/>
    <w:rsid w:val="002D69F4"/>
    <w:rsid w:val="002D6A1E"/>
    <w:rsid w:val="002E2151"/>
    <w:rsid w:val="002E356F"/>
    <w:rsid w:val="002E3A47"/>
    <w:rsid w:val="002E4765"/>
    <w:rsid w:val="002E4DCD"/>
    <w:rsid w:val="002E528E"/>
    <w:rsid w:val="002E562C"/>
    <w:rsid w:val="002F0297"/>
    <w:rsid w:val="002F272A"/>
    <w:rsid w:val="002F29B9"/>
    <w:rsid w:val="002F4B08"/>
    <w:rsid w:val="002F6637"/>
    <w:rsid w:val="002F6C76"/>
    <w:rsid w:val="00300926"/>
    <w:rsid w:val="00302A95"/>
    <w:rsid w:val="00302DEB"/>
    <w:rsid w:val="003038C3"/>
    <w:rsid w:val="003056ED"/>
    <w:rsid w:val="00305D84"/>
    <w:rsid w:val="00307EF6"/>
    <w:rsid w:val="003147A3"/>
    <w:rsid w:val="00316BF0"/>
    <w:rsid w:val="00316C96"/>
    <w:rsid w:val="0032020C"/>
    <w:rsid w:val="00321977"/>
    <w:rsid w:val="00324EEB"/>
    <w:rsid w:val="00325331"/>
    <w:rsid w:val="00325DF1"/>
    <w:rsid w:val="0032654D"/>
    <w:rsid w:val="00330886"/>
    <w:rsid w:val="00331E69"/>
    <w:rsid w:val="0033246C"/>
    <w:rsid w:val="00332575"/>
    <w:rsid w:val="00332F6B"/>
    <w:rsid w:val="0033344A"/>
    <w:rsid w:val="0033362B"/>
    <w:rsid w:val="003336A8"/>
    <w:rsid w:val="00333EA2"/>
    <w:rsid w:val="0033463B"/>
    <w:rsid w:val="00335098"/>
    <w:rsid w:val="00335CB0"/>
    <w:rsid w:val="0033680F"/>
    <w:rsid w:val="00336BF4"/>
    <w:rsid w:val="00337530"/>
    <w:rsid w:val="003376E2"/>
    <w:rsid w:val="0034120E"/>
    <w:rsid w:val="003424B0"/>
    <w:rsid w:val="003434DF"/>
    <w:rsid w:val="00347263"/>
    <w:rsid w:val="00351782"/>
    <w:rsid w:val="00351CAB"/>
    <w:rsid w:val="00352D0B"/>
    <w:rsid w:val="0035428C"/>
    <w:rsid w:val="0035461A"/>
    <w:rsid w:val="00354C84"/>
    <w:rsid w:val="003572B5"/>
    <w:rsid w:val="0035CBDF"/>
    <w:rsid w:val="00360657"/>
    <w:rsid w:val="00360E74"/>
    <w:rsid w:val="003612CC"/>
    <w:rsid w:val="003616AB"/>
    <w:rsid w:val="003668C0"/>
    <w:rsid w:val="0037386A"/>
    <w:rsid w:val="00373BEA"/>
    <w:rsid w:val="00373F95"/>
    <w:rsid w:val="003741C3"/>
    <w:rsid w:val="00374861"/>
    <w:rsid w:val="003756B1"/>
    <w:rsid w:val="00375ADE"/>
    <w:rsid w:val="00375AF9"/>
    <w:rsid w:val="003766EE"/>
    <w:rsid w:val="0037745A"/>
    <w:rsid w:val="00380071"/>
    <w:rsid w:val="003804D4"/>
    <w:rsid w:val="00382788"/>
    <w:rsid w:val="003844BC"/>
    <w:rsid w:val="003852FF"/>
    <w:rsid w:val="00385C3A"/>
    <w:rsid w:val="00385C74"/>
    <w:rsid w:val="00386C50"/>
    <w:rsid w:val="0038707D"/>
    <w:rsid w:val="00387908"/>
    <w:rsid w:val="003904CA"/>
    <w:rsid w:val="00390C6A"/>
    <w:rsid w:val="003931D7"/>
    <w:rsid w:val="00393951"/>
    <w:rsid w:val="00395737"/>
    <w:rsid w:val="00396B9A"/>
    <w:rsid w:val="003A0ECB"/>
    <w:rsid w:val="003A1EF4"/>
    <w:rsid w:val="003A40DB"/>
    <w:rsid w:val="003A58FB"/>
    <w:rsid w:val="003B0440"/>
    <w:rsid w:val="003B123D"/>
    <w:rsid w:val="003B1DA7"/>
    <w:rsid w:val="003B2B6A"/>
    <w:rsid w:val="003B31B6"/>
    <w:rsid w:val="003B32BF"/>
    <w:rsid w:val="003B42BE"/>
    <w:rsid w:val="003B4B26"/>
    <w:rsid w:val="003B6DB4"/>
    <w:rsid w:val="003C1D17"/>
    <w:rsid w:val="003C1E74"/>
    <w:rsid w:val="003C4815"/>
    <w:rsid w:val="003C5470"/>
    <w:rsid w:val="003C627A"/>
    <w:rsid w:val="003D137C"/>
    <w:rsid w:val="003D18E8"/>
    <w:rsid w:val="003D2F5F"/>
    <w:rsid w:val="003D3EB5"/>
    <w:rsid w:val="003D46F4"/>
    <w:rsid w:val="003D506E"/>
    <w:rsid w:val="003E16A3"/>
    <w:rsid w:val="003E1C28"/>
    <w:rsid w:val="003E38ED"/>
    <w:rsid w:val="003E411C"/>
    <w:rsid w:val="003E48C7"/>
    <w:rsid w:val="003E653A"/>
    <w:rsid w:val="003F0CB3"/>
    <w:rsid w:val="003F2D9A"/>
    <w:rsid w:val="003F2E2D"/>
    <w:rsid w:val="003F3CF3"/>
    <w:rsid w:val="003F4545"/>
    <w:rsid w:val="003F56C6"/>
    <w:rsid w:val="003F7C12"/>
    <w:rsid w:val="00400B31"/>
    <w:rsid w:val="004025DA"/>
    <w:rsid w:val="00403538"/>
    <w:rsid w:val="004041C4"/>
    <w:rsid w:val="004049B6"/>
    <w:rsid w:val="00410B9D"/>
    <w:rsid w:val="0041525B"/>
    <w:rsid w:val="00415CE0"/>
    <w:rsid w:val="0041719D"/>
    <w:rsid w:val="004177AB"/>
    <w:rsid w:val="0042087E"/>
    <w:rsid w:val="00421C2D"/>
    <w:rsid w:val="0042648E"/>
    <w:rsid w:val="00430AC5"/>
    <w:rsid w:val="00432317"/>
    <w:rsid w:val="00432D81"/>
    <w:rsid w:val="00432EC9"/>
    <w:rsid w:val="0043527F"/>
    <w:rsid w:val="00437002"/>
    <w:rsid w:val="0044110A"/>
    <w:rsid w:val="004417D2"/>
    <w:rsid w:val="004421E4"/>
    <w:rsid w:val="00444166"/>
    <w:rsid w:val="00444346"/>
    <w:rsid w:val="00445C83"/>
    <w:rsid w:val="00445D9A"/>
    <w:rsid w:val="004465E3"/>
    <w:rsid w:val="00446B44"/>
    <w:rsid w:val="00447E18"/>
    <w:rsid w:val="00452F50"/>
    <w:rsid w:val="00453212"/>
    <w:rsid w:val="00453E31"/>
    <w:rsid w:val="004542B3"/>
    <w:rsid w:val="0045470B"/>
    <w:rsid w:val="004612CD"/>
    <w:rsid w:val="00462175"/>
    <w:rsid w:val="00463364"/>
    <w:rsid w:val="00464387"/>
    <w:rsid w:val="00464C0D"/>
    <w:rsid w:val="0046696C"/>
    <w:rsid w:val="0046699F"/>
    <w:rsid w:val="004677BC"/>
    <w:rsid w:val="004722A5"/>
    <w:rsid w:val="004723F4"/>
    <w:rsid w:val="00473296"/>
    <w:rsid w:val="00473953"/>
    <w:rsid w:val="00473AAC"/>
    <w:rsid w:val="0047702A"/>
    <w:rsid w:val="004819C4"/>
    <w:rsid w:val="00481A2C"/>
    <w:rsid w:val="00483B19"/>
    <w:rsid w:val="00483DC1"/>
    <w:rsid w:val="0048471A"/>
    <w:rsid w:val="004874E7"/>
    <w:rsid w:val="004904BC"/>
    <w:rsid w:val="00490B8D"/>
    <w:rsid w:val="0049197A"/>
    <w:rsid w:val="00491AC3"/>
    <w:rsid w:val="00492B46"/>
    <w:rsid w:val="004936D2"/>
    <w:rsid w:val="00494816"/>
    <w:rsid w:val="004952ED"/>
    <w:rsid w:val="00496BA6"/>
    <w:rsid w:val="004A0F55"/>
    <w:rsid w:val="004A2A8B"/>
    <w:rsid w:val="004A3EEF"/>
    <w:rsid w:val="004A4907"/>
    <w:rsid w:val="004A591D"/>
    <w:rsid w:val="004A60BB"/>
    <w:rsid w:val="004B0965"/>
    <w:rsid w:val="004B0D2D"/>
    <w:rsid w:val="004B3713"/>
    <w:rsid w:val="004B410D"/>
    <w:rsid w:val="004B53B1"/>
    <w:rsid w:val="004B5ACD"/>
    <w:rsid w:val="004C19D2"/>
    <w:rsid w:val="004C3D32"/>
    <w:rsid w:val="004C4708"/>
    <w:rsid w:val="004C5815"/>
    <w:rsid w:val="004C5B27"/>
    <w:rsid w:val="004C614F"/>
    <w:rsid w:val="004C6E5E"/>
    <w:rsid w:val="004D22EC"/>
    <w:rsid w:val="004D355E"/>
    <w:rsid w:val="004D7724"/>
    <w:rsid w:val="004D780B"/>
    <w:rsid w:val="004E25B2"/>
    <w:rsid w:val="004E2CC2"/>
    <w:rsid w:val="004E32E8"/>
    <w:rsid w:val="004E3489"/>
    <w:rsid w:val="004E3FBB"/>
    <w:rsid w:val="004E6286"/>
    <w:rsid w:val="004E6789"/>
    <w:rsid w:val="004E7747"/>
    <w:rsid w:val="004F0DA5"/>
    <w:rsid w:val="004F106C"/>
    <w:rsid w:val="004F175B"/>
    <w:rsid w:val="004F2E05"/>
    <w:rsid w:val="004F3673"/>
    <w:rsid w:val="004F36E2"/>
    <w:rsid w:val="004F698F"/>
    <w:rsid w:val="00500F54"/>
    <w:rsid w:val="0050259E"/>
    <w:rsid w:val="00503322"/>
    <w:rsid w:val="00506EAB"/>
    <w:rsid w:val="005073F2"/>
    <w:rsid w:val="0051099E"/>
    <w:rsid w:val="0051232D"/>
    <w:rsid w:val="0051265D"/>
    <w:rsid w:val="00512768"/>
    <w:rsid w:val="00512C89"/>
    <w:rsid w:val="005152A4"/>
    <w:rsid w:val="0051570C"/>
    <w:rsid w:val="0051593E"/>
    <w:rsid w:val="005170BE"/>
    <w:rsid w:val="005202F8"/>
    <w:rsid w:val="00521BCB"/>
    <w:rsid w:val="00522754"/>
    <w:rsid w:val="00524170"/>
    <w:rsid w:val="00524786"/>
    <w:rsid w:val="0052485B"/>
    <w:rsid w:val="00524DB4"/>
    <w:rsid w:val="00526CE1"/>
    <w:rsid w:val="0053025F"/>
    <w:rsid w:val="00531661"/>
    <w:rsid w:val="005316CB"/>
    <w:rsid w:val="00533FCE"/>
    <w:rsid w:val="005347BF"/>
    <w:rsid w:val="00535F5F"/>
    <w:rsid w:val="0053600E"/>
    <w:rsid w:val="00536C41"/>
    <w:rsid w:val="00540262"/>
    <w:rsid w:val="00541BBC"/>
    <w:rsid w:val="00541DA3"/>
    <w:rsid w:val="005430D2"/>
    <w:rsid w:val="0054474F"/>
    <w:rsid w:val="00550D61"/>
    <w:rsid w:val="00550EE3"/>
    <w:rsid w:val="005519F2"/>
    <w:rsid w:val="00553F1C"/>
    <w:rsid w:val="005557A8"/>
    <w:rsid w:val="00556022"/>
    <w:rsid w:val="00556ADF"/>
    <w:rsid w:val="00560238"/>
    <w:rsid w:val="0056024C"/>
    <w:rsid w:val="005631D4"/>
    <w:rsid w:val="00563F1F"/>
    <w:rsid w:val="0056421C"/>
    <w:rsid w:val="00564C44"/>
    <w:rsid w:val="0056578C"/>
    <w:rsid w:val="005668E6"/>
    <w:rsid w:val="00571065"/>
    <w:rsid w:val="005714DE"/>
    <w:rsid w:val="00571C3D"/>
    <w:rsid w:val="005749F1"/>
    <w:rsid w:val="0057567D"/>
    <w:rsid w:val="0057778E"/>
    <w:rsid w:val="00577DD4"/>
    <w:rsid w:val="0057DF20"/>
    <w:rsid w:val="00580435"/>
    <w:rsid w:val="00580AB4"/>
    <w:rsid w:val="00583A56"/>
    <w:rsid w:val="0058550F"/>
    <w:rsid w:val="00586FD8"/>
    <w:rsid w:val="0058742C"/>
    <w:rsid w:val="00592BD5"/>
    <w:rsid w:val="00593935"/>
    <w:rsid w:val="0059444E"/>
    <w:rsid w:val="00594F6B"/>
    <w:rsid w:val="00595D42"/>
    <w:rsid w:val="00596D4D"/>
    <w:rsid w:val="00597867"/>
    <w:rsid w:val="00597A0E"/>
    <w:rsid w:val="005A53AB"/>
    <w:rsid w:val="005A77FF"/>
    <w:rsid w:val="005B1EB6"/>
    <w:rsid w:val="005B4E10"/>
    <w:rsid w:val="005B4FF4"/>
    <w:rsid w:val="005B59F5"/>
    <w:rsid w:val="005B7553"/>
    <w:rsid w:val="005C1F23"/>
    <w:rsid w:val="005C4BB9"/>
    <w:rsid w:val="005C5B56"/>
    <w:rsid w:val="005C6A22"/>
    <w:rsid w:val="005D13A3"/>
    <w:rsid w:val="005D2582"/>
    <w:rsid w:val="005D5959"/>
    <w:rsid w:val="005D7426"/>
    <w:rsid w:val="005D77D3"/>
    <w:rsid w:val="005D78ED"/>
    <w:rsid w:val="005E5486"/>
    <w:rsid w:val="005E54D8"/>
    <w:rsid w:val="005E59DD"/>
    <w:rsid w:val="005E62CA"/>
    <w:rsid w:val="005E6A20"/>
    <w:rsid w:val="005F0C7F"/>
    <w:rsid w:val="005F0EAF"/>
    <w:rsid w:val="005F273C"/>
    <w:rsid w:val="005F6512"/>
    <w:rsid w:val="005F7CE2"/>
    <w:rsid w:val="00607250"/>
    <w:rsid w:val="00610B39"/>
    <w:rsid w:val="006118DB"/>
    <w:rsid w:val="0061217A"/>
    <w:rsid w:val="006123BA"/>
    <w:rsid w:val="00612E97"/>
    <w:rsid w:val="00615ECC"/>
    <w:rsid w:val="006166EE"/>
    <w:rsid w:val="00616D5C"/>
    <w:rsid w:val="00617ADF"/>
    <w:rsid w:val="0062000E"/>
    <w:rsid w:val="00621871"/>
    <w:rsid w:val="00621FE6"/>
    <w:rsid w:val="00623A77"/>
    <w:rsid w:val="00626B3A"/>
    <w:rsid w:val="00632D08"/>
    <w:rsid w:val="00633243"/>
    <w:rsid w:val="006332A9"/>
    <w:rsid w:val="00635D0C"/>
    <w:rsid w:val="00637643"/>
    <w:rsid w:val="006412CF"/>
    <w:rsid w:val="006412D6"/>
    <w:rsid w:val="00641440"/>
    <w:rsid w:val="00642435"/>
    <w:rsid w:val="00642CE7"/>
    <w:rsid w:val="00643EF3"/>
    <w:rsid w:val="00644109"/>
    <w:rsid w:val="0064486B"/>
    <w:rsid w:val="0064502B"/>
    <w:rsid w:val="00647EE7"/>
    <w:rsid w:val="00650C47"/>
    <w:rsid w:val="00655517"/>
    <w:rsid w:val="00660DD8"/>
    <w:rsid w:val="00661374"/>
    <w:rsid w:val="00662971"/>
    <w:rsid w:val="0066685C"/>
    <w:rsid w:val="006672CA"/>
    <w:rsid w:val="006675AB"/>
    <w:rsid w:val="006714AF"/>
    <w:rsid w:val="00671E72"/>
    <w:rsid w:val="006737A2"/>
    <w:rsid w:val="0067467E"/>
    <w:rsid w:val="006758A0"/>
    <w:rsid w:val="00676A06"/>
    <w:rsid w:val="00677AC8"/>
    <w:rsid w:val="00681716"/>
    <w:rsid w:val="00682700"/>
    <w:rsid w:val="00684FCC"/>
    <w:rsid w:val="00685CBC"/>
    <w:rsid w:val="00686368"/>
    <w:rsid w:val="006913FF"/>
    <w:rsid w:val="0069298E"/>
    <w:rsid w:val="00692F6C"/>
    <w:rsid w:val="00694578"/>
    <w:rsid w:val="00695462"/>
    <w:rsid w:val="00695CB0"/>
    <w:rsid w:val="0069689A"/>
    <w:rsid w:val="0069758A"/>
    <w:rsid w:val="00697D1A"/>
    <w:rsid w:val="006A1D40"/>
    <w:rsid w:val="006A3478"/>
    <w:rsid w:val="006A502F"/>
    <w:rsid w:val="006B09CD"/>
    <w:rsid w:val="006B0D32"/>
    <w:rsid w:val="006B156C"/>
    <w:rsid w:val="006B1DDE"/>
    <w:rsid w:val="006B1E85"/>
    <w:rsid w:val="006B55B6"/>
    <w:rsid w:val="006B7D45"/>
    <w:rsid w:val="006C21B9"/>
    <w:rsid w:val="006C3A14"/>
    <w:rsid w:val="006C4803"/>
    <w:rsid w:val="006C5A45"/>
    <w:rsid w:val="006D0C02"/>
    <w:rsid w:val="006D0C26"/>
    <w:rsid w:val="006D0EE0"/>
    <w:rsid w:val="006D4F37"/>
    <w:rsid w:val="006E0D00"/>
    <w:rsid w:val="006E23F9"/>
    <w:rsid w:val="006E34FC"/>
    <w:rsid w:val="006E352D"/>
    <w:rsid w:val="006E3C4C"/>
    <w:rsid w:val="006E40F7"/>
    <w:rsid w:val="006F1254"/>
    <w:rsid w:val="006F2CB8"/>
    <w:rsid w:val="006F3EE8"/>
    <w:rsid w:val="0070046F"/>
    <w:rsid w:val="0070126E"/>
    <w:rsid w:val="00701A01"/>
    <w:rsid w:val="00704674"/>
    <w:rsid w:val="00711255"/>
    <w:rsid w:val="00711325"/>
    <w:rsid w:val="0071132D"/>
    <w:rsid w:val="00711431"/>
    <w:rsid w:val="00711A72"/>
    <w:rsid w:val="00711BDD"/>
    <w:rsid w:val="007140E6"/>
    <w:rsid w:val="0071469B"/>
    <w:rsid w:val="00714AD2"/>
    <w:rsid w:val="007157B3"/>
    <w:rsid w:val="00715BB3"/>
    <w:rsid w:val="00717268"/>
    <w:rsid w:val="007206C3"/>
    <w:rsid w:val="0072160B"/>
    <w:rsid w:val="0072207A"/>
    <w:rsid w:val="00722175"/>
    <w:rsid w:val="00724836"/>
    <w:rsid w:val="00724E03"/>
    <w:rsid w:val="00725145"/>
    <w:rsid w:val="00726D14"/>
    <w:rsid w:val="00730158"/>
    <w:rsid w:val="0073021D"/>
    <w:rsid w:val="00732342"/>
    <w:rsid w:val="00734584"/>
    <w:rsid w:val="00736867"/>
    <w:rsid w:val="00736A24"/>
    <w:rsid w:val="0073754C"/>
    <w:rsid w:val="00737955"/>
    <w:rsid w:val="00740F89"/>
    <w:rsid w:val="007416A4"/>
    <w:rsid w:val="00743B5E"/>
    <w:rsid w:val="00744C97"/>
    <w:rsid w:val="007456BB"/>
    <w:rsid w:val="00746B21"/>
    <w:rsid w:val="00747FBA"/>
    <w:rsid w:val="00750717"/>
    <w:rsid w:val="00751688"/>
    <w:rsid w:val="00752913"/>
    <w:rsid w:val="007530CE"/>
    <w:rsid w:val="00754952"/>
    <w:rsid w:val="007556AB"/>
    <w:rsid w:val="00757AB3"/>
    <w:rsid w:val="00757E8C"/>
    <w:rsid w:val="00762126"/>
    <w:rsid w:val="00762986"/>
    <w:rsid w:val="00765627"/>
    <w:rsid w:val="00765885"/>
    <w:rsid w:val="0076612E"/>
    <w:rsid w:val="00766C68"/>
    <w:rsid w:val="00771D42"/>
    <w:rsid w:val="00772202"/>
    <w:rsid w:val="00773331"/>
    <w:rsid w:val="0077350B"/>
    <w:rsid w:val="0077353F"/>
    <w:rsid w:val="00773E49"/>
    <w:rsid w:val="007760C6"/>
    <w:rsid w:val="007773D7"/>
    <w:rsid w:val="00777D84"/>
    <w:rsid w:val="00780C3F"/>
    <w:rsid w:val="0078163E"/>
    <w:rsid w:val="007825BB"/>
    <w:rsid w:val="00784ABF"/>
    <w:rsid w:val="007856FA"/>
    <w:rsid w:val="007864FD"/>
    <w:rsid w:val="0078747C"/>
    <w:rsid w:val="007879DB"/>
    <w:rsid w:val="00787C2A"/>
    <w:rsid w:val="007932EF"/>
    <w:rsid w:val="00793F53"/>
    <w:rsid w:val="00794473"/>
    <w:rsid w:val="007971FB"/>
    <w:rsid w:val="00797E2C"/>
    <w:rsid w:val="007A06DA"/>
    <w:rsid w:val="007A605D"/>
    <w:rsid w:val="007A6211"/>
    <w:rsid w:val="007A63F6"/>
    <w:rsid w:val="007A6F85"/>
    <w:rsid w:val="007A7341"/>
    <w:rsid w:val="007B091F"/>
    <w:rsid w:val="007B362F"/>
    <w:rsid w:val="007B495E"/>
    <w:rsid w:val="007B7844"/>
    <w:rsid w:val="007B7969"/>
    <w:rsid w:val="007C22BD"/>
    <w:rsid w:val="007C27CA"/>
    <w:rsid w:val="007C3995"/>
    <w:rsid w:val="007C4EDF"/>
    <w:rsid w:val="007C682E"/>
    <w:rsid w:val="007D046E"/>
    <w:rsid w:val="007D096F"/>
    <w:rsid w:val="007D1B06"/>
    <w:rsid w:val="007D3400"/>
    <w:rsid w:val="007D3F8A"/>
    <w:rsid w:val="007D4EF7"/>
    <w:rsid w:val="007E05B0"/>
    <w:rsid w:val="007E0B31"/>
    <w:rsid w:val="007E15F0"/>
    <w:rsid w:val="007E46F4"/>
    <w:rsid w:val="007E59E7"/>
    <w:rsid w:val="007E5E37"/>
    <w:rsid w:val="007E6BE9"/>
    <w:rsid w:val="007F0192"/>
    <w:rsid w:val="007F2CE9"/>
    <w:rsid w:val="007F4275"/>
    <w:rsid w:val="007F4ECD"/>
    <w:rsid w:val="00801840"/>
    <w:rsid w:val="00801A22"/>
    <w:rsid w:val="00803364"/>
    <w:rsid w:val="00803AD7"/>
    <w:rsid w:val="00806D46"/>
    <w:rsid w:val="00807D2B"/>
    <w:rsid w:val="00810DC1"/>
    <w:rsid w:val="00812258"/>
    <w:rsid w:val="00813A3B"/>
    <w:rsid w:val="00814673"/>
    <w:rsid w:val="00814682"/>
    <w:rsid w:val="008151BE"/>
    <w:rsid w:val="00815453"/>
    <w:rsid w:val="00817177"/>
    <w:rsid w:val="00822F52"/>
    <w:rsid w:val="008245AD"/>
    <w:rsid w:val="008250DB"/>
    <w:rsid w:val="00825335"/>
    <w:rsid w:val="00825D3D"/>
    <w:rsid w:val="00825F6F"/>
    <w:rsid w:val="00827723"/>
    <w:rsid w:val="00830A4E"/>
    <w:rsid w:val="00833D4C"/>
    <w:rsid w:val="008342EE"/>
    <w:rsid w:val="00835432"/>
    <w:rsid w:val="00836DC6"/>
    <w:rsid w:val="008412C1"/>
    <w:rsid w:val="00842FFC"/>
    <w:rsid w:val="00844377"/>
    <w:rsid w:val="008466D4"/>
    <w:rsid w:val="00847C30"/>
    <w:rsid w:val="00851BB2"/>
    <w:rsid w:val="008524B5"/>
    <w:rsid w:val="00852BE5"/>
    <w:rsid w:val="00853EF2"/>
    <w:rsid w:val="0085459D"/>
    <w:rsid w:val="008548AD"/>
    <w:rsid w:val="008578F4"/>
    <w:rsid w:val="00862A7E"/>
    <w:rsid w:val="00862BC9"/>
    <w:rsid w:val="00862F99"/>
    <w:rsid w:val="0086307F"/>
    <w:rsid w:val="0086324D"/>
    <w:rsid w:val="00866D9C"/>
    <w:rsid w:val="00870D9E"/>
    <w:rsid w:val="008729AA"/>
    <w:rsid w:val="00872D24"/>
    <w:rsid w:val="008730AC"/>
    <w:rsid w:val="00874B6E"/>
    <w:rsid w:val="00874D22"/>
    <w:rsid w:val="00876510"/>
    <w:rsid w:val="00876D1F"/>
    <w:rsid w:val="00882F3A"/>
    <w:rsid w:val="0088371A"/>
    <w:rsid w:val="008837D9"/>
    <w:rsid w:val="008837E5"/>
    <w:rsid w:val="00884145"/>
    <w:rsid w:val="00885003"/>
    <w:rsid w:val="00887715"/>
    <w:rsid w:val="008903C5"/>
    <w:rsid w:val="008935F2"/>
    <w:rsid w:val="008A0CDF"/>
    <w:rsid w:val="008A0ECA"/>
    <w:rsid w:val="008A12FC"/>
    <w:rsid w:val="008A1676"/>
    <w:rsid w:val="008A1CA5"/>
    <w:rsid w:val="008A26CE"/>
    <w:rsid w:val="008A2831"/>
    <w:rsid w:val="008A2914"/>
    <w:rsid w:val="008A46E9"/>
    <w:rsid w:val="008A58A5"/>
    <w:rsid w:val="008A6084"/>
    <w:rsid w:val="008A6E1C"/>
    <w:rsid w:val="008B2BD8"/>
    <w:rsid w:val="008B4C54"/>
    <w:rsid w:val="008B5D58"/>
    <w:rsid w:val="008B61AB"/>
    <w:rsid w:val="008B7CBF"/>
    <w:rsid w:val="008C053A"/>
    <w:rsid w:val="008C2562"/>
    <w:rsid w:val="008C2F3B"/>
    <w:rsid w:val="008C7A85"/>
    <w:rsid w:val="008C7CB3"/>
    <w:rsid w:val="008D0938"/>
    <w:rsid w:val="008D099F"/>
    <w:rsid w:val="008D0B26"/>
    <w:rsid w:val="008D1B1D"/>
    <w:rsid w:val="008D2161"/>
    <w:rsid w:val="008D3737"/>
    <w:rsid w:val="008D3BE1"/>
    <w:rsid w:val="008D4287"/>
    <w:rsid w:val="008D563B"/>
    <w:rsid w:val="008D7FAF"/>
    <w:rsid w:val="008E2387"/>
    <w:rsid w:val="008E2FF3"/>
    <w:rsid w:val="008E449D"/>
    <w:rsid w:val="008E4D48"/>
    <w:rsid w:val="008E4D8E"/>
    <w:rsid w:val="008E57EC"/>
    <w:rsid w:val="008E5F27"/>
    <w:rsid w:val="008F015A"/>
    <w:rsid w:val="008F097F"/>
    <w:rsid w:val="008F0CE5"/>
    <w:rsid w:val="008F0DC0"/>
    <w:rsid w:val="008F3BF8"/>
    <w:rsid w:val="008F3D39"/>
    <w:rsid w:val="008F3EEA"/>
    <w:rsid w:val="008F4335"/>
    <w:rsid w:val="008F43DA"/>
    <w:rsid w:val="008F4486"/>
    <w:rsid w:val="008F62CB"/>
    <w:rsid w:val="0090115D"/>
    <w:rsid w:val="0090282A"/>
    <w:rsid w:val="00902B64"/>
    <w:rsid w:val="00903D52"/>
    <w:rsid w:val="0090409E"/>
    <w:rsid w:val="009049C7"/>
    <w:rsid w:val="00910769"/>
    <w:rsid w:val="00910816"/>
    <w:rsid w:val="00910A57"/>
    <w:rsid w:val="009148D3"/>
    <w:rsid w:val="009148F8"/>
    <w:rsid w:val="00914A67"/>
    <w:rsid w:val="00914C4B"/>
    <w:rsid w:val="009162B2"/>
    <w:rsid w:val="00917BA6"/>
    <w:rsid w:val="00920597"/>
    <w:rsid w:val="00921CBA"/>
    <w:rsid w:val="0092310F"/>
    <w:rsid w:val="00923CC9"/>
    <w:rsid w:val="00924B0A"/>
    <w:rsid w:val="00924E51"/>
    <w:rsid w:val="00924E8C"/>
    <w:rsid w:val="00930D0F"/>
    <w:rsid w:val="00932DF8"/>
    <w:rsid w:val="0093399B"/>
    <w:rsid w:val="00936D7C"/>
    <w:rsid w:val="00941074"/>
    <w:rsid w:val="00943A7F"/>
    <w:rsid w:val="009470D9"/>
    <w:rsid w:val="00950780"/>
    <w:rsid w:val="00950D3D"/>
    <w:rsid w:val="00955485"/>
    <w:rsid w:val="009556F7"/>
    <w:rsid w:val="00955713"/>
    <w:rsid w:val="00955A51"/>
    <w:rsid w:val="00956322"/>
    <w:rsid w:val="0096287B"/>
    <w:rsid w:val="00964321"/>
    <w:rsid w:val="00964B9D"/>
    <w:rsid w:val="0096588A"/>
    <w:rsid w:val="009665D4"/>
    <w:rsid w:val="0096753A"/>
    <w:rsid w:val="009713EF"/>
    <w:rsid w:val="00971DB7"/>
    <w:rsid w:val="00973A0F"/>
    <w:rsid w:val="0097430B"/>
    <w:rsid w:val="009808FF"/>
    <w:rsid w:val="00985543"/>
    <w:rsid w:val="00985A45"/>
    <w:rsid w:val="00987B34"/>
    <w:rsid w:val="0099080A"/>
    <w:rsid w:val="00990975"/>
    <w:rsid w:val="00991D81"/>
    <w:rsid w:val="009932D1"/>
    <w:rsid w:val="00994D82"/>
    <w:rsid w:val="0099655C"/>
    <w:rsid w:val="00996BA4"/>
    <w:rsid w:val="00996EC0"/>
    <w:rsid w:val="00997271"/>
    <w:rsid w:val="009A2EAD"/>
    <w:rsid w:val="009A5F11"/>
    <w:rsid w:val="009A652A"/>
    <w:rsid w:val="009A7471"/>
    <w:rsid w:val="009B0210"/>
    <w:rsid w:val="009B078F"/>
    <w:rsid w:val="009B0791"/>
    <w:rsid w:val="009B0A86"/>
    <w:rsid w:val="009B1C77"/>
    <w:rsid w:val="009B297E"/>
    <w:rsid w:val="009B5C43"/>
    <w:rsid w:val="009B64F0"/>
    <w:rsid w:val="009B7863"/>
    <w:rsid w:val="009C0702"/>
    <w:rsid w:val="009C0AC5"/>
    <w:rsid w:val="009C1658"/>
    <w:rsid w:val="009C1B71"/>
    <w:rsid w:val="009C3A88"/>
    <w:rsid w:val="009C601F"/>
    <w:rsid w:val="009C7DD3"/>
    <w:rsid w:val="009D04DD"/>
    <w:rsid w:val="009D08F9"/>
    <w:rsid w:val="009D0B1D"/>
    <w:rsid w:val="009D0FDC"/>
    <w:rsid w:val="009D2360"/>
    <w:rsid w:val="009D31F6"/>
    <w:rsid w:val="009D399D"/>
    <w:rsid w:val="009D58A1"/>
    <w:rsid w:val="009E2E76"/>
    <w:rsid w:val="009E3998"/>
    <w:rsid w:val="009E3CF5"/>
    <w:rsid w:val="009E5879"/>
    <w:rsid w:val="009E5E98"/>
    <w:rsid w:val="009F36BB"/>
    <w:rsid w:val="009F4E1C"/>
    <w:rsid w:val="009F60D4"/>
    <w:rsid w:val="009F6973"/>
    <w:rsid w:val="009F69D6"/>
    <w:rsid w:val="009F7DA6"/>
    <w:rsid w:val="00A001E4"/>
    <w:rsid w:val="00A00A42"/>
    <w:rsid w:val="00A00DCD"/>
    <w:rsid w:val="00A00EB4"/>
    <w:rsid w:val="00A0105C"/>
    <w:rsid w:val="00A02FFA"/>
    <w:rsid w:val="00A05D13"/>
    <w:rsid w:val="00A06B06"/>
    <w:rsid w:val="00A1146F"/>
    <w:rsid w:val="00A11B57"/>
    <w:rsid w:val="00A1373C"/>
    <w:rsid w:val="00A151D2"/>
    <w:rsid w:val="00A15836"/>
    <w:rsid w:val="00A20033"/>
    <w:rsid w:val="00A23C67"/>
    <w:rsid w:val="00A25252"/>
    <w:rsid w:val="00A267BA"/>
    <w:rsid w:val="00A27C30"/>
    <w:rsid w:val="00A3201A"/>
    <w:rsid w:val="00A3219D"/>
    <w:rsid w:val="00A32A3F"/>
    <w:rsid w:val="00A33B72"/>
    <w:rsid w:val="00A34EB7"/>
    <w:rsid w:val="00A3522F"/>
    <w:rsid w:val="00A356FD"/>
    <w:rsid w:val="00A3580F"/>
    <w:rsid w:val="00A35F54"/>
    <w:rsid w:val="00A360AC"/>
    <w:rsid w:val="00A37A4D"/>
    <w:rsid w:val="00A40D83"/>
    <w:rsid w:val="00A41ED5"/>
    <w:rsid w:val="00A44D86"/>
    <w:rsid w:val="00A4597E"/>
    <w:rsid w:val="00A47051"/>
    <w:rsid w:val="00A47B51"/>
    <w:rsid w:val="00A50672"/>
    <w:rsid w:val="00A50E93"/>
    <w:rsid w:val="00A53686"/>
    <w:rsid w:val="00A53B7C"/>
    <w:rsid w:val="00A5510A"/>
    <w:rsid w:val="00A55AC1"/>
    <w:rsid w:val="00A57448"/>
    <w:rsid w:val="00A6019B"/>
    <w:rsid w:val="00A611F6"/>
    <w:rsid w:val="00A65A79"/>
    <w:rsid w:val="00A6678D"/>
    <w:rsid w:val="00A72E82"/>
    <w:rsid w:val="00A76AB7"/>
    <w:rsid w:val="00A76B78"/>
    <w:rsid w:val="00A779B4"/>
    <w:rsid w:val="00A833E3"/>
    <w:rsid w:val="00A84A62"/>
    <w:rsid w:val="00A8FB02"/>
    <w:rsid w:val="00A9040D"/>
    <w:rsid w:val="00A92176"/>
    <w:rsid w:val="00A923B7"/>
    <w:rsid w:val="00A93808"/>
    <w:rsid w:val="00A93A2E"/>
    <w:rsid w:val="00A95438"/>
    <w:rsid w:val="00A971B8"/>
    <w:rsid w:val="00A9789B"/>
    <w:rsid w:val="00AA09AA"/>
    <w:rsid w:val="00AA2E20"/>
    <w:rsid w:val="00AA4643"/>
    <w:rsid w:val="00AA4E2A"/>
    <w:rsid w:val="00AB1EA6"/>
    <w:rsid w:val="00AB22C5"/>
    <w:rsid w:val="00AB3194"/>
    <w:rsid w:val="00AB6001"/>
    <w:rsid w:val="00AB633E"/>
    <w:rsid w:val="00AB6424"/>
    <w:rsid w:val="00AB71B9"/>
    <w:rsid w:val="00AC0FA6"/>
    <w:rsid w:val="00AC20E7"/>
    <w:rsid w:val="00AC22E0"/>
    <w:rsid w:val="00AC2879"/>
    <w:rsid w:val="00AC440C"/>
    <w:rsid w:val="00AC4779"/>
    <w:rsid w:val="00AC5158"/>
    <w:rsid w:val="00AC5300"/>
    <w:rsid w:val="00AC6557"/>
    <w:rsid w:val="00AC73BC"/>
    <w:rsid w:val="00AD075F"/>
    <w:rsid w:val="00AD0E1F"/>
    <w:rsid w:val="00AD4489"/>
    <w:rsid w:val="00AD5848"/>
    <w:rsid w:val="00AD6300"/>
    <w:rsid w:val="00AD6DA4"/>
    <w:rsid w:val="00AD7E32"/>
    <w:rsid w:val="00AE10EB"/>
    <w:rsid w:val="00AE29AF"/>
    <w:rsid w:val="00AE35B9"/>
    <w:rsid w:val="00AE4133"/>
    <w:rsid w:val="00AE46F4"/>
    <w:rsid w:val="00AF05C1"/>
    <w:rsid w:val="00AF3F93"/>
    <w:rsid w:val="00AF40EC"/>
    <w:rsid w:val="00AF5B78"/>
    <w:rsid w:val="00B00926"/>
    <w:rsid w:val="00B01204"/>
    <w:rsid w:val="00B0170E"/>
    <w:rsid w:val="00B04C4C"/>
    <w:rsid w:val="00B05055"/>
    <w:rsid w:val="00B06BE5"/>
    <w:rsid w:val="00B07A47"/>
    <w:rsid w:val="00B07B30"/>
    <w:rsid w:val="00B16BCD"/>
    <w:rsid w:val="00B16D0B"/>
    <w:rsid w:val="00B16F62"/>
    <w:rsid w:val="00B1773F"/>
    <w:rsid w:val="00B22842"/>
    <w:rsid w:val="00B234EE"/>
    <w:rsid w:val="00B23C12"/>
    <w:rsid w:val="00B24E11"/>
    <w:rsid w:val="00B31546"/>
    <w:rsid w:val="00B315C2"/>
    <w:rsid w:val="00B34244"/>
    <w:rsid w:val="00B34338"/>
    <w:rsid w:val="00B3618E"/>
    <w:rsid w:val="00B37423"/>
    <w:rsid w:val="00B411EE"/>
    <w:rsid w:val="00B44F99"/>
    <w:rsid w:val="00B478E8"/>
    <w:rsid w:val="00B5054E"/>
    <w:rsid w:val="00B53C9B"/>
    <w:rsid w:val="00B5613D"/>
    <w:rsid w:val="00B569C8"/>
    <w:rsid w:val="00B56F0B"/>
    <w:rsid w:val="00B5735F"/>
    <w:rsid w:val="00B5766B"/>
    <w:rsid w:val="00B606C0"/>
    <w:rsid w:val="00B64B09"/>
    <w:rsid w:val="00B6514E"/>
    <w:rsid w:val="00B653BA"/>
    <w:rsid w:val="00B65E4C"/>
    <w:rsid w:val="00B65F71"/>
    <w:rsid w:val="00B67F38"/>
    <w:rsid w:val="00B7088B"/>
    <w:rsid w:val="00B72BF2"/>
    <w:rsid w:val="00B75825"/>
    <w:rsid w:val="00B80017"/>
    <w:rsid w:val="00B817B0"/>
    <w:rsid w:val="00B83574"/>
    <w:rsid w:val="00B847EB"/>
    <w:rsid w:val="00B902EC"/>
    <w:rsid w:val="00B90870"/>
    <w:rsid w:val="00B9547E"/>
    <w:rsid w:val="00B95A50"/>
    <w:rsid w:val="00B96DC5"/>
    <w:rsid w:val="00B9749F"/>
    <w:rsid w:val="00B97A3D"/>
    <w:rsid w:val="00B97C78"/>
    <w:rsid w:val="00B97CFB"/>
    <w:rsid w:val="00BA1FCA"/>
    <w:rsid w:val="00BA2A40"/>
    <w:rsid w:val="00BA5976"/>
    <w:rsid w:val="00BA6207"/>
    <w:rsid w:val="00BA6B15"/>
    <w:rsid w:val="00BB1598"/>
    <w:rsid w:val="00BB28F3"/>
    <w:rsid w:val="00BB3C4E"/>
    <w:rsid w:val="00BB4B50"/>
    <w:rsid w:val="00BB5541"/>
    <w:rsid w:val="00BB67E6"/>
    <w:rsid w:val="00BC1D6D"/>
    <w:rsid w:val="00BC1DAE"/>
    <w:rsid w:val="00BC501F"/>
    <w:rsid w:val="00BC63B0"/>
    <w:rsid w:val="00BC6AF8"/>
    <w:rsid w:val="00BC6C7E"/>
    <w:rsid w:val="00BC729D"/>
    <w:rsid w:val="00BC7A53"/>
    <w:rsid w:val="00BD0021"/>
    <w:rsid w:val="00BD0990"/>
    <w:rsid w:val="00BD148E"/>
    <w:rsid w:val="00BD1804"/>
    <w:rsid w:val="00BD21A7"/>
    <w:rsid w:val="00BD2B4D"/>
    <w:rsid w:val="00BD4149"/>
    <w:rsid w:val="00BD5A7D"/>
    <w:rsid w:val="00BD6022"/>
    <w:rsid w:val="00BE0C18"/>
    <w:rsid w:val="00BE2B55"/>
    <w:rsid w:val="00BE2B8F"/>
    <w:rsid w:val="00BE2FFD"/>
    <w:rsid w:val="00BE3A5C"/>
    <w:rsid w:val="00BE50CA"/>
    <w:rsid w:val="00BE6640"/>
    <w:rsid w:val="00BE7491"/>
    <w:rsid w:val="00BE75FB"/>
    <w:rsid w:val="00BE775D"/>
    <w:rsid w:val="00BE7F95"/>
    <w:rsid w:val="00BF011A"/>
    <w:rsid w:val="00BF07DB"/>
    <w:rsid w:val="00BF192E"/>
    <w:rsid w:val="00BF1A96"/>
    <w:rsid w:val="00BF261D"/>
    <w:rsid w:val="00BF28E0"/>
    <w:rsid w:val="00BF29D0"/>
    <w:rsid w:val="00BF328E"/>
    <w:rsid w:val="00BF4612"/>
    <w:rsid w:val="00BF77FB"/>
    <w:rsid w:val="00C04D27"/>
    <w:rsid w:val="00C05B8D"/>
    <w:rsid w:val="00C1041A"/>
    <w:rsid w:val="00C119C5"/>
    <w:rsid w:val="00C12301"/>
    <w:rsid w:val="00C15060"/>
    <w:rsid w:val="00C2004B"/>
    <w:rsid w:val="00C203F9"/>
    <w:rsid w:val="00C2058F"/>
    <w:rsid w:val="00C22641"/>
    <w:rsid w:val="00C230CB"/>
    <w:rsid w:val="00C2329C"/>
    <w:rsid w:val="00C244E1"/>
    <w:rsid w:val="00C251B7"/>
    <w:rsid w:val="00C2533B"/>
    <w:rsid w:val="00C26B5B"/>
    <w:rsid w:val="00C30BA7"/>
    <w:rsid w:val="00C30D23"/>
    <w:rsid w:val="00C31528"/>
    <w:rsid w:val="00C32C50"/>
    <w:rsid w:val="00C35137"/>
    <w:rsid w:val="00C37A20"/>
    <w:rsid w:val="00C409FF"/>
    <w:rsid w:val="00C50838"/>
    <w:rsid w:val="00C50AED"/>
    <w:rsid w:val="00C53ADA"/>
    <w:rsid w:val="00C55F9A"/>
    <w:rsid w:val="00C57D8A"/>
    <w:rsid w:val="00C600FE"/>
    <w:rsid w:val="00C601A2"/>
    <w:rsid w:val="00C632EE"/>
    <w:rsid w:val="00C63483"/>
    <w:rsid w:val="00C63BF3"/>
    <w:rsid w:val="00C6422C"/>
    <w:rsid w:val="00C66D14"/>
    <w:rsid w:val="00C71808"/>
    <w:rsid w:val="00C72578"/>
    <w:rsid w:val="00C766D0"/>
    <w:rsid w:val="00C80FD4"/>
    <w:rsid w:val="00C82FA8"/>
    <w:rsid w:val="00C84ACF"/>
    <w:rsid w:val="00C8605E"/>
    <w:rsid w:val="00C87918"/>
    <w:rsid w:val="00C914BF"/>
    <w:rsid w:val="00C91915"/>
    <w:rsid w:val="00C93617"/>
    <w:rsid w:val="00CA1240"/>
    <w:rsid w:val="00CA2679"/>
    <w:rsid w:val="00CA387F"/>
    <w:rsid w:val="00CA6C90"/>
    <w:rsid w:val="00CB0797"/>
    <w:rsid w:val="00CB1461"/>
    <w:rsid w:val="00CB232B"/>
    <w:rsid w:val="00CB340F"/>
    <w:rsid w:val="00CB3B72"/>
    <w:rsid w:val="00CB5758"/>
    <w:rsid w:val="00CB6DD1"/>
    <w:rsid w:val="00CC0AE5"/>
    <w:rsid w:val="00CC0D29"/>
    <w:rsid w:val="00CC2882"/>
    <w:rsid w:val="00CC2DA6"/>
    <w:rsid w:val="00CC3A93"/>
    <w:rsid w:val="00CC3F19"/>
    <w:rsid w:val="00CC54A2"/>
    <w:rsid w:val="00CC5D23"/>
    <w:rsid w:val="00CC74D9"/>
    <w:rsid w:val="00CD0F3E"/>
    <w:rsid w:val="00CD11E1"/>
    <w:rsid w:val="00CD21DE"/>
    <w:rsid w:val="00CD22C1"/>
    <w:rsid w:val="00CD2418"/>
    <w:rsid w:val="00CD29C6"/>
    <w:rsid w:val="00CD2C75"/>
    <w:rsid w:val="00CD33D7"/>
    <w:rsid w:val="00CD4B7A"/>
    <w:rsid w:val="00CD5C8A"/>
    <w:rsid w:val="00CD5FF0"/>
    <w:rsid w:val="00CD6A87"/>
    <w:rsid w:val="00CE27AD"/>
    <w:rsid w:val="00CE5AC8"/>
    <w:rsid w:val="00CE65E2"/>
    <w:rsid w:val="00CE6B99"/>
    <w:rsid w:val="00CF0583"/>
    <w:rsid w:val="00CF273D"/>
    <w:rsid w:val="00CF3801"/>
    <w:rsid w:val="00CF747D"/>
    <w:rsid w:val="00CFA60A"/>
    <w:rsid w:val="00D01641"/>
    <w:rsid w:val="00D0297F"/>
    <w:rsid w:val="00D030B3"/>
    <w:rsid w:val="00D055B3"/>
    <w:rsid w:val="00D06067"/>
    <w:rsid w:val="00D12C22"/>
    <w:rsid w:val="00D13944"/>
    <w:rsid w:val="00D142CF"/>
    <w:rsid w:val="00D16B1F"/>
    <w:rsid w:val="00D1729A"/>
    <w:rsid w:val="00D20381"/>
    <w:rsid w:val="00D23EF9"/>
    <w:rsid w:val="00D2481D"/>
    <w:rsid w:val="00D24F63"/>
    <w:rsid w:val="00D27A24"/>
    <w:rsid w:val="00D3099C"/>
    <w:rsid w:val="00D3408E"/>
    <w:rsid w:val="00D34BE4"/>
    <w:rsid w:val="00D37684"/>
    <w:rsid w:val="00D40AC0"/>
    <w:rsid w:val="00D41258"/>
    <w:rsid w:val="00D423DC"/>
    <w:rsid w:val="00D427AE"/>
    <w:rsid w:val="00D42E6A"/>
    <w:rsid w:val="00D43C9A"/>
    <w:rsid w:val="00D4714A"/>
    <w:rsid w:val="00D475C5"/>
    <w:rsid w:val="00D47D75"/>
    <w:rsid w:val="00D500AF"/>
    <w:rsid w:val="00D553BB"/>
    <w:rsid w:val="00D569EC"/>
    <w:rsid w:val="00D612F8"/>
    <w:rsid w:val="00D64754"/>
    <w:rsid w:val="00D66C9E"/>
    <w:rsid w:val="00D6726F"/>
    <w:rsid w:val="00D6784C"/>
    <w:rsid w:val="00D67898"/>
    <w:rsid w:val="00D73291"/>
    <w:rsid w:val="00D7752E"/>
    <w:rsid w:val="00D80F72"/>
    <w:rsid w:val="00D82937"/>
    <w:rsid w:val="00D855FA"/>
    <w:rsid w:val="00D85DE1"/>
    <w:rsid w:val="00D86CD1"/>
    <w:rsid w:val="00D86CEC"/>
    <w:rsid w:val="00D86ECC"/>
    <w:rsid w:val="00D90354"/>
    <w:rsid w:val="00D93330"/>
    <w:rsid w:val="00D96A8C"/>
    <w:rsid w:val="00DA229E"/>
    <w:rsid w:val="00DA23EB"/>
    <w:rsid w:val="00DA43AD"/>
    <w:rsid w:val="00DA48EE"/>
    <w:rsid w:val="00DA7423"/>
    <w:rsid w:val="00DA7BD9"/>
    <w:rsid w:val="00DB383B"/>
    <w:rsid w:val="00DB3992"/>
    <w:rsid w:val="00DB4171"/>
    <w:rsid w:val="00DB7ACD"/>
    <w:rsid w:val="00DC1012"/>
    <w:rsid w:val="00DC1E87"/>
    <w:rsid w:val="00DC216E"/>
    <w:rsid w:val="00DC401C"/>
    <w:rsid w:val="00DC6B72"/>
    <w:rsid w:val="00DC71B9"/>
    <w:rsid w:val="00DD2BFD"/>
    <w:rsid w:val="00DD340F"/>
    <w:rsid w:val="00DD4D9F"/>
    <w:rsid w:val="00DD51F7"/>
    <w:rsid w:val="00DD54CB"/>
    <w:rsid w:val="00DD7480"/>
    <w:rsid w:val="00DE1A11"/>
    <w:rsid w:val="00DE21E0"/>
    <w:rsid w:val="00DE517D"/>
    <w:rsid w:val="00DE7F04"/>
    <w:rsid w:val="00DF0076"/>
    <w:rsid w:val="00DF0F07"/>
    <w:rsid w:val="00DF15A2"/>
    <w:rsid w:val="00DF28BA"/>
    <w:rsid w:val="00DF2926"/>
    <w:rsid w:val="00DF2BC3"/>
    <w:rsid w:val="00DF5FE5"/>
    <w:rsid w:val="00E023B3"/>
    <w:rsid w:val="00E029BB"/>
    <w:rsid w:val="00E06BBC"/>
    <w:rsid w:val="00E11441"/>
    <w:rsid w:val="00E11977"/>
    <w:rsid w:val="00E12C07"/>
    <w:rsid w:val="00E1373D"/>
    <w:rsid w:val="00E13DB7"/>
    <w:rsid w:val="00E16C5B"/>
    <w:rsid w:val="00E1781F"/>
    <w:rsid w:val="00E17DC1"/>
    <w:rsid w:val="00E20670"/>
    <w:rsid w:val="00E2085E"/>
    <w:rsid w:val="00E21ABB"/>
    <w:rsid w:val="00E2216B"/>
    <w:rsid w:val="00E25A81"/>
    <w:rsid w:val="00E27637"/>
    <w:rsid w:val="00E34281"/>
    <w:rsid w:val="00E34FC8"/>
    <w:rsid w:val="00E356E6"/>
    <w:rsid w:val="00E35FFF"/>
    <w:rsid w:val="00E361F4"/>
    <w:rsid w:val="00E36830"/>
    <w:rsid w:val="00E407F4"/>
    <w:rsid w:val="00E4283C"/>
    <w:rsid w:val="00E43642"/>
    <w:rsid w:val="00E4365F"/>
    <w:rsid w:val="00E43739"/>
    <w:rsid w:val="00E440FA"/>
    <w:rsid w:val="00E463D0"/>
    <w:rsid w:val="00E5060E"/>
    <w:rsid w:val="00E509C7"/>
    <w:rsid w:val="00E5140B"/>
    <w:rsid w:val="00E52F43"/>
    <w:rsid w:val="00E5507F"/>
    <w:rsid w:val="00E5613C"/>
    <w:rsid w:val="00E56E7B"/>
    <w:rsid w:val="00E56F90"/>
    <w:rsid w:val="00E60016"/>
    <w:rsid w:val="00E6018B"/>
    <w:rsid w:val="00E612D1"/>
    <w:rsid w:val="00E616FB"/>
    <w:rsid w:val="00E643E0"/>
    <w:rsid w:val="00E64925"/>
    <w:rsid w:val="00E64C60"/>
    <w:rsid w:val="00E70267"/>
    <w:rsid w:val="00E71919"/>
    <w:rsid w:val="00E721C5"/>
    <w:rsid w:val="00E73B9D"/>
    <w:rsid w:val="00E75897"/>
    <w:rsid w:val="00E77762"/>
    <w:rsid w:val="00E77A74"/>
    <w:rsid w:val="00E8111D"/>
    <w:rsid w:val="00E872F3"/>
    <w:rsid w:val="00E905BB"/>
    <w:rsid w:val="00E90830"/>
    <w:rsid w:val="00E92873"/>
    <w:rsid w:val="00E932A8"/>
    <w:rsid w:val="00E94F1A"/>
    <w:rsid w:val="00E954E5"/>
    <w:rsid w:val="00E958AE"/>
    <w:rsid w:val="00E97EB9"/>
    <w:rsid w:val="00EA2A8A"/>
    <w:rsid w:val="00EA2D6B"/>
    <w:rsid w:val="00EA347C"/>
    <w:rsid w:val="00EB26B0"/>
    <w:rsid w:val="00EB4EBE"/>
    <w:rsid w:val="00EB5D7F"/>
    <w:rsid w:val="00EC2AA2"/>
    <w:rsid w:val="00EC39B0"/>
    <w:rsid w:val="00ED3010"/>
    <w:rsid w:val="00ED5648"/>
    <w:rsid w:val="00ED59AD"/>
    <w:rsid w:val="00ED66F2"/>
    <w:rsid w:val="00ED7E3F"/>
    <w:rsid w:val="00EE44CC"/>
    <w:rsid w:val="00EE464C"/>
    <w:rsid w:val="00EE4703"/>
    <w:rsid w:val="00EE4F67"/>
    <w:rsid w:val="00EE78C2"/>
    <w:rsid w:val="00EE7E5A"/>
    <w:rsid w:val="00EF33CF"/>
    <w:rsid w:val="00EF4D87"/>
    <w:rsid w:val="00EF6F30"/>
    <w:rsid w:val="00F03607"/>
    <w:rsid w:val="00F036A4"/>
    <w:rsid w:val="00F039D4"/>
    <w:rsid w:val="00F049AD"/>
    <w:rsid w:val="00F05315"/>
    <w:rsid w:val="00F0758A"/>
    <w:rsid w:val="00F07664"/>
    <w:rsid w:val="00F154DF"/>
    <w:rsid w:val="00F15FAA"/>
    <w:rsid w:val="00F160D7"/>
    <w:rsid w:val="00F16AE1"/>
    <w:rsid w:val="00F17B28"/>
    <w:rsid w:val="00F2063B"/>
    <w:rsid w:val="00F20D04"/>
    <w:rsid w:val="00F23479"/>
    <w:rsid w:val="00F2353E"/>
    <w:rsid w:val="00F24128"/>
    <w:rsid w:val="00F25241"/>
    <w:rsid w:val="00F30860"/>
    <w:rsid w:val="00F313B2"/>
    <w:rsid w:val="00F337D8"/>
    <w:rsid w:val="00F346D6"/>
    <w:rsid w:val="00F34AF7"/>
    <w:rsid w:val="00F34D68"/>
    <w:rsid w:val="00F3528B"/>
    <w:rsid w:val="00F35AB4"/>
    <w:rsid w:val="00F361D2"/>
    <w:rsid w:val="00F41496"/>
    <w:rsid w:val="00F41785"/>
    <w:rsid w:val="00F41CF9"/>
    <w:rsid w:val="00F43072"/>
    <w:rsid w:val="00F43634"/>
    <w:rsid w:val="00F44429"/>
    <w:rsid w:val="00F45EE8"/>
    <w:rsid w:val="00F46208"/>
    <w:rsid w:val="00F514EA"/>
    <w:rsid w:val="00F52477"/>
    <w:rsid w:val="00F53065"/>
    <w:rsid w:val="00F55517"/>
    <w:rsid w:val="00F565C6"/>
    <w:rsid w:val="00F57CAA"/>
    <w:rsid w:val="00F57CD4"/>
    <w:rsid w:val="00F6652C"/>
    <w:rsid w:val="00F67082"/>
    <w:rsid w:val="00F71E5E"/>
    <w:rsid w:val="00F76E3B"/>
    <w:rsid w:val="00F81F45"/>
    <w:rsid w:val="00F82A18"/>
    <w:rsid w:val="00F84744"/>
    <w:rsid w:val="00F84FE3"/>
    <w:rsid w:val="00F859AD"/>
    <w:rsid w:val="00F87493"/>
    <w:rsid w:val="00F9018C"/>
    <w:rsid w:val="00F901C3"/>
    <w:rsid w:val="00F939B0"/>
    <w:rsid w:val="00F97CC8"/>
    <w:rsid w:val="00FA303B"/>
    <w:rsid w:val="00FA3BBB"/>
    <w:rsid w:val="00FA4191"/>
    <w:rsid w:val="00FA6832"/>
    <w:rsid w:val="00FA7C9B"/>
    <w:rsid w:val="00FB0004"/>
    <w:rsid w:val="00FB12D8"/>
    <w:rsid w:val="00FB1675"/>
    <w:rsid w:val="00FB1C54"/>
    <w:rsid w:val="00FC38F8"/>
    <w:rsid w:val="00FC3AB8"/>
    <w:rsid w:val="00FC416D"/>
    <w:rsid w:val="00FC60BA"/>
    <w:rsid w:val="00FC6D69"/>
    <w:rsid w:val="00FD1B29"/>
    <w:rsid w:val="00FD27F4"/>
    <w:rsid w:val="00FD6C22"/>
    <w:rsid w:val="00FD6F9A"/>
    <w:rsid w:val="00FD78AB"/>
    <w:rsid w:val="00FE0437"/>
    <w:rsid w:val="00FE07FB"/>
    <w:rsid w:val="00FE12CA"/>
    <w:rsid w:val="00FE3C53"/>
    <w:rsid w:val="00FE5A2A"/>
    <w:rsid w:val="00FE6792"/>
    <w:rsid w:val="00FE6ABC"/>
    <w:rsid w:val="00FF0DF6"/>
    <w:rsid w:val="00FF110D"/>
    <w:rsid w:val="00FF2C24"/>
    <w:rsid w:val="00FF43B3"/>
    <w:rsid w:val="00FF6E12"/>
    <w:rsid w:val="00FF74AF"/>
    <w:rsid w:val="0119C279"/>
    <w:rsid w:val="012C2A1B"/>
    <w:rsid w:val="0142C4FD"/>
    <w:rsid w:val="01567E5A"/>
    <w:rsid w:val="01707D92"/>
    <w:rsid w:val="018FCC7F"/>
    <w:rsid w:val="0199265E"/>
    <w:rsid w:val="01A905EF"/>
    <w:rsid w:val="01C50B33"/>
    <w:rsid w:val="0215FBB7"/>
    <w:rsid w:val="0234CBFE"/>
    <w:rsid w:val="024009B8"/>
    <w:rsid w:val="02563387"/>
    <w:rsid w:val="026C6073"/>
    <w:rsid w:val="026DC30C"/>
    <w:rsid w:val="0288D506"/>
    <w:rsid w:val="029EF80E"/>
    <w:rsid w:val="02D7745A"/>
    <w:rsid w:val="0306CA4D"/>
    <w:rsid w:val="03155B75"/>
    <w:rsid w:val="03231767"/>
    <w:rsid w:val="03472C4D"/>
    <w:rsid w:val="036250AE"/>
    <w:rsid w:val="036C30A4"/>
    <w:rsid w:val="03854935"/>
    <w:rsid w:val="0385887B"/>
    <w:rsid w:val="038E0A05"/>
    <w:rsid w:val="03A44F7A"/>
    <w:rsid w:val="03B24C6A"/>
    <w:rsid w:val="03B49937"/>
    <w:rsid w:val="0414B095"/>
    <w:rsid w:val="041E3C76"/>
    <w:rsid w:val="04348754"/>
    <w:rsid w:val="0455EAC5"/>
    <w:rsid w:val="04587751"/>
    <w:rsid w:val="0467C5F1"/>
    <w:rsid w:val="047AA457"/>
    <w:rsid w:val="047AC1D8"/>
    <w:rsid w:val="04C66E82"/>
    <w:rsid w:val="04CAD5FF"/>
    <w:rsid w:val="04D41CBB"/>
    <w:rsid w:val="04D6D451"/>
    <w:rsid w:val="04E9329D"/>
    <w:rsid w:val="04EF33D9"/>
    <w:rsid w:val="051686A9"/>
    <w:rsid w:val="05246289"/>
    <w:rsid w:val="05A07024"/>
    <w:rsid w:val="05A78434"/>
    <w:rsid w:val="05B1C1B1"/>
    <w:rsid w:val="05C542FC"/>
    <w:rsid w:val="05DCA9C3"/>
    <w:rsid w:val="06043B8E"/>
    <w:rsid w:val="0605744F"/>
    <w:rsid w:val="060A1A03"/>
    <w:rsid w:val="062018AE"/>
    <w:rsid w:val="063A1F89"/>
    <w:rsid w:val="063A4362"/>
    <w:rsid w:val="064112A6"/>
    <w:rsid w:val="0675A4E1"/>
    <w:rsid w:val="06979BCA"/>
    <w:rsid w:val="069B76A9"/>
    <w:rsid w:val="070DAD9E"/>
    <w:rsid w:val="071B8060"/>
    <w:rsid w:val="0735499D"/>
    <w:rsid w:val="077F684A"/>
    <w:rsid w:val="079FD8E9"/>
    <w:rsid w:val="07B77CC6"/>
    <w:rsid w:val="07D6E8FF"/>
    <w:rsid w:val="07FEDB3A"/>
    <w:rsid w:val="08301B10"/>
    <w:rsid w:val="085DF69D"/>
    <w:rsid w:val="089443C2"/>
    <w:rsid w:val="08B9B34A"/>
    <w:rsid w:val="08C19E19"/>
    <w:rsid w:val="08E2067F"/>
    <w:rsid w:val="08E3A78E"/>
    <w:rsid w:val="08F3FFE6"/>
    <w:rsid w:val="090C6426"/>
    <w:rsid w:val="090EC828"/>
    <w:rsid w:val="096F36A3"/>
    <w:rsid w:val="09915A41"/>
    <w:rsid w:val="09984D79"/>
    <w:rsid w:val="09C1124B"/>
    <w:rsid w:val="09C31689"/>
    <w:rsid w:val="09ED5AFA"/>
    <w:rsid w:val="0A032C77"/>
    <w:rsid w:val="0A122A9C"/>
    <w:rsid w:val="0A1D445E"/>
    <w:rsid w:val="0A22B1EB"/>
    <w:rsid w:val="0A31E35F"/>
    <w:rsid w:val="0A406A89"/>
    <w:rsid w:val="0A4A8771"/>
    <w:rsid w:val="0A5EE37A"/>
    <w:rsid w:val="0A6336FF"/>
    <w:rsid w:val="0A8525EC"/>
    <w:rsid w:val="0A905ADE"/>
    <w:rsid w:val="0AA4DCCB"/>
    <w:rsid w:val="0ABC41E4"/>
    <w:rsid w:val="0ACD15BF"/>
    <w:rsid w:val="0AFD02CD"/>
    <w:rsid w:val="0B0B20D1"/>
    <w:rsid w:val="0B1DC4CC"/>
    <w:rsid w:val="0B285D46"/>
    <w:rsid w:val="0B638509"/>
    <w:rsid w:val="0BABD52D"/>
    <w:rsid w:val="0BAF50B9"/>
    <w:rsid w:val="0BBA1BB7"/>
    <w:rsid w:val="0BD98B71"/>
    <w:rsid w:val="0C0EAD3B"/>
    <w:rsid w:val="0C5FFAAD"/>
    <w:rsid w:val="0C7616AB"/>
    <w:rsid w:val="0C836605"/>
    <w:rsid w:val="0C8509AD"/>
    <w:rsid w:val="0C8E6323"/>
    <w:rsid w:val="0C9356B0"/>
    <w:rsid w:val="0C95D14B"/>
    <w:rsid w:val="0C9B6728"/>
    <w:rsid w:val="0CAC98E1"/>
    <w:rsid w:val="0CC0AC6A"/>
    <w:rsid w:val="0D1143F2"/>
    <w:rsid w:val="0D310BF7"/>
    <w:rsid w:val="0D42541B"/>
    <w:rsid w:val="0D4C55F1"/>
    <w:rsid w:val="0D65F496"/>
    <w:rsid w:val="0D7CBD0D"/>
    <w:rsid w:val="0D836198"/>
    <w:rsid w:val="0D95720B"/>
    <w:rsid w:val="0DB2B159"/>
    <w:rsid w:val="0DB79756"/>
    <w:rsid w:val="0DE39646"/>
    <w:rsid w:val="0E090DF9"/>
    <w:rsid w:val="0E15A413"/>
    <w:rsid w:val="0E215204"/>
    <w:rsid w:val="0E3C9DA9"/>
    <w:rsid w:val="0E41044D"/>
    <w:rsid w:val="0E78785F"/>
    <w:rsid w:val="0E809CA8"/>
    <w:rsid w:val="0F18AB93"/>
    <w:rsid w:val="0F348CDC"/>
    <w:rsid w:val="0F3B17D3"/>
    <w:rsid w:val="0F46F3A3"/>
    <w:rsid w:val="0F78B5B9"/>
    <w:rsid w:val="0FAA48C4"/>
    <w:rsid w:val="0FF8F0A4"/>
    <w:rsid w:val="101139C2"/>
    <w:rsid w:val="10332256"/>
    <w:rsid w:val="10333786"/>
    <w:rsid w:val="1050AA6E"/>
    <w:rsid w:val="1076B937"/>
    <w:rsid w:val="1088FE3A"/>
    <w:rsid w:val="10AD1036"/>
    <w:rsid w:val="10CD829E"/>
    <w:rsid w:val="10FEAD24"/>
    <w:rsid w:val="11528C9D"/>
    <w:rsid w:val="1157FB5E"/>
    <w:rsid w:val="118294CB"/>
    <w:rsid w:val="11DDCFAE"/>
    <w:rsid w:val="11EB89B7"/>
    <w:rsid w:val="12070F85"/>
    <w:rsid w:val="121BD00B"/>
    <w:rsid w:val="125CC07C"/>
    <w:rsid w:val="1284702B"/>
    <w:rsid w:val="12ABFB3B"/>
    <w:rsid w:val="12BD9543"/>
    <w:rsid w:val="12BF5285"/>
    <w:rsid w:val="12C35652"/>
    <w:rsid w:val="12ED750C"/>
    <w:rsid w:val="12FFB685"/>
    <w:rsid w:val="13293854"/>
    <w:rsid w:val="13385D9B"/>
    <w:rsid w:val="1338E298"/>
    <w:rsid w:val="13525904"/>
    <w:rsid w:val="136CC581"/>
    <w:rsid w:val="1385A873"/>
    <w:rsid w:val="139A667B"/>
    <w:rsid w:val="13B6F274"/>
    <w:rsid w:val="13BA319E"/>
    <w:rsid w:val="13C47D5B"/>
    <w:rsid w:val="13C51609"/>
    <w:rsid w:val="13C98379"/>
    <w:rsid w:val="13E674C2"/>
    <w:rsid w:val="13E79718"/>
    <w:rsid w:val="13F69341"/>
    <w:rsid w:val="14037147"/>
    <w:rsid w:val="142A1C6C"/>
    <w:rsid w:val="14449EF8"/>
    <w:rsid w:val="14595491"/>
    <w:rsid w:val="145C77EA"/>
    <w:rsid w:val="14627D9E"/>
    <w:rsid w:val="146DAB03"/>
    <w:rsid w:val="14B49B2B"/>
    <w:rsid w:val="14BFFCF3"/>
    <w:rsid w:val="14D7FD34"/>
    <w:rsid w:val="14F747CF"/>
    <w:rsid w:val="1511B3E6"/>
    <w:rsid w:val="1540DA5B"/>
    <w:rsid w:val="1541012C"/>
    <w:rsid w:val="1557D3E7"/>
    <w:rsid w:val="158F29A0"/>
    <w:rsid w:val="162EEC20"/>
    <w:rsid w:val="167A71C8"/>
    <w:rsid w:val="167E5762"/>
    <w:rsid w:val="1684B221"/>
    <w:rsid w:val="16A23C87"/>
    <w:rsid w:val="16A691BF"/>
    <w:rsid w:val="16A855E8"/>
    <w:rsid w:val="16ACB8DD"/>
    <w:rsid w:val="16BD7F77"/>
    <w:rsid w:val="16F60F1A"/>
    <w:rsid w:val="16FF0545"/>
    <w:rsid w:val="1705F52B"/>
    <w:rsid w:val="172115B0"/>
    <w:rsid w:val="172205B0"/>
    <w:rsid w:val="177C3B42"/>
    <w:rsid w:val="17855F2B"/>
    <w:rsid w:val="17ECA094"/>
    <w:rsid w:val="17F67AC5"/>
    <w:rsid w:val="181376F8"/>
    <w:rsid w:val="181A34FA"/>
    <w:rsid w:val="1839848B"/>
    <w:rsid w:val="187FC52B"/>
    <w:rsid w:val="18B5AC52"/>
    <w:rsid w:val="18C3CA93"/>
    <w:rsid w:val="18D4635A"/>
    <w:rsid w:val="192F28A7"/>
    <w:rsid w:val="19501787"/>
    <w:rsid w:val="1999D0DD"/>
    <w:rsid w:val="19BC44FA"/>
    <w:rsid w:val="19CEFB7B"/>
    <w:rsid w:val="19E82B2E"/>
    <w:rsid w:val="19E8F0CC"/>
    <w:rsid w:val="1A2D5937"/>
    <w:rsid w:val="1A54546A"/>
    <w:rsid w:val="1A6D7134"/>
    <w:rsid w:val="1A769C82"/>
    <w:rsid w:val="1A833C8C"/>
    <w:rsid w:val="1AA360F2"/>
    <w:rsid w:val="1AB63FD2"/>
    <w:rsid w:val="1AC34A53"/>
    <w:rsid w:val="1B2AC11B"/>
    <w:rsid w:val="1B4867B0"/>
    <w:rsid w:val="1B659645"/>
    <w:rsid w:val="1B7D586B"/>
    <w:rsid w:val="1B8A879D"/>
    <w:rsid w:val="1B8F7731"/>
    <w:rsid w:val="1BA53788"/>
    <w:rsid w:val="1BC56410"/>
    <w:rsid w:val="1BD278D0"/>
    <w:rsid w:val="1BD2824E"/>
    <w:rsid w:val="1BFAD3DD"/>
    <w:rsid w:val="1C28A9A1"/>
    <w:rsid w:val="1C375B7F"/>
    <w:rsid w:val="1C3AE936"/>
    <w:rsid w:val="1C424C94"/>
    <w:rsid w:val="1C5D62DA"/>
    <w:rsid w:val="1C9811DE"/>
    <w:rsid w:val="1C98CB19"/>
    <w:rsid w:val="1CA1600C"/>
    <w:rsid w:val="1CA42ED1"/>
    <w:rsid w:val="1CAB28E0"/>
    <w:rsid w:val="1CBF4B49"/>
    <w:rsid w:val="1CE2DA76"/>
    <w:rsid w:val="1D0A0247"/>
    <w:rsid w:val="1D2B0C76"/>
    <w:rsid w:val="1D379C51"/>
    <w:rsid w:val="1D3AB0FC"/>
    <w:rsid w:val="1D3FB716"/>
    <w:rsid w:val="1D4666C5"/>
    <w:rsid w:val="1D5E2675"/>
    <w:rsid w:val="1D7C43C1"/>
    <w:rsid w:val="1D9BE736"/>
    <w:rsid w:val="1DD9341D"/>
    <w:rsid w:val="1E0FFABD"/>
    <w:rsid w:val="1E2BD384"/>
    <w:rsid w:val="1E382DF8"/>
    <w:rsid w:val="1E56091C"/>
    <w:rsid w:val="1E5914F6"/>
    <w:rsid w:val="1E73F0D0"/>
    <w:rsid w:val="1E827FF5"/>
    <w:rsid w:val="1EC68F96"/>
    <w:rsid w:val="1ED0C04E"/>
    <w:rsid w:val="1F0012F6"/>
    <w:rsid w:val="1F0B6CD2"/>
    <w:rsid w:val="1F203DA9"/>
    <w:rsid w:val="1F592923"/>
    <w:rsid w:val="1F653498"/>
    <w:rsid w:val="1F67DC71"/>
    <w:rsid w:val="1F88F523"/>
    <w:rsid w:val="1F97D38B"/>
    <w:rsid w:val="1FC11DFD"/>
    <w:rsid w:val="1FCFD463"/>
    <w:rsid w:val="1FF64BDE"/>
    <w:rsid w:val="200926FF"/>
    <w:rsid w:val="201F3A4E"/>
    <w:rsid w:val="20205489"/>
    <w:rsid w:val="206727DA"/>
    <w:rsid w:val="206B61BF"/>
    <w:rsid w:val="209A25A9"/>
    <w:rsid w:val="20A31C5F"/>
    <w:rsid w:val="20ED2441"/>
    <w:rsid w:val="20F78FDC"/>
    <w:rsid w:val="21137AC0"/>
    <w:rsid w:val="2164292D"/>
    <w:rsid w:val="216D42F3"/>
    <w:rsid w:val="2179ADD5"/>
    <w:rsid w:val="21C7A694"/>
    <w:rsid w:val="21C835B5"/>
    <w:rsid w:val="21CAEC21"/>
    <w:rsid w:val="21CC4262"/>
    <w:rsid w:val="21D12F4E"/>
    <w:rsid w:val="21DBCFA2"/>
    <w:rsid w:val="2204ECF9"/>
    <w:rsid w:val="221E6CD7"/>
    <w:rsid w:val="225EAC99"/>
    <w:rsid w:val="226026F4"/>
    <w:rsid w:val="228AF3D8"/>
    <w:rsid w:val="22A3C5C6"/>
    <w:rsid w:val="22B96D53"/>
    <w:rsid w:val="22E281D1"/>
    <w:rsid w:val="22F9C5B6"/>
    <w:rsid w:val="23152EBF"/>
    <w:rsid w:val="2332E9A8"/>
    <w:rsid w:val="236762AB"/>
    <w:rsid w:val="236FF60E"/>
    <w:rsid w:val="239A3FAD"/>
    <w:rsid w:val="239CA98D"/>
    <w:rsid w:val="23F030CC"/>
    <w:rsid w:val="24058D1B"/>
    <w:rsid w:val="243653DB"/>
    <w:rsid w:val="245013B0"/>
    <w:rsid w:val="2476BDD7"/>
    <w:rsid w:val="24B18C00"/>
    <w:rsid w:val="24B5CD7A"/>
    <w:rsid w:val="2527E0DE"/>
    <w:rsid w:val="253989DD"/>
    <w:rsid w:val="254CDF1E"/>
    <w:rsid w:val="255D2547"/>
    <w:rsid w:val="255F8BE2"/>
    <w:rsid w:val="25669A60"/>
    <w:rsid w:val="257D2D34"/>
    <w:rsid w:val="25889EAA"/>
    <w:rsid w:val="259748DD"/>
    <w:rsid w:val="25B8819F"/>
    <w:rsid w:val="25C86AA7"/>
    <w:rsid w:val="25CB56B6"/>
    <w:rsid w:val="25CCDF36"/>
    <w:rsid w:val="2603D98B"/>
    <w:rsid w:val="2666219C"/>
    <w:rsid w:val="26BBA669"/>
    <w:rsid w:val="26BE08AC"/>
    <w:rsid w:val="270DCD09"/>
    <w:rsid w:val="27271871"/>
    <w:rsid w:val="2730EBB0"/>
    <w:rsid w:val="273E04A2"/>
    <w:rsid w:val="27459CD9"/>
    <w:rsid w:val="2746990A"/>
    <w:rsid w:val="275DD28B"/>
    <w:rsid w:val="27C6C723"/>
    <w:rsid w:val="27C824EB"/>
    <w:rsid w:val="27E17A14"/>
    <w:rsid w:val="27E1A376"/>
    <w:rsid w:val="27ED76E0"/>
    <w:rsid w:val="27F1EAF5"/>
    <w:rsid w:val="27FED2E7"/>
    <w:rsid w:val="283FFBCC"/>
    <w:rsid w:val="28447DF4"/>
    <w:rsid w:val="286679AC"/>
    <w:rsid w:val="28694C6D"/>
    <w:rsid w:val="28836916"/>
    <w:rsid w:val="28840EEA"/>
    <w:rsid w:val="28C0BB68"/>
    <w:rsid w:val="28EC0A15"/>
    <w:rsid w:val="28EDED23"/>
    <w:rsid w:val="291648F2"/>
    <w:rsid w:val="2942EF92"/>
    <w:rsid w:val="296E9584"/>
    <w:rsid w:val="29717FAA"/>
    <w:rsid w:val="29BC77B3"/>
    <w:rsid w:val="29E2ECD2"/>
    <w:rsid w:val="29E8DDEB"/>
    <w:rsid w:val="2A065B6B"/>
    <w:rsid w:val="2A2C5DB5"/>
    <w:rsid w:val="2A3B06E2"/>
    <w:rsid w:val="2A3E19C3"/>
    <w:rsid w:val="2A6297A9"/>
    <w:rsid w:val="2AA0EB40"/>
    <w:rsid w:val="2AAFD532"/>
    <w:rsid w:val="2AC807C2"/>
    <w:rsid w:val="2AE57DE9"/>
    <w:rsid w:val="2B232F44"/>
    <w:rsid w:val="2B2E903E"/>
    <w:rsid w:val="2B47D6B9"/>
    <w:rsid w:val="2B91CA72"/>
    <w:rsid w:val="2B96B23F"/>
    <w:rsid w:val="2BB36A12"/>
    <w:rsid w:val="2BCE05D1"/>
    <w:rsid w:val="2BDFFF7E"/>
    <w:rsid w:val="2C005E04"/>
    <w:rsid w:val="2C0C120B"/>
    <w:rsid w:val="2C1062DD"/>
    <w:rsid w:val="2C120A8A"/>
    <w:rsid w:val="2C7EA00D"/>
    <w:rsid w:val="2C82283A"/>
    <w:rsid w:val="2C93F9E9"/>
    <w:rsid w:val="2CE123FE"/>
    <w:rsid w:val="2D03E196"/>
    <w:rsid w:val="2D4B6787"/>
    <w:rsid w:val="2D52CF30"/>
    <w:rsid w:val="2DBA542F"/>
    <w:rsid w:val="2DDC18D2"/>
    <w:rsid w:val="2DF0856F"/>
    <w:rsid w:val="2E0ABF1B"/>
    <w:rsid w:val="2E138A0B"/>
    <w:rsid w:val="2E1B0FB6"/>
    <w:rsid w:val="2E357C5E"/>
    <w:rsid w:val="2E79A331"/>
    <w:rsid w:val="2E91D4C9"/>
    <w:rsid w:val="2EAA1CB0"/>
    <w:rsid w:val="2EFA3846"/>
    <w:rsid w:val="2EFB44B5"/>
    <w:rsid w:val="2F0120BF"/>
    <w:rsid w:val="2F06FCE1"/>
    <w:rsid w:val="2F089ADB"/>
    <w:rsid w:val="2F0F1EC9"/>
    <w:rsid w:val="2F2E80E8"/>
    <w:rsid w:val="2F365C23"/>
    <w:rsid w:val="2F4ACB8D"/>
    <w:rsid w:val="2F66C4F4"/>
    <w:rsid w:val="2F71030A"/>
    <w:rsid w:val="2F7C70E9"/>
    <w:rsid w:val="2F8B9CCD"/>
    <w:rsid w:val="2FAD76B8"/>
    <w:rsid w:val="2FFEAEE8"/>
    <w:rsid w:val="30084FD1"/>
    <w:rsid w:val="30096AC8"/>
    <w:rsid w:val="301A220C"/>
    <w:rsid w:val="303114D2"/>
    <w:rsid w:val="3134532F"/>
    <w:rsid w:val="313A33B1"/>
    <w:rsid w:val="314DE538"/>
    <w:rsid w:val="3169CF87"/>
    <w:rsid w:val="318FA966"/>
    <w:rsid w:val="31D5A8C8"/>
    <w:rsid w:val="320491C7"/>
    <w:rsid w:val="320A13D7"/>
    <w:rsid w:val="321E60B7"/>
    <w:rsid w:val="32280F27"/>
    <w:rsid w:val="3237D075"/>
    <w:rsid w:val="3264E6BA"/>
    <w:rsid w:val="32687ED3"/>
    <w:rsid w:val="326FEFDB"/>
    <w:rsid w:val="327E6F02"/>
    <w:rsid w:val="32985E18"/>
    <w:rsid w:val="32B4E6CA"/>
    <w:rsid w:val="32CFF1DA"/>
    <w:rsid w:val="32D18D51"/>
    <w:rsid w:val="32F91F70"/>
    <w:rsid w:val="3305125B"/>
    <w:rsid w:val="3326DB3B"/>
    <w:rsid w:val="33596BBD"/>
    <w:rsid w:val="338423A9"/>
    <w:rsid w:val="33AD85B2"/>
    <w:rsid w:val="33C35410"/>
    <w:rsid w:val="342240A0"/>
    <w:rsid w:val="3443996A"/>
    <w:rsid w:val="345CA12D"/>
    <w:rsid w:val="3481A6E4"/>
    <w:rsid w:val="34907A1B"/>
    <w:rsid w:val="349D0A29"/>
    <w:rsid w:val="34B125B1"/>
    <w:rsid w:val="34B35CE6"/>
    <w:rsid w:val="34CF7517"/>
    <w:rsid w:val="34CF7BDC"/>
    <w:rsid w:val="352ADDCA"/>
    <w:rsid w:val="354FB204"/>
    <w:rsid w:val="3572BD28"/>
    <w:rsid w:val="3594A683"/>
    <w:rsid w:val="359EF061"/>
    <w:rsid w:val="35EC8359"/>
    <w:rsid w:val="3619CD0F"/>
    <w:rsid w:val="36218175"/>
    <w:rsid w:val="362C98BF"/>
    <w:rsid w:val="3644773F"/>
    <w:rsid w:val="36728901"/>
    <w:rsid w:val="36839295"/>
    <w:rsid w:val="36BEDB88"/>
    <w:rsid w:val="36DF0516"/>
    <w:rsid w:val="36EC7C82"/>
    <w:rsid w:val="370A1DBA"/>
    <w:rsid w:val="370EA2FF"/>
    <w:rsid w:val="37131FF0"/>
    <w:rsid w:val="3748E168"/>
    <w:rsid w:val="3789213B"/>
    <w:rsid w:val="3796B4FF"/>
    <w:rsid w:val="37A32911"/>
    <w:rsid w:val="37AA5222"/>
    <w:rsid w:val="37ADD589"/>
    <w:rsid w:val="37BA9706"/>
    <w:rsid w:val="37C05199"/>
    <w:rsid w:val="380CF3FB"/>
    <w:rsid w:val="3838F6F3"/>
    <w:rsid w:val="386462EF"/>
    <w:rsid w:val="3869630A"/>
    <w:rsid w:val="3881A98B"/>
    <w:rsid w:val="3885B19A"/>
    <w:rsid w:val="38A9C672"/>
    <w:rsid w:val="38D662A1"/>
    <w:rsid w:val="38DAF1D9"/>
    <w:rsid w:val="38DFC8D7"/>
    <w:rsid w:val="38F07B45"/>
    <w:rsid w:val="38F79B73"/>
    <w:rsid w:val="391FE8C8"/>
    <w:rsid w:val="39886469"/>
    <w:rsid w:val="39A3FD97"/>
    <w:rsid w:val="39AF9918"/>
    <w:rsid w:val="39C45531"/>
    <w:rsid w:val="39E1F2CE"/>
    <w:rsid w:val="3A022477"/>
    <w:rsid w:val="3A11A262"/>
    <w:rsid w:val="3A22E254"/>
    <w:rsid w:val="3A44C463"/>
    <w:rsid w:val="3A86074E"/>
    <w:rsid w:val="3ABA95DF"/>
    <w:rsid w:val="3ADE585C"/>
    <w:rsid w:val="3AF94F05"/>
    <w:rsid w:val="3B2E77E3"/>
    <w:rsid w:val="3B35DF75"/>
    <w:rsid w:val="3B3E7852"/>
    <w:rsid w:val="3B70FAC7"/>
    <w:rsid w:val="3B793CAB"/>
    <w:rsid w:val="3B7DD47B"/>
    <w:rsid w:val="3B8AC4C7"/>
    <w:rsid w:val="3B980E27"/>
    <w:rsid w:val="3BA3B62E"/>
    <w:rsid w:val="3C07A519"/>
    <w:rsid w:val="3C0F763B"/>
    <w:rsid w:val="3C64AB1F"/>
    <w:rsid w:val="3C708523"/>
    <w:rsid w:val="3C73C27D"/>
    <w:rsid w:val="3C81A9E0"/>
    <w:rsid w:val="3C84870C"/>
    <w:rsid w:val="3C852CA8"/>
    <w:rsid w:val="3CC2B4CD"/>
    <w:rsid w:val="3CCCFF38"/>
    <w:rsid w:val="3D18BD02"/>
    <w:rsid w:val="3DA7F6D8"/>
    <w:rsid w:val="3DA92D65"/>
    <w:rsid w:val="3DAA2786"/>
    <w:rsid w:val="3DEA350E"/>
    <w:rsid w:val="3DEB6160"/>
    <w:rsid w:val="3E10F9E3"/>
    <w:rsid w:val="3E4EA1DE"/>
    <w:rsid w:val="3E6AFAA8"/>
    <w:rsid w:val="3E88E060"/>
    <w:rsid w:val="3EB32C06"/>
    <w:rsid w:val="3EBEAE50"/>
    <w:rsid w:val="3ECCD732"/>
    <w:rsid w:val="3EDEF182"/>
    <w:rsid w:val="3F4DD7B1"/>
    <w:rsid w:val="3F69F5C2"/>
    <w:rsid w:val="3F6A66CD"/>
    <w:rsid w:val="3F6C0E34"/>
    <w:rsid w:val="3F88B244"/>
    <w:rsid w:val="3F894613"/>
    <w:rsid w:val="3FB77671"/>
    <w:rsid w:val="3FC32E65"/>
    <w:rsid w:val="3FC3B06B"/>
    <w:rsid w:val="3FDA0988"/>
    <w:rsid w:val="3FEA1737"/>
    <w:rsid w:val="401070D2"/>
    <w:rsid w:val="4017D40A"/>
    <w:rsid w:val="4029BB96"/>
    <w:rsid w:val="4036BDA1"/>
    <w:rsid w:val="404AF8D6"/>
    <w:rsid w:val="40600B4D"/>
    <w:rsid w:val="408D278F"/>
    <w:rsid w:val="408DBD17"/>
    <w:rsid w:val="40AF2B9A"/>
    <w:rsid w:val="40B119B1"/>
    <w:rsid w:val="40B1D7FA"/>
    <w:rsid w:val="40B1D867"/>
    <w:rsid w:val="40EBFE22"/>
    <w:rsid w:val="40F49761"/>
    <w:rsid w:val="40F5DDCF"/>
    <w:rsid w:val="4137EB3C"/>
    <w:rsid w:val="41401CD1"/>
    <w:rsid w:val="415FEA01"/>
    <w:rsid w:val="4195459D"/>
    <w:rsid w:val="41BC3E99"/>
    <w:rsid w:val="41CAC101"/>
    <w:rsid w:val="41D7F03E"/>
    <w:rsid w:val="41F36CF1"/>
    <w:rsid w:val="41FBDBAE"/>
    <w:rsid w:val="425C2250"/>
    <w:rsid w:val="427253B0"/>
    <w:rsid w:val="42D7415E"/>
    <w:rsid w:val="42EF895E"/>
    <w:rsid w:val="431970FF"/>
    <w:rsid w:val="435BE8DE"/>
    <w:rsid w:val="437E5865"/>
    <w:rsid w:val="444782B3"/>
    <w:rsid w:val="444C2A94"/>
    <w:rsid w:val="445F9ED8"/>
    <w:rsid w:val="449CAA68"/>
    <w:rsid w:val="44BF58FA"/>
    <w:rsid w:val="44F8C15E"/>
    <w:rsid w:val="44FA2E79"/>
    <w:rsid w:val="45019E74"/>
    <w:rsid w:val="4527CD49"/>
    <w:rsid w:val="45392D33"/>
    <w:rsid w:val="457EABB3"/>
    <w:rsid w:val="458E1268"/>
    <w:rsid w:val="45B9632A"/>
    <w:rsid w:val="45F6E457"/>
    <w:rsid w:val="4646B54C"/>
    <w:rsid w:val="465F2CDD"/>
    <w:rsid w:val="4672D95F"/>
    <w:rsid w:val="46A139BF"/>
    <w:rsid w:val="46BADDBF"/>
    <w:rsid w:val="46E1ACD7"/>
    <w:rsid w:val="4712AC33"/>
    <w:rsid w:val="4736B50B"/>
    <w:rsid w:val="478BF6B2"/>
    <w:rsid w:val="47C9505B"/>
    <w:rsid w:val="47D8A75B"/>
    <w:rsid w:val="47E12F54"/>
    <w:rsid w:val="47EE0512"/>
    <w:rsid w:val="48025FDF"/>
    <w:rsid w:val="48049E26"/>
    <w:rsid w:val="480C0049"/>
    <w:rsid w:val="480EEB7E"/>
    <w:rsid w:val="48259C22"/>
    <w:rsid w:val="484A8FCC"/>
    <w:rsid w:val="4852AF71"/>
    <w:rsid w:val="48A4ABB4"/>
    <w:rsid w:val="48D27465"/>
    <w:rsid w:val="48DB4840"/>
    <w:rsid w:val="490A7FDF"/>
    <w:rsid w:val="4924BB68"/>
    <w:rsid w:val="493901EA"/>
    <w:rsid w:val="49467383"/>
    <w:rsid w:val="4956A3EE"/>
    <w:rsid w:val="4964EBBA"/>
    <w:rsid w:val="49A9E2A9"/>
    <w:rsid w:val="49F38BEF"/>
    <w:rsid w:val="4A08181B"/>
    <w:rsid w:val="4A0B3990"/>
    <w:rsid w:val="4A0B9BEF"/>
    <w:rsid w:val="4A251A56"/>
    <w:rsid w:val="4A3D5AB3"/>
    <w:rsid w:val="4A78C776"/>
    <w:rsid w:val="4A7E304B"/>
    <w:rsid w:val="4A9D27A1"/>
    <w:rsid w:val="4AAA5C41"/>
    <w:rsid w:val="4AAE608E"/>
    <w:rsid w:val="4AE3FC82"/>
    <w:rsid w:val="4B5F72DF"/>
    <w:rsid w:val="4B818FE6"/>
    <w:rsid w:val="4B91086C"/>
    <w:rsid w:val="4B95DFDD"/>
    <w:rsid w:val="4B9B1E01"/>
    <w:rsid w:val="4BACD2DB"/>
    <w:rsid w:val="4C48DAAB"/>
    <w:rsid w:val="4C688350"/>
    <w:rsid w:val="4CA52812"/>
    <w:rsid w:val="4CA94B5F"/>
    <w:rsid w:val="4CB58E08"/>
    <w:rsid w:val="4CB6A07F"/>
    <w:rsid w:val="4CC89972"/>
    <w:rsid w:val="4CE0EBF3"/>
    <w:rsid w:val="4CE204CE"/>
    <w:rsid w:val="4CE3B7D3"/>
    <w:rsid w:val="4D102A26"/>
    <w:rsid w:val="4D132B0C"/>
    <w:rsid w:val="4D31A2DB"/>
    <w:rsid w:val="4D411ACA"/>
    <w:rsid w:val="4D49FBA6"/>
    <w:rsid w:val="4D4AD89B"/>
    <w:rsid w:val="4D5A7FDB"/>
    <w:rsid w:val="4D5D1B26"/>
    <w:rsid w:val="4D618DC9"/>
    <w:rsid w:val="4D6FB6C1"/>
    <w:rsid w:val="4DA092D0"/>
    <w:rsid w:val="4DA10ECD"/>
    <w:rsid w:val="4DB888E6"/>
    <w:rsid w:val="4DDD93A2"/>
    <w:rsid w:val="4E2E2A05"/>
    <w:rsid w:val="4E355703"/>
    <w:rsid w:val="4E666379"/>
    <w:rsid w:val="4E8448E9"/>
    <w:rsid w:val="4E9A2A29"/>
    <w:rsid w:val="4EB5E4FD"/>
    <w:rsid w:val="4EBB5643"/>
    <w:rsid w:val="4EBD5E8D"/>
    <w:rsid w:val="4EBF6CF6"/>
    <w:rsid w:val="4EC84A9B"/>
    <w:rsid w:val="4ECE3EFC"/>
    <w:rsid w:val="4EEA20B9"/>
    <w:rsid w:val="4EEB90B6"/>
    <w:rsid w:val="4F29360B"/>
    <w:rsid w:val="4F361D1A"/>
    <w:rsid w:val="4F3CDAC2"/>
    <w:rsid w:val="4F73FFAD"/>
    <w:rsid w:val="4F887FF9"/>
    <w:rsid w:val="4F9D8630"/>
    <w:rsid w:val="4FA355D8"/>
    <w:rsid w:val="4FB34118"/>
    <w:rsid w:val="4FD41200"/>
    <w:rsid w:val="4FD96ED5"/>
    <w:rsid w:val="4FFD2FAC"/>
    <w:rsid w:val="4FFFA2BC"/>
    <w:rsid w:val="5004D8C0"/>
    <w:rsid w:val="504E1672"/>
    <w:rsid w:val="5061C91C"/>
    <w:rsid w:val="50873C94"/>
    <w:rsid w:val="509EFBB4"/>
    <w:rsid w:val="50B9C14A"/>
    <w:rsid w:val="50CDC940"/>
    <w:rsid w:val="50D60F6D"/>
    <w:rsid w:val="50F62FC0"/>
    <w:rsid w:val="51030CEF"/>
    <w:rsid w:val="510CC374"/>
    <w:rsid w:val="510F4BF7"/>
    <w:rsid w:val="512BC3B8"/>
    <w:rsid w:val="512D7090"/>
    <w:rsid w:val="514803DE"/>
    <w:rsid w:val="51513140"/>
    <w:rsid w:val="51606DF2"/>
    <w:rsid w:val="519482B1"/>
    <w:rsid w:val="51DEAFA4"/>
    <w:rsid w:val="520DC235"/>
    <w:rsid w:val="52212C7E"/>
    <w:rsid w:val="5231569F"/>
    <w:rsid w:val="52336089"/>
    <w:rsid w:val="524554FC"/>
    <w:rsid w:val="524EE60B"/>
    <w:rsid w:val="525912E8"/>
    <w:rsid w:val="5282F3D4"/>
    <w:rsid w:val="529B3C76"/>
    <w:rsid w:val="52F4780B"/>
    <w:rsid w:val="5301B995"/>
    <w:rsid w:val="53872E4A"/>
    <w:rsid w:val="53884BAD"/>
    <w:rsid w:val="540CC50F"/>
    <w:rsid w:val="540D18B7"/>
    <w:rsid w:val="54270ACF"/>
    <w:rsid w:val="543C9E71"/>
    <w:rsid w:val="543D70A5"/>
    <w:rsid w:val="5441CBD5"/>
    <w:rsid w:val="5449C155"/>
    <w:rsid w:val="54687271"/>
    <w:rsid w:val="547F0D28"/>
    <w:rsid w:val="549C83B4"/>
    <w:rsid w:val="54FBBCAB"/>
    <w:rsid w:val="555A7A80"/>
    <w:rsid w:val="5569B50D"/>
    <w:rsid w:val="557CC0E4"/>
    <w:rsid w:val="5589FF3F"/>
    <w:rsid w:val="5599E16A"/>
    <w:rsid w:val="55B5C137"/>
    <w:rsid w:val="55C93FA1"/>
    <w:rsid w:val="55D531B6"/>
    <w:rsid w:val="55D7B32E"/>
    <w:rsid w:val="55F19F1A"/>
    <w:rsid w:val="562EE862"/>
    <w:rsid w:val="5640C3CE"/>
    <w:rsid w:val="56493718"/>
    <w:rsid w:val="566FAEF6"/>
    <w:rsid w:val="56874AF0"/>
    <w:rsid w:val="56880530"/>
    <w:rsid w:val="56A0F104"/>
    <w:rsid w:val="56B53AA3"/>
    <w:rsid w:val="56D3C194"/>
    <w:rsid w:val="56D84A56"/>
    <w:rsid w:val="56FF9BB9"/>
    <w:rsid w:val="570472B7"/>
    <w:rsid w:val="57117979"/>
    <w:rsid w:val="57635E84"/>
    <w:rsid w:val="577AFA78"/>
    <w:rsid w:val="5795CC40"/>
    <w:rsid w:val="579FB572"/>
    <w:rsid w:val="57ACCCB8"/>
    <w:rsid w:val="57C38878"/>
    <w:rsid w:val="57D70489"/>
    <w:rsid w:val="57F6B8AB"/>
    <w:rsid w:val="583FFA25"/>
    <w:rsid w:val="58C04A40"/>
    <w:rsid w:val="58C6898E"/>
    <w:rsid w:val="58D61E38"/>
    <w:rsid w:val="5902F95D"/>
    <w:rsid w:val="5910CFCE"/>
    <w:rsid w:val="59670127"/>
    <w:rsid w:val="596BDFDB"/>
    <w:rsid w:val="59889748"/>
    <w:rsid w:val="5992AA38"/>
    <w:rsid w:val="599D5F5C"/>
    <w:rsid w:val="59B59C4D"/>
    <w:rsid w:val="5A0C8B35"/>
    <w:rsid w:val="5A17816C"/>
    <w:rsid w:val="5A2D2124"/>
    <w:rsid w:val="5A6089AB"/>
    <w:rsid w:val="5AAC9B16"/>
    <w:rsid w:val="5AC0D68E"/>
    <w:rsid w:val="5AD47236"/>
    <w:rsid w:val="5AE8CB06"/>
    <w:rsid w:val="5AFD05CD"/>
    <w:rsid w:val="5B027F48"/>
    <w:rsid w:val="5B362BBB"/>
    <w:rsid w:val="5B768222"/>
    <w:rsid w:val="5B8FA984"/>
    <w:rsid w:val="5BA14F31"/>
    <w:rsid w:val="5BB90506"/>
    <w:rsid w:val="5BC27405"/>
    <w:rsid w:val="5BD6E8AA"/>
    <w:rsid w:val="5C2FCE0C"/>
    <w:rsid w:val="5C31DEDE"/>
    <w:rsid w:val="5C4770FA"/>
    <w:rsid w:val="5C5599A7"/>
    <w:rsid w:val="5C6C3D53"/>
    <w:rsid w:val="5C6D10C7"/>
    <w:rsid w:val="5C75CACB"/>
    <w:rsid w:val="5C812A8D"/>
    <w:rsid w:val="5C81DAD2"/>
    <w:rsid w:val="5C9C0091"/>
    <w:rsid w:val="5CB68517"/>
    <w:rsid w:val="5CE801AD"/>
    <w:rsid w:val="5D5C5246"/>
    <w:rsid w:val="5D8D80D6"/>
    <w:rsid w:val="5DB3B03A"/>
    <w:rsid w:val="5DCA6BD8"/>
    <w:rsid w:val="5DCF5813"/>
    <w:rsid w:val="5DEEE557"/>
    <w:rsid w:val="5DF808B5"/>
    <w:rsid w:val="5E4A4C81"/>
    <w:rsid w:val="5E63CF20"/>
    <w:rsid w:val="5E6B5CE4"/>
    <w:rsid w:val="5E6E0DF8"/>
    <w:rsid w:val="5E7E9654"/>
    <w:rsid w:val="5E7FC047"/>
    <w:rsid w:val="5E9A58E5"/>
    <w:rsid w:val="5EA18DF5"/>
    <w:rsid w:val="5F8A0E07"/>
    <w:rsid w:val="5FA40FEB"/>
    <w:rsid w:val="5FACF070"/>
    <w:rsid w:val="5FC92815"/>
    <w:rsid w:val="5FEC1770"/>
    <w:rsid w:val="5FF24B30"/>
    <w:rsid w:val="60013318"/>
    <w:rsid w:val="6006DDB4"/>
    <w:rsid w:val="606253C5"/>
    <w:rsid w:val="6092DD6A"/>
    <w:rsid w:val="60AA8812"/>
    <w:rsid w:val="610BA603"/>
    <w:rsid w:val="6130871B"/>
    <w:rsid w:val="613637FA"/>
    <w:rsid w:val="6138AB10"/>
    <w:rsid w:val="61494AD1"/>
    <w:rsid w:val="614BA739"/>
    <w:rsid w:val="614ED580"/>
    <w:rsid w:val="615AA6D8"/>
    <w:rsid w:val="616F89BD"/>
    <w:rsid w:val="618159E2"/>
    <w:rsid w:val="61A521FF"/>
    <w:rsid w:val="61E37434"/>
    <w:rsid w:val="61F36668"/>
    <w:rsid w:val="61F65024"/>
    <w:rsid w:val="61F6CBAC"/>
    <w:rsid w:val="6209F15C"/>
    <w:rsid w:val="621C4DDC"/>
    <w:rsid w:val="6223F6D5"/>
    <w:rsid w:val="62272402"/>
    <w:rsid w:val="622D4A4B"/>
    <w:rsid w:val="6246D602"/>
    <w:rsid w:val="62501E04"/>
    <w:rsid w:val="62565DF1"/>
    <w:rsid w:val="6266C467"/>
    <w:rsid w:val="626DEFA0"/>
    <w:rsid w:val="627A5503"/>
    <w:rsid w:val="62AB7650"/>
    <w:rsid w:val="62BD8685"/>
    <w:rsid w:val="62DE29CB"/>
    <w:rsid w:val="62E0C6E9"/>
    <w:rsid w:val="6319386B"/>
    <w:rsid w:val="633531DA"/>
    <w:rsid w:val="63590CB0"/>
    <w:rsid w:val="638E5790"/>
    <w:rsid w:val="6399B5DA"/>
    <w:rsid w:val="63B5CFCB"/>
    <w:rsid w:val="643D616A"/>
    <w:rsid w:val="6447F3D6"/>
    <w:rsid w:val="64598740"/>
    <w:rsid w:val="64A9A98F"/>
    <w:rsid w:val="64DE245D"/>
    <w:rsid w:val="64EACF41"/>
    <w:rsid w:val="6533649C"/>
    <w:rsid w:val="655FF177"/>
    <w:rsid w:val="656AAC89"/>
    <w:rsid w:val="65D14C61"/>
    <w:rsid w:val="65EBE6F8"/>
    <w:rsid w:val="66273AAD"/>
    <w:rsid w:val="663F3DA2"/>
    <w:rsid w:val="6688DF4A"/>
    <w:rsid w:val="6689FA33"/>
    <w:rsid w:val="66915C2E"/>
    <w:rsid w:val="669B783F"/>
    <w:rsid w:val="66F2378B"/>
    <w:rsid w:val="66F54213"/>
    <w:rsid w:val="66F98D99"/>
    <w:rsid w:val="670447C8"/>
    <w:rsid w:val="67162891"/>
    <w:rsid w:val="6727FABD"/>
    <w:rsid w:val="673F8602"/>
    <w:rsid w:val="6742A7D5"/>
    <w:rsid w:val="6743976F"/>
    <w:rsid w:val="67445769"/>
    <w:rsid w:val="677ACF3B"/>
    <w:rsid w:val="6786EAA6"/>
    <w:rsid w:val="679AF498"/>
    <w:rsid w:val="67A3BCAC"/>
    <w:rsid w:val="67B6931C"/>
    <w:rsid w:val="67C99CFB"/>
    <w:rsid w:val="682FEDE9"/>
    <w:rsid w:val="685A2F2E"/>
    <w:rsid w:val="6863808B"/>
    <w:rsid w:val="68708A2B"/>
    <w:rsid w:val="6876B5A9"/>
    <w:rsid w:val="687B953D"/>
    <w:rsid w:val="688E1AC0"/>
    <w:rsid w:val="68916E45"/>
    <w:rsid w:val="68DEA3C1"/>
    <w:rsid w:val="68E56EA4"/>
    <w:rsid w:val="68FFAC38"/>
    <w:rsid w:val="690C7C02"/>
    <w:rsid w:val="692CBFBF"/>
    <w:rsid w:val="69447DE3"/>
    <w:rsid w:val="69493E2F"/>
    <w:rsid w:val="6952DFB7"/>
    <w:rsid w:val="696179B7"/>
    <w:rsid w:val="6982BC82"/>
    <w:rsid w:val="699EEE50"/>
    <w:rsid w:val="69B9D601"/>
    <w:rsid w:val="69D7182F"/>
    <w:rsid w:val="6A21BCE0"/>
    <w:rsid w:val="6A45A905"/>
    <w:rsid w:val="6A84438B"/>
    <w:rsid w:val="6A92DD5B"/>
    <w:rsid w:val="6A9C2260"/>
    <w:rsid w:val="6AA168AE"/>
    <w:rsid w:val="6AB62D3B"/>
    <w:rsid w:val="6ABCB2AE"/>
    <w:rsid w:val="6ABDA1E0"/>
    <w:rsid w:val="6AC1B76B"/>
    <w:rsid w:val="6AD36CF0"/>
    <w:rsid w:val="6ADB0136"/>
    <w:rsid w:val="6AE005CA"/>
    <w:rsid w:val="6AE6005D"/>
    <w:rsid w:val="6B0FA209"/>
    <w:rsid w:val="6B5E6EE2"/>
    <w:rsid w:val="6B93BD29"/>
    <w:rsid w:val="6C0A7520"/>
    <w:rsid w:val="6C18CCEE"/>
    <w:rsid w:val="6C2532EB"/>
    <w:rsid w:val="6C634D63"/>
    <w:rsid w:val="6CABF8A0"/>
    <w:rsid w:val="6CB701C1"/>
    <w:rsid w:val="6CBC83A7"/>
    <w:rsid w:val="6CC5377D"/>
    <w:rsid w:val="6CC7BCB3"/>
    <w:rsid w:val="6CDA267A"/>
    <w:rsid w:val="6CE19F50"/>
    <w:rsid w:val="6CF545AD"/>
    <w:rsid w:val="6D0A4BAF"/>
    <w:rsid w:val="6D420351"/>
    <w:rsid w:val="6D5C0851"/>
    <w:rsid w:val="6D936E52"/>
    <w:rsid w:val="6D9B0236"/>
    <w:rsid w:val="6DDB7D6F"/>
    <w:rsid w:val="6DF24B59"/>
    <w:rsid w:val="6E2982A0"/>
    <w:rsid w:val="6E61D532"/>
    <w:rsid w:val="6E733F2F"/>
    <w:rsid w:val="6EBAC591"/>
    <w:rsid w:val="6EC6319D"/>
    <w:rsid w:val="6ECAF944"/>
    <w:rsid w:val="6EEC0E99"/>
    <w:rsid w:val="6EF14430"/>
    <w:rsid w:val="6F19497C"/>
    <w:rsid w:val="6F42B1E2"/>
    <w:rsid w:val="6F4F1918"/>
    <w:rsid w:val="6F5946DD"/>
    <w:rsid w:val="6F83A20C"/>
    <w:rsid w:val="6F89AA5E"/>
    <w:rsid w:val="6FC77D5C"/>
    <w:rsid w:val="6FD126B1"/>
    <w:rsid w:val="6FD3457A"/>
    <w:rsid w:val="6FDFA193"/>
    <w:rsid w:val="707D8A9C"/>
    <w:rsid w:val="70AB117D"/>
    <w:rsid w:val="70E81FD2"/>
    <w:rsid w:val="70FEFD02"/>
    <w:rsid w:val="712B568D"/>
    <w:rsid w:val="7142F2D5"/>
    <w:rsid w:val="714B87D5"/>
    <w:rsid w:val="71536807"/>
    <w:rsid w:val="716E19BC"/>
    <w:rsid w:val="71907EC4"/>
    <w:rsid w:val="71BCD8CE"/>
    <w:rsid w:val="71DA083F"/>
    <w:rsid w:val="71EF4E3E"/>
    <w:rsid w:val="7206B94A"/>
    <w:rsid w:val="720C5CA0"/>
    <w:rsid w:val="72190293"/>
    <w:rsid w:val="722C5A2F"/>
    <w:rsid w:val="722ECBBA"/>
    <w:rsid w:val="72442CCB"/>
    <w:rsid w:val="7283AA3F"/>
    <w:rsid w:val="728EF0C9"/>
    <w:rsid w:val="72E4FA56"/>
    <w:rsid w:val="72F56BDF"/>
    <w:rsid w:val="7302A00F"/>
    <w:rsid w:val="7303ED43"/>
    <w:rsid w:val="7315DF8E"/>
    <w:rsid w:val="731A997C"/>
    <w:rsid w:val="739452F8"/>
    <w:rsid w:val="73B4F5A7"/>
    <w:rsid w:val="73BDE1B1"/>
    <w:rsid w:val="73C60126"/>
    <w:rsid w:val="73E32E85"/>
    <w:rsid w:val="73F57A15"/>
    <w:rsid w:val="74714C03"/>
    <w:rsid w:val="74AB756A"/>
    <w:rsid w:val="74CCA77A"/>
    <w:rsid w:val="74DF10D4"/>
    <w:rsid w:val="75363093"/>
    <w:rsid w:val="756931CD"/>
    <w:rsid w:val="758F9DE4"/>
    <w:rsid w:val="75A90C8C"/>
    <w:rsid w:val="75ECC5DF"/>
    <w:rsid w:val="7643FDEF"/>
    <w:rsid w:val="7648FAD8"/>
    <w:rsid w:val="764D1CC0"/>
    <w:rsid w:val="76591006"/>
    <w:rsid w:val="76595252"/>
    <w:rsid w:val="7673FBCE"/>
    <w:rsid w:val="7689F119"/>
    <w:rsid w:val="76C443DF"/>
    <w:rsid w:val="77057D37"/>
    <w:rsid w:val="770E11CC"/>
    <w:rsid w:val="771D4544"/>
    <w:rsid w:val="7728434C"/>
    <w:rsid w:val="7742E09B"/>
    <w:rsid w:val="774FBE92"/>
    <w:rsid w:val="775308BB"/>
    <w:rsid w:val="77565119"/>
    <w:rsid w:val="775D4185"/>
    <w:rsid w:val="7769E4C4"/>
    <w:rsid w:val="7793B424"/>
    <w:rsid w:val="779E892A"/>
    <w:rsid w:val="77C213D4"/>
    <w:rsid w:val="77C2941C"/>
    <w:rsid w:val="77D8AB13"/>
    <w:rsid w:val="7802505A"/>
    <w:rsid w:val="78231574"/>
    <w:rsid w:val="78238C24"/>
    <w:rsid w:val="783CB93C"/>
    <w:rsid w:val="78776A35"/>
    <w:rsid w:val="787FC862"/>
    <w:rsid w:val="78BF0A08"/>
    <w:rsid w:val="78C6E69D"/>
    <w:rsid w:val="78C7E73B"/>
    <w:rsid w:val="78D587FE"/>
    <w:rsid w:val="78D8B6D0"/>
    <w:rsid w:val="792C1556"/>
    <w:rsid w:val="7988AC10"/>
    <w:rsid w:val="79B281F7"/>
    <w:rsid w:val="79B576C1"/>
    <w:rsid w:val="79E89AF4"/>
    <w:rsid w:val="79EDE96F"/>
    <w:rsid w:val="79FE784D"/>
    <w:rsid w:val="7A76C052"/>
    <w:rsid w:val="7A8BE372"/>
    <w:rsid w:val="7AAE6F4B"/>
    <w:rsid w:val="7ABBD64C"/>
    <w:rsid w:val="7AC982C7"/>
    <w:rsid w:val="7ADF16BB"/>
    <w:rsid w:val="7AEEEF0C"/>
    <w:rsid w:val="7B237A4B"/>
    <w:rsid w:val="7B459159"/>
    <w:rsid w:val="7B46E958"/>
    <w:rsid w:val="7BA296E5"/>
    <w:rsid w:val="7BB6D1AC"/>
    <w:rsid w:val="7BC62936"/>
    <w:rsid w:val="7BC678EC"/>
    <w:rsid w:val="7BDE963F"/>
    <w:rsid w:val="7BE11BAD"/>
    <w:rsid w:val="7BF630C4"/>
    <w:rsid w:val="7BF88B42"/>
    <w:rsid w:val="7C0296E3"/>
    <w:rsid w:val="7C193E7C"/>
    <w:rsid w:val="7C19D2FB"/>
    <w:rsid w:val="7C2BED76"/>
    <w:rsid w:val="7C5579D3"/>
    <w:rsid w:val="7C600372"/>
    <w:rsid w:val="7C6A22D8"/>
    <w:rsid w:val="7C78FBF4"/>
    <w:rsid w:val="7C974FD5"/>
    <w:rsid w:val="7CC628FD"/>
    <w:rsid w:val="7CD5C5ED"/>
    <w:rsid w:val="7D5AC169"/>
    <w:rsid w:val="7D609486"/>
    <w:rsid w:val="7D68BEE7"/>
    <w:rsid w:val="7D741B9C"/>
    <w:rsid w:val="7D82859A"/>
    <w:rsid w:val="7D9EECC8"/>
    <w:rsid w:val="7DB1CBF2"/>
    <w:rsid w:val="7DE2A0DE"/>
    <w:rsid w:val="7E0AD903"/>
    <w:rsid w:val="7E256CE4"/>
    <w:rsid w:val="7E2AB127"/>
    <w:rsid w:val="7E33D90E"/>
    <w:rsid w:val="7E78CFFD"/>
    <w:rsid w:val="7ECB431D"/>
    <w:rsid w:val="7EDC56B6"/>
    <w:rsid w:val="7F22BCC6"/>
    <w:rsid w:val="7F2FEE2E"/>
    <w:rsid w:val="7F35619B"/>
    <w:rsid w:val="7F530754"/>
    <w:rsid w:val="7F67D898"/>
    <w:rsid w:val="7F6FDE4B"/>
    <w:rsid w:val="7F9E3A91"/>
    <w:rsid w:val="7F9F6541"/>
    <w:rsid w:val="7FE0D3A0"/>
    <w:rsid w:val="7FF98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9E3D3"/>
  <w15:docId w15:val="{339FA4E1-B2D4-41A8-9BC5-248E0830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paragraph" w:styleId="Heading8">
    <w:name w:val="heading 8"/>
    <w:basedOn w:val="Normal"/>
    <w:next w:val="Normal"/>
    <w:link w:val="Heading8Char"/>
    <w:uiPriority w:val="9"/>
    <w:unhideWhenUsed/>
    <w:qFormat/>
    <w:rsid w:val="3619CD0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619CD0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8A1"/>
    <w:rPr>
      <w:color w:val="0000FF"/>
      <w:u w:val="single"/>
      <w:shd w:val="clear" w:color="auto" w:fill="auto"/>
    </w:rPr>
  </w:style>
  <w:style w:type="paragraph" w:styleId="Caption">
    <w:name w:val="caption"/>
    <w:basedOn w:val="Normal"/>
    <w:next w:val="Normal"/>
    <w:uiPriority w:val="35"/>
    <w:semiHidden/>
    <w:unhideWhenUsed/>
    <w:qFormat/>
    <w:rsid w:val="3619CD0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3619CD0F"/>
    <w:pPr>
      <w:spacing w:after="0"/>
    </w:pPr>
  </w:style>
  <w:style w:type="paragraph" w:styleId="ListBullet">
    <w:name w:val="List Bullet"/>
    <w:basedOn w:val="Normal"/>
    <w:uiPriority w:val="99"/>
    <w:semiHidden/>
    <w:unhideWhenUsed/>
    <w:rsid w:val="3619CD0F"/>
    <w:pPr>
      <w:numPr>
        <w:numId w:val="1"/>
      </w:numPr>
      <w:contextualSpacing/>
    </w:pPr>
  </w:style>
  <w:style w:type="paragraph" w:styleId="ListBullet2">
    <w:name w:val="List Bullet 2"/>
    <w:basedOn w:val="Normal"/>
    <w:uiPriority w:val="99"/>
    <w:semiHidden/>
    <w:unhideWhenUsed/>
    <w:rsid w:val="3619CD0F"/>
    <w:pPr>
      <w:numPr>
        <w:numId w:val="2"/>
      </w:numPr>
      <w:contextualSpacing/>
    </w:pPr>
  </w:style>
  <w:style w:type="paragraph" w:styleId="ListBullet3">
    <w:name w:val="List Bullet 3"/>
    <w:basedOn w:val="Normal"/>
    <w:uiPriority w:val="99"/>
    <w:semiHidden/>
    <w:unhideWhenUsed/>
    <w:rsid w:val="3619CD0F"/>
    <w:pPr>
      <w:numPr>
        <w:numId w:val="3"/>
      </w:numPr>
      <w:contextualSpacing/>
    </w:pPr>
  </w:style>
  <w:style w:type="paragraph" w:styleId="ListBullet4">
    <w:name w:val="List Bullet 4"/>
    <w:basedOn w:val="Normal"/>
    <w:uiPriority w:val="99"/>
    <w:semiHidden/>
    <w:unhideWhenUsed/>
    <w:rsid w:val="3619CD0F"/>
    <w:pPr>
      <w:numPr>
        <w:numId w:val="4"/>
      </w:numPr>
      <w:contextualSpacing/>
    </w:pPr>
  </w:style>
  <w:style w:type="paragraph" w:styleId="ListNumber">
    <w:name w:val="List Number"/>
    <w:basedOn w:val="Normal"/>
    <w:uiPriority w:val="99"/>
    <w:semiHidden/>
    <w:unhideWhenUsed/>
    <w:rsid w:val="3619CD0F"/>
    <w:pPr>
      <w:numPr>
        <w:numId w:val="5"/>
      </w:numPr>
      <w:contextualSpacing/>
    </w:pPr>
  </w:style>
  <w:style w:type="paragraph" w:styleId="ListNumber2">
    <w:name w:val="List Number 2"/>
    <w:basedOn w:val="Normal"/>
    <w:uiPriority w:val="99"/>
    <w:semiHidden/>
    <w:unhideWhenUsed/>
    <w:rsid w:val="3619CD0F"/>
    <w:pPr>
      <w:numPr>
        <w:numId w:val="6"/>
      </w:numPr>
      <w:contextualSpacing/>
    </w:pPr>
  </w:style>
  <w:style w:type="paragraph" w:styleId="ListNumber3">
    <w:name w:val="List Number 3"/>
    <w:basedOn w:val="Normal"/>
    <w:uiPriority w:val="99"/>
    <w:semiHidden/>
    <w:unhideWhenUsed/>
    <w:rsid w:val="3619CD0F"/>
    <w:pPr>
      <w:numPr>
        <w:numId w:val="7"/>
      </w:numPr>
      <w:contextualSpacing/>
    </w:pPr>
  </w:style>
  <w:style w:type="paragraph" w:styleId="ListNumber4">
    <w:name w:val="List Number 4"/>
    <w:basedOn w:val="Normal"/>
    <w:uiPriority w:val="99"/>
    <w:semiHidden/>
    <w:unhideWhenUsed/>
    <w:rsid w:val="3619CD0F"/>
    <w:pPr>
      <w:numPr>
        <w:numId w:val="8"/>
      </w:numPr>
      <w:contextualSpacing/>
    </w:pPr>
  </w:style>
  <w:style w:type="character" w:styleId="CommentReference">
    <w:name w:val="annotation reference"/>
    <w:basedOn w:val="DefaultParagraphFont"/>
    <w:uiPriority w:val="99"/>
    <w:semiHidden/>
    <w:unhideWhenUsed/>
    <w:rsid w:val="008D563B"/>
    <w:rPr>
      <w:sz w:val="16"/>
      <w:szCs w:val="16"/>
    </w:rPr>
  </w:style>
  <w:style w:type="paragraph" w:styleId="CommentText">
    <w:name w:val="annotation text"/>
    <w:basedOn w:val="Normal"/>
    <w:link w:val="CommentTextChar"/>
    <w:uiPriority w:val="99"/>
    <w:unhideWhenUsed/>
    <w:rsid w:val="3619CD0F"/>
    <w:rPr>
      <w:sz w:val="20"/>
      <w:szCs w:val="20"/>
    </w:rPr>
  </w:style>
  <w:style w:type="character" w:customStyle="1" w:styleId="CommentTextChar">
    <w:name w:val="Comment Text Char"/>
    <w:basedOn w:val="DefaultParagraphFont"/>
    <w:link w:val="CommentText"/>
    <w:uiPriority w:val="99"/>
    <w:rsid w:val="3619CD0F"/>
    <w:rPr>
      <w:rFonts w:ascii="Times New Roman" w:eastAsiaTheme="minorEastAsia" w:hAnsi="Times New Roman" w:cs="Times New Roman"/>
      <w:noProof w:val="0"/>
      <w:sz w:val="20"/>
      <w:szCs w:val="20"/>
      <w:lang w:val="en-GB"/>
    </w:rPr>
  </w:style>
  <w:style w:type="paragraph" w:styleId="CommentSubject">
    <w:name w:val="annotation subject"/>
    <w:basedOn w:val="CommentText"/>
    <w:next w:val="CommentText"/>
    <w:link w:val="CommentSubjectChar"/>
    <w:uiPriority w:val="99"/>
    <w:semiHidden/>
    <w:unhideWhenUsed/>
    <w:rsid w:val="3619CD0F"/>
    <w:rPr>
      <w:b/>
      <w:bCs/>
    </w:rPr>
  </w:style>
  <w:style w:type="character" w:customStyle="1" w:styleId="CommentSubjectChar">
    <w:name w:val="Comment Subject Char"/>
    <w:basedOn w:val="CommentTextChar"/>
    <w:link w:val="CommentSubject"/>
    <w:uiPriority w:val="99"/>
    <w:semiHidden/>
    <w:rsid w:val="3619CD0F"/>
    <w:rPr>
      <w:rFonts w:ascii="Times New Roman" w:eastAsiaTheme="minorEastAsia" w:hAnsi="Times New Roman" w:cs="Times New Roman"/>
      <w:b/>
      <w:bCs/>
      <w:noProof w:val="0"/>
      <w:sz w:val="20"/>
      <w:szCs w:val="20"/>
      <w:lang w:val="en-GB"/>
    </w:rPr>
  </w:style>
  <w:style w:type="paragraph" w:styleId="BalloonText">
    <w:name w:val="Balloon Text"/>
    <w:basedOn w:val="Normal"/>
    <w:link w:val="BalloonTextChar"/>
    <w:uiPriority w:val="99"/>
    <w:semiHidden/>
    <w:unhideWhenUsed/>
    <w:rsid w:val="3619CD0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3619CD0F"/>
    <w:rPr>
      <w:rFonts w:ascii="Segoe UI" w:eastAsiaTheme="minorEastAsia" w:hAnsi="Segoe UI" w:cs="Segoe UI"/>
      <w:noProof w:val="0"/>
      <w:sz w:val="18"/>
      <w:szCs w:val="18"/>
      <w:lang w:val="en-GB"/>
    </w:rPr>
  </w:style>
  <w:style w:type="character" w:customStyle="1" w:styleId="normaltextrun">
    <w:name w:val="normaltextrun"/>
    <w:basedOn w:val="DefaultParagraphFont"/>
    <w:rsid w:val="008D563B"/>
  </w:style>
  <w:style w:type="character" w:customStyle="1" w:styleId="eop">
    <w:name w:val="eop"/>
    <w:basedOn w:val="DefaultParagraphFont"/>
    <w:rsid w:val="008D563B"/>
  </w:style>
  <w:style w:type="character" w:styleId="Emphasis">
    <w:name w:val="Emphasis"/>
    <w:basedOn w:val="DefaultParagraphFont"/>
    <w:uiPriority w:val="20"/>
    <w:qFormat/>
    <w:rsid w:val="0096753A"/>
    <w:rPr>
      <w:i/>
      <w:iCs/>
    </w:rPr>
  </w:style>
  <w:style w:type="character" w:styleId="Strong">
    <w:name w:val="Strong"/>
    <w:basedOn w:val="DefaultParagraphFont"/>
    <w:uiPriority w:val="22"/>
    <w:qFormat/>
    <w:rsid w:val="002B737E"/>
    <w:rPr>
      <w:b/>
      <w:bCs/>
    </w:rPr>
  </w:style>
  <w:style w:type="paragraph" w:styleId="Revision">
    <w:name w:val="Revision"/>
    <w:hidden/>
    <w:uiPriority w:val="99"/>
    <w:semiHidden/>
    <w:rsid w:val="00216F37"/>
    <w:pPr>
      <w:spacing w:after="0" w:line="240" w:lineRule="auto"/>
    </w:pPr>
    <w:rPr>
      <w:rFonts w:ascii="Times New Roman" w:hAnsi="Times New Roman" w:cs="Times New Roman"/>
      <w:sz w:val="24"/>
      <w:lang w:val="en-GB"/>
    </w:rPr>
  </w:style>
  <w:style w:type="paragraph" w:customStyle="1" w:styleId="Body">
    <w:name w:val="Body"/>
    <w:basedOn w:val="Normal"/>
    <w:link w:val="BodyChar"/>
    <w:uiPriority w:val="1"/>
    <w:qFormat/>
    <w:rsid w:val="3619CD0F"/>
    <w:pPr>
      <w:spacing w:before="0" w:after="240"/>
      <w:jc w:val="left"/>
    </w:pPr>
    <w:rPr>
      <w:rFonts w:ascii="Verdana" w:eastAsia="Times New Roman" w:hAnsi="Verdana"/>
      <w:sz w:val="18"/>
      <w:szCs w:val="18"/>
    </w:rPr>
  </w:style>
  <w:style w:type="character" w:customStyle="1" w:styleId="BodyChar">
    <w:name w:val="Body Char"/>
    <w:link w:val="Body"/>
    <w:uiPriority w:val="1"/>
    <w:rsid w:val="3619CD0F"/>
    <w:rPr>
      <w:rFonts w:ascii="Verdana" w:eastAsia="Times New Roman" w:hAnsi="Verdana" w:cs="Times New Roman"/>
      <w:noProof w:val="0"/>
      <w:sz w:val="18"/>
      <w:szCs w:val="18"/>
      <w:lang w:val="en-GB"/>
    </w:rPr>
  </w:style>
  <w:style w:type="paragraph" w:customStyle="1" w:styleId="Footnotesymbol">
    <w:name w:val="Footnote symbol"/>
    <w:basedOn w:val="Normal"/>
    <w:uiPriority w:val="99"/>
    <w:qFormat/>
    <w:rsid w:val="3619CD0F"/>
    <w:pPr>
      <w:spacing w:before="0" w:after="160"/>
    </w:pPr>
    <w:rPr>
      <w:vertAlign w:val="superscript"/>
    </w:rPr>
  </w:style>
  <w:style w:type="character" w:customStyle="1" w:styleId="Hyperlink0">
    <w:name w:val="Hyperlink.0"/>
    <w:basedOn w:val="DefaultParagraphFont"/>
    <w:rsid w:val="00CC74D9"/>
    <w:rPr>
      <w:color w:val="0000FF"/>
      <w:sz w:val="16"/>
      <w:szCs w:val="16"/>
      <w:u w:val="single" w:color="0000FF"/>
      <w14:textOutline w14:w="0" w14:cap="rnd" w14:cmpd="sng" w14:algn="ctr">
        <w14:noFill/>
        <w14:prstDash w14:val="solid"/>
        <w14:bevel/>
      </w14:textOutline>
    </w:rPr>
  </w:style>
  <w:style w:type="character" w:customStyle="1" w:styleId="Hyperlink3">
    <w:name w:val="Hyperlink.3"/>
    <w:basedOn w:val="DefaultParagraphFont"/>
    <w:rsid w:val="00CC74D9"/>
    <w:rPr>
      <w:color w:val="0000FF"/>
      <w:sz w:val="16"/>
      <w:szCs w:val="16"/>
      <w:u w:val="single" w:color="0000FF"/>
      <w14:textOutline w14:w="0" w14:cap="rnd" w14:cmpd="sng" w14:algn="ctr">
        <w14:noFill/>
        <w14:prstDash w14:val="solid"/>
        <w14:bevel/>
      </w14:textOutline>
    </w:rPr>
  </w:style>
  <w:style w:type="paragraph" w:styleId="ListParagraph">
    <w:name w:val="List Paragraph"/>
    <w:basedOn w:val="Normal"/>
    <w:link w:val="ListParagraphChar"/>
    <w:uiPriority w:val="34"/>
    <w:qFormat/>
    <w:rsid w:val="3619CD0F"/>
    <w:pPr>
      <w:spacing w:before="0" w:after="160"/>
      <w:ind w:left="720"/>
      <w:contextualSpacing/>
      <w:jc w:val="left"/>
    </w:pPr>
    <w:rPr>
      <w:sz w:val="22"/>
    </w:rPr>
  </w:style>
  <w:style w:type="character" w:customStyle="1" w:styleId="ListParagraphChar">
    <w:name w:val="List Paragraph Char"/>
    <w:link w:val="ListParagraph"/>
    <w:uiPriority w:val="34"/>
    <w:rsid w:val="3619CD0F"/>
    <w:rPr>
      <w:noProof w:val="0"/>
      <w:lang w:val="en-GB"/>
    </w:rPr>
  </w:style>
  <w:style w:type="paragraph" w:customStyle="1" w:styleId="bodytext">
    <w:name w:val="bodytext"/>
    <w:basedOn w:val="Normal"/>
    <w:uiPriority w:val="1"/>
    <w:rsid w:val="3619CD0F"/>
    <w:pPr>
      <w:spacing w:beforeAutospacing="1" w:afterAutospacing="1"/>
      <w:jc w:val="left"/>
    </w:pPr>
    <w:rPr>
      <w:rFonts w:eastAsia="Times New Roman"/>
      <w:lang w:eastAsia="en-GB"/>
    </w:rPr>
  </w:style>
  <w:style w:type="paragraph" w:customStyle="1" w:styleId="paragraph">
    <w:name w:val="paragraph"/>
    <w:basedOn w:val="Normal"/>
    <w:uiPriority w:val="1"/>
    <w:rsid w:val="3619CD0F"/>
    <w:pPr>
      <w:spacing w:beforeAutospacing="1" w:afterAutospacing="1"/>
      <w:jc w:val="left"/>
    </w:pPr>
    <w:rPr>
      <w:rFonts w:eastAsia="Times New Roman"/>
      <w:lang w:val="en-US"/>
    </w:rPr>
  </w:style>
  <w:style w:type="paragraph" w:customStyle="1" w:styleId="LegalNumPar">
    <w:name w:val="LegalNumPar"/>
    <w:basedOn w:val="Normal"/>
    <w:link w:val="LegalNumParChar"/>
    <w:uiPriority w:val="1"/>
    <w:qFormat/>
    <w:rsid w:val="3619CD0F"/>
    <w:pPr>
      <w:spacing w:before="0"/>
    </w:pPr>
    <w:rPr>
      <w:rFonts w:eastAsia="Times New Roman"/>
      <w:lang w:eastAsia="en-GB"/>
    </w:rPr>
  </w:style>
  <w:style w:type="character" w:customStyle="1" w:styleId="LegalNumParChar">
    <w:name w:val="LegalNumPar Char"/>
    <w:basedOn w:val="DefaultParagraphFont"/>
    <w:link w:val="LegalNumPar"/>
    <w:uiPriority w:val="1"/>
    <w:rsid w:val="3619CD0F"/>
    <w:rPr>
      <w:rFonts w:ascii="Times New Roman" w:eastAsia="Times New Roman" w:hAnsi="Times New Roman" w:cs="Times New Roman"/>
      <w:noProof w:val="0"/>
      <w:sz w:val="24"/>
      <w:szCs w:val="24"/>
      <w:lang w:val="en-GB" w:eastAsia="en-GB"/>
    </w:rPr>
  </w:style>
  <w:style w:type="character" w:styleId="FollowedHyperlink">
    <w:name w:val="FollowedHyperlink"/>
    <w:basedOn w:val="DefaultParagraphFont"/>
    <w:uiPriority w:val="99"/>
    <w:semiHidden/>
    <w:unhideWhenUsed/>
    <w:rsid w:val="00910A57"/>
    <w:rPr>
      <w:color w:val="800080" w:themeColor="followedHyperlink"/>
      <w:u w:val="single"/>
    </w:rPr>
  </w:style>
  <w:style w:type="paragraph" w:styleId="NoSpacing">
    <w:name w:val="No Spacing"/>
    <w:uiPriority w:val="1"/>
    <w:qFormat/>
    <w:rsid w:val="00F154DF"/>
    <w:pPr>
      <w:spacing w:after="0" w:line="240" w:lineRule="auto"/>
      <w:jc w:val="both"/>
    </w:pPr>
    <w:rPr>
      <w:rFonts w:ascii="Times New Roman" w:hAnsi="Times New Roman" w:cs="Times New Roman"/>
      <w:sz w:val="24"/>
      <w:lang w:val="en-GB"/>
    </w:rPr>
  </w:style>
  <w:style w:type="paragraph" w:styleId="NormalWeb">
    <w:name w:val="Normal (Web)"/>
    <w:basedOn w:val="Normal"/>
    <w:uiPriority w:val="99"/>
    <w:semiHidden/>
    <w:unhideWhenUsed/>
    <w:rsid w:val="3619CD0F"/>
  </w:style>
  <w:style w:type="character" w:customStyle="1" w:styleId="ui-provider">
    <w:name w:val="ui-provider"/>
    <w:basedOn w:val="DefaultParagraphFont"/>
    <w:rsid w:val="00D06067"/>
  </w:style>
  <w:style w:type="paragraph" w:styleId="Title">
    <w:name w:val="Title"/>
    <w:basedOn w:val="Normal"/>
    <w:next w:val="Normal"/>
    <w:link w:val="TitleChar"/>
    <w:uiPriority w:val="10"/>
    <w:qFormat/>
    <w:rsid w:val="3619CD0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619CD0F"/>
    <w:rPr>
      <w:rFonts w:eastAsiaTheme="minorEastAsia"/>
      <w:color w:val="5A5A5A"/>
    </w:rPr>
  </w:style>
  <w:style w:type="paragraph" w:styleId="Quote">
    <w:name w:val="Quote"/>
    <w:basedOn w:val="Normal"/>
    <w:next w:val="Normal"/>
    <w:link w:val="QuoteChar"/>
    <w:uiPriority w:val="29"/>
    <w:qFormat/>
    <w:rsid w:val="3619CD0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619CD0F"/>
    <w:pPr>
      <w:spacing w:before="360" w:after="360"/>
      <w:ind w:left="864" w:right="864"/>
      <w:jc w:val="center"/>
    </w:pPr>
    <w:rPr>
      <w:i/>
      <w:iCs/>
      <w:color w:val="4F81BD" w:themeColor="accent1"/>
    </w:rPr>
  </w:style>
  <w:style w:type="character" w:customStyle="1" w:styleId="Heading8Char">
    <w:name w:val="Heading 8 Char"/>
    <w:basedOn w:val="DefaultParagraphFont"/>
    <w:link w:val="Heading8"/>
    <w:uiPriority w:val="9"/>
    <w:rsid w:val="3619CD0F"/>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619CD0F"/>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619CD0F"/>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619CD0F"/>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619CD0F"/>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619CD0F"/>
    <w:rPr>
      <w:i/>
      <w:iCs/>
      <w:noProof w:val="0"/>
      <w:color w:val="4F81BD" w:themeColor="accent1"/>
      <w:lang w:val="en-GB"/>
    </w:rPr>
  </w:style>
  <w:style w:type="paragraph" w:styleId="EndnoteText">
    <w:name w:val="endnote text"/>
    <w:basedOn w:val="Normal"/>
    <w:link w:val="EndnoteTextChar"/>
    <w:uiPriority w:val="99"/>
    <w:semiHidden/>
    <w:unhideWhenUsed/>
    <w:rsid w:val="3619CD0F"/>
    <w:pPr>
      <w:spacing w:after="0"/>
    </w:pPr>
    <w:rPr>
      <w:sz w:val="20"/>
      <w:szCs w:val="20"/>
    </w:rPr>
  </w:style>
  <w:style w:type="character" w:customStyle="1" w:styleId="EndnoteTextChar">
    <w:name w:val="Endnote Text Char"/>
    <w:basedOn w:val="DefaultParagraphFont"/>
    <w:link w:val="EndnoteText"/>
    <w:uiPriority w:val="99"/>
    <w:semiHidden/>
    <w:rsid w:val="3619CD0F"/>
    <w:rPr>
      <w:noProof w:val="0"/>
      <w:sz w:val="20"/>
      <w:szCs w:val="20"/>
      <w:lang w:val="en-GB"/>
    </w:rPr>
  </w:style>
  <w:style w:type="table" w:styleId="TableGrid">
    <w:name w:val="Table Grid"/>
    <w:basedOn w:val="TableNormal"/>
    <w:uiPriority w:val="59"/>
    <w:rsid w:val="003741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3B6DB4"/>
    <w:rPr>
      <w:color w:val="605E5C"/>
      <w:shd w:val="clear" w:color="auto" w:fill="E1DFDD"/>
    </w:rPr>
  </w:style>
  <w:style w:type="paragraph" w:customStyle="1" w:styleId="Pp">
    <w:name w:val="Pp"/>
    <w:basedOn w:val="Point0letter"/>
    <w:rsid w:val="0078163E"/>
  </w:style>
  <w:style w:type="character" w:customStyle="1" w:styleId="Footnote1">
    <w:name w:val="Footnote|1_"/>
    <w:link w:val="Footnote10"/>
    <w:rsid w:val="00BD4149"/>
    <w:rPr>
      <w:sz w:val="20"/>
      <w:szCs w:val="20"/>
    </w:rPr>
  </w:style>
  <w:style w:type="paragraph" w:customStyle="1" w:styleId="Footnote10">
    <w:name w:val="Footnote|1"/>
    <w:basedOn w:val="Normal"/>
    <w:link w:val="Footnote1"/>
    <w:rsid w:val="00BD4149"/>
    <w:pPr>
      <w:widowControl w:val="0"/>
      <w:spacing w:before="0" w:after="0"/>
      <w:ind w:left="740"/>
      <w:jc w:val="left"/>
    </w:pPr>
    <w:rPr>
      <w:rFonts w:asciiTheme="minorHAnsi" w:hAnsiTheme="minorHAnsi" w:cstheme="minorBidi"/>
      <w:sz w:val="20"/>
      <w:szCs w:val="20"/>
      <w:lang w:val="en-US"/>
    </w:rPr>
  </w:style>
  <w:style w:type="paragraph" w:styleId="Header">
    <w:name w:val="header"/>
    <w:basedOn w:val="Normal"/>
    <w:link w:val="HeaderChar"/>
    <w:uiPriority w:val="99"/>
    <w:unhideWhenUsed/>
    <w:rsid w:val="00E2216B"/>
    <w:pPr>
      <w:tabs>
        <w:tab w:val="center" w:pos="4535"/>
        <w:tab w:val="right" w:pos="9071"/>
      </w:tabs>
      <w:spacing w:before="0"/>
    </w:pPr>
  </w:style>
  <w:style w:type="character" w:customStyle="1" w:styleId="HeaderChar">
    <w:name w:val="Header Char"/>
    <w:basedOn w:val="DefaultParagraphFont"/>
    <w:link w:val="Header"/>
    <w:uiPriority w:val="99"/>
    <w:rsid w:val="00E2216B"/>
    <w:rPr>
      <w:rFonts w:ascii="Times New Roman" w:hAnsi="Times New Roman" w:cs="Times New Roman"/>
      <w:sz w:val="24"/>
      <w:lang w:val="en-GB"/>
    </w:rPr>
  </w:style>
  <w:style w:type="paragraph" w:styleId="Footer">
    <w:name w:val="footer"/>
    <w:basedOn w:val="Normal"/>
    <w:link w:val="FooterChar"/>
    <w:uiPriority w:val="99"/>
    <w:unhideWhenUsed/>
    <w:rsid w:val="00E2216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2216B"/>
    <w:rPr>
      <w:rFonts w:ascii="Times New Roman" w:hAnsi="Times New Roman" w:cs="Times New Roman"/>
      <w:sz w:val="24"/>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2216B"/>
    <w:pPr>
      <w:tabs>
        <w:tab w:val="center" w:pos="7285"/>
        <w:tab w:val="right" w:pos="14003"/>
      </w:tabs>
      <w:spacing w:before="0"/>
    </w:pPr>
  </w:style>
  <w:style w:type="paragraph" w:customStyle="1" w:styleId="FooterLandscape">
    <w:name w:val="FooterLandscape"/>
    <w:basedOn w:val="Normal"/>
    <w:rsid w:val="00E2216B"/>
    <w:pPr>
      <w:tabs>
        <w:tab w:val="center" w:pos="7285"/>
        <w:tab w:val="center" w:pos="10913"/>
        <w:tab w:val="right" w:pos="15137"/>
      </w:tabs>
      <w:spacing w:before="360" w:after="0"/>
      <w:ind w:left="-567" w:right="-567"/>
      <w:jc w:val="left"/>
    </w:pPr>
  </w:style>
  <w:style w:type="character" w:styleId="FootnoteReference">
    <w:name w:val="footnote reference"/>
    <w:aliases w:val="Ref,de nota al pie,Ref1,de nota al pie1,Ref2,de nota al pie2,Ref11,de nota al pie11,Source Reference,SUPERS,number,Footnote reference number,note TESI,-E Fußnotenzeichen,Footnote,Times 10 Point,no...,E,Nota,ftref"/>
    <w:basedOn w:val="DefaultParagraphFont"/>
    <w:link w:val="CharCharChar1"/>
    <w:uiPriority w:val="99"/>
    <w:unhideWhenUsed/>
    <w:qFormat/>
    <w:rPr>
      <w:shd w:val="clear" w:color="auto" w:fill="auto"/>
      <w:vertAlign w:val="superscript"/>
    </w:rPr>
  </w:style>
  <w:style w:type="paragraph" w:customStyle="1" w:styleId="HeaderSensitivity">
    <w:name w:val="Header Sensitivity"/>
    <w:basedOn w:val="Normal"/>
    <w:rsid w:val="00E2216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2216B"/>
    <w:pPr>
      <w:spacing w:before="0"/>
      <w:jc w:val="right"/>
    </w:pPr>
    <w:rPr>
      <w:sz w:val="28"/>
    </w:rPr>
  </w:style>
  <w:style w:type="paragraph" w:customStyle="1" w:styleId="FooterSensitivity">
    <w:name w:val="Footer Sensitivity"/>
    <w:basedOn w:val="Normal"/>
    <w:rsid w:val="00E2216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777D8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CharCharChar1">
    <w:name w:val="Char Char Char1"/>
    <w:basedOn w:val="Normal"/>
    <w:link w:val="FootnoteReference"/>
    <w:uiPriority w:val="99"/>
    <w:rsid w:val="003852FF"/>
    <w:pPr>
      <w:spacing w:before="0" w:after="160" w:line="240" w:lineRule="exact"/>
    </w:pPr>
    <w:rPr>
      <w:rFonts w:asciiTheme="minorHAnsi" w:hAnsiTheme="minorHAnsi" w:cstheme="minorBidi"/>
      <w:sz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153688">
      <w:bodyDiv w:val="1"/>
      <w:marLeft w:val="0"/>
      <w:marRight w:val="0"/>
      <w:marTop w:val="0"/>
      <w:marBottom w:val="0"/>
      <w:divBdr>
        <w:top w:val="none" w:sz="0" w:space="0" w:color="auto"/>
        <w:left w:val="none" w:sz="0" w:space="0" w:color="auto"/>
        <w:bottom w:val="none" w:sz="0" w:space="0" w:color="auto"/>
        <w:right w:val="none" w:sz="0" w:space="0" w:color="auto"/>
      </w:divBdr>
      <w:divsChild>
        <w:div w:id="2141265437">
          <w:marLeft w:val="0"/>
          <w:marRight w:val="0"/>
          <w:marTop w:val="0"/>
          <w:marBottom w:val="0"/>
          <w:divBdr>
            <w:top w:val="none" w:sz="0" w:space="0" w:color="auto"/>
            <w:left w:val="none" w:sz="0" w:space="0" w:color="auto"/>
            <w:bottom w:val="none" w:sz="0" w:space="0" w:color="auto"/>
            <w:right w:val="none" w:sz="0" w:space="0" w:color="auto"/>
          </w:divBdr>
          <w:divsChild>
            <w:div w:id="495803892">
              <w:marLeft w:val="0"/>
              <w:marRight w:val="0"/>
              <w:marTop w:val="0"/>
              <w:marBottom w:val="0"/>
              <w:divBdr>
                <w:top w:val="none" w:sz="0" w:space="0" w:color="auto"/>
                <w:left w:val="none" w:sz="0" w:space="0" w:color="auto"/>
                <w:bottom w:val="none" w:sz="0" w:space="0" w:color="auto"/>
                <w:right w:val="none" w:sz="0" w:space="0" w:color="auto"/>
              </w:divBdr>
              <w:divsChild>
                <w:div w:id="5291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3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law/law-making-process/planning-and-proposing-law/better-regulation_en" TargetMode="External"/><Relationship Id="rId3" Type="http://schemas.openxmlformats.org/officeDocument/2006/relationships/hyperlink" Target="https://bit.ly/2YZgSzr" TargetMode="External"/><Relationship Id="rId7" Type="http://schemas.openxmlformats.org/officeDocument/2006/relationships/hyperlink" Target="https://www.esranet.eu/en/publications/" TargetMode="External"/><Relationship Id="rId2" Type="http://schemas.openxmlformats.org/officeDocument/2006/relationships/hyperlink" Target="https://eumos.eu/wp-content/uploads/2017/07/Valletta_Declaration_on_Improving_Road_Safety.pdf" TargetMode="External"/><Relationship Id="rId1" Type="http://schemas.openxmlformats.org/officeDocument/2006/relationships/hyperlink" Target="https://etsc.eu/covid-19-huge-drop-in-traffic-in-europe-but-impact-on-road-deaths-unclear/" TargetMode="External"/><Relationship Id="rId6" Type="http://schemas.openxmlformats.org/officeDocument/2006/relationships/hyperlink" Target="https://www.bast.de/Druid/EN/deliverales-list/downloads/Deliverable_4_2_1.pdf?__blob=publicationFile&amp;v=1" TargetMode="External"/><Relationship Id="rId5" Type="http://schemas.openxmlformats.org/officeDocument/2006/relationships/hyperlink" Target="https://www.bast.de/Druid/EN/deliverales-list/downloads/Deliverable_4_2_1.pdf?__blob=publicationFile&amp;v=1" TargetMode="External"/><Relationship Id="rId4" Type="http://schemas.openxmlformats.org/officeDocument/2006/relationships/hyperlink" Target="https://data.europa.eu/doi/10.2832/2845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7bd860-1739-4001-af8a-147771a6eb05">
      <UserInfo>
        <DisplayName>GRP-MOVE.C2 Members</DisplayName>
        <AccountId>8</AccountId>
        <AccountType/>
      </UserInfo>
    </SharedWithUsers>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923D-5886-4CC7-BB44-DB6D05B32FCA}">
  <ds:schemaRefs>
    <ds:schemaRef ds:uri="http://schemas.microsoft.com/sharepoint/v3/contenttype/forms"/>
  </ds:schemaRefs>
</ds:datastoreItem>
</file>

<file path=customXml/itemProps2.xml><?xml version="1.0" encoding="utf-8"?>
<ds:datastoreItem xmlns:ds="http://schemas.openxmlformats.org/officeDocument/2006/customXml" ds:itemID="{C8238D3C-F019-4588-A7F0-E7FC9E98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676BF-CE23-43C8-BC76-FEB5B35C4927}">
  <ds:schemaRefs>
    <ds:schemaRef ds:uri="http://schemas.microsoft.com/office/2006/metadata/properties"/>
    <ds:schemaRef ds:uri="http://schemas.microsoft.com/office/infopath/2007/PartnerControls"/>
    <ds:schemaRef ds:uri="ba7bd860-1739-4001-af8a-147771a6eb05"/>
    <ds:schemaRef ds:uri="a5835c61-ca2e-49ee-8dca-a76e9f0344a3"/>
  </ds:schemaRefs>
</ds:datastoreItem>
</file>

<file path=customXml/itemProps4.xml><?xml version="1.0" encoding="utf-8"?>
<ds:datastoreItem xmlns:ds="http://schemas.openxmlformats.org/officeDocument/2006/customXml" ds:itemID="{C186B616-3993-49EB-B1F4-8866139D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35</Pages>
  <Words>14677</Words>
  <Characters>76761</Characters>
  <Application>Microsoft Office Word</Application>
  <DocSecurity>0</DocSecurity>
  <Lines>1705</Lines>
  <Paragraphs>862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90576</CharactersWithSpaces>
  <SharedDoc>false</SharedDoc>
  <HLinks>
    <vt:vector size="108" baseType="variant">
      <vt:variant>
        <vt:i4>7012472</vt:i4>
      </vt:variant>
      <vt:variant>
        <vt:i4>51</vt:i4>
      </vt:variant>
      <vt:variant>
        <vt:i4>0</vt:i4>
      </vt:variant>
      <vt:variant>
        <vt:i4>5</vt:i4>
      </vt:variant>
      <vt:variant>
        <vt:lpwstr>https://eur-lex.europa.eu/legal-content/EN/TXT/?uri=CELEX%3A32012R0383</vt:lpwstr>
      </vt:variant>
      <vt:variant>
        <vt:lpwstr/>
      </vt:variant>
      <vt:variant>
        <vt:i4>7602215</vt:i4>
      </vt:variant>
      <vt:variant>
        <vt:i4>48</vt:i4>
      </vt:variant>
      <vt:variant>
        <vt:i4>0</vt:i4>
      </vt:variant>
      <vt:variant>
        <vt:i4>5</vt:i4>
      </vt:variant>
      <vt:variant>
        <vt:lpwstr>https://eur-lex.europa.eu/eli/reg/2018/1725/oj</vt:lpwstr>
      </vt:variant>
      <vt:variant>
        <vt:lpwstr/>
      </vt:variant>
      <vt:variant>
        <vt:i4>7209085</vt:i4>
      </vt:variant>
      <vt:variant>
        <vt:i4>45</vt:i4>
      </vt:variant>
      <vt:variant>
        <vt:i4>0</vt:i4>
      </vt:variant>
      <vt:variant>
        <vt:i4>5</vt:i4>
      </vt:variant>
      <vt:variant>
        <vt:lpwstr>https://eur-lex.europa.eu/legal-content/en/TXT/?uri=CELEX%3A32019R2144</vt:lpwstr>
      </vt:variant>
      <vt:variant>
        <vt:lpwstr/>
      </vt:variant>
      <vt:variant>
        <vt:i4>786501</vt:i4>
      </vt:variant>
      <vt:variant>
        <vt:i4>42</vt:i4>
      </vt:variant>
      <vt:variant>
        <vt:i4>0</vt:i4>
      </vt:variant>
      <vt:variant>
        <vt:i4>5</vt:i4>
      </vt:variant>
      <vt:variant>
        <vt:lpwstr>https://eur-lex.europa.eu/legal-content/EN/TXT/?uri=CELEX:32015L0413</vt:lpwstr>
      </vt:variant>
      <vt:variant>
        <vt:lpwstr/>
      </vt:variant>
      <vt:variant>
        <vt:i4>4456520</vt:i4>
      </vt:variant>
      <vt:variant>
        <vt:i4>39</vt:i4>
      </vt:variant>
      <vt:variant>
        <vt:i4>0</vt:i4>
      </vt:variant>
      <vt:variant>
        <vt:i4>5</vt:i4>
      </vt:variant>
      <vt:variant>
        <vt:lpwstr>https://eur-lex.europa.eu/legal-content/EN/TXT/?uri=CELEX%3A12008E091</vt:lpwstr>
      </vt:variant>
      <vt:variant>
        <vt:lpwstr/>
      </vt:variant>
      <vt:variant>
        <vt:i4>7471229</vt:i4>
      </vt:variant>
      <vt:variant>
        <vt:i4>36</vt:i4>
      </vt:variant>
      <vt:variant>
        <vt:i4>0</vt:i4>
      </vt:variant>
      <vt:variant>
        <vt:i4>5</vt:i4>
      </vt:variant>
      <vt:variant>
        <vt:lpwstr>https://eur-lex.europa.eu/legal-content/EN/ALL/?uri=COM%3A2021%3A281%3AFIN</vt:lpwstr>
      </vt:variant>
      <vt:variant>
        <vt:lpwstr/>
      </vt:variant>
      <vt:variant>
        <vt:i4>6750318</vt:i4>
      </vt:variant>
      <vt:variant>
        <vt:i4>33</vt:i4>
      </vt:variant>
      <vt:variant>
        <vt:i4>0</vt:i4>
      </vt:variant>
      <vt:variant>
        <vt:i4>5</vt:i4>
      </vt:variant>
      <vt:variant>
        <vt:lpwstr>https://eur-lex.europa.eu/legal-content/EN/TXT/?uri=CELEX%3A02016R0679-20160504</vt:lpwstr>
      </vt:variant>
      <vt:variant>
        <vt:lpwstr/>
      </vt:variant>
      <vt:variant>
        <vt:i4>6881401</vt:i4>
      </vt:variant>
      <vt:variant>
        <vt:i4>30</vt:i4>
      </vt:variant>
      <vt:variant>
        <vt:i4>0</vt:i4>
      </vt:variant>
      <vt:variant>
        <vt:i4>5</vt:i4>
      </vt:variant>
      <vt:variant>
        <vt:lpwstr>https://eur-lex.europa.eu/legal-content/en/TXT/?uri=CELEX%3A32018R1725</vt:lpwstr>
      </vt:variant>
      <vt:variant>
        <vt:lpwstr/>
      </vt:variant>
      <vt:variant>
        <vt:i4>8126564</vt:i4>
      </vt:variant>
      <vt:variant>
        <vt:i4>27</vt:i4>
      </vt:variant>
      <vt:variant>
        <vt:i4>0</vt:i4>
      </vt:variant>
      <vt:variant>
        <vt:i4>5</vt:i4>
      </vt:variant>
      <vt:variant>
        <vt:lpwstr>https://eur-lex.europa.eu/legal-content/EN/TXT/?uri=CELEX%3A02003L0059-20190726</vt:lpwstr>
      </vt:variant>
      <vt:variant>
        <vt:lpwstr/>
      </vt:variant>
      <vt:variant>
        <vt:i4>8323175</vt:i4>
      </vt:variant>
      <vt:variant>
        <vt:i4>24</vt:i4>
      </vt:variant>
      <vt:variant>
        <vt:i4>0</vt:i4>
      </vt:variant>
      <vt:variant>
        <vt:i4>5</vt:i4>
      </vt:variant>
      <vt:variant>
        <vt:lpwstr>https://eur-lex.europa.eu/legal-content/EN/TXT/?uri=CELEX%3A01996L0053-20190814</vt:lpwstr>
      </vt:variant>
      <vt:variant>
        <vt:lpwstr/>
      </vt:variant>
      <vt:variant>
        <vt:i4>8126564</vt:i4>
      </vt:variant>
      <vt:variant>
        <vt:i4>21</vt:i4>
      </vt:variant>
      <vt:variant>
        <vt:i4>0</vt:i4>
      </vt:variant>
      <vt:variant>
        <vt:i4>5</vt:i4>
      </vt:variant>
      <vt:variant>
        <vt:lpwstr>https://eur-lex.europa.eu/legal-content/EN/TXT/?uri=CELEX%3A02003L0059-20190726</vt:lpwstr>
      </vt:variant>
      <vt:variant>
        <vt:lpwstr/>
      </vt:variant>
      <vt:variant>
        <vt:i4>7209085</vt:i4>
      </vt:variant>
      <vt:variant>
        <vt:i4>18</vt:i4>
      </vt:variant>
      <vt:variant>
        <vt:i4>0</vt:i4>
      </vt:variant>
      <vt:variant>
        <vt:i4>5</vt:i4>
      </vt:variant>
      <vt:variant>
        <vt:lpwstr>https://eur-lex.europa.eu/legal-content/en/TXT/?uri=CELEX%3A32019R2144</vt:lpwstr>
      </vt:variant>
      <vt:variant>
        <vt:lpwstr/>
      </vt:variant>
      <vt:variant>
        <vt:i4>7667745</vt:i4>
      </vt:variant>
      <vt:variant>
        <vt:i4>15</vt:i4>
      </vt:variant>
      <vt:variant>
        <vt:i4>0</vt:i4>
      </vt:variant>
      <vt:variant>
        <vt:i4>5</vt:i4>
      </vt:variant>
      <vt:variant>
        <vt:lpwstr>https://eur-lex.europa.eu/eli/dir/2022/2561/oj</vt:lpwstr>
      </vt:variant>
      <vt:variant>
        <vt:lpwstr/>
      </vt:variant>
      <vt:variant>
        <vt:i4>8257636</vt:i4>
      </vt:variant>
      <vt:variant>
        <vt:i4>12</vt:i4>
      </vt:variant>
      <vt:variant>
        <vt:i4>0</vt:i4>
      </vt:variant>
      <vt:variant>
        <vt:i4>5</vt:i4>
      </vt:variant>
      <vt:variant>
        <vt:lpwstr>https://eur-lex.europa.eu/legal-content/EN/TXT/?qid=1427192018025&amp;uri=CELEX:32015L0413</vt:lpwstr>
      </vt:variant>
      <vt:variant>
        <vt:lpwstr/>
      </vt:variant>
      <vt:variant>
        <vt:i4>1310779</vt:i4>
      </vt:variant>
      <vt:variant>
        <vt:i4>9</vt:i4>
      </vt:variant>
      <vt:variant>
        <vt:i4>0</vt:i4>
      </vt:variant>
      <vt:variant>
        <vt:i4>5</vt:i4>
      </vt:variant>
      <vt:variant>
        <vt:lpwstr>https://sdgs.un.org/</vt:lpwstr>
      </vt:variant>
      <vt:variant>
        <vt:lpwstr>goal_section</vt:lpwstr>
      </vt:variant>
      <vt:variant>
        <vt:i4>7471133</vt:i4>
      </vt:variant>
      <vt:variant>
        <vt:i4>6</vt:i4>
      </vt:variant>
      <vt:variant>
        <vt:i4>0</vt:i4>
      </vt:variant>
      <vt:variant>
        <vt:i4>5</vt:i4>
      </vt:variant>
      <vt:variant>
        <vt:lpwstr>https://commission.europa.eu/law/law-making-process/planning-and-proposing-law/better-regulation_en</vt:lpwstr>
      </vt:variant>
      <vt:variant>
        <vt:lpwstr/>
      </vt:variant>
      <vt:variant>
        <vt:i4>7929936</vt:i4>
      </vt:variant>
      <vt:variant>
        <vt:i4>3</vt:i4>
      </vt:variant>
      <vt:variant>
        <vt:i4>0</vt:i4>
      </vt:variant>
      <vt:variant>
        <vt:i4>5</vt:i4>
      </vt:variant>
      <vt:variant>
        <vt:lpwstr>https://www.europarl.europa.eu/doceo/document/TA-9-2021-0407_EN.pdf</vt:lpwstr>
      </vt:variant>
      <vt:variant>
        <vt:lpwstr/>
      </vt:variant>
      <vt:variant>
        <vt:i4>4980785</vt:i4>
      </vt:variant>
      <vt:variant>
        <vt:i4>0</vt:i4>
      </vt:variant>
      <vt:variant>
        <vt:i4>0</vt:i4>
      </vt:variant>
      <vt:variant>
        <vt:i4>5</vt:i4>
      </vt:variant>
      <vt:variant>
        <vt:lpwstr>https://eumos.eu/wp-content/uploads/2017/07/Valletta_Declaration_on_Improving_Road_Safety.pdf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PAREDES ECHAURI Cristina (SG)</cp:lastModifiedBy>
  <cp:revision>34</cp:revision>
  <cp:lastPrinted>2023-01-26T08:30:00Z</cp:lastPrinted>
  <dcterms:created xsi:type="dcterms:W3CDTF">2023-02-28T08:42:00Z</dcterms:created>
  <dcterms:modified xsi:type="dcterms:W3CDTF">2023-03-01T08:39:00Z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2022-12-15T10:03:00Z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8db2c959-09c2-4df1-a64f-56793357950a</vt:lpwstr>
  </property>
  <property fmtid="{D5CDD505-2E9C-101B-9397-08002B2CF9AE}" pid="16" name="MSIP_Label_6bd9ddd1-4d20-43f6-abfa-fc3c07406f94_ContentBits">
    <vt:lpwstr>0</vt:lpwstr>
  </property>
  <property fmtid="{D5CDD505-2E9C-101B-9397-08002B2CF9AE}" pid="17" name="ContentTypeId">
    <vt:lpwstr>0x0101008B18F24F2D4E8140A461B5DCD99F9D2E</vt:lpwstr>
  </property>
  <property fmtid="{D5CDD505-2E9C-101B-9397-08002B2CF9AE}" pid="18" name="MediaServiceImageTags">
    <vt:lpwstr/>
  </property>
  <property fmtid="{D5CDD505-2E9C-101B-9397-08002B2CF9AE}" pid="19" name="DQCStatus">
    <vt:lpwstr>Red (DQC version 03)</vt:lpwstr>
  </property>
</Properties>
</file>