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FB84" w14:textId="5D8A97AC" w:rsidR="00961DC4" w:rsidRPr="00A2667F" w:rsidRDefault="00AE2C3D" w:rsidP="00AE2C3D">
      <w:pPr>
        <w:pStyle w:val="Pagedecouverture"/>
        <w:rPr>
          <w:noProof/>
        </w:rPr>
      </w:pPr>
      <w:r>
        <w:rPr>
          <w:noProof/>
        </w:rPr>
        <w:pict w14:anchorId="452CA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44A2DEB-9F97-4E0D-B285-326428AD76FA" style="width:455.25pt;height:414pt">
            <v:imagedata r:id="rId7" o:title=""/>
          </v:shape>
        </w:pict>
      </w:r>
    </w:p>
    <w:p w14:paraId="2C56B9F1" w14:textId="77777777" w:rsidR="00961DC4" w:rsidRPr="00A2667F" w:rsidRDefault="00961DC4" w:rsidP="00961DC4">
      <w:pPr>
        <w:rPr>
          <w:noProof/>
        </w:rPr>
        <w:sectPr w:rsidR="00961DC4" w:rsidRPr="00A2667F" w:rsidSect="00AE2C3D">
          <w:footerReference w:type="default" r:id="rId8"/>
          <w:pgSz w:w="11907" w:h="16839"/>
          <w:pgMar w:top="1134" w:right="1417" w:bottom="1134" w:left="1417" w:header="709" w:footer="709" w:gutter="0"/>
          <w:pgNumType w:start="0"/>
          <w:cols w:space="720"/>
          <w:docGrid w:linePitch="360"/>
        </w:sectPr>
      </w:pPr>
    </w:p>
    <w:p w14:paraId="162814DD" w14:textId="77777777" w:rsidR="00961DC4" w:rsidRPr="00A2667F" w:rsidRDefault="00961DC4" w:rsidP="00961DC4">
      <w:pPr>
        <w:pStyle w:val="Exposdesmotifstitre"/>
        <w:rPr>
          <w:noProof/>
        </w:rPr>
      </w:pPr>
      <w:bookmarkStart w:id="0" w:name="_GoBack"/>
      <w:bookmarkEnd w:id="0"/>
      <w:r w:rsidRPr="00A2667F">
        <w:rPr>
          <w:noProof/>
        </w:rPr>
        <w:lastRenderedPageBreak/>
        <w:t>ОБЯСНИТЕЛЕН МЕМОРАНДУМ</w:t>
      </w:r>
    </w:p>
    <w:p w14:paraId="1AB5329C" w14:textId="77777777" w:rsidR="00961DC4" w:rsidRPr="00A2667F" w:rsidRDefault="00961DC4" w:rsidP="00961DC4">
      <w:pPr>
        <w:pStyle w:val="ManualHeading1"/>
        <w:ind w:left="0" w:firstLine="0"/>
        <w:rPr>
          <w:noProof/>
        </w:rPr>
      </w:pPr>
      <w:r w:rsidRPr="00A2667F">
        <w:rPr>
          <w:noProof/>
        </w:rPr>
        <w:t xml:space="preserve">1. </w:t>
      </w:r>
      <w:r w:rsidRPr="00A2667F">
        <w:rPr>
          <w:noProof/>
        </w:rPr>
        <w:tab/>
        <w:t>Предмет на предложението</w:t>
      </w:r>
    </w:p>
    <w:p w14:paraId="346359B9" w14:textId="77777777" w:rsidR="00961DC4" w:rsidRPr="00A2667F" w:rsidRDefault="00961DC4" w:rsidP="00961DC4">
      <w:pPr>
        <w:pStyle w:val="Text1"/>
        <w:ind w:left="0"/>
        <w:rPr>
          <w:noProof/>
        </w:rPr>
      </w:pPr>
      <w:r w:rsidRPr="00A2667F">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държавните поръчки във връзка с предвиденото приемане на решение на Комитета относно присъединяването на Северна Македония към Споразумението за държавните поръчки (СДП).</w:t>
      </w:r>
    </w:p>
    <w:p w14:paraId="6275D9E2" w14:textId="77777777" w:rsidR="00961DC4" w:rsidRPr="00A2667F" w:rsidRDefault="00961DC4" w:rsidP="00961DC4">
      <w:pPr>
        <w:pStyle w:val="ManualHeading1"/>
        <w:rPr>
          <w:noProof/>
        </w:rPr>
      </w:pPr>
      <w:r w:rsidRPr="00A2667F">
        <w:rPr>
          <w:noProof/>
        </w:rPr>
        <w:t xml:space="preserve">2. </w:t>
      </w:r>
      <w:r w:rsidRPr="00A2667F">
        <w:rPr>
          <w:noProof/>
        </w:rPr>
        <w:tab/>
        <w:t>Контекст на предложението</w:t>
      </w:r>
    </w:p>
    <w:p w14:paraId="5E349E79" w14:textId="77777777" w:rsidR="00961DC4" w:rsidRPr="00A2667F" w:rsidRDefault="00961DC4" w:rsidP="00961DC4">
      <w:pPr>
        <w:pStyle w:val="ManualHeading2"/>
        <w:rPr>
          <w:rFonts w:eastAsia="Arial Unicode MS"/>
          <w:noProof/>
        </w:rPr>
      </w:pPr>
      <w:r w:rsidRPr="00A2667F">
        <w:rPr>
          <w:noProof/>
          <w:color w:val="000000"/>
          <w:u w:color="000000"/>
          <w:bdr w:val="nil"/>
        </w:rPr>
        <w:t>2.1</w:t>
      </w:r>
      <w:r w:rsidRPr="00A2667F">
        <w:rPr>
          <w:noProof/>
        </w:rPr>
        <w:tab/>
        <w:t>Споразумението за държавните поръчки</w:t>
      </w:r>
    </w:p>
    <w:p w14:paraId="23B06CF6" w14:textId="3076774F" w:rsidR="00961DC4" w:rsidRPr="00A2667F" w:rsidRDefault="00961DC4" w:rsidP="00961DC4">
      <w:pPr>
        <w:rPr>
          <w:rFonts w:eastAsia="Calibri"/>
          <w:noProof/>
        </w:rPr>
      </w:pPr>
      <w:r w:rsidRPr="00A2667F">
        <w:rPr>
          <w:noProof/>
        </w:rPr>
        <w:t>Споразумението за държавните поръчки (наричано по-нататък „Споразумението“) е многостранно споразумение в рамките на Световната търговска организация (СТО), чиято цел е взаимното отваряне на пазарите на държавни поръчки на подписалите го страни. Преработеният текст на Споразумението влезе в сила на 6 април 2014 г.</w:t>
      </w:r>
    </w:p>
    <w:p w14:paraId="4250ED83" w14:textId="4AA868D5" w:rsidR="00961DC4" w:rsidRPr="00A2667F" w:rsidRDefault="00961DC4" w:rsidP="00961DC4">
      <w:pPr>
        <w:rPr>
          <w:rFonts w:eastAsia="Calibri"/>
          <w:noProof/>
        </w:rPr>
      </w:pPr>
      <w:r w:rsidRPr="00A2667F">
        <w:rPr>
          <w:noProof/>
        </w:rPr>
        <w:t>Европейският съюз е страна по Споразумението.</w:t>
      </w:r>
    </w:p>
    <w:p w14:paraId="35B493C1" w14:textId="77777777" w:rsidR="00961DC4" w:rsidRPr="00A2667F" w:rsidRDefault="00961DC4" w:rsidP="00961DC4">
      <w:pPr>
        <w:rPr>
          <w:rFonts w:eastAsia="Calibri"/>
          <w:noProof/>
        </w:rPr>
      </w:pPr>
      <w:r w:rsidRPr="00A2667F">
        <w:rPr>
          <w:noProof/>
        </w:rPr>
        <w:t>На 17 март 2017 г. Северна Македония подаде заявление за присъединяване към Споразумението. На 28 февруари 2018 г. тази държава представи първото си предложение за достъп до пазара.</w:t>
      </w:r>
    </w:p>
    <w:p w14:paraId="6B9532CB" w14:textId="5FD11E87" w:rsidR="00961DC4" w:rsidRPr="00A2667F" w:rsidRDefault="00961DC4" w:rsidP="00961DC4">
      <w:pPr>
        <w:rPr>
          <w:rFonts w:eastAsia="Calibri"/>
          <w:noProof/>
        </w:rPr>
      </w:pPr>
      <w:r w:rsidRPr="00A2667F">
        <w:rPr>
          <w:noProof/>
        </w:rPr>
        <w:t>Комисията проведе преговори в двустранен формат от името на Съюза както със Северна Македония, така и с други страни по СДП.</w:t>
      </w:r>
    </w:p>
    <w:p w14:paraId="55CA9439" w14:textId="5F36E84F" w:rsidR="00961DC4" w:rsidRPr="00A2667F" w:rsidRDefault="00961DC4" w:rsidP="00961DC4">
      <w:pPr>
        <w:rPr>
          <w:rFonts w:eastAsia="Calibri"/>
          <w:noProof/>
        </w:rPr>
      </w:pPr>
      <w:r w:rsidRPr="00A2667F">
        <w:rPr>
          <w:noProof/>
        </w:rPr>
        <w:t>След това, на 13 септември 2022 г., Северна Македония представи окончателното си предложение  На 27 септември 2022 г. беше разпространена поправка на окончателното предложение за достъп до пазара. По-долу е представено обобщение на окончателното предложение на Северна Македония, както и оценка на предложението, изготвена от Комисията.</w:t>
      </w:r>
    </w:p>
    <w:p w14:paraId="57A53FEC" w14:textId="77777777" w:rsidR="00961DC4" w:rsidRPr="00A2667F" w:rsidRDefault="00961DC4" w:rsidP="00961DC4">
      <w:pPr>
        <w:rPr>
          <w:rFonts w:eastAsia="Calibri"/>
          <w:noProof/>
        </w:rPr>
      </w:pPr>
      <w:r w:rsidRPr="00A2667F">
        <w:rPr>
          <w:noProof/>
        </w:rPr>
        <w:t xml:space="preserve">Посредством настоящото решение Комисията има възможност да изрази в рамките на Комитета по държавните поръчки позиция от името на Европейския съюз относно присъединяването на Северна Македония. </w:t>
      </w:r>
    </w:p>
    <w:p w14:paraId="79922C2E" w14:textId="77777777" w:rsidR="00961DC4" w:rsidRPr="00A2667F" w:rsidRDefault="00961DC4" w:rsidP="00961DC4">
      <w:pPr>
        <w:pStyle w:val="ManualHeading2"/>
        <w:rPr>
          <w:rFonts w:eastAsia="Arial Unicode MS"/>
          <w:noProof/>
        </w:rPr>
      </w:pPr>
      <w:r w:rsidRPr="00A2667F">
        <w:rPr>
          <w:noProof/>
          <w:color w:val="000000"/>
          <w:u w:color="000000"/>
          <w:bdr w:val="nil"/>
        </w:rPr>
        <w:t>2.2</w:t>
      </w:r>
      <w:r w:rsidRPr="00A2667F">
        <w:rPr>
          <w:noProof/>
        </w:rPr>
        <w:tab/>
        <w:t>Комитетът по държавните поръчки</w:t>
      </w:r>
    </w:p>
    <w:p w14:paraId="77B5CCAE" w14:textId="77777777" w:rsidR="00961DC4" w:rsidRPr="00A2667F" w:rsidRDefault="00961DC4" w:rsidP="00961DC4">
      <w:pPr>
        <w:rPr>
          <w:rFonts w:eastAsia="Calibri"/>
          <w:noProof/>
        </w:rPr>
      </w:pPr>
      <w:r w:rsidRPr="00A2667F">
        <w:rPr>
          <w:noProof/>
        </w:rPr>
        <w:t>Комитетът по държавните поръчки е създаден с цел да управлява изпълнението на СДП. В него участват представители на всяка от страните, както и членове на СТО и междуправителствени организации със статут на наблюдатели.</w:t>
      </w:r>
    </w:p>
    <w:p w14:paraId="147A25AD" w14:textId="702B9D4D" w:rsidR="00961DC4" w:rsidRPr="00A2667F" w:rsidRDefault="00961DC4" w:rsidP="00961DC4">
      <w:pPr>
        <w:rPr>
          <w:rFonts w:eastAsia="Calibri"/>
          <w:noProof/>
        </w:rPr>
      </w:pPr>
      <w:r w:rsidRPr="00A2667F">
        <w:rPr>
          <w:noProof/>
        </w:rPr>
        <w:t>Комитетът заседава редовно — приблизително четири пъти годишно, за да могат страните да провеждат консултации по всякакви въпроси, свързани с изпълнението и действието на Споразумението или с постигането на напредък по неговите цели. Той също така изпълнява и други функции, които са му възложени от страните.</w:t>
      </w:r>
    </w:p>
    <w:p w14:paraId="2D041812" w14:textId="77777777" w:rsidR="00961DC4" w:rsidRPr="00A2667F" w:rsidRDefault="00961DC4" w:rsidP="00961DC4">
      <w:pPr>
        <w:rPr>
          <w:rFonts w:eastAsia="Calibri"/>
          <w:noProof/>
        </w:rPr>
      </w:pPr>
      <w:r w:rsidRPr="00A2667F">
        <w:rPr>
          <w:noProof/>
        </w:rPr>
        <w:t>Комитетът информира ежегодно Общия съвет на СТО за своите дейности и напредъка по отношение на изпълнението и действието на Споразумението.</w:t>
      </w:r>
    </w:p>
    <w:p w14:paraId="111C2330" w14:textId="77777777" w:rsidR="00961DC4" w:rsidRPr="00A2667F" w:rsidRDefault="00961DC4" w:rsidP="00961DC4">
      <w:pPr>
        <w:rPr>
          <w:rFonts w:eastAsia="Calibri"/>
          <w:noProof/>
        </w:rPr>
      </w:pPr>
      <w:r w:rsidRPr="00A2667F">
        <w:rPr>
          <w:noProof/>
        </w:rPr>
        <w:t>Европейският съюз, както и всички други страни, е член на Комитета, и се представлява в него от Комисията.</w:t>
      </w:r>
    </w:p>
    <w:p w14:paraId="7F7EA833" w14:textId="77777777" w:rsidR="00961DC4" w:rsidRPr="00A2667F" w:rsidRDefault="00961DC4" w:rsidP="00961DC4">
      <w:pPr>
        <w:pStyle w:val="ManualHeading2"/>
        <w:rPr>
          <w:rFonts w:eastAsia="Arial Unicode MS"/>
          <w:noProof/>
        </w:rPr>
      </w:pPr>
      <w:r w:rsidRPr="00A2667F">
        <w:rPr>
          <w:noProof/>
          <w:color w:val="000000"/>
          <w:u w:color="000000"/>
          <w:bdr w:val="nil"/>
        </w:rPr>
        <w:t>2.3</w:t>
      </w:r>
      <w:r w:rsidRPr="00A2667F">
        <w:rPr>
          <w:noProof/>
        </w:rPr>
        <w:tab/>
        <w:t>Предвижданият акт на Комитета по държавните поръчки</w:t>
      </w:r>
    </w:p>
    <w:p w14:paraId="39079C79" w14:textId="5C5EAEE4" w:rsidR="00961DC4" w:rsidRPr="00A2667F" w:rsidRDefault="00961DC4" w:rsidP="00961DC4">
      <w:pPr>
        <w:rPr>
          <w:rFonts w:eastAsia="Calibri"/>
          <w:noProof/>
        </w:rPr>
      </w:pPr>
      <w:r w:rsidRPr="00A2667F">
        <w:rPr>
          <w:noProof/>
        </w:rPr>
        <w:t>На 30 декември 2022 г. Комисията предостави мълчаливо принципното съгласие на Европейския съюз за присъединяването на Северна Македония към СДП в контекста на писмената процедура, открита от Секретариата на СТО.</w:t>
      </w:r>
    </w:p>
    <w:p w14:paraId="740A8FD1" w14:textId="3D76BBC7" w:rsidR="00961DC4" w:rsidRPr="00A2667F" w:rsidRDefault="009A5AFF" w:rsidP="00961DC4">
      <w:pPr>
        <w:rPr>
          <w:rFonts w:eastAsia="Calibri"/>
          <w:noProof/>
        </w:rPr>
      </w:pPr>
      <w:r w:rsidRPr="00A2667F">
        <w:rPr>
          <w:noProof/>
        </w:rPr>
        <w:t>Комитетът по държавните поръчки трябва да приеме решение относно присъединяването на Северна Македония към Споразумението за държавните поръчки (наричан по-нататък „предвиждания</w:t>
      </w:r>
      <w:r w:rsidR="005645C3">
        <w:rPr>
          <w:noProof/>
        </w:rPr>
        <w:t>т</w:t>
      </w:r>
      <w:r w:rsidRPr="00A2667F">
        <w:rPr>
          <w:noProof/>
        </w:rPr>
        <w:t xml:space="preserve"> акт“) по време на следващото си официално заседание през март/април 2023 г. или, ако обстоятелствата не позволяват това, чрез писмена процедура.</w:t>
      </w:r>
    </w:p>
    <w:p w14:paraId="543C382A" w14:textId="77777777" w:rsidR="00961DC4" w:rsidRPr="00A2667F" w:rsidRDefault="00961DC4" w:rsidP="00961DC4">
      <w:pPr>
        <w:rPr>
          <w:rFonts w:eastAsia="Calibri"/>
          <w:noProof/>
        </w:rPr>
      </w:pPr>
      <w:r w:rsidRPr="00A2667F">
        <w:rPr>
          <w:noProof/>
        </w:rPr>
        <w:t>Целта на предвиждания акт е да се даде съгласие за присъединяването на Северна Македония към СДП в съответствие с член XXII, параграф 2 от него.</w:t>
      </w:r>
    </w:p>
    <w:p w14:paraId="25438B2F" w14:textId="77777777" w:rsidR="00961DC4" w:rsidRPr="00A2667F" w:rsidRDefault="00961DC4" w:rsidP="00961DC4">
      <w:pPr>
        <w:rPr>
          <w:rFonts w:eastAsia="Calibri"/>
          <w:noProof/>
        </w:rPr>
      </w:pPr>
      <w:r w:rsidRPr="00A2667F">
        <w:rPr>
          <w:noProof/>
        </w:rPr>
        <w:t xml:space="preserve">Приемането на решението ще се извърши в съответствие със съответните вътрешни процедури на страните. Съгласно член XXII от Споразумението </w:t>
      </w:r>
      <w:r w:rsidRPr="00A2667F">
        <w:rPr>
          <w:i/>
          <w:noProof/>
        </w:rPr>
        <w:t>всеки член на СТО може да се присъедини към настоящото споразумение при условията, които ще се приемат между този член и страните, и ще се посочат в решение на комитета</w:t>
      </w:r>
      <w:r w:rsidRPr="00A2667F">
        <w:rPr>
          <w:noProof/>
        </w:rPr>
        <w:t>. Присъединяването се осъществява чрез депозиране при генералния директор на СТО на инструмент за присъединяване, в който се посочват така договорените условия.  Споразумението влиза в сила за всеки член на СТО, присъединяващ се към него, на тридесетия ден след депозирането на инструмента за присъединяване.</w:t>
      </w:r>
    </w:p>
    <w:p w14:paraId="2B3F6171" w14:textId="77777777" w:rsidR="00961DC4" w:rsidRPr="00A2667F" w:rsidRDefault="00961DC4" w:rsidP="00961DC4">
      <w:pPr>
        <w:pStyle w:val="ManualHeading1"/>
        <w:rPr>
          <w:noProof/>
        </w:rPr>
      </w:pPr>
      <w:r w:rsidRPr="00A2667F">
        <w:rPr>
          <w:noProof/>
        </w:rPr>
        <w:t>3.</w:t>
      </w:r>
      <w:r w:rsidRPr="00A2667F">
        <w:rPr>
          <w:noProof/>
        </w:rPr>
        <w:tab/>
        <w:t>Позиция, която трябва да се заеме от името на Съюза</w:t>
      </w:r>
    </w:p>
    <w:p w14:paraId="3989FDF3" w14:textId="70761300" w:rsidR="00961DC4" w:rsidRPr="00A2667F" w:rsidRDefault="00961DC4" w:rsidP="00F6175C">
      <w:pPr>
        <w:pStyle w:val="ManualHeading2"/>
        <w:rPr>
          <w:rFonts w:eastAsia="Arial Unicode MS"/>
          <w:noProof/>
          <w:color w:val="000000"/>
          <w:u w:color="000000"/>
          <w:bdr w:val="nil"/>
        </w:rPr>
      </w:pPr>
      <w:r w:rsidRPr="00A2667F">
        <w:rPr>
          <w:noProof/>
          <w:u w:color="000000"/>
          <w:bdr w:val="nil"/>
        </w:rPr>
        <w:t xml:space="preserve"> </w:t>
      </w:r>
      <w:r w:rsidRPr="00A2667F">
        <w:rPr>
          <w:noProof/>
          <w:color w:val="000000"/>
          <w:u w:color="000000"/>
          <w:bdr w:val="nil"/>
        </w:rPr>
        <w:t xml:space="preserve">3.1 Окончателно предложение на Северна Македония </w:t>
      </w:r>
    </w:p>
    <w:p w14:paraId="7DE01B34" w14:textId="77777777" w:rsidR="00961DC4" w:rsidRPr="00A2667F" w:rsidRDefault="00961DC4" w:rsidP="00961DC4">
      <w:pPr>
        <w:keepNext/>
        <w:tabs>
          <w:tab w:val="left" w:pos="850"/>
        </w:tabs>
        <w:outlineLvl w:val="2"/>
        <w:rPr>
          <w:i/>
          <w:noProof/>
        </w:rPr>
      </w:pPr>
      <w:r w:rsidRPr="00A2667F">
        <w:rPr>
          <w:i/>
          <w:noProof/>
        </w:rPr>
        <w:t>Задължения във връзка с достъпа до пазара (попадащи в обхвата субекти, стоки, услуги и строителни услуги)</w:t>
      </w:r>
    </w:p>
    <w:p w14:paraId="1980A87B" w14:textId="77777777" w:rsidR="00961DC4" w:rsidRPr="00A2667F" w:rsidRDefault="00961DC4" w:rsidP="00961DC4">
      <w:pPr>
        <w:keepNext/>
        <w:tabs>
          <w:tab w:val="left" w:pos="850"/>
        </w:tabs>
        <w:outlineLvl w:val="3"/>
        <w:rPr>
          <w:noProof/>
        </w:rPr>
      </w:pPr>
      <w:r w:rsidRPr="00A2667F">
        <w:rPr>
          <w:noProof/>
        </w:rPr>
        <w:t>Прагове</w:t>
      </w:r>
    </w:p>
    <w:p w14:paraId="77CC43A2" w14:textId="77777777" w:rsidR="00961DC4" w:rsidRPr="00A2667F" w:rsidRDefault="00961DC4" w:rsidP="00961DC4">
      <w:pPr>
        <w:rPr>
          <w:rFonts w:eastAsia="Calibri"/>
          <w:noProof/>
        </w:rPr>
      </w:pPr>
      <w:r w:rsidRPr="00A2667F">
        <w:rPr>
          <w:noProof/>
        </w:rPr>
        <w:t xml:space="preserve">Северна Македония прилага за стоките, услугите и строителните услуги праговете, които обикновено се прилагат от страните по Споразумението. </w:t>
      </w:r>
    </w:p>
    <w:p w14:paraId="724B8C98" w14:textId="77777777" w:rsidR="00961DC4" w:rsidRPr="00A2667F" w:rsidRDefault="00961DC4" w:rsidP="00961DC4">
      <w:pPr>
        <w:keepNext/>
        <w:tabs>
          <w:tab w:val="left" w:pos="850"/>
        </w:tabs>
        <w:outlineLvl w:val="3"/>
        <w:rPr>
          <w:noProof/>
        </w:rPr>
      </w:pPr>
      <w:r w:rsidRPr="00A2667F">
        <w:rPr>
          <w:noProof/>
        </w:rPr>
        <w:t>Субекти (приложения 1, 2 и 3)</w:t>
      </w:r>
    </w:p>
    <w:p w14:paraId="575D8F0A" w14:textId="7A4BB18F" w:rsidR="00247E23" w:rsidRPr="00A2667F" w:rsidRDefault="00247E23" w:rsidP="00247E23">
      <w:pPr>
        <w:rPr>
          <w:rFonts w:eastAsia="Calibri"/>
          <w:noProof/>
        </w:rPr>
      </w:pPr>
      <w:r w:rsidRPr="00A2667F">
        <w:rPr>
          <w:noProof/>
        </w:rPr>
        <w:t xml:space="preserve">В приложение 1 (Субекти на централното държавно управление) Северна Македония представя изчерпателен списък, включващ субектите на централното държавно управление, по отношение на които страните по Споразумението могат да участват при възлагането на поръчки. Покритието е задоволително. Приложение 1 съдържа четири бележки. Съгласно бележка 1 от обхвата се изключва възлагането на обществени поръчки за оборудване за контрол на въздушното движение по отношение на доставчици на стоки и услуги от Съединените щати и възлагането на поръчки за компоненти на стоки или услуги, които сами по себе си не попадат в обхвата на настоящото споразумение, по отношение на доставчици на стоки и услуги от Съединените щати и Канада. В бележка 2 се предвижда свързаното с малките и средните предприятия неприлагане на член XVIII от СДП относно вътрешните процедури за обжалване по отношение на доставчиците на стоки и услуги от Япония, Корея, Съединените щати и Австралия. В бележка 3 се посочва, че субектите на централното държавно управление включват и всеки подчинен субект на който и да е възлагащ орган на Северна Македония, при условие че той няма отделна правосубектност. В бележка 4 се пояснява, че при възлагането на поръчки от субекти в областта на отбраната и сигурността са обхванати единствено нечувствителни материали с невоенно предназначение, както е посочено в приложение 4. Бележките, включени в настоящото приложение, съответстват на бележките на ЕС в приложение 1.  Бележки 1 и 2 ще се прилагат едва от датата, на която Северна Македония стане член на ЕС. </w:t>
      </w:r>
    </w:p>
    <w:p w14:paraId="3B455B29" w14:textId="27566586" w:rsidR="00247E23" w:rsidRPr="00A2667F" w:rsidRDefault="00961DC4" w:rsidP="00247E23">
      <w:pPr>
        <w:rPr>
          <w:noProof/>
        </w:rPr>
      </w:pPr>
      <w:r w:rsidRPr="00A2667F">
        <w:rPr>
          <w:noProof/>
        </w:rPr>
        <w:t>В приложение 2 (Субекти на регионалното и местното управление) Северна Македония включва всички регионални и местни възлагащи органи.  Въведено е широко определение за субекти на регионалното и местното управление.  Приложение 2 включва четири бележки, които отразяват бележките в списъците на ЕС. В бележка 1 са предвидени изключения от обхвата по отношение на конкретни държави и/или стоки или услуги. В бележка 2 се предвижда свързаното с малките и средните предприятия неприлагане на член XVIII от СДП относно вътрешните процедури за обжалване по отношение на доставчиците на стоки от Япония, Корея, Съединените щати и Австралия. В бележка 3 се предвижда неприлагане на член XVIII от СДП относно вътрешните процедури за обжалване при оспорване на възлагането на обществени поръчки от субекти, изброени в приложение 2, параграф 2, по отношение на Япония и Корея. В бележка 4 се предвижда неприлагането на член XVIII от СДП относно вътрешните процедури за обжалване за Япония и Корея при оспорване на възлагането от субекти на обществени поръчки, чиято стойност е по-ниска от прага, прилаган за същата категория поръчки, възлагани от тези страни. Бележките, включени в настоящото приложение, съответстват на бележките на ЕС в приложение 2. Бележки 1, 2, 3 и 4 ще се прилагат едва от датата, на която Северна Македония стане член на ЕС.</w:t>
      </w:r>
    </w:p>
    <w:p w14:paraId="6EC6F647" w14:textId="0A1298A3" w:rsidR="00247E23" w:rsidRPr="00A2667F" w:rsidRDefault="00961DC4" w:rsidP="00247E23">
      <w:pPr>
        <w:tabs>
          <w:tab w:val="left" w:pos="3544"/>
        </w:tabs>
        <w:rPr>
          <w:noProof/>
        </w:rPr>
      </w:pPr>
      <w:r w:rsidRPr="00A2667F">
        <w:rPr>
          <w:noProof/>
        </w:rPr>
        <w:t xml:space="preserve">В приложение 3 (Други субекти) Северна Македония включва всички възложители, чиито поръчки попадат в обхвата на законодателството на Северна Македония в областта на обществените поръчки, които са възлагащи органи или публични предприятия и които извършват една от дейностите си в областта на водите, електроенергията, летищата, пристанищата, градския транспорт и железопътния транспорт. Праговете за стоки и услуги съответстват на праговете на ЕС (400 000 специални права на тираж (СПТ). Съгласно бележка 1 от обхвата се изключват обществените поръчки, когато са изложени на конкурентно въздействие. Съгласно бележка 2 от обхвата се изключват обществените поръчки за закупуване на вода и за доставка на енергия или горива за производство на енергия, възлагането на поръчки за цели, различни от извършването на дейностите на възложителите, както и поръчките с цел препродажба или отдаване под наем на трети страни при условията, посочени в бележката. Съгласно бележка 3 се изключва снабдяването с питейна вода или електроенергия при определени условия. Съгласно бележка 4 от обхвата се изключват обществените поръчки от възложител на свързано предприятие. Съгласно бележка 5 от обхвата се изключват обществените поръчки в случая на съвместни предприятия при определени условия. Съгласно бележка 6 от обхвата се изключват обществените поръчки по отношение на доставчици на стоки и услуги от конкретни страни за конкретни сектори. В бележка 7 се предвижда свързаното с малките и средните предприятия неприлагане на член XVIII от СДП относно вътрешните процедури за обжалване по отношение на доставчиците на стоки и услуги от Япония, Корея и Съединените щати. С бележка 8 се въвеждат допълнителни освобождавания от обхвата по отношение на доставчиците на стоки и услуги от Япония. Бележките, включени в настоящото приложение, съответстват на бележките на ЕС в приложение 3. Бележки 6, 7 и 8 ще се прилагат едва от датата, на която Северна Македония стане член на ЕС. </w:t>
      </w:r>
    </w:p>
    <w:p w14:paraId="61E2FF72" w14:textId="77777777" w:rsidR="00961DC4" w:rsidRPr="00A2667F" w:rsidRDefault="00961DC4" w:rsidP="00247E23">
      <w:pPr>
        <w:tabs>
          <w:tab w:val="left" w:pos="3544"/>
        </w:tabs>
        <w:rPr>
          <w:noProof/>
        </w:rPr>
      </w:pPr>
      <w:r w:rsidRPr="00A2667F">
        <w:rPr>
          <w:noProof/>
        </w:rPr>
        <w:t>Стоки (приложение 4)</w:t>
      </w:r>
    </w:p>
    <w:p w14:paraId="5C6EA9C7" w14:textId="5C14481E" w:rsidR="00961DC4" w:rsidRPr="00A2667F" w:rsidRDefault="004B292A" w:rsidP="00961DC4">
      <w:pPr>
        <w:rPr>
          <w:rFonts w:eastAsia="Calibri"/>
          <w:noProof/>
        </w:rPr>
      </w:pPr>
      <w:r w:rsidRPr="00A2667F">
        <w:rPr>
          <w:noProof/>
        </w:rPr>
        <w:t xml:space="preserve">Северна Македония предлага да обхване възлагането на поръчки за всички стоки от субектите, изброени в приложения 1—3. Северна Македония се ангажира да обхване възлагането на поръчки за всички стоки от обхванатите субекти, с изключение на възлагането на поръчки от Министерството на отбраната и от агенции за дейности в областта на отбраната или сигурността. За тези субекти Северна Македония предоставя списък на стоките, за които са обхванати обществените поръчки.  </w:t>
      </w:r>
    </w:p>
    <w:p w14:paraId="1C7430AE" w14:textId="77777777" w:rsidR="00961DC4" w:rsidRPr="00A2667F" w:rsidRDefault="00961DC4" w:rsidP="00961DC4">
      <w:pPr>
        <w:keepNext/>
        <w:tabs>
          <w:tab w:val="left" w:pos="850"/>
        </w:tabs>
        <w:outlineLvl w:val="3"/>
        <w:rPr>
          <w:noProof/>
        </w:rPr>
      </w:pPr>
      <w:r w:rsidRPr="00A2667F">
        <w:rPr>
          <w:noProof/>
        </w:rPr>
        <w:t>Услуги (приложение 5)</w:t>
      </w:r>
    </w:p>
    <w:p w14:paraId="307C4094" w14:textId="2D5B6A2D" w:rsidR="00961DC4" w:rsidRPr="00A2667F" w:rsidRDefault="004B292A" w:rsidP="00961DC4">
      <w:pPr>
        <w:rPr>
          <w:rFonts w:eastAsia="Calibri"/>
          <w:noProof/>
        </w:rPr>
      </w:pPr>
      <w:r w:rsidRPr="00A2667F">
        <w:rPr>
          <w:noProof/>
        </w:rPr>
        <w:t xml:space="preserve">Северна Македония предлага списък на обхванатите услуги. В бележка 1 от приложение 5 се посочва, че възлагането на поръчки за услуги от възложители, попадащи в обхвата на приложения 1, 2 и 3, е обхванато по отношение на доставчик на услуги от дадена страна само доколкото тази страна също е обхванала тази услуга съгласно своето приложение 5. </w:t>
      </w:r>
    </w:p>
    <w:p w14:paraId="29C63E8A" w14:textId="77777777" w:rsidR="00961DC4" w:rsidRPr="00A2667F" w:rsidRDefault="00961DC4" w:rsidP="00961DC4">
      <w:pPr>
        <w:keepNext/>
        <w:tabs>
          <w:tab w:val="left" w:pos="850"/>
        </w:tabs>
        <w:outlineLvl w:val="3"/>
        <w:rPr>
          <w:noProof/>
        </w:rPr>
      </w:pPr>
      <w:r w:rsidRPr="00A2667F">
        <w:rPr>
          <w:noProof/>
        </w:rPr>
        <w:t>Строителни услуги (приложение 6)</w:t>
      </w:r>
    </w:p>
    <w:p w14:paraId="355A06A1" w14:textId="72AB8E9D" w:rsidR="00961DC4" w:rsidRPr="00A2667F" w:rsidRDefault="00A133B5" w:rsidP="00961DC4">
      <w:pPr>
        <w:rPr>
          <w:rFonts w:eastAsia="Calibri"/>
          <w:noProof/>
        </w:rPr>
      </w:pPr>
      <w:r w:rsidRPr="00A2667F">
        <w:rPr>
          <w:noProof/>
        </w:rPr>
        <w:t xml:space="preserve">Северна Македония предлага всички строителни услуги, включени в раздел 51 от Централната класификация на продуктите (CPC Prov.), доставяни от субектите, посочени в приложения 1, 2 и 3, каквато е обичайната практика на страните по Споразумението. </w:t>
      </w:r>
    </w:p>
    <w:p w14:paraId="59BD27CD" w14:textId="67B5FBBE" w:rsidR="00983D4F" w:rsidRPr="00A2667F" w:rsidRDefault="00983D4F" w:rsidP="00983D4F">
      <w:pPr>
        <w:rPr>
          <w:noProof/>
        </w:rPr>
      </w:pPr>
      <w:r w:rsidRPr="00A2667F">
        <w:rPr>
          <w:noProof/>
        </w:rPr>
        <w:t>По отношение на концесиите за строителство, когато те биват възлагани от субекти по приложения 1 и 2, се прилага принципът на националното третиране за доставчиците на строителни услуги от ЕС, Исландия, Лихтенщайн, Норвегия, Нидерландия от името на Аруба, Швейцария, Черна гора и Обединеното кралство, при условие че стойността им е по-голяма или равна на 5 000 000 СПТ, и за доставчиците на строителни услуги от Корея, при условие че стойността им е по-голяма или равна на 15 000 000 СПТ.</w:t>
      </w:r>
    </w:p>
    <w:p w14:paraId="48ACD118" w14:textId="026FAFE6" w:rsidR="00983D4F" w:rsidRPr="00A2667F" w:rsidRDefault="00983D4F" w:rsidP="00983D4F">
      <w:pPr>
        <w:rPr>
          <w:noProof/>
        </w:rPr>
      </w:pPr>
      <w:r w:rsidRPr="00A2667F">
        <w:rPr>
          <w:noProof/>
        </w:rPr>
        <w:t>В бележка 1 от приложение 6 се посочва, че възлагането на поръчки за строителни услуги от възложители, попадащи в обхвата на приложения 1, 2 и 3, е обхванато по отношение на доставчик на услуги от дадена страна само доколкото тази страна също е обхванала тази услуга съгласно своето приложение 6.</w:t>
      </w:r>
    </w:p>
    <w:p w14:paraId="28DE5598" w14:textId="77777777" w:rsidR="00961DC4" w:rsidRPr="00A2667F" w:rsidRDefault="00961DC4" w:rsidP="00961DC4">
      <w:pPr>
        <w:keepNext/>
        <w:tabs>
          <w:tab w:val="left" w:pos="850"/>
        </w:tabs>
        <w:outlineLvl w:val="3"/>
        <w:rPr>
          <w:noProof/>
        </w:rPr>
      </w:pPr>
      <w:r w:rsidRPr="00A2667F">
        <w:rPr>
          <w:noProof/>
        </w:rPr>
        <w:t>Общи бележки (приложение 7)</w:t>
      </w:r>
    </w:p>
    <w:p w14:paraId="748673D2" w14:textId="78E042EE" w:rsidR="00983D4F" w:rsidRPr="00A2667F" w:rsidRDefault="00961DC4" w:rsidP="00983D4F">
      <w:pPr>
        <w:rPr>
          <w:noProof/>
        </w:rPr>
      </w:pPr>
      <w:r w:rsidRPr="00A2667F">
        <w:rPr>
          <w:noProof/>
        </w:rPr>
        <w:t>Северна Македония включва две общи бележки в приложение 7. Съгласно бележка 1 Споразумението не се прилага за поръчките за селскостопански продукти, направени по програми за подпомагане на селското стопанство и програми за изхранване на населението (например продоволствена помощ, включително спешна помощ за пострадали), и за поръчките за придобиване, разработване, производство или съвместно производство на програмни материали от радио- и телевизионни оператори и договори за програмно време.</w:t>
      </w:r>
    </w:p>
    <w:p w14:paraId="651623B1" w14:textId="77777777" w:rsidR="00983D4F" w:rsidRPr="00A2667F" w:rsidRDefault="00961DC4" w:rsidP="00983D4F">
      <w:pPr>
        <w:spacing w:before="0" w:after="240"/>
        <w:rPr>
          <w:noProof/>
        </w:rPr>
      </w:pPr>
      <w:r w:rsidRPr="00A2667F">
        <w:rPr>
          <w:noProof/>
        </w:rPr>
        <w:t>Съгласно бележка 2 от обхвата се изключват обществените поръчки от възложители, попадащи в обхвата на приложения 1 и 2, във връзка с дейности в областта на питейната вода, енергетиката, транспорта и пощенския сектор, освен ако попадат в обхвата на приложение 3.</w:t>
      </w:r>
    </w:p>
    <w:p w14:paraId="1D64266D" w14:textId="77777777" w:rsidR="00247E23" w:rsidRPr="00A2667F" w:rsidRDefault="00247E23" w:rsidP="00247E23">
      <w:pPr>
        <w:pStyle w:val="Briefingtext"/>
        <w:rPr>
          <w:rFonts w:ascii="Times New Roman" w:eastAsiaTheme="minorHAnsi" w:hAnsi="Times New Roman" w:cs="Times New Roman"/>
          <w:noProof/>
          <w:sz w:val="24"/>
          <w:szCs w:val="22"/>
        </w:rPr>
      </w:pPr>
      <w:r w:rsidRPr="00A2667F">
        <w:rPr>
          <w:rFonts w:ascii="Times New Roman" w:hAnsi="Times New Roman"/>
          <w:noProof/>
          <w:sz w:val="24"/>
        </w:rPr>
        <w:t>Праговете по различните приложения са съобразени със съответните прагове на ЕС.</w:t>
      </w:r>
    </w:p>
    <w:p w14:paraId="2622F75F" w14:textId="46EF1723" w:rsidR="00961DC4" w:rsidRPr="00A2667F" w:rsidRDefault="00983D4F" w:rsidP="00F6175C">
      <w:pPr>
        <w:pStyle w:val="ManualHeading2"/>
        <w:rPr>
          <w:rFonts w:eastAsia="Arial Unicode MS"/>
          <w:noProof/>
          <w:color w:val="000000"/>
          <w:u w:color="000000"/>
          <w:bdr w:val="nil"/>
        </w:rPr>
      </w:pPr>
      <w:r w:rsidRPr="00A2667F">
        <w:rPr>
          <w:noProof/>
          <w:color w:val="000000"/>
          <w:u w:color="000000"/>
          <w:bdr w:val="nil"/>
        </w:rPr>
        <w:t xml:space="preserve">3.2 Законодателство на Северна Македония </w:t>
      </w:r>
    </w:p>
    <w:p w14:paraId="2678ADD6" w14:textId="7E0BF998" w:rsidR="00961DC4" w:rsidRPr="00A2667F" w:rsidRDefault="00CE5797" w:rsidP="00961DC4">
      <w:pPr>
        <w:rPr>
          <w:rFonts w:eastAsia="Calibri"/>
          <w:noProof/>
        </w:rPr>
      </w:pPr>
      <w:r w:rsidRPr="00A2667F">
        <w:rPr>
          <w:noProof/>
        </w:rPr>
        <w:t xml:space="preserve">Законодателството на Северна Македония в областта на обхванатите държавни поръчки позволява на тази държава да изпълнява задълженията си по Споразумението за държавните поръчки. </w:t>
      </w:r>
    </w:p>
    <w:p w14:paraId="03064E5E" w14:textId="6F97E6E8" w:rsidR="00E5320F" w:rsidRPr="00A2667F" w:rsidRDefault="002156CB" w:rsidP="00961DC4">
      <w:pPr>
        <w:rPr>
          <w:rFonts w:eastAsia="Calibri"/>
          <w:noProof/>
        </w:rPr>
      </w:pPr>
      <w:r w:rsidRPr="00A2667F">
        <w:rPr>
          <w:noProof/>
        </w:rPr>
        <w:t xml:space="preserve">Правната рамка на Северна Македония по отношение на обществените поръчки до голяма степен е приведена в съответствие с достиженията на правото на ЕС с оглед на процеса на присъединяване към ЕС. Законодателството на Северна Македония относно държавните поръчки е открито, прозрачно и недискриминационно в съответствие с изискванията на Споразумението. </w:t>
      </w:r>
    </w:p>
    <w:p w14:paraId="23F92253" w14:textId="4FC4282B" w:rsidR="00961DC4" w:rsidRPr="00A2667F" w:rsidRDefault="00A133B5" w:rsidP="00F6175C">
      <w:pPr>
        <w:pStyle w:val="ManualHeading1"/>
        <w:rPr>
          <w:noProof/>
          <w:u w:color="000000"/>
          <w:bdr w:val="nil"/>
        </w:rPr>
      </w:pPr>
      <w:r w:rsidRPr="00A2667F">
        <w:rPr>
          <w:noProof/>
          <w:u w:color="000000"/>
          <w:bdr w:val="nil"/>
        </w:rPr>
        <w:t>4. Оценка на предложението на Северна Македония, изготвена от Комисията</w:t>
      </w:r>
    </w:p>
    <w:p w14:paraId="27A68A25" w14:textId="7D2E8C7B" w:rsidR="00A133B5" w:rsidRPr="00A2667F" w:rsidRDefault="006F30F2" w:rsidP="00961DC4">
      <w:pPr>
        <w:rPr>
          <w:rFonts w:eastAsia="Calibri"/>
          <w:noProof/>
        </w:rPr>
      </w:pPr>
      <w:r w:rsidRPr="00A2667F">
        <w:rPr>
          <w:noProof/>
        </w:rPr>
        <w:t xml:space="preserve">Предложението на Северна Македония е пълно и задоволително.  То отразява до голяма степен предложението на ЕС съгласно допълнение I към СДП. Въз основа на това не е необходимо да се въвеждат обвързани с реципрочност ограничения или изключения от достъпа до пазара на обществени поръчки на Съюза. </w:t>
      </w:r>
    </w:p>
    <w:p w14:paraId="3DAA741B" w14:textId="541310B5" w:rsidR="0063377F" w:rsidRPr="00A2667F" w:rsidRDefault="0063377F" w:rsidP="0063377F">
      <w:pPr>
        <w:rPr>
          <w:noProof/>
        </w:rPr>
      </w:pPr>
      <w:r w:rsidRPr="00A2667F">
        <w:rPr>
          <w:noProof/>
        </w:rPr>
        <w:t>Следните условия на присъединяването на Северна Македония ще бъдат отразени в допълнение I за ЕС:</w:t>
      </w:r>
    </w:p>
    <w:p w14:paraId="4F3502D4" w14:textId="6ABA8390" w:rsidR="0063377F" w:rsidRPr="00A2667F" w:rsidRDefault="0063377F" w:rsidP="0063377F">
      <w:pPr>
        <w:spacing w:before="0" w:after="240"/>
        <w:rPr>
          <w:rFonts w:eastAsia="Times New Roman"/>
          <w:noProof/>
          <w:szCs w:val="20"/>
        </w:rPr>
      </w:pPr>
      <w:r w:rsidRPr="00A2667F">
        <w:rPr>
          <w:noProof/>
        </w:rPr>
        <w:t xml:space="preserve">Достъпът на стоки, услуги и доставчици на стоки и услуги от Северна Македония до обхвата на ЕС следва да бъде съгласно посоченото в раздел 2, точка 1 от приложение 1 на ЕС, което означава достъп до обществени поръчки на възлагащите органи на централното държавно управление на всички държави — членки на ЕС. </w:t>
      </w:r>
    </w:p>
    <w:p w14:paraId="54AC4B7E" w14:textId="0591427A" w:rsidR="0063377F" w:rsidRPr="00A2667F" w:rsidRDefault="0063377F" w:rsidP="00F6175C">
      <w:pPr>
        <w:spacing w:before="0" w:after="240"/>
        <w:rPr>
          <w:rFonts w:eastAsia="Times New Roman"/>
          <w:noProof/>
          <w:szCs w:val="20"/>
        </w:rPr>
      </w:pPr>
      <w:r w:rsidRPr="00A2667F">
        <w:rPr>
          <w:noProof/>
        </w:rPr>
        <w:t>Северна Македония ще бъде включена и сред страните по СДП, на които ЕС предоставя достъп до търгове за концесии за строителство съгласно раздел 2 от приложение 6.</w:t>
      </w:r>
    </w:p>
    <w:p w14:paraId="3B0E7C91" w14:textId="77777777" w:rsidR="00961DC4" w:rsidRPr="00A2667F" w:rsidRDefault="00961DC4" w:rsidP="00961DC4">
      <w:pPr>
        <w:keepNext/>
        <w:tabs>
          <w:tab w:val="left" w:pos="850"/>
        </w:tabs>
        <w:outlineLvl w:val="1"/>
        <w:rPr>
          <w:b/>
          <w:noProof/>
          <w:u w:color="000000"/>
          <w:bdr w:val="nil"/>
        </w:rPr>
      </w:pPr>
      <w:r w:rsidRPr="00A2667F">
        <w:rPr>
          <w:b/>
          <w:noProof/>
          <w:u w:color="000000"/>
          <w:bdr w:val="nil"/>
        </w:rPr>
        <w:t>Препоръка</w:t>
      </w:r>
    </w:p>
    <w:p w14:paraId="35CD9953" w14:textId="32A3E81B" w:rsidR="00961DC4" w:rsidRPr="00A2667F" w:rsidRDefault="006F30F2" w:rsidP="00961DC4">
      <w:pPr>
        <w:rPr>
          <w:rFonts w:eastAsia="Calibri"/>
          <w:noProof/>
        </w:rPr>
      </w:pPr>
      <w:r w:rsidRPr="00A2667F">
        <w:rPr>
          <w:noProof/>
        </w:rPr>
        <w:t>Очаква се присъединяването на Северна Македония към СДП да има положителен принос за по-широкото отваряне в международен план на пазарите на държавни поръчки чрез увеличаване на броя на страните по Споразумението и насърчаването по този начин на други държави да се присъединят към него. Освен това в настоящия геополитически контекст присъединяването на Северна Македония към СДП ще изпрати силно послание към региона. Комисията препоръчва предложението на Северна Македония да бъде прието при спазване на горепосочените конкретни условия за присъединяването.</w:t>
      </w:r>
    </w:p>
    <w:p w14:paraId="2B7FC60B" w14:textId="24560B9E" w:rsidR="00961DC4" w:rsidRPr="00A2667F" w:rsidRDefault="00961DC4" w:rsidP="00961DC4">
      <w:pPr>
        <w:rPr>
          <w:rFonts w:eastAsia="Calibri"/>
          <w:noProof/>
        </w:rPr>
      </w:pPr>
      <w:r w:rsidRPr="00A2667F">
        <w:rPr>
          <w:noProof/>
        </w:rPr>
        <w:t>Съответно се предлага Комисията да бъде оправомощена да изрази в рамките на Комитета по държавните поръчки позицията на Европейския съюз в подкрепа на присъединяването на Северна Македония, която да бъде отразена в решението на Комитета по държавните поръчки относно условията за присъединяването на Северна Македония към СДП.</w:t>
      </w:r>
    </w:p>
    <w:p w14:paraId="5FDD5302" w14:textId="35441A6F" w:rsidR="00961DC4" w:rsidRPr="00A2667F" w:rsidRDefault="00CA722A" w:rsidP="00961DC4">
      <w:pPr>
        <w:pStyle w:val="ManualHeading1"/>
        <w:rPr>
          <w:noProof/>
        </w:rPr>
      </w:pPr>
      <w:r w:rsidRPr="00A2667F">
        <w:rPr>
          <w:noProof/>
        </w:rPr>
        <w:t>5.</w:t>
      </w:r>
      <w:r w:rsidRPr="00A2667F">
        <w:rPr>
          <w:noProof/>
        </w:rPr>
        <w:tab/>
        <w:t>Правно основание</w:t>
      </w:r>
    </w:p>
    <w:p w14:paraId="48C66AB6" w14:textId="09B33E68" w:rsidR="00961DC4" w:rsidRPr="00A2667F" w:rsidRDefault="00CA722A" w:rsidP="00961DC4">
      <w:pPr>
        <w:pStyle w:val="ManualHeading2"/>
        <w:rPr>
          <w:rFonts w:eastAsia="Arial Unicode MS"/>
          <w:noProof/>
          <w:u w:color="000000"/>
          <w:bdr w:val="nil"/>
        </w:rPr>
      </w:pPr>
      <w:r w:rsidRPr="00A2667F">
        <w:rPr>
          <w:noProof/>
          <w:u w:color="000000"/>
          <w:bdr w:val="nil"/>
        </w:rPr>
        <w:t>5.1</w:t>
      </w:r>
      <w:r w:rsidRPr="00A2667F">
        <w:rPr>
          <w:noProof/>
        </w:rPr>
        <w:tab/>
      </w:r>
      <w:r w:rsidRPr="00A2667F">
        <w:rPr>
          <w:noProof/>
          <w:u w:color="000000"/>
          <w:bdr w:val="nil"/>
        </w:rPr>
        <w:t>Процесуалноправно основание</w:t>
      </w:r>
    </w:p>
    <w:p w14:paraId="7EF8B309" w14:textId="723CCF22" w:rsidR="00961DC4" w:rsidRPr="00A2667F" w:rsidRDefault="00CA722A" w:rsidP="00961DC4">
      <w:pPr>
        <w:pStyle w:val="Text1"/>
        <w:ind w:left="0"/>
        <w:rPr>
          <w:noProof/>
        </w:rPr>
      </w:pPr>
      <w:r w:rsidRPr="00A2667F">
        <w:rPr>
          <w:i/>
          <w:noProof/>
          <w:sz w:val="23"/>
        </w:rPr>
        <w:t>5.1.1. Принципи</w:t>
      </w:r>
    </w:p>
    <w:p w14:paraId="25F96831" w14:textId="77777777" w:rsidR="00961DC4" w:rsidRPr="00A2667F" w:rsidRDefault="00961DC4" w:rsidP="00961DC4">
      <w:pPr>
        <w:rPr>
          <w:rFonts w:eastAsia="Calibri"/>
          <w:noProof/>
          <w:szCs w:val="24"/>
        </w:rPr>
      </w:pPr>
      <w:r w:rsidRPr="00A2667F">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14:paraId="6C1EE675" w14:textId="77777777" w:rsidR="00961DC4" w:rsidRPr="00A2667F" w:rsidRDefault="00961DC4" w:rsidP="00961DC4">
      <w:pPr>
        <w:rPr>
          <w:rFonts w:eastAsia="Calibri"/>
          <w:noProof/>
          <w:szCs w:val="24"/>
        </w:rPr>
      </w:pPr>
      <w:r w:rsidRPr="00A2667F">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sidRPr="00A2667F">
        <w:rPr>
          <w:rStyle w:val="FootnoteReference"/>
          <w:rFonts w:eastAsia="Calibri"/>
          <w:noProof/>
          <w:szCs w:val="24"/>
          <w:lang w:eastAsia="en-GB"/>
        </w:rPr>
        <w:footnoteReference w:id="1"/>
      </w:r>
      <w:r w:rsidRPr="00A2667F">
        <w:rPr>
          <w:noProof/>
        </w:rPr>
        <w:t>.</w:t>
      </w:r>
    </w:p>
    <w:p w14:paraId="787BFB5B" w14:textId="6F6ADC1E" w:rsidR="00961DC4" w:rsidRPr="00A2667F" w:rsidRDefault="00CA722A" w:rsidP="00961DC4">
      <w:pPr>
        <w:pStyle w:val="Text1"/>
        <w:ind w:left="0"/>
        <w:rPr>
          <w:i/>
          <w:iCs/>
          <w:noProof/>
          <w:sz w:val="23"/>
          <w:szCs w:val="23"/>
        </w:rPr>
      </w:pPr>
      <w:r w:rsidRPr="00A2667F">
        <w:rPr>
          <w:i/>
          <w:noProof/>
          <w:sz w:val="23"/>
        </w:rPr>
        <w:t>5.1.2. Приложение в конкретния случай</w:t>
      </w:r>
    </w:p>
    <w:p w14:paraId="4766BEC8" w14:textId="77777777" w:rsidR="00961DC4" w:rsidRPr="00A2667F" w:rsidRDefault="00961DC4" w:rsidP="00961DC4">
      <w:pPr>
        <w:rPr>
          <w:rFonts w:eastAsia="Calibri"/>
          <w:noProof/>
          <w:szCs w:val="24"/>
        </w:rPr>
      </w:pPr>
      <w:r w:rsidRPr="00A2667F">
        <w:rPr>
          <w:noProof/>
        </w:rPr>
        <w:t>Комитетът по държавните поръчки е орган, създаден по силата на споразумение, а именно Споразумението за държавните поръчки.</w:t>
      </w:r>
    </w:p>
    <w:p w14:paraId="4BB1C7B6" w14:textId="77777777" w:rsidR="00961DC4" w:rsidRPr="00A2667F" w:rsidRDefault="00961DC4" w:rsidP="00961DC4">
      <w:pPr>
        <w:rPr>
          <w:rFonts w:eastAsia="Calibri"/>
          <w:noProof/>
          <w:szCs w:val="24"/>
        </w:rPr>
      </w:pPr>
      <w:r w:rsidRPr="00A2667F">
        <w:rPr>
          <w:noProof/>
        </w:rPr>
        <w:t xml:space="preserve">Актът, който Комитетът по държавните поръчки има за задача да приеме, представлява акт с правно действие. </w:t>
      </w:r>
    </w:p>
    <w:p w14:paraId="7E476EC6" w14:textId="77777777" w:rsidR="00961DC4" w:rsidRPr="00A2667F" w:rsidRDefault="00961DC4" w:rsidP="00961DC4">
      <w:pPr>
        <w:rPr>
          <w:rFonts w:eastAsia="Calibri"/>
          <w:noProof/>
          <w:szCs w:val="24"/>
        </w:rPr>
      </w:pPr>
      <w:r w:rsidRPr="00A2667F">
        <w:rPr>
          <w:noProof/>
        </w:rPr>
        <w:t>Предвиденият акт не допълва, нито изменя институционалната рамка на споразумението.</w:t>
      </w:r>
    </w:p>
    <w:p w14:paraId="1571A415" w14:textId="77777777" w:rsidR="00961DC4" w:rsidRPr="00A2667F" w:rsidRDefault="00961DC4" w:rsidP="00961DC4">
      <w:pPr>
        <w:rPr>
          <w:rFonts w:eastAsia="Calibri"/>
          <w:noProof/>
          <w:szCs w:val="24"/>
        </w:rPr>
      </w:pPr>
      <w:r w:rsidRPr="00A2667F">
        <w:rPr>
          <w:noProof/>
        </w:rPr>
        <w:t>Поради това процесуалноправното основание за предложеното решение е член 218, параграф 9 от ДФЕС.</w:t>
      </w:r>
    </w:p>
    <w:p w14:paraId="43B080BC" w14:textId="05FF7270" w:rsidR="00961DC4" w:rsidRPr="00A2667F" w:rsidRDefault="00CA722A" w:rsidP="00961DC4">
      <w:pPr>
        <w:pStyle w:val="ManualHeading2"/>
        <w:rPr>
          <w:rFonts w:eastAsia="Arial Unicode MS"/>
          <w:noProof/>
          <w:u w:color="000000"/>
          <w:bdr w:val="nil"/>
        </w:rPr>
      </w:pPr>
      <w:r w:rsidRPr="00A2667F">
        <w:rPr>
          <w:noProof/>
          <w:u w:color="000000"/>
          <w:bdr w:val="nil"/>
        </w:rPr>
        <w:t>5.2. Материалноправно основание</w:t>
      </w:r>
    </w:p>
    <w:p w14:paraId="65479498" w14:textId="2E577F76" w:rsidR="00961DC4" w:rsidRPr="00A2667F" w:rsidRDefault="00CA722A" w:rsidP="00F6175C">
      <w:pPr>
        <w:pStyle w:val="ManualHeading3"/>
        <w:rPr>
          <w:noProof/>
        </w:rPr>
      </w:pPr>
      <w:r w:rsidRPr="00A2667F">
        <w:rPr>
          <w:noProof/>
        </w:rPr>
        <w:t>5.2.1. Принципи</w:t>
      </w:r>
    </w:p>
    <w:p w14:paraId="061C856E" w14:textId="77777777" w:rsidR="00961DC4" w:rsidRPr="00A2667F" w:rsidRDefault="00961DC4" w:rsidP="00961DC4">
      <w:pPr>
        <w:rPr>
          <w:noProof/>
        </w:rPr>
      </w:pPr>
      <w:r w:rsidRPr="00A2667F">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няколко цели или се състои от няколко части и ако една от тези цели или части може да се определи като основна, докато другите са само акцесорни,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14:paraId="0F378A41" w14:textId="2B2F9AD3" w:rsidR="00961DC4" w:rsidRPr="00A2667F" w:rsidRDefault="00CA722A" w:rsidP="00F6175C">
      <w:pPr>
        <w:pStyle w:val="ManualHeading3"/>
        <w:rPr>
          <w:noProof/>
        </w:rPr>
      </w:pPr>
      <w:r w:rsidRPr="00A2667F">
        <w:rPr>
          <w:noProof/>
        </w:rPr>
        <w:t>5.2.2. Приложение в конкретния случай</w:t>
      </w:r>
    </w:p>
    <w:p w14:paraId="60BFA96A" w14:textId="77777777" w:rsidR="00961DC4" w:rsidRPr="00A2667F" w:rsidRDefault="00961DC4" w:rsidP="00961DC4">
      <w:pPr>
        <w:rPr>
          <w:noProof/>
        </w:rPr>
      </w:pPr>
      <w:r w:rsidRPr="00A2667F">
        <w:rPr>
          <w:noProof/>
        </w:rPr>
        <w:t>Основната цел и съдържанието на предвидения акт са свързани с общата търговска политика.</w:t>
      </w:r>
    </w:p>
    <w:p w14:paraId="33D3447D" w14:textId="77777777" w:rsidR="00961DC4" w:rsidRPr="00A2667F" w:rsidRDefault="00961DC4" w:rsidP="00961DC4">
      <w:pPr>
        <w:rPr>
          <w:noProof/>
        </w:rPr>
      </w:pPr>
      <w:r w:rsidRPr="00A2667F">
        <w:rPr>
          <w:noProof/>
        </w:rPr>
        <w:t>Поради това материалноправното основание за предлаганото решение е член 207 от ДФЕС.</w:t>
      </w:r>
    </w:p>
    <w:p w14:paraId="4AF7485A" w14:textId="298D5179" w:rsidR="00961DC4" w:rsidRPr="00A2667F" w:rsidRDefault="00CA722A" w:rsidP="00961DC4">
      <w:pPr>
        <w:pStyle w:val="ManualHeading2"/>
        <w:rPr>
          <w:rFonts w:eastAsia="Arial Unicode MS"/>
          <w:noProof/>
          <w:u w:color="000000"/>
          <w:bdr w:val="nil"/>
        </w:rPr>
      </w:pPr>
      <w:r w:rsidRPr="00A2667F">
        <w:rPr>
          <w:noProof/>
          <w:u w:color="000000"/>
          <w:bdr w:val="nil"/>
        </w:rPr>
        <w:t>5.3. Заключение</w:t>
      </w:r>
    </w:p>
    <w:p w14:paraId="0B9F6F7A" w14:textId="77777777" w:rsidR="00961DC4" w:rsidRPr="00A2667F" w:rsidRDefault="00961DC4" w:rsidP="00961DC4">
      <w:pPr>
        <w:rPr>
          <w:noProof/>
        </w:rPr>
      </w:pPr>
      <w:r w:rsidRPr="00A2667F">
        <w:rPr>
          <w:noProof/>
        </w:rPr>
        <w:t>Правното основание за предложеното решение следва да бъде член 207 от ДФЕС във връзка с член 218, параграф 9 от ДФЕС.</w:t>
      </w:r>
    </w:p>
    <w:p w14:paraId="7E84596F" w14:textId="6ED396F6" w:rsidR="00961DC4" w:rsidRPr="00A2667F" w:rsidRDefault="006A37FC" w:rsidP="00F6175C">
      <w:pPr>
        <w:pStyle w:val="ManualHeading1"/>
        <w:rPr>
          <w:noProof/>
        </w:rPr>
      </w:pPr>
      <w:r w:rsidRPr="00A2667F">
        <w:rPr>
          <w:noProof/>
        </w:rPr>
        <w:t xml:space="preserve">6. </w:t>
      </w:r>
      <w:r w:rsidRPr="00A2667F">
        <w:rPr>
          <w:noProof/>
        </w:rPr>
        <w:tab/>
        <w:t xml:space="preserve">Публикация </w:t>
      </w:r>
    </w:p>
    <w:p w14:paraId="2630E5BD" w14:textId="1F7EC438" w:rsidR="00F6175C" w:rsidRPr="00A2667F" w:rsidRDefault="00961DC4" w:rsidP="00961DC4">
      <w:pPr>
        <w:rPr>
          <w:noProof/>
        </w:rPr>
      </w:pPr>
      <w:r w:rsidRPr="00A2667F">
        <w:rPr>
          <w:noProof/>
        </w:rPr>
        <w:t xml:space="preserve">Тъй като актът на Комитета по държавните поръчки ще измени Споразумението, е целесъобразно решението на Съвета за установяване на позицията, която трябва да се заеме от името на Съюза в рамките на Комитета по държавните поръчки, да бъде публикувано в </w:t>
      </w:r>
      <w:r w:rsidRPr="00A2667F">
        <w:rPr>
          <w:i/>
          <w:noProof/>
        </w:rPr>
        <w:t>Официален вестник на Европейския съюз</w:t>
      </w:r>
      <w:r w:rsidRPr="00A2667F">
        <w:rPr>
          <w:noProof/>
        </w:rPr>
        <w:t xml:space="preserve"> след приемането му.</w:t>
      </w:r>
    </w:p>
    <w:p w14:paraId="113F5CA1" w14:textId="5A919132" w:rsidR="00961DC4" w:rsidRPr="00A2667F" w:rsidRDefault="00F6175C" w:rsidP="00F6175C">
      <w:pPr>
        <w:spacing w:before="0" w:after="200" w:line="276" w:lineRule="auto"/>
        <w:jc w:val="left"/>
        <w:rPr>
          <w:noProof/>
        </w:rPr>
      </w:pPr>
      <w:r w:rsidRPr="00A2667F">
        <w:rPr>
          <w:noProof/>
        </w:rPr>
        <w:br w:type="page"/>
      </w:r>
    </w:p>
    <w:p w14:paraId="7AF9D65F" w14:textId="4CF6FA9F" w:rsidR="000A0DAB" w:rsidRDefault="000A0DAB" w:rsidP="000A0DAB">
      <w:pPr>
        <w:pStyle w:val="Rfrenceinterinstitutionnelle"/>
        <w:rPr>
          <w:noProof/>
        </w:rPr>
      </w:pPr>
      <w:r w:rsidRPr="000A0DAB">
        <w:t>2023/0050 (NLE)</w:t>
      </w:r>
    </w:p>
    <w:p w14:paraId="21286CBE" w14:textId="2198B8E4" w:rsidR="00961DC4" w:rsidRPr="00A2667F" w:rsidRDefault="00A2667F" w:rsidP="00A2667F">
      <w:pPr>
        <w:pStyle w:val="Statut"/>
        <w:rPr>
          <w:noProof/>
        </w:rPr>
      </w:pPr>
      <w:r w:rsidRPr="00A2667F">
        <w:rPr>
          <w:noProof/>
        </w:rPr>
        <w:t>Предложение за</w:t>
      </w:r>
    </w:p>
    <w:p w14:paraId="26E087D2" w14:textId="0834F4E9" w:rsidR="00961DC4" w:rsidRPr="00A2667F" w:rsidRDefault="00A2667F" w:rsidP="00A2667F">
      <w:pPr>
        <w:pStyle w:val="Typedudocument"/>
        <w:rPr>
          <w:noProof/>
        </w:rPr>
      </w:pPr>
      <w:r w:rsidRPr="00A2667F">
        <w:rPr>
          <w:noProof/>
        </w:rPr>
        <w:t>РЕШЕНИЕ НА СЪВЕТА</w:t>
      </w:r>
    </w:p>
    <w:p w14:paraId="0EC7521E" w14:textId="65F678DB" w:rsidR="00961DC4" w:rsidRPr="00A2667F" w:rsidRDefault="00A2667F" w:rsidP="00A2667F">
      <w:pPr>
        <w:pStyle w:val="Titreobjet"/>
        <w:rPr>
          <w:noProof/>
        </w:rPr>
      </w:pPr>
      <w:r w:rsidRPr="00A2667F">
        <w:rPr>
          <w:noProof/>
        </w:rPr>
        <w:t>за установяване на позицията, която трябва да се заеме от името на Европейския съюз в рамките на Комитета по държавните поръчки относно присъединяването на Северна Македония към Споразумението за държавните поръчки</w:t>
      </w:r>
    </w:p>
    <w:p w14:paraId="0FA5FFAD" w14:textId="4FCE9FFA" w:rsidR="00961DC4" w:rsidRPr="00A2667F" w:rsidRDefault="00A2667F" w:rsidP="00A2667F">
      <w:pPr>
        <w:pStyle w:val="IntrtEEE"/>
        <w:rPr>
          <w:noProof/>
        </w:rPr>
      </w:pPr>
      <w:r w:rsidRPr="00A2667F">
        <w:rPr>
          <w:noProof/>
        </w:rPr>
        <w:t>(текст от значение за ЕИП)</w:t>
      </w:r>
    </w:p>
    <w:p w14:paraId="6E4E3ADB" w14:textId="77777777" w:rsidR="00961DC4" w:rsidRPr="00A2667F" w:rsidRDefault="00961DC4" w:rsidP="00961DC4">
      <w:pPr>
        <w:pStyle w:val="Institutionquiagit"/>
        <w:rPr>
          <w:noProof/>
        </w:rPr>
      </w:pPr>
      <w:r w:rsidRPr="00A2667F">
        <w:rPr>
          <w:noProof/>
        </w:rPr>
        <w:t>СЪВЕТЪТ НА ЕВРОПЕЙСКИЯ СЪЮЗ,</w:t>
      </w:r>
    </w:p>
    <w:p w14:paraId="4A34C770" w14:textId="77777777" w:rsidR="00961DC4" w:rsidRPr="00A2667F" w:rsidRDefault="00961DC4" w:rsidP="00961DC4">
      <w:pPr>
        <w:rPr>
          <w:rFonts w:eastAsia="Calibri"/>
          <w:noProof/>
        </w:rPr>
      </w:pPr>
      <w:r w:rsidRPr="00A2667F">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14:paraId="65D3F278" w14:textId="77777777" w:rsidR="00961DC4" w:rsidRPr="00A2667F" w:rsidRDefault="00961DC4" w:rsidP="00961DC4">
      <w:pPr>
        <w:rPr>
          <w:rFonts w:eastAsia="Calibri"/>
          <w:noProof/>
        </w:rPr>
      </w:pPr>
      <w:r w:rsidRPr="00A2667F">
        <w:rPr>
          <w:noProof/>
        </w:rPr>
        <w:t>като взе предвид предложението на Европейската комисия,</w:t>
      </w:r>
    </w:p>
    <w:p w14:paraId="0F09DD2F" w14:textId="77777777" w:rsidR="00961DC4" w:rsidRPr="00A2667F" w:rsidRDefault="00961DC4" w:rsidP="00961DC4">
      <w:pPr>
        <w:rPr>
          <w:noProof/>
        </w:rPr>
      </w:pPr>
      <w:r w:rsidRPr="00A2667F">
        <w:rPr>
          <w:noProof/>
        </w:rPr>
        <w:t>като има предвид, че:</w:t>
      </w:r>
    </w:p>
    <w:p w14:paraId="087703A8" w14:textId="70CC880A" w:rsidR="00961DC4" w:rsidRPr="00A2667F" w:rsidRDefault="00ED47ED" w:rsidP="00ED47ED">
      <w:pPr>
        <w:pStyle w:val="ManualConsidrant"/>
        <w:rPr>
          <w:noProof/>
        </w:rPr>
      </w:pPr>
      <w:r w:rsidRPr="00ED47ED">
        <w:t>(1)</w:t>
      </w:r>
      <w:r w:rsidRPr="00ED47ED">
        <w:tab/>
      </w:r>
      <w:r w:rsidR="00961DC4" w:rsidRPr="00A2667F">
        <w:rPr>
          <w:noProof/>
        </w:rPr>
        <w:t>На 17 март 2017 г. Северна Македония подаде заявление за присъединяване към Споразумението за държавните поръчки (СДП).</w:t>
      </w:r>
    </w:p>
    <w:p w14:paraId="58D4049E" w14:textId="502D3163" w:rsidR="00961DC4" w:rsidRPr="00A2667F" w:rsidRDefault="00ED47ED" w:rsidP="00ED47ED">
      <w:pPr>
        <w:pStyle w:val="ManualConsidrant"/>
        <w:rPr>
          <w:noProof/>
        </w:rPr>
      </w:pPr>
      <w:r w:rsidRPr="00ED47ED">
        <w:t>(2)</w:t>
      </w:r>
      <w:r w:rsidRPr="00ED47ED">
        <w:tab/>
      </w:r>
      <w:r w:rsidR="00D80A83" w:rsidRPr="00A2667F">
        <w:rPr>
          <w:noProof/>
        </w:rPr>
        <w:t xml:space="preserve">Задълженията на Северна Македония във връзка с обхвата са определени в нейното окончателно предложение, представено на страните по СДП (наричани по-нататък „страните“) на 13 септември 2022 г. и поправено на 27 септември 2022 г. </w:t>
      </w:r>
    </w:p>
    <w:p w14:paraId="7738E922" w14:textId="2D0266C4" w:rsidR="0063377F" w:rsidRPr="00A2667F" w:rsidRDefault="00ED47ED" w:rsidP="00ED47ED">
      <w:pPr>
        <w:pStyle w:val="ManualConsidrant"/>
        <w:rPr>
          <w:noProof/>
        </w:rPr>
      </w:pPr>
      <w:r w:rsidRPr="00ED47ED">
        <w:t>(3)</w:t>
      </w:r>
      <w:r w:rsidRPr="00ED47ED">
        <w:tab/>
      </w:r>
      <w:r w:rsidR="0063377F" w:rsidRPr="00A2667F">
        <w:rPr>
          <w:noProof/>
        </w:rPr>
        <w:t xml:space="preserve">Окончателното предложение на Северна Македония е задоволително и не изисква въвеждането на специфични резерви по отношение на Северна Македония. Условията за присъединяването на Северна Македония, отразени в приложението към настоящото решение, ще бъдат отразени в решението, прието от Комитета по държавните поръчки (наричан по-нататък „Комитетът по СДП“) относно присъединяването на Северна Македония. </w:t>
      </w:r>
    </w:p>
    <w:p w14:paraId="58C21144" w14:textId="24780FC9" w:rsidR="00961DC4" w:rsidRPr="00A2667F" w:rsidRDefault="00ED47ED" w:rsidP="00ED47ED">
      <w:pPr>
        <w:pStyle w:val="ManualConsidrant"/>
        <w:rPr>
          <w:noProof/>
        </w:rPr>
      </w:pPr>
      <w:r w:rsidRPr="00ED47ED">
        <w:t>(4)</w:t>
      </w:r>
      <w:r w:rsidRPr="00ED47ED">
        <w:tab/>
      </w:r>
      <w:r w:rsidR="00D80A83" w:rsidRPr="00A2667F">
        <w:rPr>
          <w:noProof/>
        </w:rPr>
        <w:t>Очаква се присъединяването на Северна Македония към СДП да има положителен принос за по-широкото отваряне в международен план на пазарите на държавни поръчки.</w:t>
      </w:r>
    </w:p>
    <w:p w14:paraId="281D3ED0" w14:textId="129620E1" w:rsidR="00961DC4" w:rsidRPr="00A2667F" w:rsidRDefault="00ED47ED" w:rsidP="00ED47ED">
      <w:pPr>
        <w:pStyle w:val="ManualConsidrant"/>
        <w:rPr>
          <w:noProof/>
        </w:rPr>
      </w:pPr>
      <w:r w:rsidRPr="00ED47ED">
        <w:t>(5)</w:t>
      </w:r>
      <w:r w:rsidRPr="00ED47ED">
        <w:tab/>
      </w:r>
      <w:r w:rsidR="00961DC4" w:rsidRPr="00A2667F">
        <w:rPr>
          <w:noProof/>
        </w:rPr>
        <w:t>В член XXII, параграф 2 от СДП се предвижда, че всеки член на Световната търговска организация може да се присъедини към СДП при условията, които ще се приемат между този член и страните и ще се посочат в решение на Комитета по държавните поръчки.</w:t>
      </w:r>
    </w:p>
    <w:p w14:paraId="04FF74A1" w14:textId="1C76BF50" w:rsidR="00961DC4" w:rsidRPr="00A2667F" w:rsidRDefault="00ED47ED" w:rsidP="00ED47ED">
      <w:pPr>
        <w:pStyle w:val="ManualConsidrant"/>
        <w:rPr>
          <w:noProof/>
        </w:rPr>
      </w:pPr>
      <w:r w:rsidRPr="00ED47ED">
        <w:t>(6)</w:t>
      </w:r>
      <w:r w:rsidRPr="00ED47ED">
        <w:tab/>
      </w:r>
      <w:r w:rsidR="00961DC4" w:rsidRPr="00A2667F">
        <w:rPr>
          <w:noProof/>
        </w:rPr>
        <w:t>Поради това е необходимо да се установи позицията, която трябва да се заеме от името на Съюза в рамките на Комитета по държавните поръчки във връзка с присъединяването на Северна Македония,</w:t>
      </w:r>
    </w:p>
    <w:p w14:paraId="5729E767" w14:textId="77777777" w:rsidR="00961DC4" w:rsidRPr="00A2667F" w:rsidRDefault="00961DC4" w:rsidP="00961DC4">
      <w:pPr>
        <w:pStyle w:val="Formuledadoption"/>
        <w:rPr>
          <w:noProof/>
        </w:rPr>
      </w:pPr>
      <w:r w:rsidRPr="00A2667F">
        <w:rPr>
          <w:noProof/>
        </w:rPr>
        <w:t xml:space="preserve">ПРИЕ НАСТОЯЩОТО РЕШЕНИЕ: </w:t>
      </w:r>
    </w:p>
    <w:p w14:paraId="7D9F4CFB" w14:textId="77777777" w:rsidR="00961DC4" w:rsidRPr="00A2667F" w:rsidRDefault="00961DC4" w:rsidP="00961DC4">
      <w:pPr>
        <w:pStyle w:val="Titrearticle"/>
        <w:rPr>
          <w:noProof/>
        </w:rPr>
      </w:pPr>
      <w:r w:rsidRPr="00A2667F">
        <w:rPr>
          <w:noProof/>
        </w:rPr>
        <w:t>Член 1</w:t>
      </w:r>
    </w:p>
    <w:p w14:paraId="63592EF8" w14:textId="63838542" w:rsidR="00961DC4" w:rsidRPr="00A2667F" w:rsidRDefault="00961DC4" w:rsidP="00961DC4">
      <w:pPr>
        <w:keepLines/>
        <w:rPr>
          <w:rFonts w:eastAsia="Times New Roman"/>
          <w:noProof/>
          <w:szCs w:val="24"/>
        </w:rPr>
      </w:pPr>
      <w:r w:rsidRPr="00A2667F">
        <w:rPr>
          <w:noProof/>
        </w:rPr>
        <w:t>Позицията, която трябва да се заеме от името на Съюза в рамките на Комитета по държавните поръчки към Световната търговска организация, е да се одобри присъединяването на Северна Македония към Споразумението за държавните поръчки, при условие че списъкът на Съюза бъде изменен съгласно приложението към настоящото решение след присъединяването на Северна Македония.</w:t>
      </w:r>
    </w:p>
    <w:p w14:paraId="6F6BCE9C" w14:textId="77777777" w:rsidR="00961DC4" w:rsidRPr="00A2667F" w:rsidRDefault="00961DC4" w:rsidP="00311F31">
      <w:pPr>
        <w:pStyle w:val="Titrearticle"/>
        <w:rPr>
          <w:noProof/>
        </w:rPr>
      </w:pPr>
      <w:r w:rsidRPr="00A2667F">
        <w:rPr>
          <w:noProof/>
        </w:rPr>
        <w:t>Член 2</w:t>
      </w:r>
    </w:p>
    <w:p w14:paraId="15E233CE" w14:textId="77777777" w:rsidR="00961DC4" w:rsidRPr="00A2667F" w:rsidRDefault="00961DC4" w:rsidP="00961DC4">
      <w:pPr>
        <w:keepNext/>
        <w:keepLines/>
        <w:rPr>
          <w:noProof/>
        </w:rPr>
      </w:pPr>
      <w:r w:rsidRPr="00A2667F">
        <w:rPr>
          <w:noProof/>
          <w:color w:val="000000"/>
        </w:rPr>
        <w:t>Адресат на настоящото решение е Комисията.</w:t>
      </w:r>
    </w:p>
    <w:p w14:paraId="21EA2680" w14:textId="317E4E07" w:rsidR="00961DC4" w:rsidRPr="00A2667F" w:rsidRDefault="00A02E8A" w:rsidP="00311F31">
      <w:pPr>
        <w:pStyle w:val="Fait"/>
        <w:rPr>
          <w:noProof/>
        </w:rPr>
      </w:pPr>
      <w:r w:rsidRPr="00A02E8A">
        <w:t xml:space="preserve">Съставено в Брюксел на </w:t>
      </w:r>
      <w:r w:rsidRPr="00A02E8A">
        <w:rPr>
          <w:rStyle w:val="Marker"/>
        </w:rPr>
        <w:t>[…]</w:t>
      </w:r>
      <w:r w:rsidRPr="00A02E8A">
        <w:t xml:space="preserve"> година.</w:t>
      </w:r>
    </w:p>
    <w:p w14:paraId="2ED3CCF9" w14:textId="77777777" w:rsidR="00961DC4" w:rsidRPr="00A2667F" w:rsidRDefault="00961DC4" w:rsidP="00311F31">
      <w:pPr>
        <w:pStyle w:val="Institutionquisigne"/>
        <w:rPr>
          <w:noProof/>
        </w:rPr>
      </w:pPr>
      <w:r w:rsidRPr="00A2667F">
        <w:rPr>
          <w:noProof/>
        </w:rPr>
        <w:tab/>
        <w:t>За Съвета</w:t>
      </w:r>
    </w:p>
    <w:p w14:paraId="44ED5DD9" w14:textId="7E1D9477" w:rsidR="00961DC4" w:rsidRPr="00A2667F" w:rsidRDefault="00961DC4" w:rsidP="00F6175C">
      <w:pPr>
        <w:pStyle w:val="Personnequisigne"/>
        <w:rPr>
          <w:noProof/>
        </w:rPr>
      </w:pPr>
      <w:r w:rsidRPr="00A2667F">
        <w:rPr>
          <w:noProof/>
        </w:rPr>
        <w:tab/>
        <w:t>Председател</w:t>
      </w:r>
    </w:p>
    <w:sectPr w:rsidR="00961DC4" w:rsidRPr="00A2667F" w:rsidSect="00AE2C3D">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D9F7" w14:textId="77777777" w:rsidR="00897C4A" w:rsidRDefault="00897C4A" w:rsidP="00961DC4">
      <w:pPr>
        <w:spacing w:before="0" w:after="0"/>
      </w:pPr>
      <w:r>
        <w:separator/>
      </w:r>
    </w:p>
  </w:endnote>
  <w:endnote w:type="continuationSeparator" w:id="0">
    <w:p w14:paraId="06C244EB" w14:textId="77777777" w:rsidR="00897C4A" w:rsidRDefault="00897C4A" w:rsidP="00961D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6424" w14:textId="14253519" w:rsidR="00A2667F" w:rsidRPr="00AE2C3D" w:rsidRDefault="00AE2C3D" w:rsidP="00AE2C3D">
    <w:pPr>
      <w:pStyle w:val="Footer"/>
      <w:rPr>
        <w:rFonts w:ascii="Arial" w:hAnsi="Arial" w:cs="Arial"/>
        <w:b/>
        <w:sz w:val="48"/>
      </w:rPr>
    </w:pPr>
    <w:r w:rsidRPr="00AE2C3D">
      <w:rPr>
        <w:rFonts w:ascii="Arial" w:hAnsi="Arial" w:cs="Arial"/>
        <w:b/>
        <w:sz w:val="48"/>
      </w:rPr>
      <w:t>BG</w:t>
    </w:r>
    <w:r w:rsidRPr="00AE2C3D">
      <w:rPr>
        <w:rFonts w:ascii="Arial" w:hAnsi="Arial" w:cs="Arial"/>
        <w:b/>
        <w:sz w:val="48"/>
      </w:rPr>
      <w:tab/>
    </w:r>
    <w:r w:rsidRPr="00AE2C3D">
      <w:rPr>
        <w:rFonts w:ascii="Arial" w:hAnsi="Arial" w:cs="Arial"/>
        <w:b/>
        <w:sz w:val="48"/>
      </w:rPr>
      <w:tab/>
    </w:r>
    <w:r w:rsidRPr="00AE2C3D">
      <w:tab/>
    </w:r>
    <w:r w:rsidRPr="00AE2C3D">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5CF7" w14:textId="7992315F" w:rsidR="00AE2C3D" w:rsidRPr="00AE2C3D" w:rsidRDefault="00AE2C3D" w:rsidP="00AE2C3D">
    <w:pPr>
      <w:pStyle w:val="Footer"/>
      <w:rPr>
        <w:rFonts w:ascii="Arial" w:hAnsi="Arial" w:cs="Arial"/>
        <w:b/>
        <w:sz w:val="48"/>
      </w:rPr>
    </w:pPr>
    <w:r w:rsidRPr="00AE2C3D">
      <w:rPr>
        <w:rFonts w:ascii="Arial" w:hAnsi="Arial" w:cs="Arial"/>
        <w:b/>
        <w:sz w:val="48"/>
      </w:rPr>
      <w:t>BG</w:t>
    </w:r>
    <w:r w:rsidRPr="00AE2C3D">
      <w:rPr>
        <w:rFonts w:ascii="Arial" w:hAnsi="Arial" w:cs="Arial"/>
        <w:b/>
        <w:sz w:val="48"/>
      </w:rPr>
      <w:tab/>
    </w:r>
    <w:r>
      <w:fldChar w:fldCharType="begin"/>
    </w:r>
    <w:r>
      <w:instrText xml:space="preserve"> PAGE  \* MERGEFORMAT </w:instrText>
    </w:r>
    <w:r>
      <w:fldChar w:fldCharType="separate"/>
    </w:r>
    <w:r w:rsidR="00311F31">
      <w:rPr>
        <w:noProof/>
      </w:rPr>
      <w:t>8</w:t>
    </w:r>
    <w:r>
      <w:fldChar w:fldCharType="end"/>
    </w:r>
    <w:r>
      <w:tab/>
    </w:r>
    <w:r w:rsidRPr="00AE2C3D">
      <w:tab/>
    </w:r>
    <w:r w:rsidRPr="00AE2C3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18D0" w14:textId="77777777" w:rsidR="00AE2C3D" w:rsidRPr="00AE2C3D" w:rsidRDefault="00AE2C3D" w:rsidP="00AE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21009" w14:textId="77777777" w:rsidR="00897C4A" w:rsidRDefault="00897C4A" w:rsidP="00961DC4">
      <w:pPr>
        <w:spacing w:before="0" w:after="0"/>
      </w:pPr>
      <w:r>
        <w:separator/>
      </w:r>
    </w:p>
  </w:footnote>
  <w:footnote w:type="continuationSeparator" w:id="0">
    <w:p w14:paraId="39AFF771" w14:textId="77777777" w:rsidR="00897C4A" w:rsidRDefault="00897C4A" w:rsidP="00961DC4">
      <w:pPr>
        <w:spacing w:before="0" w:after="0"/>
      </w:pPr>
      <w:r>
        <w:continuationSeparator/>
      </w:r>
    </w:p>
  </w:footnote>
  <w:footnote w:id="1">
    <w:p w14:paraId="2B4046CF" w14:textId="77777777" w:rsidR="00BD20EF" w:rsidRDefault="00BD20EF" w:rsidP="00961DC4">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D2DE4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D02E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BA831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DAE016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D752EE52"/>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BB96242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3B2186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40047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7"/>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0"/>
  </w:num>
  <w:num w:numId="12">
    <w:abstractNumId w:val="12"/>
  </w:num>
  <w:num w:numId="13">
    <w:abstractNumId w:val="22"/>
  </w:num>
  <w:num w:numId="14">
    <w:abstractNumId w:val="11"/>
  </w:num>
  <w:num w:numId="15">
    <w:abstractNumId w:val="13"/>
  </w:num>
  <w:num w:numId="16">
    <w:abstractNumId w:val="14"/>
  </w:num>
  <w:num w:numId="17">
    <w:abstractNumId w:val="9"/>
  </w:num>
  <w:num w:numId="18">
    <w:abstractNumId w:val="21"/>
  </w:num>
  <w:num w:numId="19">
    <w:abstractNumId w:val="8"/>
  </w:num>
  <w:num w:numId="20">
    <w:abstractNumId w:val="15"/>
  </w:num>
  <w:num w:numId="21">
    <w:abstractNumId w:val="18"/>
  </w:num>
  <w:num w:numId="22">
    <w:abstractNumId w:val="19"/>
  </w:num>
  <w:num w:numId="23">
    <w:abstractNumId w:val="10"/>
  </w:num>
  <w:num w:numId="24">
    <w:abstractNumId w:val="1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24 11:10: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44A2DEB-9F97-4E0D-B285-326428AD76FA"/>
    <w:docVar w:name="LW_COVERPAGE_TYPE" w:val="1"/>
    <w:docVar w:name="LW_CROSSREFERENCE" w:val="&lt;UNUSED&gt;"/>
    <w:docVar w:name="LW_DocType" w:val="COM"/>
    <w:docVar w:name="LW_EMISSION" w:val="1.3.2023"/>
    <w:docVar w:name="LW_EMISSION_ISODATE" w:val="2023-03-01"/>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текст от значение за ЕИП)"/>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0"/>
    <w:docVar w:name="LW_REF.II.NEW.CP_YEAR" w:val="2023"/>
    <w:docVar w:name="LW_REF.INST.NEW" w:val="COM"/>
    <w:docVar w:name="LW_REF.INST.NEW_ADOPTED" w:val="final"/>
    <w:docVar w:name="LW_REF.INST.NEW_TEXT" w:val="(2023)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за установяване на позицията, която трябва да се заеме от името на Европейския съюз в рамките на Комитета по държавните поръчки относно присъединяването на Северна Македония към Споразумението за държавните поръчки"/>
    <w:docVar w:name="LW_TYPE.DOC.CP" w:val="РЕШЕНИЕ НА СЪВЕТА"/>
    <w:docVar w:name="LwApiVersions" w:val="LW4CoDe 1.23.2.0; LW 8.0, Build 20211117"/>
  </w:docVars>
  <w:rsids>
    <w:rsidRoot w:val="00961DC4"/>
    <w:rsid w:val="0001394C"/>
    <w:rsid w:val="00023234"/>
    <w:rsid w:val="000458D2"/>
    <w:rsid w:val="00054298"/>
    <w:rsid w:val="000A0DAB"/>
    <w:rsid w:val="000A2EBB"/>
    <w:rsid w:val="000B7A7D"/>
    <w:rsid w:val="000D1C15"/>
    <w:rsid w:val="00127F0F"/>
    <w:rsid w:val="00152894"/>
    <w:rsid w:val="00161195"/>
    <w:rsid w:val="00163CE3"/>
    <w:rsid w:val="001D5778"/>
    <w:rsid w:val="002156CB"/>
    <w:rsid w:val="00247E23"/>
    <w:rsid w:val="00263CA8"/>
    <w:rsid w:val="002D7347"/>
    <w:rsid w:val="00311F31"/>
    <w:rsid w:val="00377079"/>
    <w:rsid w:val="00377C6E"/>
    <w:rsid w:val="00386B87"/>
    <w:rsid w:val="003876CF"/>
    <w:rsid w:val="00396ACD"/>
    <w:rsid w:val="003C301E"/>
    <w:rsid w:val="003E4E1B"/>
    <w:rsid w:val="00402883"/>
    <w:rsid w:val="00421C0D"/>
    <w:rsid w:val="00426024"/>
    <w:rsid w:val="0043192C"/>
    <w:rsid w:val="00437AA5"/>
    <w:rsid w:val="00492396"/>
    <w:rsid w:val="004B292A"/>
    <w:rsid w:val="004B5F9A"/>
    <w:rsid w:val="004C15F8"/>
    <w:rsid w:val="004C1A2A"/>
    <w:rsid w:val="004E19F9"/>
    <w:rsid w:val="00517205"/>
    <w:rsid w:val="00542487"/>
    <w:rsid w:val="005523DA"/>
    <w:rsid w:val="005645C3"/>
    <w:rsid w:val="0058085F"/>
    <w:rsid w:val="00582810"/>
    <w:rsid w:val="00595540"/>
    <w:rsid w:val="005B5FA6"/>
    <w:rsid w:val="0063377F"/>
    <w:rsid w:val="00635DA3"/>
    <w:rsid w:val="0066069A"/>
    <w:rsid w:val="006654AB"/>
    <w:rsid w:val="006A37FC"/>
    <w:rsid w:val="006C78B1"/>
    <w:rsid w:val="006D489B"/>
    <w:rsid w:val="006F30F2"/>
    <w:rsid w:val="006F7EFE"/>
    <w:rsid w:val="0077301D"/>
    <w:rsid w:val="007800D5"/>
    <w:rsid w:val="0079745C"/>
    <w:rsid w:val="007B2A05"/>
    <w:rsid w:val="007D0861"/>
    <w:rsid w:val="007E010B"/>
    <w:rsid w:val="00802FC2"/>
    <w:rsid w:val="0081054F"/>
    <w:rsid w:val="0083303A"/>
    <w:rsid w:val="008806EF"/>
    <w:rsid w:val="00897C4A"/>
    <w:rsid w:val="008B4386"/>
    <w:rsid w:val="008D6E70"/>
    <w:rsid w:val="008E1064"/>
    <w:rsid w:val="008E2694"/>
    <w:rsid w:val="009029EC"/>
    <w:rsid w:val="009362EC"/>
    <w:rsid w:val="00940731"/>
    <w:rsid w:val="00961DC4"/>
    <w:rsid w:val="009830F1"/>
    <w:rsid w:val="00983D4F"/>
    <w:rsid w:val="00995288"/>
    <w:rsid w:val="009957C5"/>
    <w:rsid w:val="009A5AFF"/>
    <w:rsid w:val="009E4436"/>
    <w:rsid w:val="00A02E8A"/>
    <w:rsid w:val="00A133B5"/>
    <w:rsid w:val="00A14ACA"/>
    <w:rsid w:val="00A2667F"/>
    <w:rsid w:val="00A507D3"/>
    <w:rsid w:val="00A565C7"/>
    <w:rsid w:val="00A56EC2"/>
    <w:rsid w:val="00AC5CEA"/>
    <w:rsid w:val="00AE2C3D"/>
    <w:rsid w:val="00B314C0"/>
    <w:rsid w:val="00B5749A"/>
    <w:rsid w:val="00B84D58"/>
    <w:rsid w:val="00B85D1E"/>
    <w:rsid w:val="00BB7FB7"/>
    <w:rsid w:val="00BD20EF"/>
    <w:rsid w:val="00BF53C9"/>
    <w:rsid w:val="00C07A72"/>
    <w:rsid w:val="00C1326E"/>
    <w:rsid w:val="00C3731F"/>
    <w:rsid w:val="00C64940"/>
    <w:rsid w:val="00C94870"/>
    <w:rsid w:val="00CA722A"/>
    <w:rsid w:val="00CC2F2D"/>
    <w:rsid w:val="00CC723D"/>
    <w:rsid w:val="00CC7A68"/>
    <w:rsid w:val="00CE5797"/>
    <w:rsid w:val="00D0388B"/>
    <w:rsid w:val="00D80A83"/>
    <w:rsid w:val="00DA39E4"/>
    <w:rsid w:val="00DB4B20"/>
    <w:rsid w:val="00DF33F9"/>
    <w:rsid w:val="00DF6E53"/>
    <w:rsid w:val="00E07235"/>
    <w:rsid w:val="00E33C9F"/>
    <w:rsid w:val="00E5320F"/>
    <w:rsid w:val="00E979AB"/>
    <w:rsid w:val="00EC39BC"/>
    <w:rsid w:val="00ED1E91"/>
    <w:rsid w:val="00ED47ED"/>
    <w:rsid w:val="00ED5242"/>
    <w:rsid w:val="00EE140B"/>
    <w:rsid w:val="00F528A0"/>
    <w:rsid w:val="00F57C2F"/>
    <w:rsid w:val="00F6175C"/>
    <w:rsid w:val="00F71633"/>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C8DDCF"/>
  <w15:docId w15:val="{E92B0136-DB1A-41F9-A522-18D85DC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DC4"/>
    <w:pPr>
      <w:spacing w:before="100" w:beforeAutospacing="1" w:after="100" w:afterAutospacing="1"/>
      <w:jc w:val="left"/>
    </w:pPr>
    <w:rPr>
      <w:rFonts w:eastAsia="Times New Roman"/>
      <w:szCs w:val="24"/>
      <w:lang w:eastAsia="en-GB"/>
    </w:rPr>
  </w:style>
  <w:style w:type="paragraph" w:customStyle="1" w:styleId="Briefingtext">
    <w:name w:val="Briefing text"/>
    <w:basedOn w:val="Normal"/>
    <w:link w:val="BriefingtextChar"/>
    <w:rsid w:val="00961DC4"/>
    <w:pPr>
      <w:spacing w:before="0" w:after="240"/>
    </w:pPr>
    <w:rPr>
      <w:rFonts w:ascii="Arial" w:eastAsia="Times New Roman" w:hAnsi="Arial" w:cs="Arial"/>
      <w:sz w:val="22"/>
      <w:szCs w:val="24"/>
    </w:rPr>
  </w:style>
  <w:style w:type="character" w:customStyle="1" w:styleId="BriefingtextChar">
    <w:name w:val="Briefing text Char"/>
    <w:link w:val="Briefingtext"/>
    <w:rsid w:val="00961DC4"/>
    <w:rPr>
      <w:rFonts w:ascii="Arial" w:eastAsia="Times New Roman" w:hAnsi="Arial" w:cs="Arial"/>
      <w:szCs w:val="24"/>
      <w:lang w:val="bg-BG"/>
    </w:rPr>
  </w:style>
  <w:style w:type="character" w:styleId="CommentReference">
    <w:name w:val="annotation reference"/>
    <w:uiPriority w:val="99"/>
    <w:semiHidden/>
    <w:unhideWhenUsed/>
    <w:rsid w:val="00983D4F"/>
    <w:rPr>
      <w:sz w:val="16"/>
      <w:szCs w:val="16"/>
    </w:rPr>
  </w:style>
  <w:style w:type="paragraph" w:styleId="CommentText">
    <w:name w:val="annotation text"/>
    <w:basedOn w:val="Normal"/>
    <w:link w:val="CommentTextChar"/>
    <w:uiPriority w:val="99"/>
    <w:unhideWhenUsed/>
    <w:rsid w:val="00983D4F"/>
    <w:pPr>
      <w:spacing w:before="0" w:after="0"/>
    </w:pPr>
    <w:rPr>
      <w:rFonts w:ascii="Verdana" w:eastAsia="Calibri" w:hAnsi="Verdana"/>
      <w:sz w:val="20"/>
      <w:szCs w:val="20"/>
      <w:lang w:eastAsia="x-none"/>
    </w:rPr>
  </w:style>
  <w:style w:type="character" w:customStyle="1" w:styleId="CommentTextChar">
    <w:name w:val="Comment Text Char"/>
    <w:basedOn w:val="DefaultParagraphFont"/>
    <w:link w:val="CommentText"/>
    <w:uiPriority w:val="99"/>
    <w:rsid w:val="00983D4F"/>
    <w:rPr>
      <w:rFonts w:ascii="Verdana" w:eastAsia="Calibri" w:hAnsi="Verdana" w:cs="Times New Roman"/>
      <w:sz w:val="20"/>
      <w:szCs w:val="20"/>
      <w:lang w:val="bg-BG" w:eastAsia="x-none"/>
    </w:rPr>
  </w:style>
  <w:style w:type="paragraph" w:styleId="BalloonText">
    <w:name w:val="Balloon Text"/>
    <w:basedOn w:val="Normal"/>
    <w:link w:val="BalloonTextChar"/>
    <w:uiPriority w:val="99"/>
    <w:semiHidden/>
    <w:unhideWhenUsed/>
    <w:rsid w:val="00983D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4F"/>
    <w:rPr>
      <w:rFonts w:ascii="Segoe UI" w:hAnsi="Segoe UI" w:cs="Segoe UI"/>
      <w:sz w:val="18"/>
      <w:szCs w:val="18"/>
      <w:lang w:val="bg-BG"/>
    </w:rPr>
  </w:style>
  <w:style w:type="paragraph" w:styleId="BodyText">
    <w:name w:val="Body Text"/>
    <w:basedOn w:val="Normal"/>
    <w:link w:val="BodyTextChar"/>
    <w:uiPriority w:val="1"/>
    <w:qFormat/>
    <w:rsid w:val="00983D4F"/>
    <w:pPr>
      <w:spacing w:before="0" w:after="240"/>
    </w:pPr>
    <w:rPr>
      <w:rFonts w:ascii="Verdana" w:eastAsia="Calibri" w:hAnsi="Verdana"/>
      <w:sz w:val="18"/>
    </w:rPr>
  </w:style>
  <w:style w:type="character" w:customStyle="1" w:styleId="BodyTextChar">
    <w:name w:val="Body Text Char"/>
    <w:basedOn w:val="DefaultParagraphFont"/>
    <w:link w:val="BodyText"/>
    <w:uiPriority w:val="1"/>
    <w:rsid w:val="00983D4F"/>
    <w:rPr>
      <w:rFonts w:ascii="Verdana" w:eastAsia="Calibri" w:hAnsi="Verdana" w:cs="Times New Roman"/>
      <w:sz w:val="18"/>
      <w:lang w:val="bg-BG"/>
    </w:rPr>
  </w:style>
  <w:style w:type="paragraph" w:styleId="BodyText2">
    <w:name w:val="Body Text 2"/>
    <w:basedOn w:val="Normal"/>
    <w:link w:val="BodyText2Char"/>
    <w:uiPriority w:val="1"/>
    <w:qFormat/>
    <w:rsid w:val="00983D4F"/>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sid w:val="00983D4F"/>
    <w:rPr>
      <w:rFonts w:ascii="Verdana" w:eastAsia="Calibri" w:hAnsi="Verdana" w:cs="Times New Roman"/>
      <w:sz w:val="18"/>
      <w:lang w:val="bg-BG"/>
    </w:rPr>
  </w:style>
  <w:style w:type="paragraph" w:styleId="BodyText3">
    <w:name w:val="Body Text 3"/>
    <w:basedOn w:val="Normal"/>
    <w:link w:val="BodyText3Char"/>
    <w:uiPriority w:val="1"/>
    <w:qFormat/>
    <w:rsid w:val="00983D4F"/>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sid w:val="00983D4F"/>
    <w:rPr>
      <w:rFonts w:ascii="Verdana" w:eastAsia="Calibri" w:hAnsi="Verdana" w:cs="Times New Roman"/>
      <w:sz w:val="18"/>
      <w:szCs w:val="16"/>
      <w:lang w:val="bg-BG"/>
    </w:rPr>
  </w:style>
  <w:style w:type="numbering" w:customStyle="1" w:styleId="LegalHeadings">
    <w:name w:val="LegalHeadings"/>
    <w:uiPriority w:val="99"/>
    <w:rsid w:val="00983D4F"/>
    <w:pPr>
      <w:numPr>
        <w:numId w:val="2"/>
      </w:numPr>
    </w:pPr>
  </w:style>
  <w:style w:type="paragraph" w:styleId="ListBullet">
    <w:name w:val="List Bullet"/>
    <w:basedOn w:val="Normal"/>
    <w:uiPriority w:val="99"/>
    <w:semiHidden/>
    <w:unhideWhenUsed/>
    <w:rsid w:val="007800D5"/>
    <w:pPr>
      <w:numPr>
        <w:numId w:val="3"/>
      </w:numPr>
      <w:contextualSpacing/>
    </w:pPr>
  </w:style>
  <w:style w:type="paragraph" w:styleId="ListBullet2">
    <w:name w:val="List Bullet 2"/>
    <w:basedOn w:val="Normal"/>
    <w:uiPriority w:val="99"/>
    <w:semiHidden/>
    <w:unhideWhenUsed/>
    <w:rsid w:val="007800D5"/>
    <w:pPr>
      <w:numPr>
        <w:numId w:val="4"/>
      </w:numPr>
      <w:contextualSpacing/>
    </w:pPr>
  </w:style>
  <w:style w:type="paragraph" w:styleId="ListBullet3">
    <w:name w:val="List Bullet 3"/>
    <w:basedOn w:val="Normal"/>
    <w:uiPriority w:val="99"/>
    <w:semiHidden/>
    <w:unhideWhenUsed/>
    <w:rsid w:val="007800D5"/>
    <w:pPr>
      <w:numPr>
        <w:numId w:val="5"/>
      </w:numPr>
      <w:contextualSpacing/>
    </w:pPr>
  </w:style>
  <w:style w:type="paragraph" w:styleId="ListBullet4">
    <w:name w:val="List Bullet 4"/>
    <w:basedOn w:val="Normal"/>
    <w:uiPriority w:val="99"/>
    <w:semiHidden/>
    <w:unhideWhenUsed/>
    <w:rsid w:val="007800D5"/>
    <w:pPr>
      <w:numPr>
        <w:numId w:val="6"/>
      </w:numPr>
      <w:contextualSpacing/>
    </w:pPr>
  </w:style>
  <w:style w:type="paragraph" w:styleId="Caption">
    <w:name w:val="caption"/>
    <w:basedOn w:val="Normal"/>
    <w:next w:val="Normal"/>
    <w:uiPriority w:val="35"/>
    <w:semiHidden/>
    <w:unhideWhenUsed/>
    <w:qFormat/>
    <w:rsid w:val="0066069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6069A"/>
    <w:pPr>
      <w:spacing w:after="0"/>
    </w:pPr>
  </w:style>
  <w:style w:type="paragraph" w:styleId="ListNumber">
    <w:name w:val="List Number"/>
    <w:basedOn w:val="Normal"/>
    <w:uiPriority w:val="99"/>
    <w:semiHidden/>
    <w:unhideWhenUsed/>
    <w:rsid w:val="0066069A"/>
    <w:pPr>
      <w:numPr>
        <w:numId w:val="7"/>
      </w:numPr>
      <w:contextualSpacing/>
    </w:pPr>
  </w:style>
  <w:style w:type="paragraph" w:styleId="ListNumber2">
    <w:name w:val="List Number 2"/>
    <w:basedOn w:val="Normal"/>
    <w:uiPriority w:val="99"/>
    <w:semiHidden/>
    <w:unhideWhenUsed/>
    <w:rsid w:val="0066069A"/>
    <w:pPr>
      <w:numPr>
        <w:numId w:val="8"/>
      </w:numPr>
      <w:contextualSpacing/>
    </w:pPr>
  </w:style>
  <w:style w:type="paragraph" w:styleId="ListNumber3">
    <w:name w:val="List Number 3"/>
    <w:basedOn w:val="Normal"/>
    <w:uiPriority w:val="99"/>
    <w:semiHidden/>
    <w:unhideWhenUsed/>
    <w:rsid w:val="0066069A"/>
    <w:pPr>
      <w:numPr>
        <w:numId w:val="9"/>
      </w:numPr>
      <w:contextualSpacing/>
    </w:pPr>
  </w:style>
  <w:style w:type="paragraph" w:styleId="ListNumber4">
    <w:name w:val="List Number 4"/>
    <w:basedOn w:val="Normal"/>
    <w:uiPriority w:val="99"/>
    <w:semiHidden/>
    <w:unhideWhenUsed/>
    <w:rsid w:val="0066069A"/>
    <w:pPr>
      <w:numPr>
        <w:numId w:val="10"/>
      </w:numPr>
      <w:contextualSpacing/>
    </w:pPr>
  </w:style>
  <w:style w:type="paragraph" w:styleId="CommentSubject">
    <w:name w:val="annotation subject"/>
    <w:basedOn w:val="CommentText"/>
    <w:next w:val="CommentText"/>
    <w:link w:val="CommentSubjectChar"/>
    <w:uiPriority w:val="99"/>
    <w:semiHidden/>
    <w:unhideWhenUsed/>
    <w:rsid w:val="00023234"/>
    <w:pPr>
      <w:spacing w:before="120" w:after="120"/>
    </w:pPr>
    <w:rPr>
      <w:rFonts w:ascii="Times New Roman" w:eastAsiaTheme="minorHAnsi" w:hAnsi="Times New Roman"/>
      <w:b/>
      <w:bCs/>
      <w:lang w:eastAsia="en-US"/>
    </w:rPr>
  </w:style>
  <w:style w:type="character" w:customStyle="1" w:styleId="CommentSubjectChar">
    <w:name w:val="Comment Subject Char"/>
    <w:basedOn w:val="CommentTextChar"/>
    <w:link w:val="CommentSubject"/>
    <w:uiPriority w:val="99"/>
    <w:semiHidden/>
    <w:rsid w:val="00023234"/>
    <w:rPr>
      <w:rFonts w:ascii="Times New Roman" w:eastAsia="Calibri" w:hAnsi="Times New Roman" w:cs="Times New Roman"/>
      <w:b/>
      <w:bCs/>
      <w:sz w:val="20"/>
      <w:szCs w:val="20"/>
      <w:lang w:val="bg-BG" w:eastAsia="x-none"/>
    </w:rPr>
  </w:style>
  <w:style w:type="character" w:styleId="Hyperlink">
    <w:name w:val="Hyperlink"/>
    <w:basedOn w:val="DefaultParagraphFont"/>
    <w:uiPriority w:val="99"/>
    <w:unhideWhenUsed/>
    <w:rsid w:val="00023234"/>
    <w:rPr>
      <w:color w:val="0000FF" w:themeColor="hyperlink"/>
      <w:u w:val="single"/>
    </w:rPr>
  </w:style>
  <w:style w:type="paragraph" w:styleId="Header">
    <w:name w:val="header"/>
    <w:basedOn w:val="Normal"/>
    <w:link w:val="HeaderChar"/>
    <w:uiPriority w:val="99"/>
    <w:unhideWhenUsed/>
    <w:rsid w:val="00AE2C3D"/>
    <w:pPr>
      <w:tabs>
        <w:tab w:val="center" w:pos="4535"/>
        <w:tab w:val="right" w:pos="9071"/>
      </w:tabs>
      <w:spacing w:before="0"/>
    </w:pPr>
  </w:style>
  <w:style w:type="character" w:customStyle="1" w:styleId="HeaderChar">
    <w:name w:val="Header Char"/>
    <w:basedOn w:val="DefaultParagraphFont"/>
    <w:link w:val="Header"/>
    <w:uiPriority w:val="99"/>
    <w:rsid w:val="00AE2C3D"/>
    <w:rPr>
      <w:rFonts w:ascii="Times New Roman" w:hAnsi="Times New Roman" w:cs="Times New Roman"/>
      <w:sz w:val="24"/>
      <w:lang w:val="bg-BG"/>
    </w:rPr>
  </w:style>
  <w:style w:type="paragraph" w:styleId="Footer">
    <w:name w:val="footer"/>
    <w:basedOn w:val="Normal"/>
    <w:link w:val="FooterChar"/>
    <w:uiPriority w:val="99"/>
    <w:unhideWhenUsed/>
    <w:rsid w:val="00AE2C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E2C3D"/>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E2C3D"/>
    <w:pPr>
      <w:tabs>
        <w:tab w:val="center" w:pos="7285"/>
        <w:tab w:val="right" w:pos="14003"/>
      </w:tabs>
      <w:spacing w:before="0"/>
    </w:pPr>
  </w:style>
  <w:style w:type="paragraph" w:customStyle="1" w:styleId="FooterLandscape">
    <w:name w:val="FooterLandscape"/>
    <w:basedOn w:val="Normal"/>
    <w:rsid w:val="00AE2C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E2C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E2C3D"/>
    <w:pPr>
      <w:spacing w:before="0"/>
      <w:jc w:val="right"/>
    </w:pPr>
    <w:rPr>
      <w:sz w:val="28"/>
    </w:rPr>
  </w:style>
  <w:style w:type="paragraph" w:customStyle="1" w:styleId="FooterSensitivity">
    <w:name w:val="Footer Sensitivity"/>
    <w:basedOn w:val="Normal"/>
    <w:rsid w:val="00AE2C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D1E9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12</TotalTime>
  <Pages>9</Pages>
  <Words>2872</Words>
  <Characters>16404</Characters>
  <Application>Microsoft Office Word</Application>
  <DocSecurity>0</DocSecurity>
  <Lines>303</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44</cp:revision>
  <dcterms:created xsi:type="dcterms:W3CDTF">2023-02-14T11:46:00Z</dcterms:created>
  <dcterms:modified xsi:type="dcterms:W3CDTF">2023-02-24T10:10:00Z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2022-09-19T08:16:45Z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e3bb1ac9-b757-477c-9518-dc8d4220f631</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