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CE5BC" w14:textId="0B7456D1" w:rsidR="00C142EB" w:rsidRPr="00594675" w:rsidRDefault="005E7A2E" w:rsidP="00D06042">
      <w:pPr>
        <w:pStyle w:val="Pagedecouverture"/>
        <w:rPr>
          <w:noProof/>
        </w:rPr>
      </w:pPr>
      <w:bookmarkStart w:id="0" w:name="LW_BM_COVERPAGE"/>
      <w:r>
        <w:rPr>
          <w:noProof/>
        </w:rPr>
        <w:pict w14:anchorId="620FB9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965DF73-1E66-4BDE-9431-16C6BE88ED88" style="width:455.3pt;height:396.5pt">
            <v:imagedata r:id="rId17" o:title=""/>
          </v:shape>
        </w:pict>
      </w:r>
    </w:p>
    <w:bookmarkEnd w:id="0"/>
    <w:p w14:paraId="7A012026" w14:textId="77777777" w:rsidR="00C142EB" w:rsidRPr="00594675" w:rsidRDefault="00C142EB" w:rsidP="00C142EB">
      <w:pPr>
        <w:rPr>
          <w:noProof/>
        </w:rPr>
        <w:sectPr w:rsidR="00C142EB" w:rsidRPr="00594675" w:rsidSect="00D06042">
          <w:headerReference w:type="even" r:id="rId18"/>
          <w:headerReference w:type="default" r:id="rId19"/>
          <w:footerReference w:type="even" r:id="rId20"/>
          <w:footerReference w:type="default" r:id="rId21"/>
          <w:headerReference w:type="first" r:id="rId22"/>
          <w:footerReference w:type="first" r:id="rId23"/>
          <w:pgSz w:w="11906" w:h="16838"/>
          <w:pgMar w:top="1134" w:right="1417" w:bottom="1134" w:left="1417" w:header="709" w:footer="709" w:gutter="0"/>
          <w:pgNumType w:start="0"/>
          <w:cols w:space="720"/>
          <w:docGrid w:linePitch="360"/>
        </w:sectPr>
      </w:pPr>
    </w:p>
    <w:p w14:paraId="3D682D08" w14:textId="59FE8825" w:rsidR="00944E8C" w:rsidRPr="009B5B44" w:rsidRDefault="728A4A14" w:rsidP="00594675">
      <w:pPr>
        <w:jc w:val="center"/>
        <w:rPr>
          <w:rFonts w:asciiTheme="minorHAnsi" w:hAnsiTheme="minorHAnsi" w:cstheme="minorHAnsi"/>
          <w:b/>
          <w:noProof/>
          <w:lang w:val="de-DE"/>
        </w:rPr>
      </w:pPr>
      <w:r w:rsidRPr="009B5B44">
        <w:rPr>
          <w:rFonts w:asciiTheme="minorHAnsi" w:hAnsiTheme="minorHAnsi"/>
          <w:b/>
          <w:smallCaps/>
          <w:noProof/>
          <w:sz w:val="28"/>
          <w:lang w:val="de-DE"/>
        </w:rPr>
        <w:lastRenderedPageBreak/>
        <w:t>EU-Finanzierung und Maßnahmen für das Neue Europäische Bauhaus</w:t>
      </w:r>
      <w:r>
        <w:rPr>
          <w:rStyle w:val="FootnoteReference"/>
          <w:rFonts w:asciiTheme="minorHAnsi" w:hAnsiTheme="minorHAnsi" w:cstheme="minorHAnsi"/>
          <w:b/>
          <w:noProof/>
        </w:rPr>
        <w:footnoteReference w:id="2"/>
      </w:r>
    </w:p>
    <w:p w14:paraId="5B9C69D0" w14:textId="7E0D4D06" w:rsidR="00944E8C" w:rsidRPr="009B5B44" w:rsidRDefault="511C75D4" w:rsidP="009255E4">
      <w:pPr>
        <w:pStyle w:val="ListParagraph"/>
        <w:numPr>
          <w:ilvl w:val="0"/>
          <w:numId w:val="1"/>
        </w:numPr>
        <w:rPr>
          <w:rFonts w:asciiTheme="minorHAnsi" w:hAnsiTheme="minorHAnsi" w:cstheme="minorHAnsi"/>
          <w:b/>
          <w:noProof/>
          <w:lang w:val="de-DE"/>
        </w:rPr>
      </w:pPr>
      <w:r w:rsidRPr="009B5B44">
        <w:rPr>
          <w:rFonts w:asciiTheme="minorHAnsi" w:hAnsiTheme="minorHAnsi"/>
          <w:b/>
          <w:noProof/>
          <w:lang w:val="de-DE"/>
        </w:rPr>
        <w:t xml:space="preserve">Maßnahmen im Zusammenhang mit dem Wandel vor Ort </w:t>
      </w:r>
    </w:p>
    <w:p w14:paraId="1B020370" w14:textId="45847C4C" w:rsidR="00165FF7" w:rsidRPr="00594675" w:rsidRDefault="511C75D4">
      <w:pPr>
        <w:spacing w:after="120" w:line="276" w:lineRule="auto"/>
        <w:jc w:val="both"/>
        <w:rPr>
          <w:rFonts w:asciiTheme="minorHAnsi" w:hAnsiTheme="minorHAnsi" w:cstheme="minorHAnsi"/>
          <w:noProof/>
        </w:rPr>
      </w:pPr>
      <w:r w:rsidRPr="009B5B44">
        <w:rPr>
          <w:rFonts w:asciiTheme="minorHAnsi" w:hAnsiTheme="minorHAnsi"/>
          <w:noProof/>
          <w:lang w:val="de-DE"/>
        </w:rPr>
        <w:t xml:space="preserve">Das Neue Europäische Bauhaus (NEB) zielt darauf ab, Projekte zu fördern, die einen spürbaren Wandel vor Ort bewirken, von Häusern und Ortsteilen über städtische und ländliche Gebiete bis hin zu physischen und virtuellen Begegnungsräumen. </w:t>
      </w:r>
      <w:r>
        <w:rPr>
          <w:rFonts w:asciiTheme="minorHAnsi" w:hAnsiTheme="minorHAnsi"/>
          <w:noProof/>
        </w:rPr>
        <w:t xml:space="preserve">In den Jahren </w:t>
      </w:r>
      <w:r w:rsidRPr="003E5D4C">
        <w:rPr>
          <w:rFonts w:asciiTheme="minorHAnsi" w:hAnsiTheme="minorHAnsi"/>
          <w:noProof/>
        </w:rPr>
        <w:t>2021</w:t>
      </w:r>
      <w:r>
        <w:rPr>
          <w:rFonts w:asciiTheme="minorHAnsi" w:hAnsiTheme="minorHAnsi"/>
          <w:noProof/>
        </w:rPr>
        <w:t xml:space="preserve"> und </w:t>
      </w:r>
      <w:r w:rsidRPr="003E5D4C">
        <w:rPr>
          <w:rFonts w:asciiTheme="minorHAnsi" w:hAnsiTheme="minorHAnsi"/>
          <w:noProof/>
        </w:rPr>
        <w:t>2022</w:t>
      </w:r>
      <w:r>
        <w:rPr>
          <w:rFonts w:asciiTheme="minorHAnsi" w:hAnsiTheme="minorHAnsi"/>
          <w:noProof/>
        </w:rPr>
        <w:t xml:space="preserve"> wurden folgende Maßnahmen umgesetzt:</w:t>
      </w:r>
    </w:p>
    <w:p w14:paraId="450576BB" w14:textId="76EFD6E6" w:rsidR="00944E8C" w:rsidRPr="009B5B44" w:rsidRDefault="00944E8C" w:rsidP="00594675">
      <w:pPr>
        <w:pStyle w:val="ListParagraph"/>
        <w:numPr>
          <w:ilvl w:val="0"/>
          <w:numId w:val="14"/>
        </w:numPr>
        <w:spacing w:after="120" w:line="276" w:lineRule="auto"/>
        <w:contextualSpacing w:val="0"/>
        <w:jc w:val="both"/>
        <w:rPr>
          <w:rFonts w:asciiTheme="minorHAnsi" w:hAnsiTheme="minorHAnsi" w:cstheme="minorHAnsi"/>
          <w:noProof/>
          <w:lang w:val="de-DE"/>
        </w:rPr>
      </w:pPr>
      <w:r w:rsidRPr="009B5B44">
        <w:rPr>
          <w:rFonts w:asciiTheme="minorHAnsi" w:hAnsiTheme="minorHAnsi"/>
          <w:noProof/>
          <w:lang w:val="de-DE"/>
        </w:rPr>
        <w:t xml:space="preserve">Das bislang sichtbarste Projekt ist das missionsübergreifende Thema von „Horizont Europa“ für </w:t>
      </w:r>
      <w:r w:rsidRPr="009B5B44">
        <w:rPr>
          <w:rFonts w:asciiTheme="minorHAnsi" w:hAnsiTheme="minorHAnsi"/>
          <w:b/>
          <w:noProof/>
          <w:lang w:val="de-DE"/>
        </w:rPr>
        <w:t>NEB-Demonstrationsprojekte mit Vorzeigecharakter</w:t>
      </w:r>
      <w:r w:rsidRPr="009B5B44">
        <w:rPr>
          <w:rFonts w:asciiTheme="minorHAnsi" w:hAnsiTheme="minorHAnsi"/>
          <w:noProof/>
          <w:lang w:val="de-DE"/>
        </w:rPr>
        <w:t xml:space="preserve">, das am </w:t>
      </w:r>
      <w:r w:rsidRPr="003E5D4C">
        <w:rPr>
          <w:rFonts w:asciiTheme="minorHAnsi" w:hAnsiTheme="minorHAnsi"/>
          <w:noProof/>
          <w:lang w:val="de-DE"/>
        </w:rPr>
        <w:t>25</w:t>
      </w:r>
      <w:r w:rsidRPr="009B5B44">
        <w:rPr>
          <w:rFonts w:asciiTheme="minorHAnsi" w:hAnsiTheme="minorHAnsi"/>
          <w:noProof/>
          <w:lang w:val="de-DE"/>
        </w:rPr>
        <w:t xml:space="preserve">. Januar </w:t>
      </w:r>
      <w:r w:rsidRPr="003E5D4C">
        <w:rPr>
          <w:rFonts w:asciiTheme="minorHAnsi" w:hAnsiTheme="minorHAnsi"/>
          <w:noProof/>
          <w:lang w:val="de-DE"/>
        </w:rPr>
        <w:t>2022</w:t>
      </w:r>
      <w:r w:rsidRPr="009B5B44">
        <w:rPr>
          <w:rFonts w:asciiTheme="minorHAnsi" w:hAnsiTheme="minorHAnsi"/>
          <w:noProof/>
          <w:lang w:val="de-DE"/>
        </w:rPr>
        <w:t xml:space="preserve"> abgeschlossen wurde</w:t>
      </w:r>
      <w:r>
        <w:rPr>
          <w:rStyle w:val="FootnoteReference"/>
          <w:rFonts w:asciiTheme="minorHAnsi" w:hAnsiTheme="minorHAnsi" w:cstheme="minorHAnsi"/>
          <w:noProof/>
        </w:rPr>
        <w:footnoteReference w:id="3"/>
      </w:r>
      <w:r w:rsidRPr="009B5B44">
        <w:rPr>
          <w:rFonts w:asciiTheme="minorHAnsi" w:hAnsiTheme="minorHAnsi"/>
          <w:noProof/>
          <w:lang w:val="de-DE"/>
        </w:rPr>
        <w:t xml:space="preserve">. Die sechs Projekte in der engeren Wahl – CULTUURCAMPUS, NEB-STAR (New European Bauhaus STAvangeR), NEBourhoods, DESIRE (Designing the Irresistible Circular Society), EHHUR (EYES HEARTS HANDS Urban Revolution), und Bauhaus of the Seas Sails – erhalten Finanzmittel in Höhe von </w:t>
      </w:r>
      <w:r w:rsidRPr="009B5B44">
        <w:rPr>
          <w:rFonts w:asciiTheme="minorHAnsi" w:hAnsiTheme="minorHAnsi"/>
          <w:b/>
          <w:noProof/>
          <w:lang w:val="de-DE"/>
        </w:rPr>
        <w:t>jeweils</w:t>
      </w:r>
      <w:r w:rsidRPr="009B5B44">
        <w:rPr>
          <w:rFonts w:asciiTheme="minorHAnsi" w:hAnsiTheme="minorHAnsi"/>
          <w:noProof/>
          <w:lang w:val="de-DE"/>
        </w:rPr>
        <w:t xml:space="preserve"> rund </w:t>
      </w:r>
      <w:r w:rsidRPr="003E5D4C">
        <w:rPr>
          <w:rFonts w:asciiTheme="minorHAnsi" w:hAnsiTheme="minorHAnsi"/>
          <w:b/>
          <w:noProof/>
          <w:lang w:val="de-DE"/>
        </w:rPr>
        <w:t>5</w:t>
      </w:r>
      <w:r w:rsidRPr="009B5B44">
        <w:rPr>
          <w:rFonts w:asciiTheme="minorHAnsi" w:hAnsiTheme="minorHAnsi"/>
          <w:b/>
          <w:noProof/>
          <w:lang w:val="de-DE"/>
        </w:rPr>
        <w:t> Mio. EUR</w:t>
      </w:r>
      <w:r w:rsidRPr="009B5B44">
        <w:rPr>
          <w:rFonts w:asciiTheme="minorHAnsi" w:hAnsiTheme="minorHAnsi"/>
          <w:noProof/>
          <w:lang w:val="de-DE"/>
        </w:rPr>
        <w:t xml:space="preserve"> zur Umsetzung ihrer Pläne in </w:t>
      </w:r>
      <w:r w:rsidRPr="003E5D4C">
        <w:rPr>
          <w:rFonts w:asciiTheme="minorHAnsi" w:hAnsiTheme="minorHAnsi"/>
          <w:noProof/>
          <w:lang w:val="de-DE"/>
        </w:rPr>
        <w:t>12</w:t>
      </w:r>
      <w:r w:rsidRPr="009B5B44">
        <w:rPr>
          <w:rFonts w:asciiTheme="minorHAnsi" w:hAnsiTheme="minorHAnsi"/>
          <w:noProof/>
          <w:lang w:val="de-DE"/>
        </w:rPr>
        <w:t xml:space="preserve"> Mitgliedstaaten (Belgien, Tschechische Republik, Deutschland, Dänemark, Griechenland, Kroatien, Italien, Lettland, Niederlande, Portugal, Schweden und Slowenien) sowie in Norwegen und der Türkei. Die Projekte umfassen die Themen </w:t>
      </w:r>
      <w:r w:rsidRPr="009B5B44">
        <w:rPr>
          <w:rFonts w:asciiTheme="minorHAnsi" w:hAnsiTheme="minorHAnsi"/>
          <w:b/>
          <w:noProof/>
          <w:lang w:val="de-DE"/>
        </w:rPr>
        <w:t>Gebäuderenovierung, Kreislaufwirtschaft, Kunst, Kulturerbe, Bildung, intelligente Städte, Küstengebiete, Wiederbelebung städtischer und ländlicher Gebiete</w:t>
      </w:r>
      <w:r w:rsidRPr="009B5B44">
        <w:rPr>
          <w:rFonts w:asciiTheme="minorHAnsi" w:hAnsiTheme="minorHAnsi"/>
          <w:noProof/>
          <w:lang w:val="de-DE"/>
        </w:rPr>
        <w:t xml:space="preserve"> und mehr.</w:t>
      </w:r>
    </w:p>
    <w:p w14:paraId="5E3AFDF7" w14:textId="0339190F" w:rsidR="004028E2" w:rsidRPr="00594675" w:rsidRDefault="00EF3038">
      <w:pPr>
        <w:pStyle w:val="ListParagraph"/>
        <w:widowControl w:val="0"/>
        <w:numPr>
          <w:ilvl w:val="0"/>
          <w:numId w:val="14"/>
        </w:numPr>
        <w:spacing w:after="120" w:line="276" w:lineRule="auto"/>
        <w:contextualSpacing w:val="0"/>
        <w:jc w:val="both"/>
        <w:rPr>
          <w:rFonts w:asciiTheme="minorHAnsi" w:hAnsiTheme="minorHAnsi" w:cstheme="minorHAnsi"/>
          <w:noProof/>
        </w:rPr>
      </w:pPr>
      <w:r w:rsidRPr="009B5B44">
        <w:rPr>
          <w:rFonts w:asciiTheme="minorHAnsi" w:hAnsiTheme="minorHAnsi"/>
          <w:noProof/>
          <w:lang w:val="de-DE"/>
        </w:rPr>
        <w:t>Die NEB-Demonstrationsprojekte mit Vorzeigecharakter werden durch die Koordinierungs- und Unterstützungsmaßnahme CRAFT</w:t>
      </w:r>
      <w:r>
        <w:rPr>
          <w:rStyle w:val="FootnoteReference"/>
          <w:rFonts w:asciiTheme="minorHAnsi" w:hAnsiTheme="minorHAnsi" w:cstheme="minorHAnsi"/>
          <w:noProof/>
        </w:rPr>
        <w:footnoteReference w:id="4"/>
      </w:r>
      <w:r w:rsidRPr="009B5B44">
        <w:rPr>
          <w:rFonts w:asciiTheme="minorHAnsi" w:hAnsiTheme="minorHAnsi"/>
          <w:noProof/>
          <w:lang w:val="de-DE"/>
        </w:rPr>
        <w:t xml:space="preserve"> (CReating Actionable FuTures) unterstützt, einem mit </w:t>
      </w:r>
      <w:r w:rsidRPr="003E5D4C">
        <w:rPr>
          <w:rFonts w:asciiTheme="minorHAnsi" w:hAnsiTheme="minorHAnsi"/>
          <w:noProof/>
          <w:lang w:val="de-DE"/>
        </w:rPr>
        <w:t>2</w:t>
      </w:r>
      <w:r w:rsidRPr="009B5B44">
        <w:rPr>
          <w:rFonts w:asciiTheme="minorHAnsi" w:hAnsiTheme="minorHAnsi"/>
          <w:noProof/>
          <w:lang w:val="de-DE"/>
        </w:rPr>
        <w:t xml:space="preserve"> Mio. EUR ausgestatteten Projekt, das im Rahmen eines NEB-Themas als Teil der EU-Mission „Klimaneutrale und intelligente Städte“ ausgewählt wurde, deren Schwerpunkt auf kollaborativen Modellen für eine lokale Verwaltung im Zusammenhang mit der Renovierung der städtischen Umwelt liegt. Für die spezielle Aufforderung zur Einreichung von Vorschlägen im Rahmen von Horizont Europa zur „Gestaltung einer umweltfreundlicheren und gerechteren Lebensweise in kreativen und inklusiven Gesellschaften durch Architektur, Design und Künste“ wurden zwei Projekte ausgewählt, die im Rahmen der Vorbereitung der Finanzhilfevereinbarung durchgeführt werden. </w:t>
      </w:r>
      <w:r>
        <w:rPr>
          <w:rFonts w:asciiTheme="minorHAnsi" w:hAnsiTheme="minorHAnsi"/>
          <w:noProof/>
        </w:rPr>
        <w:t>Die Projekte sollten im ersten Halbjahr </w:t>
      </w:r>
      <w:r w:rsidRPr="003E5D4C">
        <w:rPr>
          <w:rFonts w:asciiTheme="minorHAnsi" w:hAnsiTheme="minorHAnsi"/>
          <w:noProof/>
        </w:rPr>
        <w:t>2023</w:t>
      </w:r>
      <w:r>
        <w:rPr>
          <w:rFonts w:asciiTheme="minorHAnsi" w:hAnsiTheme="minorHAnsi"/>
          <w:noProof/>
        </w:rPr>
        <w:t xml:space="preserve"> anlaufen. </w:t>
      </w:r>
    </w:p>
    <w:p w14:paraId="69C7AAC2" w14:textId="5CDDDF51" w:rsidR="00D75D85" w:rsidRPr="009B5B44" w:rsidRDefault="5C4392B3">
      <w:pPr>
        <w:pStyle w:val="ListParagraph"/>
        <w:widowControl w:val="0"/>
        <w:numPr>
          <w:ilvl w:val="0"/>
          <w:numId w:val="14"/>
        </w:numPr>
        <w:spacing w:after="120" w:line="276" w:lineRule="auto"/>
        <w:contextualSpacing w:val="0"/>
        <w:jc w:val="both"/>
        <w:rPr>
          <w:rFonts w:asciiTheme="minorHAnsi" w:hAnsiTheme="minorHAnsi" w:cstheme="minorHAnsi"/>
          <w:noProof/>
          <w:lang w:val="de-DE"/>
        </w:rPr>
      </w:pPr>
      <w:r w:rsidRPr="009B5B44">
        <w:rPr>
          <w:rFonts w:asciiTheme="minorHAnsi" w:hAnsiTheme="minorHAnsi"/>
          <w:noProof/>
          <w:lang w:val="de-DE"/>
        </w:rPr>
        <w:t xml:space="preserve">Die Kommission setzt sich dafür ein, das Thema sozialer, bezahlbarer und nachhaltiger Wohnraum stärker ins Blickfeld zu rücken. Bezahlbarkeit ist ein Schlüsselelement dessen, was die Kommission im Bereich des Wohnungsbaus entwickeln möchte, insbesondere in Zeiten wirtschaftlicher Instabilität, steigender Inflation, von Klimanotständen, aber auch der </w:t>
      </w:r>
      <w:r w:rsidRPr="009B5B44">
        <w:rPr>
          <w:rFonts w:asciiTheme="minorHAnsi" w:hAnsiTheme="minorHAnsi"/>
          <w:noProof/>
          <w:lang w:val="de-DE"/>
        </w:rPr>
        <w:lastRenderedPageBreak/>
        <w:t xml:space="preserve">Energie- und Wohnungskrise in Europa. In diesem Zusammenhang ist der Bau und die Renovierung von sozialem und bezahlbarem Wohnraum von größter Bedeutung. Mit dem Neuen Europäischen Bauhaus trägt die Kommission zur Bewältigung dieser Herausforderung bei. Die „Priorisierung der Orte und Menschen, die dies am dringendsten benötigen“ ist einer der thematischen Schwerpunkte, dem die Umsetzung des Neuen Europäischen Bauhauses in den kommenden Jahren folgen wird. Die </w:t>
      </w:r>
      <w:r w:rsidRPr="009B5B44">
        <w:rPr>
          <w:rFonts w:asciiTheme="minorHAnsi" w:hAnsiTheme="minorHAnsi"/>
          <w:b/>
          <w:noProof/>
          <w:lang w:val="de-DE"/>
        </w:rPr>
        <w:t>Initiative für bezahlbaren Wohnraum</w:t>
      </w:r>
      <w:r>
        <w:rPr>
          <w:rStyle w:val="FootnoteReference"/>
          <w:rFonts w:asciiTheme="minorHAnsi" w:hAnsiTheme="minorHAnsi" w:cstheme="minorHAnsi"/>
          <w:noProof/>
        </w:rPr>
        <w:footnoteReference w:id="5"/>
      </w:r>
      <w:r w:rsidRPr="009B5B44">
        <w:rPr>
          <w:rFonts w:asciiTheme="minorHAnsi" w:hAnsiTheme="minorHAnsi"/>
          <w:noProof/>
          <w:lang w:val="de-DE"/>
        </w:rPr>
        <w:t xml:space="preserve"> ist ein Flaggschiff des NEB und zielt darauf ab, die Ziele des Grünen Deals und der Renovierungswelle zu verwirklichen, indem sie den Menschen und die Innovation in den Mittelpunkt stellt. Ein im März </w:t>
      </w:r>
      <w:r w:rsidRPr="003E5D4C">
        <w:rPr>
          <w:rFonts w:asciiTheme="minorHAnsi" w:hAnsiTheme="minorHAnsi"/>
          <w:noProof/>
          <w:lang w:val="de-DE"/>
        </w:rPr>
        <w:t>2022</w:t>
      </w:r>
      <w:r w:rsidRPr="009B5B44">
        <w:rPr>
          <w:rFonts w:asciiTheme="minorHAnsi" w:hAnsiTheme="minorHAnsi"/>
          <w:noProof/>
          <w:lang w:val="de-DE"/>
        </w:rPr>
        <w:t xml:space="preserve"> auf den Weg gebrachtes und im Rahmen des Binnenmarktprogramms (</w:t>
      </w:r>
      <w:r w:rsidRPr="003E5D4C">
        <w:rPr>
          <w:rFonts w:asciiTheme="minorHAnsi" w:hAnsiTheme="minorHAnsi"/>
          <w:noProof/>
          <w:lang w:val="de-DE"/>
        </w:rPr>
        <w:t>1</w:t>
      </w:r>
      <w:r w:rsidRPr="009B5B44">
        <w:rPr>
          <w:rFonts w:asciiTheme="minorHAnsi" w:hAnsiTheme="minorHAnsi"/>
          <w:noProof/>
          <w:lang w:val="de-DE"/>
        </w:rPr>
        <w:t>,</w:t>
      </w:r>
      <w:r w:rsidRPr="003E5D4C">
        <w:rPr>
          <w:rFonts w:asciiTheme="minorHAnsi" w:hAnsiTheme="minorHAnsi"/>
          <w:noProof/>
          <w:lang w:val="de-DE"/>
        </w:rPr>
        <w:t>2</w:t>
      </w:r>
      <w:r w:rsidRPr="009B5B44">
        <w:rPr>
          <w:rFonts w:asciiTheme="minorHAnsi" w:hAnsiTheme="minorHAnsi"/>
          <w:noProof/>
          <w:lang w:val="de-DE"/>
        </w:rPr>
        <w:t> Mio. EUR) gefördertes Projekt zielt darauf ab, ein europäisches Konsortium für bezahlbaren Wohnraum</w:t>
      </w:r>
      <w:r>
        <w:rPr>
          <w:rStyle w:val="FootnoteReference"/>
          <w:rFonts w:asciiTheme="minorHAnsi" w:hAnsiTheme="minorHAnsi" w:cstheme="minorHAnsi"/>
          <w:noProof/>
        </w:rPr>
        <w:footnoteReference w:id="6"/>
      </w:r>
      <w:r w:rsidRPr="009B5B44">
        <w:rPr>
          <w:rFonts w:asciiTheme="minorHAnsi" w:hAnsiTheme="minorHAnsi"/>
          <w:noProof/>
          <w:lang w:val="de-DE"/>
        </w:rPr>
        <w:t xml:space="preserve"> zu gründen und in </w:t>
      </w:r>
      <w:r w:rsidRPr="003E5D4C">
        <w:rPr>
          <w:rFonts w:asciiTheme="minorHAnsi" w:hAnsiTheme="minorHAnsi"/>
          <w:noProof/>
          <w:lang w:val="de-DE"/>
        </w:rPr>
        <w:t>20</w:t>
      </w:r>
      <w:r w:rsidRPr="009B5B44">
        <w:rPr>
          <w:rFonts w:asciiTheme="minorHAnsi" w:hAnsiTheme="minorHAnsi"/>
          <w:noProof/>
          <w:lang w:val="de-DE"/>
        </w:rPr>
        <w:t xml:space="preserve"> Vorzeigewohngebieten Pilotprojekte in den Bereichen Renovierung und Bau zu erproben. Drei weitere Demonstrationsprojekte – SUPERSHINE, ProLight und drOp</w:t>
      </w:r>
      <w:r>
        <w:rPr>
          <w:rStyle w:val="FootnoteReference"/>
          <w:rFonts w:asciiTheme="minorHAnsi" w:hAnsiTheme="minorHAnsi" w:cstheme="minorHAnsi"/>
          <w:noProof/>
        </w:rPr>
        <w:footnoteReference w:id="7"/>
      </w:r>
      <w:r w:rsidRPr="009B5B44">
        <w:rPr>
          <w:rFonts w:asciiTheme="minorHAnsi" w:hAnsiTheme="minorHAnsi"/>
          <w:noProof/>
          <w:lang w:val="de-DE"/>
        </w:rPr>
        <w:t xml:space="preserve"> –, die im Rahmen von Horizont Europa (</w:t>
      </w:r>
      <w:r w:rsidRPr="003E5D4C">
        <w:rPr>
          <w:rFonts w:asciiTheme="minorHAnsi" w:hAnsiTheme="minorHAnsi"/>
          <w:noProof/>
          <w:lang w:val="de-DE"/>
        </w:rPr>
        <w:t>10</w:t>
      </w:r>
      <w:r w:rsidRPr="009B5B44">
        <w:rPr>
          <w:rFonts w:asciiTheme="minorHAnsi" w:hAnsiTheme="minorHAnsi"/>
          <w:noProof/>
          <w:lang w:val="de-DE"/>
        </w:rPr>
        <w:t xml:space="preserve"> Mio. EUR) unterstützt werden, sind im Oktober und November </w:t>
      </w:r>
      <w:r w:rsidRPr="003E5D4C">
        <w:rPr>
          <w:rFonts w:asciiTheme="minorHAnsi" w:hAnsiTheme="minorHAnsi"/>
          <w:noProof/>
          <w:lang w:val="de-DE"/>
        </w:rPr>
        <w:t>2022</w:t>
      </w:r>
      <w:r w:rsidRPr="009B5B44">
        <w:rPr>
          <w:rFonts w:asciiTheme="minorHAnsi" w:hAnsiTheme="minorHAnsi"/>
          <w:noProof/>
          <w:lang w:val="de-DE"/>
        </w:rPr>
        <w:t xml:space="preserve"> angelaufen. Sie sollen einen Schritt weiter gehen und neue Ansätze und Methoden bei Renovierungs- und Bauprojekten für bezahlbaren Wohnraum erproben und umsetzen (z. B. in Bezug auf die Beteiligung der Gemeinschaft, die Wiederbelebung des Ortsteils und das Wohlbefinden der Bewohner, die Zusammenarbeit mehrerer Akteure und Finanzierung, die Nutzung digitaler Technologien oder die Verbreitung der Ergebnisse). Die </w:t>
      </w:r>
      <w:r w:rsidRPr="009B5B44">
        <w:rPr>
          <w:rFonts w:asciiTheme="minorHAnsi" w:hAnsiTheme="minorHAnsi"/>
          <w:b/>
          <w:noProof/>
          <w:lang w:val="de-DE"/>
        </w:rPr>
        <w:t>beiden ersten NEB-Aufforderungen zur Einreichung von Vorschlägen für die Renovierung und den Bau von sozialem und bezahlbarem Wohnraum</w:t>
      </w:r>
      <w:r w:rsidRPr="009B5B44">
        <w:rPr>
          <w:rFonts w:asciiTheme="minorHAnsi" w:hAnsiTheme="minorHAnsi"/>
          <w:noProof/>
          <w:lang w:val="de-DE"/>
        </w:rPr>
        <w:t xml:space="preserve"> folgen einem integrierten und intelligenten Nachbarschaftsansatz. Dies ermöglicht es beispielsweise, Aspekte der erneuerbaren Energien, der Architektur und der grünen Infrastruktur gemeinsam zu berücksichtigen und gleichzeitig die Bedeutung der wirtschaftlichen Wiederbelebung in diesen Ortsteilen hervorzuheben. Mit diesen Projekten werden Renovierungsvorhaben im Sinne der von der Initiative für bezahlbaren Wohnraum angekündigten „Vorzeigewohngebiete“ vorgestellt, die Blaupausen für die Replikation liefern und die Lebensqualität sowie die neuesten technologischen und sozialen Innovationen in den Vordergrund rücken. Mit Hilfe eines Multi-Akteur-Ansatzes werden die Projekte sektorübergreifende Industriepartnerschaften auf lokaler Ebene mobilisieren, um neue Prozesse und Technologien (z. B. Energieeffizienz, kreislauffähige Materialien, modulares Bauen, intelligentes Leben, Ökodesign, assistive Haushaltstechnologien) für die Renovierung und den Bau von sozialem und bezahlbarem Wohnraum auf Ebene der Wohngebiete zu entwickeln, anzupassen und zu konzipieren. </w:t>
      </w:r>
    </w:p>
    <w:p w14:paraId="2D4C87DA" w14:textId="2DFA30C7" w:rsidR="00D53BE9" w:rsidRPr="009B5B44" w:rsidRDefault="00D53BE9" w:rsidP="00594675">
      <w:pPr>
        <w:pStyle w:val="ListParagraph"/>
        <w:numPr>
          <w:ilvl w:val="0"/>
          <w:numId w:val="14"/>
        </w:numPr>
        <w:spacing w:after="120" w:line="276" w:lineRule="auto"/>
        <w:contextualSpacing w:val="0"/>
        <w:jc w:val="both"/>
        <w:rPr>
          <w:rFonts w:asciiTheme="minorHAnsi" w:hAnsiTheme="minorHAnsi" w:cstheme="minorHAnsi"/>
          <w:noProof/>
          <w:lang w:val="de-DE"/>
        </w:rPr>
      </w:pPr>
      <w:r w:rsidRPr="009B5B44">
        <w:rPr>
          <w:rFonts w:asciiTheme="minorHAnsi" w:hAnsiTheme="minorHAnsi"/>
          <w:noProof/>
          <w:lang w:val="de-DE"/>
        </w:rPr>
        <w:t xml:space="preserve">Die Kommission überarbeitet derzeit ihre EU-Kriterien für die umweltgerechte Vergabe öffentlicher Aufträge für Bürogebäude auf der Grundlage von </w:t>
      </w:r>
      <w:r w:rsidRPr="009B5B44">
        <w:rPr>
          <w:rFonts w:asciiTheme="minorHAnsi" w:hAnsiTheme="minorHAnsi"/>
          <w:b/>
          <w:noProof/>
          <w:lang w:val="de-DE"/>
        </w:rPr>
        <w:t>Level(s)</w:t>
      </w:r>
      <w:r w:rsidRPr="009B5B44">
        <w:rPr>
          <w:rFonts w:asciiTheme="minorHAnsi" w:hAnsiTheme="minorHAnsi"/>
          <w:noProof/>
          <w:lang w:val="de-DE"/>
        </w:rPr>
        <w:t xml:space="preserve">, dem europäischen Rahmen für die Bewertung der Nachhaltigkeitsleistung von Gebäuden. Dies ist eine Maßnahme im Rahmen der Renovierungswelle und trägt zu den Werten des Neuen Europäischen Bauhauses im Zusammenhang mit Aspekten der ökologischen Nachhaltigkeit bei, die im Mittelpunkt der Kriterien stehen. In Bezug auf Level(s) wurden die Entwicklung digitaler Instrumente für das eLearning und die Bewertung zur Unterstützung der Nutzung des Rahmens im Laufe des Jahres </w:t>
      </w:r>
      <w:r w:rsidRPr="003E5D4C">
        <w:rPr>
          <w:rFonts w:asciiTheme="minorHAnsi" w:hAnsiTheme="minorHAnsi"/>
          <w:noProof/>
          <w:lang w:val="de-DE"/>
        </w:rPr>
        <w:t>2022</w:t>
      </w:r>
      <w:r w:rsidRPr="009B5B44">
        <w:rPr>
          <w:rFonts w:asciiTheme="minorHAnsi" w:hAnsiTheme="minorHAnsi"/>
          <w:noProof/>
          <w:lang w:val="de-DE"/>
        </w:rPr>
        <w:t xml:space="preserve"> abgeschlossen und stehen in einer Reihe von Sprachen zur Verfügung.</w:t>
      </w:r>
    </w:p>
    <w:p w14:paraId="722E1F20" w14:textId="2765F7B8" w:rsidR="00591897" w:rsidRPr="00594675" w:rsidRDefault="00591897" w:rsidP="00594675">
      <w:pPr>
        <w:pStyle w:val="ListParagraph"/>
        <w:numPr>
          <w:ilvl w:val="0"/>
          <w:numId w:val="14"/>
        </w:numPr>
        <w:spacing w:after="120" w:line="276" w:lineRule="auto"/>
        <w:contextualSpacing w:val="0"/>
        <w:jc w:val="both"/>
        <w:rPr>
          <w:rFonts w:asciiTheme="minorHAnsi" w:hAnsiTheme="minorHAnsi" w:cstheme="minorHAnsi"/>
          <w:noProof/>
        </w:rPr>
      </w:pPr>
      <w:r w:rsidRPr="009B5B44">
        <w:rPr>
          <w:rFonts w:asciiTheme="minorHAnsi" w:hAnsiTheme="minorHAnsi"/>
          <w:noProof/>
          <w:lang w:val="de-DE"/>
        </w:rPr>
        <w:t xml:space="preserve">Die Kommission hat auf </w:t>
      </w:r>
      <w:r w:rsidRPr="009B5B44">
        <w:rPr>
          <w:rFonts w:asciiTheme="minorHAnsi" w:hAnsiTheme="minorHAnsi"/>
          <w:b/>
          <w:noProof/>
          <w:lang w:val="de-DE"/>
        </w:rPr>
        <w:t>EU-Ebene einen Leitfaden für klimaresiliente Gebäude</w:t>
      </w:r>
      <w:r w:rsidRPr="009B5B44">
        <w:rPr>
          <w:rFonts w:asciiTheme="minorHAnsi" w:hAnsiTheme="minorHAnsi"/>
          <w:noProof/>
          <w:lang w:val="de-DE"/>
        </w:rPr>
        <w:t xml:space="preserve"> ausgearbeitet. </w:t>
      </w:r>
      <w:r>
        <w:rPr>
          <w:rFonts w:asciiTheme="minorHAnsi" w:hAnsiTheme="minorHAnsi"/>
          <w:noProof/>
        </w:rPr>
        <w:t>Diese Leitlinien werden im ersten Halbjahr </w:t>
      </w:r>
      <w:r w:rsidRPr="003E5D4C">
        <w:rPr>
          <w:rFonts w:asciiTheme="minorHAnsi" w:hAnsiTheme="minorHAnsi"/>
          <w:noProof/>
        </w:rPr>
        <w:t>2023</w:t>
      </w:r>
      <w:r>
        <w:rPr>
          <w:rFonts w:asciiTheme="minorHAnsi" w:hAnsiTheme="minorHAnsi"/>
          <w:noProof/>
        </w:rPr>
        <w:t xml:space="preserve"> veröffentlicht.</w:t>
      </w:r>
    </w:p>
    <w:p w14:paraId="452AC9B2" w14:textId="398DC975" w:rsidR="000C16CF" w:rsidRPr="009B5B44" w:rsidRDefault="44FE8F0A">
      <w:pPr>
        <w:pStyle w:val="ListParagraph"/>
        <w:numPr>
          <w:ilvl w:val="0"/>
          <w:numId w:val="14"/>
        </w:numPr>
        <w:spacing w:after="120" w:line="276" w:lineRule="auto"/>
        <w:contextualSpacing w:val="0"/>
        <w:jc w:val="both"/>
        <w:rPr>
          <w:rFonts w:asciiTheme="minorHAnsi" w:hAnsiTheme="minorHAnsi"/>
          <w:noProof/>
          <w:lang w:val="de-DE"/>
        </w:rPr>
      </w:pPr>
      <w:r w:rsidRPr="009B5B44">
        <w:rPr>
          <w:rFonts w:asciiTheme="minorHAnsi" w:hAnsiTheme="minorHAnsi"/>
          <w:noProof/>
          <w:lang w:val="de-DE"/>
        </w:rPr>
        <w:t xml:space="preserve">Auch in diesem Zusammenhang werden die Kernwerte des NEB, die auch in der Vision und dem Auftrag der gemeinsam programmierten Partnerschaft </w:t>
      </w:r>
      <w:r w:rsidRPr="009B5B44">
        <w:rPr>
          <w:rFonts w:asciiTheme="minorHAnsi" w:hAnsiTheme="minorHAnsi"/>
          <w:b/>
          <w:noProof/>
          <w:lang w:val="de-DE"/>
        </w:rPr>
        <w:t>Built</w:t>
      </w:r>
      <w:r w:rsidRPr="003E5D4C">
        <w:rPr>
          <w:rFonts w:asciiTheme="minorHAnsi" w:hAnsiTheme="minorHAnsi"/>
          <w:b/>
          <w:noProof/>
          <w:lang w:val="de-DE"/>
        </w:rPr>
        <w:t>4</w:t>
      </w:r>
      <w:r w:rsidRPr="009B5B44">
        <w:rPr>
          <w:rFonts w:asciiTheme="minorHAnsi" w:hAnsiTheme="minorHAnsi"/>
          <w:b/>
          <w:noProof/>
          <w:lang w:val="de-DE"/>
        </w:rPr>
        <w:t>People</w:t>
      </w:r>
      <w:r w:rsidRPr="009B5B44">
        <w:rPr>
          <w:rFonts w:asciiTheme="minorHAnsi" w:hAnsiTheme="minorHAnsi"/>
          <w:noProof/>
          <w:lang w:val="de-DE"/>
        </w:rPr>
        <w:t xml:space="preserve"> enthalten sind, in die in die Themen der Horizont-Europa-Destination über „effiziente, nachhaltige und integrative Energienutzung“ (Cluster </w:t>
      </w:r>
      <w:r w:rsidRPr="003E5D4C">
        <w:rPr>
          <w:rFonts w:asciiTheme="minorHAnsi" w:hAnsiTheme="minorHAnsi"/>
          <w:noProof/>
          <w:lang w:val="de-DE"/>
        </w:rPr>
        <w:t>5</w:t>
      </w:r>
      <w:r w:rsidRPr="009B5B44">
        <w:rPr>
          <w:rFonts w:asciiTheme="minorHAnsi" w:hAnsiTheme="minorHAnsi"/>
          <w:noProof/>
          <w:lang w:val="de-DE"/>
        </w:rPr>
        <w:t xml:space="preserve">, Destination </w:t>
      </w:r>
      <w:r w:rsidRPr="003E5D4C">
        <w:rPr>
          <w:rFonts w:asciiTheme="minorHAnsi" w:hAnsiTheme="minorHAnsi"/>
          <w:noProof/>
          <w:lang w:val="de-DE"/>
        </w:rPr>
        <w:t>4</w:t>
      </w:r>
      <w:r w:rsidRPr="009B5B44">
        <w:rPr>
          <w:rFonts w:asciiTheme="minorHAnsi" w:hAnsiTheme="minorHAnsi"/>
          <w:noProof/>
          <w:lang w:val="de-DE"/>
        </w:rPr>
        <w:t xml:space="preserve">, Gebäude) integriert. So ist beispielsweise das mit </w:t>
      </w:r>
      <w:r w:rsidRPr="003E5D4C">
        <w:rPr>
          <w:rFonts w:asciiTheme="minorHAnsi" w:hAnsiTheme="minorHAnsi"/>
          <w:noProof/>
          <w:lang w:val="de-DE"/>
        </w:rPr>
        <w:t>1</w:t>
      </w:r>
      <w:r w:rsidRPr="009B5B44">
        <w:rPr>
          <w:rFonts w:asciiTheme="minorHAnsi" w:hAnsiTheme="minorHAnsi"/>
          <w:noProof/>
          <w:lang w:val="de-DE"/>
        </w:rPr>
        <w:t> Mio. EUR ausgestattete Thema, das NEB und Built</w:t>
      </w:r>
      <w:r w:rsidRPr="003E5D4C">
        <w:rPr>
          <w:rFonts w:asciiTheme="minorHAnsi" w:hAnsiTheme="minorHAnsi"/>
          <w:noProof/>
          <w:lang w:val="de-DE"/>
        </w:rPr>
        <w:t>4</w:t>
      </w:r>
      <w:r w:rsidRPr="009B5B44">
        <w:rPr>
          <w:rFonts w:asciiTheme="minorHAnsi" w:hAnsiTheme="minorHAnsi"/>
          <w:noProof/>
          <w:lang w:val="de-DE"/>
        </w:rPr>
        <w:t>People im Arbeitsprogramm </w:t>
      </w:r>
      <w:r w:rsidRPr="003E5D4C">
        <w:rPr>
          <w:rFonts w:asciiTheme="minorHAnsi" w:hAnsiTheme="minorHAnsi"/>
          <w:noProof/>
          <w:lang w:val="de-DE"/>
        </w:rPr>
        <w:t>2021</w:t>
      </w:r>
      <w:r w:rsidRPr="009B5B44">
        <w:rPr>
          <w:rFonts w:asciiTheme="minorHAnsi" w:hAnsiTheme="minorHAnsi"/>
          <w:noProof/>
          <w:lang w:val="de-DE"/>
        </w:rPr>
        <w:t>-</w:t>
      </w:r>
      <w:r w:rsidRPr="003E5D4C">
        <w:rPr>
          <w:rFonts w:asciiTheme="minorHAnsi" w:hAnsiTheme="minorHAnsi"/>
          <w:noProof/>
          <w:lang w:val="de-DE"/>
        </w:rPr>
        <w:t>2022</w:t>
      </w:r>
      <w:r w:rsidRPr="009B5B44">
        <w:rPr>
          <w:rFonts w:asciiTheme="minorHAnsi" w:hAnsiTheme="minorHAnsi"/>
          <w:noProof/>
          <w:lang w:val="de-DE"/>
        </w:rPr>
        <w:t xml:space="preserve"> von Horizont Europa verbindet, nun im Gange. Das Projekt „NEBULA“ zielt darauf ab, mit Innovationsclustern für die bauliche Umwelt zusammenzuarbeiten und Themen wie den Zugang zur Kofinanzierung, Peer-Learning und die grenzüberschreitende Zusammenarbeit zu untersuchen.</w:t>
      </w:r>
    </w:p>
    <w:p w14:paraId="3F46E2A7" w14:textId="3C4CF478" w:rsidR="00DE7931" w:rsidRPr="009B5B44" w:rsidRDefault="7A02209F">
      <w:pPr>
        <w:pStyle w:val="ListParagraph"/>
        <w:numPr>
          <w:ilvl w:val="0"/>
          <w:numId w:val="14"/>
        </w:numPr>
        <w:spacing w:after="120" w:line="276" w:lineRule="auto"/>
        <w:contextualSpacing w:val="0"/>
        <w:jc w:val="both"/>
        <w:rPr>
          <w:rFonts w:asciiTheme="minorHAnsi" w:eastAsia="Arial" w:hAnsiTheme="minorHAnsi" w:cstheme="minorHAnsi"/>
          <w:noProof/>
          <w:lang w:val="de-DE"/>
        </w:rPr>
      </w:pPr>
      <w:r w:rsidRPr="009B5B44">
        <w:rPr>
          <w:rFonts w:asciiTheme="minorHAnsi" w:hAnsiTheme="minorHAnsi"/>
          <w:noProof/>
          <w:lang w:val="de-DE"/>
        </w:rPr>
        <w:t xml:space="preserve">Im Jahr </w:t>
      </w:r>
      <w:r w:rsidRPr="003E5D4C">
        <w:rPr>
          <w:rFonts w:asciiTheme="minorHAnsi" w:hAnsiTheme="minorHAnsi"/>
          <w:noProof/>
          <w:lang w:val="de-DE"/>
        </w:rPr>
        <w:t>2022</w:t>
      </w:r>
      <w:r w:rsidRPr="009B5B44">
        <w:rPr>
          <w:rFonts w:asciiTheme="minorHAnsi" w:hAnsiTheme="minorHAnsi"/>
          <w:noProof/>
          <w:lang w:val="de-DE"/>
        </w:rPr>
        <w:t xml:space="preserve"> hat die </w:t>
      </w:r>
      <w:r w:rsidRPr="009B5B44">
        <w:rPr>
          <w:rFonts w:asciiTheme="minorHAnsi" w:hAnsiTheme="minorHAnsi"/>
          <w:b/>
          <w:noProof/>
          <w:lang w:val="de-DE"/>
        </w:rPr>
        <w:t>Kohäsionspolitik</w:t>
      </w:r>
      <w:r w:rsidRPr="009B5B44">
        <w:rPr>
          <w:rFonts w:asciiTheme="minorHAnsi" w:hAnsiTheme="minorHAnsi"/>
          <w:noProof/>
          <w:lang w:val="de-DE"/>
        </w:rPr>
        <w:t xml:space="preserve"> die Umsetzung des Neuen Europäischen Bauhauses fortgesetzt, indem sie</w:t>
      </w:r>
    </w:p>
    <w:p w14:paraId="4D65EC1F" w14:textId="003EB9A9" w:rsidR="00DE7931" w:rsidRPr="009B5B44" w:rsidRDefault="00582079">
      <w:pPr>
        <w:pStyle w:val="ListParagraph"/>
        <w:numPr>
          <w:ilvl w:val="0"/>
          <w:numId w:val="24"/>
        </w:numPr>
        <w:spacing w:after="120" w:line="276" w:lineRule="auto"/>
        <w:contextualSpacing w:val="0"/>
        <w:jc w:val="both"/>
        <w:rPr>
          <w:rFonts w:asciiTheme="minorHAnsi" w:eastAsia="Arial" w:hAnsiTheme="minorHAnsi" w:cstheme="minorHAnsi"/>
          <w:noProof/>
          <w:lang w:val="de-DE"/>
        </w:rPr>
      </w:pPr>
      <w:r w:rsidRPr="009B5B44">
        <w:rPr>
          <w:rFonts w:asciiTheme="minorHAnsi" w:hAnsiTheme="minorHAnsi"/>
          <w:noProof/>
          <w:lang w:val="de-DE"/>
        </w:rPr>
        <w:t xml:space="preserve">das NEB in den sozioökonomischen und territorialen Entwicklungsstrategien der Mitgliedstaaten durchgängig berücksichtigt hat, </w:t>
      </w:r>
    </w:p>
    <w:p w14:paraId="1AC4880A" w14:textId="5D6B5DFB" w:rsidR="00DE7931" w:rsidRPr="009B5B44" w:rsidRDefault="00582079">
      <w:pPr>
        <w:pStyle w:val="ListParagraph"/>
        <w:numPr>
          <w:ilvl w:val="0"/>
          <w:numId w:val="24"/>
        </w:numPr>
        <w:spacing w:after="120" w:line="276" w:lineRule="auto"/>
        <w:contextualSpacing w:val="0"/>
        <w:jc w:val="both"/>
        <w:rPr>
          <w:rFonts w:asciiTheme="minorHAnsi" w:eastAsia="Arial" w:hAnsiTheme="minorHAnsi" w:cstheme="minorHAnsi"/>
          <w:noProof/>
          <w:lang w:val="de-DE"/>
        </w:rPr>
      </w:pPr>
      <w:r w:rsidRPr="009B5B44">
        <w:rPr>
          <w:rFonts w:asciiTheme="minorHAnsi" w:hAnsiTheme="minorHAnsi"/>
          <w:noProof/>
          <w:lang w:val="de-DE"/>
        </w:rPr>
        <w:t xml:space="preserve">neue Initiativen zur Unterstützung der Durchführung konkreter Projekte im Rahmen des NEB eingeleitet hat und </w:t>
      </w:r>
    </w:p>
    <w:p w14:paraId="629EA5CD" w14:textId="215A2830" w:rsidR="00582079" w:rsidRPr="009B5B44" w:rsidRDefault="00582079">
      <w:pPr>
        <w:pStyle w:val="ListParagraph"/>
        <w:numPr>
          <w:ilvl w:val="0"/>
          <w:numId w:val="24"/>
        </w:numPr>
        <w:spacing w:after="120" w:line="276" w:lineRule="auto"/>
        <w:contextualSpacing w:val="0"/>
        <w:jc w:val="both"/>
        <w:rPr>
          <w:rFonts w:asciiTheme="minorHAnsi" w:eastAsia="Arial" w:hAnsiTheme="minorHAnsi" w:cstheme="minorHAnsi"/>
          <w:noProof/>
          <w:lang w:val="de-DE"/>
        </w:rPr>
      </w:pPr>
      <w:r w:rsidRPr="009B5B44">
        <w:rPr>
          <w:rFonts w:asciiTheme="minorHAnsi" w:hAnsiTheme="minorHAnsi"/>
          <w:noProof/>
          <w:lang w:val="de-DE"/>
        </w:rPr>
        <w:t>einige bewährter Verfahren, die mit dem NEB vergleichbar sind (durch die Preise des NEB und andere Initiativen), hervorgehoben hat.</w:t>
      </w:r>
    </w:p>
    <w:p w14:paraId="089943A6" w14:textId="4B139FEC" w:rsidR="7379E131" w:rsidRPr="009B5B44" w:rsidRDefault="36689964">
      <w:pPr>
        <w:spacing w:after="120" w:line="276" w:lineRule="auto"/>
        <w:ind w:left="720"/>
        <w:jc w:val="both"/>
        <w:rPr>
          <w:rFonts w:asciiTheme="minorHAnsi" w:eastAsia="Arial" w:hAnsiTheme="minorHAnsi" w:cstheme="minorHAnsi"/>
          <w:noProof/>
          <w:lang w:val="de-DE"/>
        </w:rPr>
      </w:pPr>
      <w:r w:rsidRPr="009B5B44">
        <w:rPr>
          <w:rFonts w:asciiTheme="minorHAnsi" w:hAnsiTheme="minorHAnsi"/>
          <w:noProof/>
          <w:lang w:val="de-DE"/>
        </w:rPr>
        <w:t>In erster Linie erzielte die Kommission ein verstärktes Engagement der Mitgliedstaaten zur Unterstützung des Neuen Europäischen Bauhauses in kohäsionspolitischen Programmen und ebnete so den Weg für die durchgängige Berücksichtigung seiner Umsetzung im Zeitraum </w:t>
      </w:r>
      <w:r w:rsidRPr="003E5D4C">
        <w:rPr>
          <w:rFonts w:asciiTheme="minorHAnsi" w:hAnsiTheme="minorHAnsi"/>
          <w:noProof/>
          <w:lang w:val="de-DE"/>
        </w:rPr>
        <w:t>2021</w:t>
      </w:r>
      <w:r w:rsidRPr="009B5B44">
        <w:rPr>
          <w:rFonts w:asciiTheme="minorHAnsi" w:hAnsiTheme="minorHAnsi"/>
          <w:noProof/>
          <w:lang w:val="de-DE"/>
        </w:rPr>
        <w:t>-</w:t>
      </w:r>
      <w:r w:rsidRPr="003E5D4C">
        <w:rPr>
          <w:rFonts w:asciiTheme="minorHAnsi" w:hAnsiTheme="minorHAnsi"/>
          <w:noProof/>
          <w:lang w:val="de-DE"/>
        </w:rPr>
        <w:t>2027</w:t>
      </w:r>
      <w:r w:rsidRPr="009B5B44">
        <w:rPr>
          <w:rFonts w:asciiTheme="minorHAnsi" w:hAnsiTheme="minorHAnsi"/>
          <w:noProof/>
          <w:lang w:val="de-DE"/>
        </w:rPr>
        <w:t xml:space="preserve">. </w:t>
      </w:r>
      <w:r w:rsidRPr="009B5B44">
        <w:rPr>
          <w:rFonts w:asciiTheme="minorHAnsi" w:hAnsiTheme="minorHAnsi"/>
          <w:b/>
          <w:noProof/>
          <w:lang w:val="de-DE"/>
        </w:rPr>
        <w:t>Alle Mitgliedstaaten haben in die Programme</w:t>
      </w:r>
      <w:r w:rsidRPr="009B5B44">
        <w:rPr>
          <w:rFonts w:asciiTheme="minorHAnsi" w:hAnsiTheme="minorHAnsi"/>
          <w:noProof/>
          <w:lang w:val="de-DE"/>
        </w:rPr>
        <w:t xml:space="preserve"> für diesen Zeitraum </w:t>
      </w:r>
      <w:r w:rsidRPr="009B5B44">
        <w:rPr>
          <w:rFonts w:asciiTheme="minorHAnsi" w:hAnsiTheme="minorHAnsi"/>
          <w:b/>
          <w:noProof/>
          <w:lang w:val="de-DE"/>
        </w:rPr>
        <w:t>Verweise auf die Initiative „Neues Europäisches Bauhaus“ aufgenommen</w:t>
      </w:r>
      <w:r w:rsidRPr="009B5B44">
        <w:rPr>
          <w:rFonts w:asciiTheme="minorHAnsi" w:hAnsiTheme="minorHAnsi"/>
          <w:noProof/>
          <w:lang w:val="de-DE"/>
        </w:rPr>
        <w:t>.</w:t>
      </w:r>
    </w:p>
    <w:p w14:paraId="19849C69" w14:textId="649508AB" w:rsidR="7379E131" w:rsidRPr="009B5B44" w:rsidRDefault="7379E131">
      <w:pPr>
        <w:spacing w:after="120" w:line="276" w:lineRule="auto"/>
        <w:ind w:left="720"/>
        <w:jc w:val="both"/>
        <w:rPr>
          <w:rFonts w:asciiTheme="minorHAnsi" w:eastAsia="Arial" w:hAnsiTheme="minorHAnsi" w:cstheme="minorHAnsi"/>
          <w:noProof/>
          <w:lang w:val="de-DE"/>
        </w:rPr>
      </w:pPr>
      <w:r w:rsidRPr="009B5B44">
        <w:rPr>
          <w:rFonts w:asciiTheme="minorHAnsi" w:hAnsiTheme="minorHAnsi"/>
          <w:noProof/>
          <w:lang w:val="de-DE"/>
        </w:rPr>
        <w:t xml:space="preserve">Konkrete Verpflichtungen zur Unterstützung des NEB sind z. B. die Einbeziehung der </w:t>
      </w:r>
      <w:r w:rsidRPr="009B5B44">
        <w:rPr>
          <w:rFonts w:asciiTheme="minorHAnsi" w:hAnsiTheme="minorHAnsi"/>
          <w:b/>
          <w:noProof/>
          <w:lang w:val="de-DE"/>
        </w:rPr>
        <w:t>NEB-Werte in Maßnahmen zur Energieeffizienz oder zur nachhaltigen Stadtentwicklung</w:t>
      </w:r>
      <w:r w:rsidRPr="009B5B44">
        <w:rPr>
          <w:rFonts w:asciiTheme="minorHAnsi" w:hAnsiTheme="minorHAnsi"/>
          <w:noProof/>
          <w:lang w:val="de-DE"/>
        </w:rPr>
        <w:t xml:space="preserve">. </w:t>
      </w:r>
    </w:p>
    <w:p w14:paraId="385C0302" w14:textId="30203E04" w:rsidR="00944E8C" w:rsidRPr="009B5B44" w:rsidRDefault="00944E8C">
      <w:pPr>
        <w:spacing w:after="120" w:line="276" w:lineRule="auto"/>
        <w:ind w:left="720"/>
        <w:jc w:val="both"/>
        <w:rPr>
          <w:rFonts w:asciiTheme="minorHAnsi" w:hAnsiTheme="minorHAnsi" w:cstheme="minorHAnsi"/>
          <w:noProof/>
          <w:lang w:val="de-DE"/>
        </w:rPr>
      </w:pPr>
      <w:r w:rsidRPr="009B5B44">
        <w:rPr>
          <w:rFonts w:asciiTheme="minorHAnsi" w:hAnsiTheme="minorHAnsi"/>
          <w:noProof/>
          <w:lang w:val="de-DE"/>
        </w:rPr>
        <w:t xml:space="preserve">Darüber hinaus hat die Kommission mehrere konkrete Möglichkeiten zur </w:t>
      </w:r>
      <w:r w:rsidRPr="009B5B44">
        <w:rPr>
          <w:rFonts w:asciiTheme="minorHAnsi" w:hAnsiTheme="minorHAnsi"/>
          <w:b/>
          <w:noProof/>
          <w:lang w:val="de-DE"/>
        </w:rPr>
        <w:t>Unterstützung der Verwaltungsbehörden bei der Entwicklung von NEB-Investitionen vor Ort</w:t>
      </w:r>
      <w:r w:rsidRPr="009B5B44">
        <w:rPr>
          <w:rFonts w:asciiTheme="minorHAnsi" w:hAnsiTheme="minorHAnsi"/>
          <w:noProof/>
          <w:lang w:val="de-DE"/>
        </w:rPr>
        <w:t xml:space="preserve"> vorgeschlagen.</w:t>
      </w:r>
    </w:p>
    <w:p w14:paraId="3CC9AF11" w14:textId="75442329" w:rsidR="00F9636C" w:rsidRPr="009B5B44" w:rsidRDefault="665A9C8D">
      <w:pPr>
        <w:spacing w:after="120" w:line="276" w:lineRule="auto"/>
        <w:ind w:left="720"/>
        <w:jc w:val="both"/>
        <w:rPr>
          <w:rFonts w:asciiTheme="minorHAnsi" w:eastAsiaTheme="minorHAnsi" w:hAnsiTheme="minorHAnsi" w:cstheme="minorHAnsi"/>
          <w:noProof/>
          <w:lang w:val="de-DE"/>
        </w:rPr>
      </w:pPr>
      <w:r w:rsidRPr="009B5B44">
        <w:rPr>
          <w:rFonts w:asciiTheme="minorHAnsi" w:hAnsiTheme="minorHAnsi"/>
          <w:noProof/>
          <w:lang w:val="de-DE"/>
        </w:rPr>
        <w:t xml:space="preserve">Im Juli </w:t>
      </w:r>
      <w:r w:rsidRPr="003E5D4C">
        <w:rPr>
          <w:rFonts w:asciiTheme="minorHAnsi" w:hAnsiTheme="minorHAnsi"/>
          <w:noProof/>
          <w:lang w:val="de-DE"/>
        </w:rPr>
        <w:t>2022</w:t>
      </w:r>
      <w:r w:rsidRPr="009B5B44">
        <w:rPr>
          <w:rFonts w:asciiTheme="minorHAnsi" w:hAnsiTheme="minorHAnsi"/>
          <w:noProof/>
          <w:lang w:val="de-DE"/>
        </w:rPr>
        <w:t xml:space="preserve"> </w:t>
      </w:r>
      <w:r w:rsidRPr="009B5B44">
        <w:rPr>
          <w:rFonts w:asciiTheme="minorHAnsi" w:hAnsiTheme="minorHAnsi"/>
          <w:b/>
          <w:noProof/>
          <w:lang w:val="de-DE"/>
        </w:rPr>
        <w:t xml:space="preserve">wurden </w:t>
      </w:r>
      <w:r w:rsidRPr="003E5D4C">
        <w:rPr>
          <w:rFonts w:asciiTheme="minorHAnsi" w:hAnsiTheme="minorHAnsi"/>
          <w:b/>
          <w:noProof/>
          <w:lang w:val="de-DE"/>
        </w:rPr>
        <w:t>20</w:t>
      </w:r>
      <w:r w:rsidRPr="009B5B44">
        <w:rPr>
          <w:rFonts w:asciiTheme="minorHAnsi" w:hAnsiTheme="minorHAnsi"/>
          <w:b/>
          <w:noProof/>
          <w:lang w:val="de-DE"/>
        </w:rPr>
        <w:t xml:space="preserve"> kleinere und mittlere Gemeinden im Rahmen</w:t>
      </w:r>
      <w:r w:rsidRPr="009B5B44">
        <w:rPr>
          <w:rFonts w:asciiTheme="minorHAnsi" w:hAnsiTheme="minorHAnsi"/>
          <w:noProof/>
          <w:lang w:val="de-DE"/>
        </w:rPr>
        <w:t xml:space="preserve"> </w:t>
      </w:r>
      <w:r w:rsidRPr="009B5B44">
        <w:rPr>
          <w:rFonts w:asciiTheme="minorHAnsi" w:hAnsiTheme="minorHAnsi"/>
          <w:b/>
          <w:noProof/>
          <w:lang w:val="de-DE"/>
        </w:rPr>
        <w:t>der</w:t>
      </w:r>
      <w:r w:rsidRPr="009B5B44">
        <w:rPr>
          <w:rFonts w:asciiTheme="minorHAnsi" w:hAnsiTheme="minorHAnsi"/>
          <w:noProof/>
          <w:lang w:val="de-DE"/>
        </w:rPr>
        <w:t xml:space="preserve"> </w:t>
      </w:r>
      <w:r w:rsidRPr="009B5B44">
        <w:rPr>
          <w:rFonts w:asciiTheme="minorHAnsi" w:hAnsiTheme="minorHAnsi"/>
          <w:b/>
          <w:noProof/>
          <w:lang w:val="de-DE"/>
        </w:rPr>
        <w:t>wettbewerbsorientierten Aufforderung zur Einreichung von Vorschlägen</w:t>
      </w:r>
      <w:r w:rsidRPr="009B5B44">
        <w:rPr>
          <w:rFonts w:asciiTheme="minorHAnsi" w:hAnsiTheme="minorHAnsi"/>
          <w:noProof/>
          <w:lang w:val="de-DE"/>
        </w:rPr>
        <w:t xml:space="preserve"> für die Unterstützung lokaler NEB-Initiativen</w:t>
      </w:r>
      <w:r>
        <w:rPr>
          <w:rStyle w:val="FootnoteReference"/>
          <w:rFonts w:asciiTheme="minorHAnsi" w:hAnsiTheme="minorHAnsi" w:cstheme="minorHAnsi"/>
          <w:noProof/>
          <w:color w:val="2B579A"/>
          <w:shd w:val="clear" w:color="auto" w:fill="E6E6E6"/>
        </w:rPr>
        <w:footnoteReference w:id="8"/>
      </w:r>
      <w:r w:rsidRPr="009B5B44">
        <w:rPr>
          <w:rFonts w:asciiTheme="minorHAnsi" w:hAnsiTheme="minorHAnsi"/>
          <w:noProof/>
          <w:lang w:val="de-DE"/>
        </w:rPr>
        <w:t xml:space="preserve"> </w:t>
      </w:r>
      <w:r w:rsidRPr="009B5B44">
        <w:rPr>
          <w:rFonts w:asciiTheme="minorHAnsi" w:hAnsiTheme="minorHAnsi"/>
          <w:b/>
          <w:noProof/>
          <w:lang w:val="de-DE"/>
        </w:rPr>
        <w:t>ausgewählt</w:t>
      </w:r>
      <w:r w:rsidRPr="009B5B44">
        <w:rPr>
          <w:rFonts w:asciiTheme="minorHAnsi" w:hAnsiTheme="minorHAnsi"/>
          <w:noProof/>
          <w:lang w:val="de-DE"/>
        </w:rPr>
        <w:t xml:space="preserve"> und erhalten nun maßgeschneiderte, multidisziplinäre fachliche Unterstützung vor Ort, um ihre NEB-Ideen in konkrete Projekte umzusetzen. Das Wissen und die Erkenntnisse, die während des Unterstützungszeitraums gewonnen wurden, werden in ein Instrumentarium für die Lehrlingsausbildung umgewandelt, das mit anderen Gemeinden und der breiten Öffentlichkeit mit Interesse an der Entwicklung neuer NEB-Projekte ausgetauscht werden soll.</w:t>
      </w:r>
    </w:p>
    <w:p w14:paraId="08083C2B" w14:textId="723AA617" w:rsidR="00312E6F" w:rsidRPr="009B5B44" w:rsidRDefault="00312E6F">
      <w:pPr>
        <w:pStyle w:val="LTTBullet"/>
        <w:numPr>
          <w:ilvl w:val="0"/>
          <w:numId w:val="0"/>
        </w:numPr>
        <w:spacing w:after="120" w:line="276" w:lineRule="auto"/>
        <w:ind w:left="720"/>
        <w:jc w:val="both"/>
        <w:rPr>
          <w:rFonts w:asciiTheme="minorHAnsi" w:eastAsia="Arial" w:hAnsiTheme="minorHAnsi" w:cstheme="minorHAnsi"/>
          <w:noProof/>
          <w:color w:val="000000" w:themeColor="text1"/>
          <w:sz w:val="22"/>
          <w:lang w:val="de-DE"/>
        </w:rPr>
      </w:pPr>
      <w:r w:rsidRPr="009B5B44">
        <w:rPr>
          <w:rFonts w:asciiTheme="minorHAnsi" w:hAnsiTheme="minorHAnsi"/>
          <w:noProof/>
          <w:sz w:val="22"/>
          <w:lang w:val="de-DE"/>
        </w:rPr>
        <w:t xml:space="preserve">Die Kommission und die Europäische Investitionsbank haben im Juli </w:t>
      </w:r>
      <w:r w:rsidRPr="003E5D4C">
        <w:rPr>
          <w:rFonts w:asciiTheme="minorHAnsi" w:hAnsiTheme="minorHAnsi"/>
          <w:noProof/>
          <w:sz w:val="22"/>
          <w:lang w:val="de-DE"/>
        </w:rPr>
        <w:t>2022</w:t>
      </w:r>
      <w:r w:rsidRPr="009B5B44">
        <w:rPr>
          <w:rFonts w:asciiTheme="minorHAnsi" w:hAnsiTheme="minorHAnsi"/>
          <w:noProof/>
          <w:sz w:val="22"/>
          <w:lang w:val="de-DE"/>
        </w:rPr>
        <w:t xml:space="preserve"> ein </w:t>
      </w:r>
      <w:r w:rsidRPr="009B5B44">
        <w:rPr>
          <w:rFonts w:asciiTheme="minorHAnsi" w:hAnsiTheme="minorHAnsi"/>
          <w:b/>
          <w:noProof/>
          <w:sz w:val="22"/>
          <w:lang w:val="de-DE"/>
        </w:rPr>
        <w:t>Muster-Finanzierungsinstrument</w:t>
      </w:r>
      <w:r w:rsidRPr="009B5B44">
        <w:rPr>
          <w:rFonts w:asciiTheme="minorHAnsi" w:hAnsiTheme="minorHAnsi"/>
          <w:noProof/>
          <w:sz w:val="22"/>
          <w:lang w:val="de-DE"/>
        </w:rPr>
        <w:t xml:space="preserve"> eingeführt:</w:t>
      </w:r>
      <w:r w:rsidRPr="009B5B44">
        <w:rPr>
          <w:rFonts w:asciiTheme="minorHAnsi" w:hAnsiTheme="minorHAnsi"/>
          <w:b/>
          <w:noProof/>
          <w:color w:val="000000" w:themeColor="text1"/>
          <w:sz w:val="22"/>
          <w:lang w:val="de-DE"/>
        </w:rPr>
        <w:t xml:space="preserve"> </w:t>
      </w:r>
      <w:r w:rsidRPr="009B5B44">
        <w:rPr>
          <w:rFonts w:asciiTheme="minorHAnsi" w:hAnsiTheme="minorHAnsi"/>
          <w:noProof/>
          <w:sz w:val="22"/>
          <w:lang w:val="de-DE"/>
        </w:rPr>
        <w:t>das Modell der territorialen Entwicklung des Neuen Europäischen Bauhauses.</w:t>
      </w:r>
      <w:r>
        <w:rPr>
          <w:rStyle w:val="FootnoteReference"/>
          <w:rFonts w:asciiTheme="minorHAnsi" w:eastAsia="Arial" w:hAnsiTheme="minorHAnsi" w:cstheme="minorHAnsi"/>
          <w:noProof/>
          <w:sz w:val="22"/>
        </w:rPr>
        <w:footnoteReference w:id="9"/>
      </w:r>
      <w:r w:rsidRPr="009B5B44">
        <w:rPr>
          <w:rFonts w:asciiTheme="minorHAnsi" w:hAnsiTheme="minorHAnsi"/>
          <w:noProof/>
          <w:sz w:val="22"/>
          <w:lang w:val="de-DE"/>
        </w:rPr>
        <w:t xml:space="preserve"> </w:t>
      </w:r>
      <w:r w:rsidRPr="009B5B44">
        <w:rPr>
          <w:rFonts w:asciiTheme="minorHAnsi" w:hAnsiTheme="minorHAnsi"/>
          <w:noProof/>
          <w:color w:val="000000" w:themeColor="text1"/>
          <w:sz w:val="22"/>
          <w:lang w:val="de-DE"/>
        </w:rPr>
        <w:t>Dieses freiwillige Instrument wird den Verwaltungsbehörden dabei helfen, Finanzierungsinstrumente einzurichten und Kohäsionsprogramme einzusetzen, um öffentliche und private Mittel zur Unterstützung von Projekten im Rahmen des Neuen Europäischen Bauhauses zu mobilisieren.</w:t>
      </w:r>
    </w:p>
    <w:p w14:paraId="1F18E0FB" w14:textId="40FD67B9" w:rsidR="00944E8C" w:rsidRPr="009B5B44" w:rsidRDefault="00312E6F">
      <w:pPr>
        <w:spacing w:after="120" w:line="276" w:lineRule="auto"/>
        <w:ind w:left="720"/>
        <w:jc w:val="both"/>
        <w:rPr>
          <w:rFonts w:asciiTheme="minorHAnsi" w:eastAsia="Arial" w:hAnsiTheme="minorHAnsi" w:cstheme="minorHAnsi"/>
          <w:noProof/>
          <w:lang w:val="de-DE"/>
        </w:rPr>
      </w:pPr>
      <w:r w:rsidRPr="009B5B44">
        <w:rPr>
          <w:rFonts w:asciiTheme="minorHAnsi" w:hAnsiTheme="minorHAnsi"/>
          <w:noProof/>
          <w:lang w:val="de-DE"/>
        </w:rPr>
        <w:t xml:space="preserve">Am </w:t>
      </w:r>
      <w:r w:rsidRPr="003E5D4C">
        <w:rPr>
          <w:rFonts w:asciiTheme="minorHAnsi" w:hAnsiTheme="minorHAnsi"/>
          <w:noProof/>
          <w:lang w:val="de-DE"/>
        </w:rPr>
        <w:t>11</w:t>
      </w:r>
      <w:r w:rsidRPr="009B5B44">
        <w:rPr>
          <w:rFonts w:asciiTheme="minorHAnsi" w:hAnsiTheme="minorHAnsi"/>
          <w:noProof/>
          <w:lang w:val="de-DE"/>
        </w:rPr>
        <w:t xml:space="preserve">. Oktober </w:t>
      </w:r>
      <w:r w:rsidRPr="003E5D4C">
        <w:rPr>
          <w:rFonts w:asciiTheme="minorHAnsi" w:hAnsiTheme="minorHAnsi"/>
          <w:noProof/>
          <w:lang w:val="de-DE"/>
        </w:rPr>
        <w:t>2022</w:t>
      </w:r>
      <w:r w:rsidRPr="009B5B44">
        <w:rPr>
          <w:rFonts w:asciiTheme="minorHAnsi" w:hAnsiTheme="minorHAnsi"/>
          <w:noProof/>
          <w:lang w:val="de-DE"/>
        </w:rPr>
        <w:t xml:space="preserve"> wurde im Rahmen der Europäischen Stadtinitiative</w:t>
      </w:r>
      <w:r>
        <w:rPr>
          <w:rStyle w:val="FootnoteReference"/>
          <w:rFonts w:asciiTheme="minorHAnsi" w:hAnsiTheme="minorHAnsi" w:cstheme="minorHAnsi"/>
          <w:noProof/>
        </w:rPr>
        <w:footnoteReference w:id="10"/>
      </w:r>
      <w:r w:rsidRPr="009B5B44">
        <w:rPr>
          <w:rFonts w:asciiTheme="minorHAnsi" w:hAnsiTheme="minorHAnsi"/>
          <w:noProof/>
          <w:lang w:val="de-DE"/>
        </w:rPr>
        <w:t xml:space="preserve"> eine </w:t>
      </w:r>
      <w:r w:rsidRPr="009B5B44">
        <w:rPr>
          <w:rFonts w:asciiTheme="minorHAnsi" w:hAnsiTheme="minorHAnsi"/>
          <w:b/>
          <w:noProof/>
          <w:lang w:val="de-DE"/>
        </w:rPr>
        <w:t>erste Aufforderung zur Einreichung von Vorschlägen für innovative städtische Maßnahmen zur Unterstützung des NEB</w:t>
      </w:r>
      <w:r w:rsidRPr="009B5B44">
        <w:rPr>
          <w:rFonts w:asciiTheme="minorHAnsi" w:hAnsiTheme="minorHAnsi"/>
          <w:noProof/>
          <w:lang w:val="de-DE"/>
        </w:rPr>
        <w:t xml:space="preserve"> veröffentlicht. Im Rahmen dieser Aufforderung zur Einreichung von Vorschlägen werden bis zu </w:t>
      </w:r>
      <w:r w:rsidRPr="003E5D4C">
        <w:rPr>
          <w:rFonts w:asciiTheme="minorHAnsi" w:hAnsiTheme="minorHAnsi"/>
          <w:noProof/>
          <w:lang w:val="de-DE"/>
        </w:rPr>
        <w:t>50</w:t>
      </w:r>
      <w:r w:rsidRPr="009B5B44">
        <w:rPr>
          <w:rFonts w:asciiTheme="minorHAnsi" w:hAnsiTheme="minorHAnsi"/>
          <w:noProof/>
          <w:lang w:val="de-DE"/>
        </w:rPr>
        <w:t> Mio. EUR vergeben, um die Umsetzung von Vorreiterprojekten zur Umgestaltung städtischer Orte im Einklang mit den Werten und Grundsätzen des Neuen Europäischen Bauhauses direkt zu unterstützen.</w:t>
      </w:r>
    </w:p>
    <w:p w14:paraId="0354FA17" w14:textId="5F72A4BD" w:rsidR="00944E8C" w:rsidRPr="009B5B44" w:rsidRDefault="55250AAF">
      <w:pPr>
        <w:spacing w:after="120" w:line="276" w:lineRule="auto"/>
        <w:ind w:left="720"/>
        <w:jc w:val="both"/>
        <w:rPr>
          <w:rFonts w:asciiTheme="minorHAnsi" w:eastAsia="Arial" w:hAnsiTheme="minorHAnsi" w:cstheme="minorHAnsi"/>
          <w:noProof/>
          <w:lang w:val="de-DE"/>
        </w:rPr>
      </w:pPr>
      <w:r w:rsidRPr="009B5B44">
        <w:rPr>
          <w:rFonts w:asciiTheme="minorHAnsi" w:hAnsiTheme="minorHAnsi"/>
          <w:noProof/>
          <w:lang w:val="de-DE"/>
        </w:rPr>
        <w:t>Darüber hinaus hat die Kommission bereits zwei Verleihungen der NEB-Preise</w:t>
      </w:r>
      <w:r>
        <w:rPr>
          <w:rStyle w:val="FootnoteReference"/>
          <w:rFonts w:asciiTheme="minorHAnsi" w:eastAsia="Arial" w:hAnsiTheme="minorHAnsi" w:cstheme="minorHAnsi"/>
          <w:b/>
          <w:noProof/>
        </w:rPr>
        <w:footnoteReference w:id="11"/>
      </w:r>
      <w:r w:rsidRPr="009B5B44">
        <w:rPr>
          <w:rFonts w:asciiTheme="minorHAnsi" w:hAnsiTheme="minorHAnsi"/>
          <w:noProof/>
          <w:lang w:val="de-DE"/>
        </w:rPr>
        <w:t xml:space="preserve"> organisiert:</w:t>
      </w:r>
      <w:r w:rsidRPr="009B5B44">
        <w:rPr>
          <w:rFonts w:asciiTheme="minorHAnsi" w:hAnsiTheme="minorHAnsi"/>
          <w:b/>
          <w:noProof/>
          <w:lang w:val="de-DE"/>
        </w:rPr>
        <w:t xml:space="preserve"> </w:t>
      </w:r>
      <w:r w:rsidRPr="009B5B44">
        <w:rPr>
          <w:rFonts w:asciiTheme="minorHAnsi" w:hAnsiTheme="minorHAnsi"/>
          <w:noProof/>
          <w:lang w:val="de-DE"/>
        </w:rPr>
        <w:t xml:space="preserve">in den Jahren </w:t>
      </w:r>
      <w:r w:rsidRPr="003E5D4C">
        <w:rPr>
          <w:rFonts w:asciiTheme="minorHAnsi" w:hAnsiTheme="minorHAnsi"/>
          <w:noProof/>
          <w:lang w:val="de-DE"/>
        </w:rPr>
        <w:t>2021</w:t>
      </w:r>
      <w:r w:rsidRPr="009B5B44">
        <w:rPr>
          <w:rFonts w:asciiTheme="minorHAnsi" w:hAnsiTheme="minorHAnsi"/>
          <w:noProof/>
          <w:lang w:val="de-DE"/>
        </w:rPr>
        <w:t xml:space="preserve"> und </w:t>
      </w:r>
      <w:r w:rsidRPr="003E5D4C">
        <w:rPr>
          <w:rFonts w:asciiTheme="minorHAnsi" w:hAnsiTheme="minorHAnsi"/>
          <w:noProof/>
          <w:lang w:val="de-DE"/>
        </w:rPr>
        <w:t>2022</w:t>
      </w:r>
      <w:r w:rsidRPr="009B5B44">
        <w:rPr>
          <w:rFonts w:asciiTheme="minorHAnsi" w:hAnsiTheme="minorHAnsi"/>
          <w:noProof/>
          <w:lang w:val="de-DE"/>
        </w:rPr>
        <w:t xml:space="preserve">. </w:t>
      </w:r>
      <w:r w:rsidRPr="009B5B44">
        <w:rPr>
          <w:rFonts w:asciiTheme="minorHAnsi" w:hAnsiTheme="minorHAnsi"/>
          <w:b/>
          <w:noProof/>
          <w:lang w:val="de-DE"/>
        </w:rPr>
        <w:t>Mit den NEB-Preisen werden Projekte und Ideen ausgezeichnet, die mit den Grundsätzen des Neuen Europäischen Bauhauses in Einklang stehen und Auswirkungen auf lokale Gemeinschaften haben.</w:t>
      </w:r>
      <w:r w:rsidRPr="009B5B44">
        <w:rPr>
          <w:rFonts w:asciiTheme="minorHAnsi" w:hAnsiTheme="minorHAnsi"/>
          <w:noProof/>
          <w:lang w:val="de-DE"/>
        </w:rPr>
        <w:t xml:space="preserve"> Sie können im Kontext der Kohäsionspolitik </w:t>
      </w:r>
      <w:r w:rsidRPr="003E5D4C">
        <w:rPr>
          <w:rFonts w:asciiTheme="minorHAnsi" w:hAnsiTheme="minorHAnsi"/>
          <w:noProof/>
          <w:lang w:val="de-DE"/>
        </w:rPr>
        <w:t>2021</w:t>
      </w:r>
      <w:r w:rsidRPr="009B5B44">
        <w:rPr>
          <w:rFonts w:asciiTheme="minorHAnsi" w:hAnsiTheme="minorHAnsi"/>
          <w:noProof/>
          <w:lang w:val="de-DE"/>
        </w:rPr>
        <w:t>-</w:t>
      </w:r>
      <w:r w:rsidRPr="003E5D4C">
        <w:rPr>
          <w:rFonts w:asciiTheme="minorHAnsi" w:hAnsiTheme="minorHAnsi"/>
          <w:noProof/>
          <w:lang w:val="de-DE"/>
        </w:rPr>
        <w:t>2027</w:t>
      </w:r>
      <w:r w:rsidRPr="009B5B44">
        <w:rPr>
          <w:rFonts w:asciiTheme="minorHAnsi" w:hAnsiTheme="minorHAnsi"/>
          <w:noProof/>
          <w:lang w:val="de-DE"/>
        </w:rPr>
        <w:t xml:space="preserve"> als Inspirationsquelle für die Bürgerinnen und Bürger und die lokalen Gebietskörperschaften dienen. Bei der Verleihung der NEB-Preise </w:t>
      </w:r>
      <w:r w:rsidRPr="003E5D4C">
        <w:rPr>
          <w:rFonts w:asciiTheme="minorHAnsi" w:hAnsiTheme="minorHAnsi"/>
          <w:noProof/>
          <w:lang w:val="de-DE"/>
        </w:rPr>
        <w:t>2021</w:t>
      </w:r>
      <w:r w:rsidRPr="009B5B44">
        <w:rPr>
          <w:rFonts w:asciiTheme="minorHAnsi" w:hAnsiTheme="minorHAnsi"/>
          <w:noProof/>
          <w:lang w:val="de-DE"/>
        </w:rPr>
        <w:t xml:space="preserve"> wurden </w:t>
      </w:r>
      <w:r w:rsidRPr="003E5D4C">
        <w:rPr>
          <w:rFonts w:asciiTheme="minorHAnsi" w:hAnsiTheme="minorHAnsi"/>
          <w:noProof/>
          <w:lang w:val="de-DE"/>
        </w:rPr>
        <w:t>20</w:t>
      </w:r>
      <w:r w:rsidRPr="009B5B44">
        <w:rPr>
          <w:rFonts w:asciiTheme="minorHAnsi" w:hAnsiTheme="minorHAnsi"/>
          <w:noProof/>
          <w:lang w:val="de-DE"/>
        </w:rPr>
        <w:t xml:space="preserve"> Gewinner mit einer Gesamtsumme von </w:t>
      </w:r>
      <w:r w:rsidRPr="003E5D4C">
        <w:rPr>
          <w:rFonts w:asciiTheme="minorHAnsi" w:hAnsiTheme="minorHAnsi"/>
          <w:noProof/>
          <w:lang w:val="de-DE"/>
        </w:rPr>
        <w:t>450</w:t>
      </w:r>
      <w:r w:rsidRPr="009B5B44">
        <w:rPr>
          <w:rFonts w:asciiTheme="minorHAnsi" w:hAnsiTheme="minorHAnsi"/>
          <w:noProof/>
          <w:lang w:val="de-DE"/>
        </w:rPr>
        <w:t> </w:t>
      </w:r>
      <w:r w:rsidRPr="003E5D4C">
        <w:rPr>
          <w:rFonts w:asciiTheme="minorHAnsi" w:hAnsiTheme="minorHAnsi"/>
          <w:noProof/>
          <w:lang w:val="de-DE"/>
        </w:rPr>
        <w:t>000</w:t>
      </w:r>
      <w:r w:rsidRPr="009B5B44">
        <w:rPr>
          <w:rFonts w:asciiTheme="minorHAnsi" w:hAnsiTheme="minorHAnsi"/>
          <w:noProof/>
          <w:lang w:val="de-DE"/>
        </w:rPr>
        <w:t> EUR ausgezeichnet, bei der Verleihung der NEB-Preise </w:t>
      </w:r>
      <w:r w:rsidRPr="003E5D4C">
        <w:rPr>
          <w:rFonts w:asciiTheme="minorHAnsi" w:hAnsiTheme="minorHAnsi"/>
          <w:noProof/>
          <w:lang w:val="de-DE"/>
        </w:rPr>
        <w:t>2022</w:t>
      </w:r>
      <w:r w:rsidRPr="009B5B44">
        <w:rPr>
          <w:rFonts w:asciiTheme="minorHAnsi" w:hAnsiTheme="minorHAnsi"/>
          <w:noProof/>
          <w:lang w:val="de-DE"/>
        </w:rPr>
        <w:t xml:space="preserve"> gingen </w:t>
      </w:r>
      <w:r w:rsidRPr="003E5D4C">
        <w:rPr>
          <w:rFonts w:asciiTheme="minorHAnsi" w:hAnsiTheme="minorHAnsi"/>
          <w:noProof/>
          <w:lang w:val="de-DE"/>
        </w:rPr>
        <w:t>345</w:t>
      </w:r>
      <w:r w:rsidRPr="009B5B44">
        <w:rPr>
          <w:rFonts w:asciiTheme="minorHAnsi" w:hAnsiTheme="minorHAnsi"/>
          <w:noProof/>
          <w:lang w:val="de-DE"/>
        </w:rPr>
        <w:t> </w:t>
      </w:r>
      <w:r w:rsidRPr="003E5D4C">
        <w:rPr>
          <w:rFonts w:asciiTheme="minorHAnsi" w:hAnsiTheme="minorHAnsi"/>
          <w:noProof/>
          <w:lang w:val="de-DE"/>
        </w:rPr>
        <w:t>000</w:t>
      </w:r>
      <w:r w:rsidRPr="009B5B44">
        <w:rPr>
          <w:rFonts w:asciiTheme="minorHAnsi" w:hAnsiTheme="minorHAnsi"/>
          <w:noProof/>
          <w:lang w:val="de-DE"/>
        </w:rPr>
        <w:t xml:space="preserve"> EUR an </w:t>
      </w:r>
      <w:r w:rsidRPr="003E5D4C">
        <w:rPr>
          <w:rFonts w:asciiTheme="minorHAnsi" w:hAnsiTheme="minorHAnsi"/>
          <w:noProof/>
          <w:lang w:val="de-DE"/>
        </w:rPr>
        <w:t>18</w:t>
      </w:r>
      <w:r w:rsidRPr="009B5B44">
        <w:rPr>
          <w:rFonts w:asciiTheme="minorHAnsi" w:hAnsiTheme="minorHAnsi"/>
          <w:noProof/>
          <w:lang w:val="de-DE"/>
        </w:rPr>
        <w:t xml:space="preserve"> Gewinner. Im Zusammenhang mit dem </w:t>
      </w:r>
      <w:r w:rsidRPr="009B5B44">
        <w:rPr>
          <w:rFonts w:asciiTheme="minorHAnsi" w:hAnsiTheme="minorHAnsi"/>
          <w:b/>
          <w:noProof/>
          <w:lang w:val="de-DE"/>
        </w:rPr>
        <w:t xml:space="preserve">Europäischen Jahr der Kompetenzen </w:t>
      </w:r>
      <w:r w:rsidRPr="003E5D4C">
        <w:rPr>
          <w:rFonts w:asciiTheme="minorHAnsi" w:hAnsiTheme="minorHAnsi"/>
          <w:b/>
          <w:noProof/>
          <w:lang w:val="de-DE"/>
        </w:rPr>
        <w:t>2023</w:t>
      </w:r>
      <w:r w:rsidRPr="009B5B44">
        <w:rPr>
          <w:rFonts w:asciiTheme="minorHAnsi" w:hAnsiTheme="minorHAnsi"/>
          <w:b/>
          <w:noProof/>
          <w:lang w:val="de-DE"/>
        </w:rPr>
        <w:t xml:space="preserve"> wird die nächste Verleihung der NEB-Preise einen thematischen Schwerpunkt auf Bildung haben und auch die westlichen Balkanländer einbeziehen</w:t>
      </w:r>
      <w:r w:rsidRPr="009B5B44">
        <w:rPr>
          <w:rFonts w:asciiTheme="minorHAnsi" w:hAnsiTheme="minorHAnsi"/>
          <w:noProof/>
          <w:lang w:val="de-DE"/>
        </w:rPr>
        <w:t>.</w:t>
      </w:r>
      <w:r w:rsidRPr="009B5B44">
        <w:rPr>
          <w:rFonts w:asciiTheme="minorHAnsi" w:hAnsiTheme="minorHAnsi"/>
          <w:b/>
          <w:noProof/>
          <w:lang w:val="de-DE"/>
        </w:rPr>
        <w:t xml:space="preserve"> </w:t>
      </w:r>
      <w:r w:rsidRPr="009B5B44">
        <w:rPr>
          <w:rFonts w:asciiTheme="minorHAnsi" w:hAnsiTheme="minorHAnsi"/>
          <w:noProof/>
          <w:lang w:val="de-DE"/>
        </w:rPr>
        <w:t xml:space="preserve">Im Rahmen des Wettbewerbs werden insgesamt </w:t>
      </w:r>
      <w:r w:rsidRPr="003E5D4C">
        <w:rPr>
          <w:rFonts w:asciiTheme="minorHAnsi" w:hAnsiTheme="minorHAnsi"/>
          <w:noProof/>
          <w:lang w:val="de-DE"/>
        </w:rPr>
        <w:t>345</w:t>
      </w:r>
      <w:r w:rsidRPr="009B5B44">
        <w:rPr>
          <w:rFonts w:asciiTheme="minorHAnsi" w:hAnsiTheme="minorHAnsi"/>
          <w:noProof/>
          <w:lang w:val="de-DE"/>
        </w:rPr>
        <w:t> </w:t>
      </w:r>
      <w:r w:rsidRPr="003E5D4C">
        <w:rPr>
          <w:rFonts w:asciiTheme="minorHAnsi" w:hAnsiTheme="minorHAnsi"/>
          <w:noProof/>
          <w:lang w:val="de-DE"/>
        </w:rPr>
        <w:t>000</w:t>
      </w:r>
      <w:r w:rsidRPr="009B5B44">
        <w:rPr>
          <w:rFonts w:asciiTheme="minorHAnsi" w:hAnsiTheme="minorHAnsi"/>
          <w:noProof/>
          <w:lang w:val="de-DE"/>
        </w:rPr>
        <w:t xml:space="preserve"> EUR an </w:t>
      </w:r>
      <w:r w:rsidRPr="003E5D4C">
        <w:rPr>
          <w:rFonts w:asciiTheme="minorHAnsi" w:hAnsiTheme="minorHAnsi"/>
          <w:noProof/>
          <w:lang w:val="de-DE"/>
        </w:rPr>
        <w:t>15</w:t>
      </w:r>
      <w:r w:rsidRPr="009B5B44">
        <w:rPr>
          <w:rFonts w:asciiTheme="minorHAnsi" w:hAnsiTheme="minorHAnsi"/>
          <w:noProof/>
          <w:lang w:val="de-DE"/>
        </w:rPr>
        <w:t> Initiativen vergeben, um sie bei der Weiterentwicklung und Förderung ihrer Projekte und Konzepte zu unterstützen. Die Gewinner werden bei einer offiziellen Zeremonie bekannt gegeben, die von der Europäischen Kommission ausgerichtet wird.</w:t>
      </w:r>
    </w:p>
    <w:p w14:paraId="3497DA3B" w14:textId="4B2F4312" w:rsidR="0058454A" w:rsidRDefault="0058454A">
      <w:pPr>
        <w:spacing w:after="160" w:line="259" w:lineRule="auto"/>
        <w:rPr>
          <w:rFonts w:asciiTheme="minorHAnsi" w:hAnsiTheme="minorHAnsi" w:cstheme="minorHAnsi"/>
          <w:b/>
          <w:noProof/>
          <w:lang w:val="de-DE"/>
        </w:rPr>
      </w:pPr>
      <w:r>
        <w:rPr>
          <w:rFonts w:asciiTheme="minorHAnsi" w:hAnsiTheme="minorHAnsi" w:cstheme="minorHAnsi"/>
          <w:b/>
          <w:noProof/>
          <w:lang w:val="de-DE"/>
        </w:rPr>
        <w:br w:type="page"/>
      </w:r>
    </w:p>
    <w:p w14:paraId="409BDC4E" w14:textId="0EF0844E" w:rsidR="00844A61" w:rsidRPr="009B5B44" w:rsidRDefault="31AC24CF" w:rsidP="0A2D47AF">
      <w:pPr>
        <w:jc w:val="both"/>
        <w:rPr>
          <w:rFonts w:asciiTheme="minorHAnsi" w:hAnsiTheme="minorHAnsi" w:cstheme="minorHAnsi"/>
          <w:b/>
          <w:noProof/>
          <w:lang w:val="de-DE"/>
        </w:rPr>
      </w:pPr>
      <w:r w:rsidRPr="003E5D4C">
        <w:rPr>
          <w:rFonts w:asciiTheme="minorHAnsi" w:hAnsiTheme="minorHAnsi"/>
          <w:b/>
          <w:noProof/>
          <w:lang w:val="de-DE"/>
        </w:rPr>
        <w:t>2</w:t>
      </w:r>
      <w:r w:rsidRPr="009B5B44">
        <w:rPr>
          <w:rFonts w:asciiTheme="minorHAnsi" w:hAnsiTheme="minorHAnsi"/>
          <w:b/>
          <w:noProof/>
          <w:lang w:val="de-DE"/>
        </w:rPr>
        <w:t>. Maßnahmen im Zusammenhang mit der Umgestaltung des günstigen Umfelds für Innovation</w:t>
      </w:r>
    </w:p>
    <w:p w14:paraId="365F7221" w14:textId="429A8547" w:rsidR="00844A61" w:rsidRPr="009B5B44" w:rsidRDefault="00844A61">
      <w:pPr>
        <w:spacing w:after="120" w:line="276" w:lineRule="auto"/>
        <w:jc w:val="both"/>
        <w:rPr>
          <w:rFonts w:asciiTheme="minorHAnsi" w:hAnsiTheme="minorHAnsi" w:cstheme="minorHAnsi"/>
          <w:noProof/>
          <w:lang w:val="de-DE"/>
        </w:rPr>
      </w:pPr>
      <w:r w:rsidRPr="009B5B44">
        <w:rPr>
          <w:rFonts w:asciiTheme="minorHAnsi" w:hAnsiTheme="minorHAnsi"/>
          <w:noProof/>
          <w:lang w:val="de-DE"/>
        </w:rPr>
        <w:t xml:space="preserve">Innovation spielt neben technologie- und marktorientierten Ansätzen eine Schlüsselrolle bei der Verwirklichung der Ziele des Neuen Europäischen Bauhauses. In den Jahren </w:t>
      </w:r>
      <w:r w:rsidRPr="003E5D4C">
        <w:rPr>
          <w:rFonts w:asciiTheme="minorHAnsi" w:hAnsiTheme="minorHAnsi"/>
          <w:noProof/>
          <w:lang w:val="de-DE"/>
        </w:rPr>
        <w:t>2021</w:t>
      </w:r>
      <w:r w:rsidRPr="009B5B44">
        <w:rPr>
          <w:rFonts w:asciiTheme="minorHAnsi" w:hAnsiTheme="minorHAnsi"/>
          <w:noProof/>
          <w:lang w:val="de-DE"/>
        </w:rPr>
        <w:t xml:space="preserve"> und </w:t>
      </w:r>
      <w:r w:rsidRPr="003E5D4C">
        <w:rPr>
          <w:rFonts w:asciiTheme="minorHAnsi" w:hAnsiTheme="minorHAnsi"/>
          <w:noProof/>
          <w:lang w:val="de-DE"/>
        </w:rPr>
        <w:t>2022</w:t>
      </w:r>
      <w:r w:rsidRPr="009B5B44">
        <w:rPr>
          <w:rFonts w:asciiTheme="minorHAnsi" w:hAnsiTheme="minorHAnsi"/>
          <w:noProof/>
          <w:lang w:val="de-DE"/>
        </w:rPr>
        <w:t xml:space="preserve"> wurden folgende Maßnahmen durchgeführt, um die Umgestaltung des günstigen Umfelds für Innovation zu fördern:</w:t>
      </w:r>
    </w:p>
    <w:p w14:paraId="6470C507" w14:textId="5D4FA493" w:rsidR="004D2ED0" w:rsidRPr="009B5B44" w:rsidRDefault="004D2ED0" w:rsidP="00594675">
      <w:pPr>
        <w:pStyle w:val="ListParagraph"/>
        <w:numPr>
          <w:ilvl w:val="0"/>
          <w:numId w:val="35"/>
        </w:numPr>
        <w:spacing w:after="120" w:line="276" w:lineRule="auto"/>
        <w:contextualSpacing w:val="0"/>
        <w:jc w:val="both"/>
        <w:rPr>
          <w:rFonts w:asciiTheme="minorHAnsi" w:hAnsiTheme="minorHAnsi" w:cstheme="minorHAnsi"/>
          <w:noProof/>
          <w:lang w:val="de-DE"/>
        </w:rPr>
      </w:pPr>
      <w:r w:rsidRPr="009B5B44">
        <w:rPr>
          <w:rFonts w:asciiTheme="minorHAnsi" w:hAnsiTheme="minorHAnsi"/>
          <w:noProof/>
          <w:lang w:val="de-DE"/>
        </w:rPr>
        <w:t xml:space="preserve">Im Jahr </w:t>
      </w:r>
      <w:r w:rsidRPr="003E5D4C">
        <w:rPr>
          <w:rFonts w:asciiTheme="minorHAnsi" w:hAnsiTheme="minorHAnsi"/>
          <w:noProof/>
          <w:lang w:val="de-DE"/>
        </w:rPr>
        <w:t>2021</w:t>
      </w:r>
      <w:r w:rsidRPr="009B5B44">
        <w:rPr>
          <w:rFonts w:asciiTheme="minorHAnsi" w:hAnsiTheme="minorHAnsi"/>
          <w:noProof/>
          <w:lang w:val="de-DE"/>
        </w:rPr>
        <w:t xml:space="preserve"> richtete das </w:t>
      </w:r>
      <w:r w:rsidRPr="009B5B44">
        <w:rPr>
          <w:rFonts w:asciiTheme="minorHAnsi" w:hAnsiTheme="minorHAnsi"/>
          <w:b/>
          <w:noProof/>
          <w:lang w:val="de-DE"/>
        </w:rPr>
        <w:t>Europäische Innovations- und Technologieinstitut (EIT)</w:t>
      </w:r>
      <w:r w:rsidRPr="009B5B44">
        <w:rPr>
          <w:rFonts w:asciiTheme="minorHAnsi" w:hAnsiTheme="minorHAnsi"/>
          <w:noProof/>
          <w:lang w:val="de-DE"/>
        </w:rPr>
        <w:t xml:space="preserve"> das NEB der EIT-Gemeinschaft ein, in dem fünf Wissens- und Innovationsgemeinschaften (Knowledge and Innovation Communities, KIC) zusammengeschlossen sind. Sie hat eine Reihe von </w:t>
      </w:r>
      <w:r w:rsidRPr="009B5B44">
        <w:rPr>
          <w:rFonts w:asciiTheme="minorHAnsi" w:hAnsiTheme="minorHAnsi"/>
          <w:b/>
          <w:noProof/>
          <w:lang w:val="de-DE"/>
        </w:rPr>
        <w:t>Aufforderungen zur Einreichung von Vorschlägen zur Unterstützung des NEB</w:t>
      </w:r>
      <w:r w:rsidRPr="009B5B44">
        <w:rPr>
          <w:rFonts w:asciiTheme="minorHAnsi" w:hAnsiTheme="minorHAnsi"/>
          <w:noProof/>
          <w:lang w:val="de-DE"/>
        </w:rPr>
        <w:t xml:space="preserve"> veröffentlicht, wie zum Beispiel:</w:t>
      </w:r>
    </w:p>
    <w:p w14:paraId="4AC0391C" w14:textId="1E2C16AC" w:rsidR="00844A61" w:rsidRPr="009B5B44" w:rsidRDefault="004D2ED0" w:rsidP="00594675">
      <w:pPr>
        <w:pStyle w:val="ListParagraph"/>
        <w:numPr>
          <w:ilvl w:val="0"/>
          <w:numId w:val="30"/>
        </w:numPr>
        <w:spacing w:after="120" w:line="276" w:lineRule="auto"/>
        <w:contextualSpacing w:val="0"/>
        <w:jc w:val="both"/>
        <w:rPr>
          <w:rFonts w:asciiTheme="minorHAnsi" w:hAnsiTheme="minorHAnsi" w:cstheme="minorHAnsi"/>
          <w:noProof/>
          <w:lang w:val="de-DE"/>
        </w:rPr>
      </w:pPr>
      <w:r w:rsidRPr="009B5B44">
        <w:rPr>
          <w:rFonts w:asciiTheme="minorHAnsi" w:hAnsiTheme="minorHAnsi"/>
          <w:noProof/>
          <w:lang w:val="de-DE"/>
        </w:rPr>
        <w:t xml:space="preserve">Die Aufforderung zur Einreichung von Vorschlägen für den </w:t>
      </w:r>
      <w:r w:rsidRPr="009B5B44">
        <w:rPr>
          <w:rFonts w:asciiTheme="minorHAnsi" w:hAnsiTheme="minorHAnsi"/>
          <w:b/>
          <w:noProof/>
          <w:lang w:val="de-DE"/>
        </w:rPr>
        <w:t>„EIT Community Booster“</w:t>
      </w:r>
      <w:r w:rsidRPr="009B5B44">
        <w:rPr>
          <w:rFonts w:asciiTheme="minorHAnsi" w:hAnsiTheme="minorHAnsi"/>
          <w:noProof/>
          <w:lang w:val="de-DE"/>
        </w:rPr>
        <w:t xml:space="preserve"> (Booster der EIT-Gemeinschaft) aus dem Jahr </w:t>
      </w:r>
      <w:r w:rsidRPr="003E5D4C">
        <w:rPr>
          <w:rFonts w:asciiTheme="minorHAnsi" w:hAnsiTheme="minorHAnsi"/>
          <w:noProof/>
          <w:lang w:val="de-DE"/>
        </w:rPr>
        <w:t>2021</w:t>
      </w:r>
      <w:r w:rsidRPr="009B5B44">
        <w:rPr>
          <w:rFonts w:asciiTheme="minorHAnsi" w:hAnsiTheme="minorHAnsi"/>
          <w:noProof/>
          <w:lang w:val="de-DE"/>
        </w:rPr>
        <w:t xml:space="preserve"> zielt darauf ab, </w:t>
      </w:r>
      <w:r w:rsidRPr="003E5D4C">
        <w:rPr>
          <w:rFonts w:asciiTheme="minorHAnsi" w:hAnsiTheme="minorHAnsi"/>
          <w:noProof/>
          <w:lang w:val="de-DE"/>
        </w:rPr>
        <w:t>20</w:t>
      </w:r>
      <w:r w:rsidRPr="009B5B44">
        <w:rPr>
          <w:rFonts w:asciiTheme="minorHAnsi" w:hAnsiTheme="minorHAnsi"/>
          <w:noProof/>
          <w:lang w:val="de-DE"/>
        </w:rPr>
        <w:t xml:space="preserve"> innovative Unternehmen und Start-ups zu vergrößern, um Nachhaltigkeit, Ästhetik und Inklusion in ihren Aktivitäten zu verbessern. Am </w:t>
      </w:r>
      <w:r w:rsidRPr="003E5D4C">
        <w:rPr>
          <w:rFonts w:asciiTheme="minorHAnsi" w:hAnsiTheme="minorHAnsi"/>
          <w:noProof/>
          <w:lang w:val="de-DE"/>
        </w:rPr>
        <w:t>5</w:t>
      </w:r>
      <w:r w:rsidRPr="009B5B44">
        <w:rPr>
          <w:rFonts w:asciiTheme="minorHAnsi" w:hAnsiTheme="minorHAnsi"/>
          <w:noProof/>
          <w:lang w:val="de-DE"/>
        </w:rPr>
        <w:t xml:space="preserve">. April </w:t>
      </w:r>
      <w:r w:rsidRPr="003E5D4C">
        <w:rPr>
          <w:rFonts w:asciiTheme="minorHAnsi" w:hAnsiTheme="minorHAnsi"/>
          <w:noProof/>
          <w:lang w:val="de-DE"/>
        </w:rPr>
        <w:t>2022</w:t>
      </w:r>
      <w:r w:rsidRPr="009B5B44">
        <w:rPr>
          <w:rFonts w:asciiTheme="minorHAnsi" w:hAnsiTheme="minorHAnsi"/>
          <w:noProof/>
          <w:lang w:val="de-DE"/>
        </w:rPr>
        <w:t xml:space="preserve"> wurden im Rahmen des „EIT Community Booster“ </w:t>
      </w:r>
      <w:r w:rsidRPr="003E5D4C">
        <w:rPr>
          <w:rFonts w:asciiTheme="minorHAnsi" w:hAnsiTheme="minorHAnsi"/>
          <w:noProof/>
          <w:lang w:val="de-DE"/>
        </w:rPr>
        <w:t>20</w:t>
      </w:r>
      <w:r w:rsidRPr="009B5B44">
        <w:rPr>
          <w:rFonts w:asciiTheme="minorHAnsi" w:hAnsiTheme="minorHAnsi"/>
          <w:noProof/>
          <w:lang w:val="de-DE"/>
        </w:rPr>
        <w:t xml:space="preserve"> ausgewählte Unternehmen des Neuen Europäischen Bauhauses bekanntgegeben. Die aus einem Pool von </w:t>
      </w:r>
      <w:r w:rsidRPr="003E5D4C">
        <w:rPr>
          <w:rFonts w:asciiTheme="minorHAnsi" w:hAnsiTheme="minorHAnsi"/>
          <w:noProof/>
          <w:lang w:val="de-DE"/>
        </w:rPr>
        <w:t>1029</w:t>
      </w:r>
      <w:r w:rsidRPr="009B5B44">
        <w:rPr>
          <w:rFonts w:asciiTheme="minorHAnsi" w:hAnsiTheme="minorHAnsi"/>
          <w:noProof/>
          <w:lang w:val="de-DE"/>
        </w:rPr>
        <w:t xml:space="preserve"> Bewerbungen ausgewählten hochinnovativen europäischen Start-ups und Scale-ups erhalten Wachstums- und Unterstützungsdienste im Wert von jeweils </w:t>
      </w:r>
      <w:r w:rsidRPr="003E5D4C">
        <w:rPr>
          <w:rFonts w:asciiTheme="minorHAnsi" w:hAnsiTheme="minorHAnsi"/>
          <w:noProof/>
          <w:lang w:val="de-DE"/>
        </w:rPr>
        <w:t>50</w:t>
      </w:r>
      <w:r w:rsidRPr="009B5B44">
        <w:rPr>
          <w:rFonts w:asciiTheme="minorHAnsi" w:hAnsiTheme="minorHAnsi"/>
          <w:noProof/>
          <w:lang w:val="de-DE"/>
        </w:rPr>
        <w:t> </w:t>
      </w:r>
      <w:r w:rsidRPr="003E5D4C">
        <w:rPr>
          <w:rFonts w:asciiTheme="minorHAnsi" w:hAnsiTheme="minorHAnsi"/>
          <w:noProof/>
          <w:lang w:val="de-DE"/>
        </w:rPr>
        <w:t>000</w:t>
      </w:r>
      <w:r w:rsidRPr="009B5B44">
        <w:rPr>
          <w:rFonts w:asciiTheme="minorHAnsi" w:hAnsiTheme="minorHAnsi"/>
          <w:noProof/>
          <w:lang w:val="de-DE"/>
        </w:rPr>
        <w:t> EUR.</w:t>
      </w:r>
    </w:p>
    <w:p w14:paraId="39951E0E" w14:textId="069FCD7C" w:rsidR="0024615D" w:rsidRPr="009B5B44" w:rsidRDefault="6AD383B4" w:rsidP="00594675">
      <w:pPr>
        <w:pStyle w:val="ListParagraph"/>
        <w:numPr>
          <w:ilvl w:val="0"/>
          <w:numId w:val="3"/>
        </w:numPr>
        <w:spacing w:after="120" w:line="276" w:lineRule="auto"/>
        <w:contextualSpacing w:val="0"/>
        <w:jc w:val="both"/>
        <w:rPr>
          <w:rFonts w:asciiTheme="minorHAnsi" w:hAnsiTheme="minorHAnsi" w:cstheme="minorHAnsi"/>
          <w:noProof/>
          <w:lang w:val="de-DE"/>
        </w:rPr>
      </w:pPr>
      <w:r w:rsidRPr="009B5B44">
        <w:rPr>
          <w:rFonts w:asciiTheme="minorHAnsi" w:hAnsiTheme="minorHAnsi"/>
          <w:noProof/>
          <w:lang w:val="de-DE"/>
        </w:rPr>
        <w:t xml:space="preserve">Die Aufforderung zur Einreichung von Vorschlägen für die </w:t>
      </w:r>
      <w:r w:rsidRPr="009B5B44">
        <w:rPr>
          <w:rFonts w:asciiTheme="minorHAnsi" w:hAnsiTheme="minorHAnsi"/>
          <w:b/>
          <w:noProof/>
          <w:lang w:val="de-DE"/>
        </w:rPr>
        <w:t>gemeinsame Gestaltung des öffentlichen Raums</w:t>
      </w:r>
      <w:r w:rsidRPr="009B5B44">
        <w:rPr>
          <w:rFonts w:asciiTheme="minorHAnsi" w:hAnsiTheme="minorHAnsi"/>
          <w:noProof/>
          <w:lang w:val="de-DE"/>
        </w:rPr>
        <w:t xml:space="preserve"> (die am </w:t>
      </w:r>
      <w:r w:rsidRPr="003E5D4C">
        <w:rPr>
          <w:rFonts w:asciiTheme="minorHAnsi" w:hAnsiTheme="minorHAnsi"/>
          <w:noProof/>
          <w:lang w:val="de-DE"/>
        </w:rPr>
        <w:t>30</w:t>
      </w:r>
      <w:r w:rsidRPr="009B5B44">
        <w:rPr>
          <w:rFonts w:asciiTheme="minorHAnsi" w:hAnsiTheme="minorHAnsi"/>
          <w:noProof/>
          <w:lang w:val="de-DE"/>
        </w:rPr>
        <w:t xml:space="preserve">. März </w:t>
      </w:r>
      <w:r w:rsidRPr="003E5D4C">
        <w:rPr>
          <w:rFonts w:asciiTheme="minorHAnsi" w:hAnsiTheme="minorHAnsi"/>
          <w:noProof/>
          <w:lang w:val="de-DE"/>
        </w:rPr>
        <w:t>2022</w:t>
      </w:r>
      <w:r w:rsidRPr="009B5B44">
        <w:rPr>
          <w:rFonts w:asciiTheme="minorHAnsi" w:hAnsiTheme="minorHAnsi"/>
          <w:noProof/>
          <w:lang w:val="de-DE"/>
        </w:rPr>
        <w:t xml:space="preserve"> veröffentlicht und am </w:t>
      </w:r>
      <w:r w:rsidRPr="003E5D4C">
        <w:rPr>
          <w:rFonts w:asciiTheme="minorHAnsi" w:hAnsiTheme="minorHAnsi"/>
          <w:noProof/>
          <w:lang w:val="de-DE"/>
        </w:rPr>
        <w:t>29</w:t>
      </w:r>
      <w:r w:rsidRPr="009B5B44">
        <w:rPr>
          <w:rFonts w:asciiTheme="minorHAnsi" w:hAnsiTheme="minorHAnsi"/>
          <w:noProof/>
          <w:lang w:val="de-DE"/>
        </w:rPr>
        <w:t xml:space="preserve">. Mai </w:t>
      </w:r>
      <w:r w:rsidRPr="003E5D4C">
        <w:rPr>
          <w:rFonts w:asciiTheme="minorHAnsi" w:hAnsiTheme="minorHAnsi"/>
          <w:noProof/>
          <w:lang w:val="de-DE"/>
        </w:rPr>
        <w:t>2022</w:t>
      </w:r>
      <w:r w:rsidRPr="009B5B44">
        <w:rPr>
          <w:rFonts w:asciiTheme="minorHAnsi" w:hAnsiTheme="minorHAnsi"/>
          <w:noProof/>
          <w:lang w:val="de-DE"/>
        </w:rPr>
        <w:t xml:space="preserve"> abgeschlossen wurde) zielt darauf ab, die Herausforderungen zu lösen, mit denen Städte sowie stadtnahe und ländliche Gebiete konfrontiert sind, wobei der Schwerpunkt auf thematischen Achsen des Neuen Europäischen Bauhauses liegt. Darin werden Innovationen und Maßnahmen im öffentlichen Raum durch Bürgerbeteiligung sowie Vorschläge gefordert, die ein tiefes Verständnis des lokalen Ökosystems (einschließlich der Interessenträger, der Kultur und der sozialen Dynamik) sowie Fachwissens im Bereich Bürgerbeteiligung und Innovation/Maßnahmen zeigen. Die Aufforderung wurde am selben Tag veröffentlicht wie die Aufforderung zur Einreichung von Vorschlägen für </w:t>
      </w:r>
      <w:r w:rsidRPr="009B5B44">
        <w:rPr>
          <w:rFonts w:asciiTheme="minorHAnsi" w:hAnsiTheme="minorHAnsi"/>
          <w:b/>
          <w:noProof/>
          <w:lang w:val="de-DE"/>
        </w:rPr>
        <w:t>Maßnahmen zur Bürgerbeteiligung</w:t>
      </w:r>
      <w:r w:rsidRPr="009B5B44">
        <w:rPr>
          <w:rFonts w:asciiTheme="minorHAnsi" w:hAnsiTheme="minorHAnsi"/>
          <w:noProof/>
          <w:lang w:val="de-DE"/>
        </w:rPr>
        <w:t>, die darauf abzielt, Bürger und Endnutzer in die Lage zu versetzen, gemeinsam potenzielle Lösungen auf der Grundlage des NEB-Ansatzes zu entwickeln.</w:t>
      </w:r>
      <w:r>
        <w:rPr>
          <w:rStyle w:val="FootnoteReference"/>
          <w:rFonts w:asciiTheme="minorHAnsi" w:hAnsiTheme="minorHAnsi" w:cstheme="minorHAnsi"/>
          <w:noProof/>
        </w:rPr>
        <w:footnoteReference w:id="12"/>
      </w:r>
    </w:p>
    <w:p w14:paraId="48894BB7" w14:textId="510B185A" w:rsidR="00844A61" w:rsidRPr="009B5B44" w:rsidRDefault="00844A61">
      <w:pPr>
        <w:spacing w:after="120" w:line="276" w:lineRule="auto"/>
        <w:ind w:left="360"/>
        <w:jc w:val="both"/>
        <w:rPr>
          <w:rFonts w:asciiTheme="minorHAnsi" w:hAnsiTheme="minorHAnsi" w:cstheme="minorHAnsi"/>
          <w:noProof/>
          <w:lang w:val="de-DE"/>
        </w:rPr>
      </w:pPr>
      <w:r w:rsidRPr="009B5B44">
        <w:rPr>
          <w:rFonts w:asciiTheme="minorHAnsi" w:hAnsiTheme="minorHAnsi"/>
          <w:noProof/>
          <w:lang w:val="de-DE"/>
        </w:rPr>
        <w:t xml:space="preserve">Die Partner des </w:t>
      </w:r>
      <w:r w:rsidRPr="009B5B44">
        <w:rPr>
          <w:rFonts w:asciiTheme="minorHAnsi" w:hAnsiTheme="minorHAnsi"/>
          <w:b/>
          <w:noProof/>
          <w:lang w:val="de-DE"/>
        </w:rPr>
        <w:t>NEB der EIT-Gemeinschaft</w:t>
      </w:r>
      <w:r w:rsidRPr="009B5B44">
        <w:rPr>
          <w:rFonts w:asciiTheme="minorHAnsi" w:hAnsiTheme="minorHAnsi"/>
          <w:noProof/>
          <w:lang w:val="de-DE"/>
        </w:rPr>
        <w:t xml:space="preserve"> richteten im September und Oktober </w:t>
      </w:r>
      <w:r w:rsidRPr="003E5D4C">
        <w:rPr>
          <w:rFonts w:asciiTheme="minorHAnsi" w:hAnsiTheme="minorHAnsi"/>
          <w:noProof/>
          <w:lang w:val="de-DE"/>
        </w:rPr>
        <w:t>2022</w:t>
      </w:r>
      <w:r w:rsidRPr="009B5B44">
        <w:rPr>
          <w:rFonts w:asciiTheme="minorHAnsi" w:hAnsiTheme="minorHAnsi"/>
          <w:noProof/>
          <w:lang w:val="de-DE"/>
        </w:rPr>
        <w:t xml:space="preserve"> </w:t>
      </w:r>
      <w:r w:rsidRPr="009B5B44">
        <w:rPr>
          <w:rFonts w:asciiTheme="minorHAnsi" w:hAnsiTheme="minorHAnsi"/>
          <w:b/>
          <w:noProof/>
          <w:lang w:val="de-DE"/>
        </w:rPr>
        <w:t>sechs Hackathons</w:t>
      </w:r>
      <w:r w:rsidRPr="009B5B44">
        <w:rPr>
          <w:rFonts w:asciiTheme="minorHAnsi" w:hAnsiTheme="minorHAnsi"/>
          <w:noProof/>
          <w:lang w:val="de-DE"/>
        </w:rPr>
        <w:t xml:space="preserve"> aus, um innovative Lösungen für wichtige Herausforderungen zu fördern, mit denen Gemeinschaften in </w:t>
      </w:r>
      <w:r w:rsidR="00C95706">
        <w:rPr>
          <w:rFonts w:asciiTheme="minorHAnsi" w:hAnsiTheme="minorHAnsi"/>
          <w:noProof/>
          <w:lang w:val="de-DE"/>
        </w:rPr>
        <w:t>ganz Europa konfrontiert sind:</w:t>
      </w:r>
    </w:p>
    <w:p w14:paraId="562A9A4C" w14:textId="77777777" w:rsidR="00844A61" w:rsidRPr="00594675" w:rsidRDefault="00844A61">
      <w:pPr>
        <w:pStyle w:val="ListParagraph"/>
        <w:numPr>
          <w:ilvl w:val="0"/>
          <w:numId w:val="4"/>
        </w:numPr>
        <w:spacing w:after="120" w:line="276" w:lineRule="auto"/>
        <w:contextualSpacing w:val="0"/>
        <w:jc w:val="both"/>
        <w:rPr>
          <w:rFonts w:asciiTheme="minorHAnsi" w:hAnsiTheme="minorHAnsi" w:cstheme="minorHAnsi"/>
          <w:noProof/>
        </w:rPr>
      </w:pPr>
      <w:r w:rsidRPr="009B5B44">
        <w:rPr>
          <w:rFonts w:asciiTheme="minorHAnsi" w:hAnsiTheme="minorHAnsi"/>
          <w:noProof/>
          <w:lang w:val="de-DE"/>
        </w:rPr>
        <w:t xml:space="preserve">Impact Hub Vienna (Österreich): </w:t>
      </w:r>
      <w:r w:rsidRPr="003E5D4C">
        <w:rPr>
          <w:rFonts w:asciiTheme="minorHAnsi" w:hAnsiTheme="minorHAnsi"/>
          <w:noProof/>
          <w:lang w:val="de-DE"/>
        </w:rPr>
        <w:t>20</w:t>
      </w:r>
      <w:r w:rsidRPr="009B5B44">
        <w:rPr>
          <w:rFonts w:asciiTheme="minorHAnsi" w:hAnsiTheme="minorHAnsi"/>
          <w:noProof/>
          <w:lang w:val="de-DE"/>
        </w:rPr>
        <w:t xml:space="preserve">. bis </w:t>
      </w:r>
      <w:r w:rsidRPr="003E5D4C">
        <w:rPr>
          <w:rFonts w:asciiTheme="minorHAnsi" w:hAnsiTheme="minorHAnsi"/>
          <w:noProof/>
          <w:lang w:val="de-DE"/>
        </w:rPr>
        <w:t>21</w:t>
      </w:r>
      <w:r w:rsidRPr="009B5B44">
        <w:rPr>
          <w:rFonts w:asciiTheme="minorHAnsi" w:hAnsiTheme="minorHAnsi"/>
          <w:noProof/>
          <w:lang w:val="de-DE"/>
        </w:rPr>
        <w:t>. </w:t>
      </w:r>
      <w:r>
        <w:rPr>
          <w:rFonts w:asciiTheme="minorHAnsi" w:hAnsiTheme="minorHAnsi"/>
          <w:noProof/>
        </w:rPr>
        <w:t>September</w:t>
      </w:r>
    </w:p>
    <w:p w14:paraId="3B6E4840" w14:textId="77777777" w:rsidR="00844A61" w:rsidRPr="00594675" w:rsidRDefault="00844A61">
      <w:pPr>
        <w:pStyle w:val="ListParagraph"/>
        <w:numPr>
          <w:ilvl w:val="0"/>
          <w:numId w:val="4"/>
        </w:numPr>
        <w:spacing w:after="120" w:line="276" w:lineRule="auto"/>
        <w:contextualSpacing w:val="0"/>
        <w:jc w:val="both"/>
        <w:rPr>
          <w:rStyle w:val="Strong"/>
          <w:rFonts w:asciiTheme="minorHAnsi" w:hAnsiTheme="minorHAnsi" w:cstheme="minorHAnsi"/>
          <w:b w:val="0"/>
          <w:noProof/>
        </w:rPr>
      </w:pPr>
      <w:r w:rsidRPr="009B5B44">
        <w:rPr>
          <w:rStyle w:val="Strong"/>
          <w:rFonts w:asciiTheme="minorHAnsi" w:hAnsiTheme="minorHAnsi"/>
          <w:b w:val="0"/>
          <w:noProof/>
          <w:lang w:val="de-DE"/>
        </w:rPr>
        <w:t xml:space="preserve">Cirka Cph (Dänemark): </w:t>
      </w:r>
      <w:r w:rsidRPr="003E5D4C">
        <w:rPr>
          <w:rStyle w:val="Strong"/>
          <w:rFonts w:asciiTheme="minorHAnsi" w:hAnsiTheme="minorHAnsi"/>
          <w:b w:val="0"/>
          <w:noProof/>
          <w:lang w:val="de-DE"/>
        </w:rPr>
        <w:t>29</w:t>
      </w:r>
      <w:r w:rsidRPr="009B5B44">
        <w:rPr>
          <w:rStyle w:val="Strong"/>
          <w:rFonts w:asciiTheme="minorHAnsi" w:hAnsiTheme="minorHAnsi"/>
          <w:b w:val="0"/>
          <w:noProof/>
          <w:lang w:val="de-DE"/>
        </w:rPr>
        <w:t xml:space="preserve">. September und </w:t>
      </w:r>
      <w:r w:rsidRPr="003E5D4C">
        <w:rPr>
          <w:rStyle w:val="Strong"/>
          <w:rFonts w:asciiTheme="minorHAnsi" w:hAnsiTheme="minorHAnsi"/>
          <w:b w:val="0"/>
          <w:noProof/>
          <w:lang w:val="de-DE"/>
        </w:rPr>
        <w:t>6</w:t>
      </w:r>
      <w:r w:rsidRPr="009B5B44">
        <w:rPr>
          <w:rStyle w:val="Strong"/>
          <w:rFonts w:asciiTheme="minorHAnsi" w:hAnsiTheme="minorHAnsi"/>
          <w:b w:val="0"/>
          <w:noProof/>
          <w:lang w:val="de-DE"/>
        </w:rPr>
        <w:t>. </w:t>
      </w:r>
      <w:r>
        <w:rPr>
          <w:rStyle w:val="Strong"/>
          <w:rFonts w:asciiTheme="minorHAnsi" w:hAnsiTheme="minorHAnsi"/>
          <w:b w:val="0"/>
          <w:noProof/>
        </w:rPr>
        <w:t>Oktober</w:t>
      </w:r>
    </w:p>
    <w:p w14:paraId="10D695A5" w14:textId="77777777" w:rsidR="00844A61" w:rsidRPr="00594675" w:rsidRDefault="00844A61">
      <w:pPr>
        <w:pStyle w:val="ListParagraph"/>
        <w:numPr>
          <w:ilvl w:val="0"/>
          <w:numId w:val="4"/>
        </w:numPr>
        <w:spacing w:after="120" w:line="276" w:lineRule="auto"/>
        <w:contextualSpacing w:val="0"/>
        <w:jc w:val="both"/>
        <w:rPr>
          <w:rStyle w:val="Strong"/>
          <w:rFonts w:asciiTheme="minorHAnsi" w:hAnsiTheme="minorHAnsi" w:cstheme="minorHAnsi"/>
          <w:b w:val="0"/>
          <w:noProof/>
        </w:rPr>
      </w:pPr>
      <w:r w:rsidRPr="009B5B44">
        <w:rPr>
          <w:rStyle w:val="Strong"/>
          <w:rFonts w:asciiTheme="minorHAnsi" w:hAnsiTheme="minorHAnsi"/>
          <w:b w:val="0"/>
          <w:noProof/>
          <w:lang w:val="de-DE"/>
        </w:rPr>
        <w:t xml:space="preserve">Stiftung für technologische Innovation der Technischen Universität Katalonien und Stadtrat von Vitoria-Gasteiz (Spanien): </w:t>
      </w:r>
      <w:r w:rsidRPr="003E5D4C">
        <w:rPr>
          <w:rStyle w:val="Strong"/>
          <w:rFonts w:asciiTheme="minorHAnsi" w:hAnsiTheme="minorHAnsi"/>
          <w:b w:val="0"/>
          <w:noProof/>
          <w:lang w:val="de-DE"/>
        </w:rPr>
        <w:t>30</w:t>
      </w:r>
      <w:r w:rsidRPr="009B5B44">
        <w:rPr>
          <w:rStyle w:val="Strong"/>
          <w:rFonts w:asciiTheme="minorHAnsi" w:hAnsiTheme="minorHAnsi"/>
          <w:b w:val="0"/>
          <w:noProof/>
          <w:lang w:val="de-DE"/>
        </w:rPr>
        <w:t>. </w:t>
      </w:r>
      <w:r>
        <w:rPr>
          <w:rStyle w:val="Strong"/>
          <w:rFonts w:asciiTheme="minorHAnsi" w:hAnsiTheme="minorHAnsi"/>
          <w:b w:val="0"/>
          <w:noProof/>
        </w:rPr>
        <w:t xml:space="preserve">September bis </w:t>
      </w:r>
      <w:r w:rsidRPr="003E5D4C">
        <w:rPr>
          <w:rStyle w:val="Strong"/>
          <w:rFonts w:asciiTheme="minorHAnsi" w:hAnsiTheme="minorHAnsi"/>
          <w:b w:val="0"/>
          <w:noProof/>
        </w:rPr>
        <w:t>2</w:t>
      </w:r>
      <w:r>
        <w:rPr>
          <w:rStyle w:val="Strong"/>
          <w:rFonts w:asciiTheme="minorHAnsi" w:hAnsiTheme="minorHAnsi"/>
          <w:b w:val="0"/>
          <w:noProof/>
        </w:rPr>
        <w:t>. Oktober</w:t>
      </w:r>
    </w:p>
    <w:p w14:paraId="13379EFB" w14:textId="77777777" w:rsidR="00844A61" w:rsidRPr="00594675" w:rsidRDefault="00844A61">
      <w:pPr>
        <w:pStyle w:val="ListParagraph"/>
        <w:numPr>
          <w:ilvl w:val="0"/>
          <w:numId w:val="4"/>
        </w:numPr>
        <w:spacing w:after="120" w:line="276" w:lineRule="auto"/>
        <w:contextualSpacing w:val="0"/>
        <w:jc w:val="both"/>
        <w:rPr>
          <w:rStyle w:val="Strong"/>
          <w:rFonts w:asciiTheme="minorHAnsi" w:hAnsiTheme="minorHAnsi" w:cstheme="minorHAnsi"/>
          <w:b w:val="0"/>
          <w:noProof/>
        </w:rPr>
      </w:pPr>
      <w:r>
        <w:rPr>
          <w:rStyle w:val="Strong"/>
          <w:rFonts w:asciiTheme="minorHAnsi" w:hAnsiTheme="minorHAnsi"/>
          <w:b w:val="0"/>
          <w:noProof/>
        </w:rPr>
        <w:t xml:space="preserve">Universität Warschau (Polen): </w:t>
      </w:r>
      <w:r w:rsidRPr="003E5D4C">
        <w:rPr>
          <w:rStyle w:val="Strong"/>
          <w:rFonts w:asciiTheme="minorHAnsi" w:hAnsiTheme="minorHAnsi"/>
          <w:b w:val="0"/>
          <w:noProof/>
        </w:rPr>
        <w:t>4</w:t>
      </w:r>
      <w:r>
        <w:rPr>
          <w:rStyle w:val="Strong"/>
          <w:rFonts w:asciiTheme="minorHAnsi" w:hAnsiTheme="minorHAnsi"/>
          <w:b w:val="0"/>
          <w:noProof/>
        </w:rPr>
        <w:t xml:space="preserve">. bis </w:t>
      </w:r>
      <w:r w:rsidRPr="003E5D4C">
        <w:rPr>
          <w:rStyle w:val="Strong"/>
          <w:rFonts w:asciiTheme="minorHAnsi" w:hAnsiTheme="minorHAnsi"/>
          <w:b w:val="0"/>
          <w:noProof/>
        </w:rPr>
        <w:t>5</w:t>
      </w:r>
      <w:r>
        <w:rPr>
          <w:rStyle w:val="Strong"/>
          <w:rFonts w:asciiTheme="minorHAnsi" w:hAnsiTheme="minorHAnsi"/>
          <w:b w:val="0"/>
          <w:noProof/>
        </w:rPr>
        <w:t>. Oktober </w:t>
      </w:r>
    </w:p>
    <w:p w14:paraId="57DAB3F6" w14:textId="77777777" w:rsidR="00844A61" w:rsidRPr="00594675" w:rsidRDefault="00844A61">
      <w:pPr>
        <w:pStyle w:val="ListParagraph"/>
        <w:numPr>
          <w:ilvl w:val="0"/>
          <w:numId w:val="4"/>
        </w:numPr>
        <w:spacing w:after="120" w:line="276" w:lineRule="auto"/>
        <w:contextualSpacing w:val="0"/>
        <w:jc w:val="both"/>
        <w:rPr>
          <w:rStyle w:val="Strong"/>
          <w:rFonts w:asciiTheme="minorHAnsi" w:hAnsiTheme="minorHAnsi" w:cstheme="minorHAnsi"/>
          <w:b w:val="0"/>
          <w:noProof/>
        </w:rPr>
      </w:pPr>
      <w:r w:rsidRPr="005E7A2E">
        <w:rPr>
          <w:rStyle w:val="Strong"/>
          <w:rFonts w:asciiTheme="minorHAnsi" w:hAnsiTheme="minorHAnsi"/>
          <w:b w:val="0"/>
          <w:noProof/>
        </w:rPr>
        <w:t>Regea – Regionalna energetska agencija Sjeverozapadne Hrvatske (Kroatien): 3. bis 4. </w:t>
      </w:r>
      <w:r>
        <w:rPr>
          <w:rStyle w:val="Strong"/>
          <w:rFonts w:asciiTheme="minorHAnsi" w:hAnsiTheme="minorHAnsi"/>
          <w:b w:val="0"/>
          <w:noProof/>
        </w:rPr>
        <w:t>Oktober </w:t>
      </w:r>
    </w:p>
    <w:p w14:paraId="7C36C7B8" w14:textId="77777777" w:rsidR="00844A61" w:rsidRPr="00594675" w:rsidRDefault="00844A61">
      <w:pPr>
        <w:pStyle w:val="ListParagraph"/>
        <w:numPr>
          <w:ilvl w:val="0"/>
          <w:numId w:val="4"/>
        </w:numPr>
        <w:spacing w:after="120" w:line="276" w:lineRule="auto"/>
        <w:contextualSpacing w:val="0"/>
        <w:jc w:val="both"/>
        <w:rPr>
          <w:rFonts w:asciiTheme="minorHAnsi" w:hAnsiTheme="minorHAnsi" w:cstheme="minorHAnsi"/>
          <w:b/>
          <w:noProof/>
        </w:rPr>
      </w:pPr>
      <w:r>
        <w:rPr>
          <w:rStyle w:val="Strong"/>
          <w:rFonts w:asciiTheme="minorHAnsi" w:hAnsiTheme="minorHAnsi"/>
          <w:b w:val="0"/>
          <w:noProof/>
        </w:rPr>
        <w:t xml:space="preserve">Universität Turin (Italien): </w:t>
      </w:r>
      <w:r w:rsidRPr="003E5D4C">
        <w:rPr>
          <w:rStyle w:val="Strong"/>
          <w:rFonts w:asciiTheme="minorHAnsi" w:hAnsiTheme="minorHAnsi"/>
          <w:b w:val="0"/>
          <w:noProof/>
        </w:rPr>
        <w:t>20</w:t>
      </w:r>
      <w:r>
        <w:rPr>
          <w:rStyle w:val="Strong"/>
          <w:rFonts w:asciiTheme="minorHAnsi" w:hAnsiTheme="minorHAnsi"/>
          <w:b w:val="0"/>
          <w:noProof/>
        </w:rPr>
        <w:t xml:space="preserve">. bis </w:t>
      </w:r>
      <w:r w:rsidRPr="003E5D4C">
        <w:rPr>
          <w:rStyle w:val="Strong"/>
          <w:rFonts w:asciiTheme="minorHAnsi" w:hAnsiTheme="minorHAnsi"/>
          <w:b w:val="0"/>
          <w:noProof/>
        </w:rPr>
        <w:t>21</w:t>
      </w:r>
      <w:r>
        <w:rPr>
          <w:rStyle w:val="Strong"/>
          <w:rFonts w:asciiTheme="minorHAnsi" w:hAnsiTheme="minorHAnsi"/>
          <w:b w:val="0"/>
          <w:noProof/>
        </w:rPr>
        <w:t>. Oktober</w:t>
      </w:r>
    </w:p>
    <w:p w14:paraId="380CC933" w14:textId="2CAC513E" w:rsidR="0024615D" w:rsidRPr="009B5B44" w:rsidRDefault="0024615D">
      <w:pPr>
        <w:spacing w:after="120" w:line="276" w:lineRule="auto"/>
        <w:ind w:left="360"/>
        <w:jc w:val="both"/>
        <w:rPr>
          <w:rFonts w:asciiTheme="minorHAnsi" w:hAnsiTheme="minorHAnsi" w:cstheme="minorHAnsi"/>
          <w:noProof/>
          <w:lang w:val="de-DE"/>
        </w:rPr>
      </w:pPr>
      <w:r w:rsidRPr="009B5B44">
        <w:rPr>
          <w:rFonts w:asciiTheme="minorHAnsi" w:hAnsiTheme="minorHAnsi"/>
          <w:noProof/>
          <w:lang w:val="de-DE"/>
        </w:rPr>
        <w:t xml:space="preserve">Am </w:t>
      </w:r>
      <w:r w:rsidRPr="003E5D4C">
        <w:rPr>
          <w:rFonts w:asciiTheme="minorHAnsi" w:hAnsiTheme="minorHAnsi"/>
          <w:noProof/>
          <w:lang w:val="de-DE"/>
        </w:rPr>
        <w:t>23</w:t>
      </w:r>
      <w:r w:rsidRPr="009B5B44">
        <w:rPr>
          <w:rFonts w:asciiTheme="minorHAnsi" w:hAnsiTheme="minorHAnsi"/>
          <w:noProof/>
          <w:lang w:val="de-DE"/>
        </w:rPr>
        <w:t xml:space="preserve">. September fand im Rahmen der </w:t>
      </w:r>
      <w:r w:rsidRPr="009B5B44">
        <w:rPr>
          <w:rFonts w:asciiTheme="minorHAnsi" w:hAnsiTheme="minorHAnsi"/>
          <w:b/>
          <w:noProof/>
          <w:lang w:val="de-DE"/>
        </w:rPr>
        <w:t>INNOVEIT-Wochen</w:t>
      </w:r>
      <w:r w:rsidRPr="009B5B44">
        <w:rPr>
          <w:rFonts w:asciiTheme="minorHAnsi" w:hAnsiTheme="minorHAnsi"/>
          <w:noProof/>
          <w:lang w:val="de-DE"/>
        </w:rPr>
        <w:t xml:space="preserve"> eine wichtige EIT-Veranstaltung mit dem Titel </w:t>
      </w:r>
      <w:r w:rsidRPr="009B5B44">
        <w:rPr>
          <w:rFonts w:asciiTheme="minorHAnsi" w:hAnsiTheme="minorHAnsi"/>
          <w:b/>
          <w:noProof/>
          <w:lang w:val="de-DE"/>
        </w:rPr>
        <w:t>„Building the New European Bauhaus“</w:t>
      </w:r>
      <w:r w:rsidRPr="009B5B44">
        <w:rPr>
          <w:rFonts w:asciiTheme="minorHAnsi" w:hAnsiTheme="minorHAnsi"/>
          <w:noProof/>
          <w:lang w:val="de-DE"/>
        </w:rPr>
        <w:t xml:space="preserve"> (Berlin) statt. Bei der Veranstaltung wurde darüber nachgedacht, wie Politik, Institutionen und Unternehmen zur Unterstützung transformativer Merkmale beitragen können.</w:t>
      </w:r>
    </w:p>
    <w:p w14:paraId="68034760" w14:textId="3B9ACB57" w:rsidR="000F6A8C" w:rsidRPr="009B5B44" w:rsidRDefault="00A133F8">
      <w:pPr>
        <w:spacing w:after="120" w:line="276" w:lineRule="auto"/>
        <w:ind w:left="360"/>
        <w:jc w:val="both"/>
        <w:rPr>
          <w:rFonts w:asciiTheme="minorHAnsi" w:hAnsiTheme="minorHAnsi" w:cstheme="minorHAnsi"/>
          <w:noProof/>
          <w:lang w:val="de-DE"/>
        </w:rPr>
      </w:pPr>
      <w:r w:rsidRPr="009B5B44">
        <w:rPr>
          <w:rFonts w:asciiTheme="minorHAnsi" w:hAnsiTheme="minorHAnsi"/>
          <w:noProof/>
          <w:lang w:val="de-DE"/>
        </w:rPr>
        <w:t xml:space="preserve">Darüber hinaus wird die Partnerschaft </w:t>
      </w:r>
      <w:r w:rsidRPr="009B5B44">
        <w:rPr>
          <w:rFonts w:asciiTheme="minorHAnsi" w:hAnsiTheme="minorHAnsi"/>
          <w:b/>
          <w:bCs/>
          <w:noProof/>
          <w:lang w:val="de-DE"/>
        </w:rPr>
        <w:t>„</w:t>
      </w:r>
      <w:r w:rsidRPr="009B5B44">
        <w:rPr>
          <w:rFonts w:asciiTheme="minorHAnsi" w:hAnsiTheme="minorHAnsi"/>
          <w:b/>
          <w:noProof/>
          <w:lang w:val="de-DE"/>
        </w:rPr>
        <w:t>EIT Culture &amp; Creativity“</w:t>
      </w:r>
      <w:r>
        <w:rPr>
          <w:rStyle w:val="FootnoteReference"/>
          <w:rFonts w:asciiTheme="minorHAnsi" w:hAnsiTheme="minorHAnsi" w:cstheme="minorHAnsi"/>
          <w:noProof/>
        </w:rPr>
        <w:footnoteReference w:id="13"/>
      </w:r>
      <w:r w:rsidRPr="009B5B44">
        <w:rPr>
          <w:rFonts w:asciiTheme="minorHAnsi" w:hAnsiTheme="minorHAnsi"/>
          <w:noProof/>
          <w:lang w:val="de-DE"/>
        </w:rPr>
        <w:t xml:space="preserve"> (Kultur und Kreativität im Rahmen des EIT) von entscheidender Bedeutung sein, um </w:t>
      </w:r>
      <w:r w:rsidRPr="009B5B44">
        <w:rPr>
          <w:rFonts w:asciiTheme="minorHAnsi" w:hAnsiTheme="minorHAnsi"/>
          <w:b/>
          <w:noProof/>
          <w:lang w:val="de-DE"/>
        </w:rPr>
        <w:t>Themen im Zusammenhang mit dem NEB zu unterstützen</w:t>
      </w:r>
      <w:r w:rsidRPr="009B5B44">
        <w:rPr>
          <w:rFonts w:asciiTheme="minorHAnsi" w:hAnsiTheme="minorHAnsi"/>
          <w:noProof/>
          <w:lang w:val="de-DE"/>
        </w:rPr>
        <w:t>.</w:t>
      </w:r>
    </w:p>
    <w:p w14:paraId="6CD49D76" w14:textId="4F72827D" w:rsidR="00036D3D" w:rsidRPr="009B5B44" w:rsidRDefault="00036D3D" w:rsidP="00594675">
      <w:pPr>
        <w:pStyle w:val="ListParagraph"/>
        <w:numPr>
          <w:ilvl w:val="0"/>
          <w:numId w:val="35"/>
        </w:numPr>
        <w:spacing w:after="120" w:line="276" w:lineRule="auto"/>
        <w:contextualSpacing w:val="0"/>
        <w:jc w:val="both"/>
        <w:rPr>
          <w:rFonts w:asciiTheme="minorHAnsi" w:hAnsiTheme="minorHAnsi" w:cstheme="minorHAnsi"/>
          <w:noProof/>
          <w:lang w:val="de-DE"/>
        </w:rPr>
      </w:pPr>
      <w:r w:rsidRPr="009B5B44">
        <w:rPr>
          <w:rFonts w:asciiTheme="minorHAnsi" w:hAnsiTheme="minorHAnsi"/>
          <w:noProof/>
          <w:lang w:val="de-DE"/>
        </w:rPr>
        <w:t xml:space="preserve">Das </w:t>
      </w:r>
      <w:r w:rsidRPr="009B5B44">
        <w:rPr>
          <w:rFonts w:asciiTheme="minorHAnsi" w:hAnsiTheme="minorHAnsi"/>
          <w:b/>
          <w:noProof/>
          <w:lang w:val="de-DE"/>
        </w:rPr>
        <w:t>„Partnerschaftsprojekt Worth II“</w:t>
      </w:r>
      <w:r w:rsidRPr="009B5B44">
        <w:rPr>
          <w:rFonts w:asciiTheme="minorHAnsi" w:hAnsiTheme="minorHAnsi"/>
          <w:noProof/>
          <w:lang w:val="de-DE"/>
        </w:rPr>
        <w:t xml:space="preserve"> ist das größte Inkubationsprogramm der EU für Designer und Kreative in der Life-Style-Branche. Im Rahmen dieses Programms arbeiten Designer, KMU, Hersteller und Technologieanbieter zusammen und entwickeln innovative und designgestützte Geschäftsideen. Sie erhöhen ihre Innovationskapazität und treffen Entscheidungen, um ihre Unternehmen der Klimaneutralität und der digitalen Führungsrolle näher zu bringen. Design spielt eine Schlüsselrolle, wenn es darum geht, neue Produkte und Dienstleistungen nachhaltiger, ästhetischer und inklusiver zu gestalten. Daher wurde im Zeitraum </w:t>
      </w:r>
      <w:r w:rsidRPr="003E5D4C">
        <w:rPr>
          <w:rFonts w:asciiTheme="minorHAnsi" w:hAnsiTheme="minorHAnsi"/>
          <w:noProof/>
          <w:lang w:val="de-DE"/>
        </w:rPr>
        <w:t>2021</w:t>
      </w:r>
      <w:r w:rsidRPr="009B5B44">
        <w:rPr>
          <w:rFonts w:asciiTheme="minorHAnsi" w:hAnsiTheme="minorHAnsi"/>
          <w:noProof/>
          <w:lang w:val="de-DE"/>
        </w:rPr>
        <w:t>-</w:t>
      </w:r>
      <w:r w:rsidRPr="003E5D4C">
        <w:rPr>
          <w:rFonts w:asciiTheme="minorHAnsi" w:hAnsiTheme="minorHAnsi"/>
          <w:noProof/>
          <w:lang w:val="de-DE"/>
        </w:rPr>
        <w:t>2022</w:t>
      </w:r>
      <w:r w:rsidRPr="009B5B44">
        <w:rPr>
          <w:rFonts w:asciiTheme="minorHAnsi" w:hAnsiTheme="minorHAnsi"/>
          <w:noProof/>
          <w:lang w:val="de-DE"/>
        </w:rPr>
        <w:t xml:space="preserve"> eine von drei Aufforderungen zur Interessenbekundung im Rahmen des Partnerschaftsprojekts Worth II dem Neuen Europäischen Bauhaus gewidmet. </w:t>
      </w:r>
      <w:r w:rsidRPr="003E5D4C">
        <w:rPr>
          <w:rFonts w:asciiTheme="minorHAnsi" w:hAnsiTheme="minorHAnsi"/>
          <w:b/>
          <w:noProof/>
          <w:lang w:val="de-DE"/>
        </w:rPr>
        <w:t>65</w:t>
      </w:r>
      <w:r w:rsidRPr="009B5B44">
        <w:rPr>
          <w:rFonts w:asciiTheme="minorHAnsi" w:hAnsiTheme="minorHAnsi"/>
          <w:b/>
          <w:noProof/>
          <w:lang w:val="de-DE"/>
        </w:rPr>
        <w:t> Partnerschaften mit innovativen Geschäftsideen</w:t>
      </w:r>
      <w:r w:rsidRPr="009B5B44">
        <w:rPr>
          <w:rFonts w:asciiTheme="minorHAnsi" w:hAnsiTheme="minorHAnsi"/>
          <w:noProof/>
          <w:lang w:val="de-DE"/>
        </w:rPr>
        <w:t xml:space="preserve"> erhielten die Möglichkeit, das Inkubationsprogramm zu durchlaufen, das ihnen Folgendes bietet: a) finanzielle Unterstützung, b) Coaching in den Bereichen Unternehmensstrategie und Technologieentwicklung, c) Rechtsberatung zu Rechten des geistigen Eigentums und dessen Schutz, d) Teilnahme an Ausstellungen und e) Vernetzung und berufliche Verbindungen. </w:t>
      </w:r>
    </w:p>
    <w:p w14:paraId="3A1F588B" w14:textId="493A68EE" w:rsidR="00036D3D" w:rsidRPr="009B5B44" w:rsidRDefault="00036D3D">
      <w:pPr>
        <w:spacing w:after="120" w:line="276" w:lineRule="auto"/>
        <w:ind w:left="720"/>
        <w:jc w:val="both"/>
        <w:rPr>
          <w:rFonts w:asciiTheme="minorHAnsi" w:hAnsiTheme="minorHAnsi" w:cstheme="minorHAnsi"/>
          <w:noProof/>
          <w:lang w:val="de-DE"/>
        </w:rPr>
      </w:pPr>
      <w:r w:rsidRPr="009B5B44">
        <w:rPr>
          <w:rFonts w:asciiTheme="minorHAnsi" w:hAnsiTheme="minorHAnsi"/>
          <w:noProof/>
          <w:lang w:val="de-DE"/>
        </w:rPr>
        <w:t xml:space="preserve">Alle </w:t>
      </w:r>
      <w:r w:rsidRPr="003E5D4C">
        <w:rPr>
          <w:rFonts w:asciiTheme="minorHAnsi" w:hAnsiTheme="minorHAnsi"/>
          <w:noProof/>
          <w:lang w:val="de-DE"/>
        </w:rPr>
        <w:t>65</w:t>
      </w:r>
      <w:r w:rsidRPr="009B5B44">
        <w:rPr>
          <w:rFonts w:asciiTheme="minorHAnsi" w:hAnsiTheme="minorHAnsi"/>
          <w:noProof/>
          <w:lang w:val="de-DE"/>
        </w:rPr>
        <w:t xml:space="preserve"> Projekte stehen im Einklang mit den drei Kernwerten des Neuen Europäischen Bauhauses: Ästhetik, Nachhaltigkeit und Inklusion. Die Projekte werden den Inkubationsprozess im Juni </w:t>
      </w:r>
      <w:r w:rsidRPr="003E5D4C">
        <w:rPr>
          <w:rFonts w:asciiTheme="minorHAnsi" w:hAnsiTheme="minorHAnsi"/>
          <w:noProof/>
          <w:lang w:val="de-DE"/>
        </w:rPr>
        <w:t>2023</w:t>
      </w:r>
      <w:r w:rsidRPr="009B5B44">
        <w:rPr>
          <w:rFonts w:asciiTheme="minorHAnsi" w:hAnsiTheme="minorHAnsi"/>
          <w:noProof/>
          <w:lang w:val="de-DE"/>
        </w:rPr>
        <w:t xml:space="preserve"> abschließen.</w:t>
      </w:r>
      <w:r>
        <w:rPr>
          <w:rFonts w:asciiTheme="minorHAnsi" w:hAnsiTheme="minorHAnsi" w:cstheme="minorHAnsi"/>
          <w:noProof/>
          <w:vertAlign w:val="superscript"/>
        </w:rPr>
        <w:footnoteReference w:id="14"/>
      </w:r>
    </w:p>
    <w:p w14:paraId="39C36407" w14:textId="2059B389" w:rsidR="00135A2C" w:rsidRPr="009B5B44" w:rsidRDefault="00135A2C">
      <w:pPr>
        <w:spacing w:after="120" w:line="276" w:lineRule="auto"/>
        <w:ind w:left="720"/>
        <w:jc w:val="both"/>
        <w:rPr>
          <w:rFonts w:asciiTheme="minorHAnsi" w:hAnsiTheme="minorHAnsi" w:cstheme="minorHAnsi"/>
          <w:noProof/>
          <w:lang w:val="de-DE"/>
        </w:rPr>
      </w:pPr>
      <w:r w:rsidRPr="009B5B44">
        <w:rPr>
          <w:rFonts w:asciiTheme="minorHAnsi" w:hAnsiTheme="minorHAnsi"/>
          <w:noProof/>
          <w:lang w:val="de-DE"/>
        </w:rPr>
        <w:t xml:space="preserve">Trotz der äußerst schwierigen und herausfordernden Zeit für ukrainische Kreative und Unternehmen wurden </w:t>
      </w:r>
      <w:r w:rsidRPr="009B5B44">
        <w:rPr>
          <w:rFonts w:asciiTheme="minorHAnsi" w:hAnsiTheme="minorHAnsi"/>
          <w:b/>
          <w:noProof/>
          <w:lang w:val="de-DE"/>
        </w:rPr>
        <w:t>zwei Partnerschaften mit drei ukrainischen Teilnehmern</w:t>
      </w:r>
      <w:r w:rsidRPr="009B5B44">
        <w:rPr>
          <w:rFonts w:asciiTheme="minorHAnsi" w:hAnsiTheme="minorHAnsi"/>
          <w:noProof/>
          <w:lang w:val="de-DE"/>
        </w:rPr>
        <w:t xml:space="preserve"> für die Unterstützung ausgewählt. Dies ist ein Signal, dass die EU </w:t>
      </w:r>
      <w:r w:rsidRPr="009B5B44">
        <w:rPr>
          <w:rFonts w:asciiTheme="minorHAnsi" w:hAnsiTheme="minorHAnsi"/>
          <w:b/>
          <w:noProof/>
          <w:lang w:val="de-DE"/>
        </w:rPr>
        <w:t>den ukrainischen Kreativschaffenden</w:t>
      </w:r>
      <w:r w:rsidRPr="009B5B44">
        <w:rPr>
          <w:rFonts w:asciiTheme="minorHAnsi" w:hAnsiTheme="minorHAnsi"/>
          <w:noProof/>
          <w:lang w:val="de-DE"/>
        </w:rPr>
        <w:t xml:space="preserve"> und KMU zur Seite steht.</w:t>
      </w:r>
    </w:p>
    <w:p w14:paraId="6C660441" w14:textId="625251B3" w:rsidR="00844A61" w:rsidRPr="009B5B44" w:rsidRDefault="0FF3DEA7" w:rsidP="00594675">
      <w:pPr>
        <w:pStyle w:val="ListParagraph"/>
        <w:numPr>
          <w:ilvl w:val="0"/>
          <w:numId w:val="35"/>
        </w:numPr>
        <w:spacing w:after="120" w:line="276" w:lineRule="auto"/>
        <w:contextualSpacing w:val="0"/>
        <w:jc w:val="both"/>
        <w:rPr>
          <w:rFonts w:asciiTheme="minorHAnsi" w:hAnsiTheme="minorHAnsi" w:cstheme="minorHAnsi"/>
          <w:noProof/>
          <w:lang w:val="de-DE"/>
        </w:rPr>
      </w:pPr>
      <w:r w:rsidRPr="009B5B44">
        <w:rPr>
          <w:rFonts w:asciiTheme="minorHAnsi" w:hAnsiTheme="minorHAnsi"/>
          <w:noProof/>
          <w:lang w:val="de-DE"/>
        </w:rPr>
        <w:t>Im Rahmen des Programms</w:t>
      </w:r>
      <w:r w:rsidRPr="009B5B44">
        <w:rPr>
          <w:rFonts w:asciiTheme="minorHAnsi" w:hAnsiTheme="minorHAnsi"/>
          <w:b/>
          <w:noProof/>
          <w:lang w:val="de-DE"/>
        </w:rPr>
        <w:t xml:space="preserve"> „Digitales Europa“</w:t>
      </w:r>
      <w:r w:rsidRPr="009B5B44">
        <w:rPr>
          <w:rFonts w:asciiTheme="minorHAnsi" w:hAnsiTheme="minorHAnsi"/>
          <w:noProof/>
          <w:lang w:val="de-DE"/>
        </w:rPr>
        <w:t xml:space="preserve"> wurde ein Projekt für ein digitales Ökosystem für die NEB-Initiative ins Leben gerufen. </w:t>
      </w:r>
      <w:r w:rsidRPr="009B5B44">
        <w:rPr>
          <w:rFonts w:asciiTheme="minorHAnsi" w:hAnsiTheme="minorHAnsi"/>
          <w:b/>
          <w:bCs/>
          <w:noProof/>
          <w:lang w:val="de-DE"/>
        </w:rPr>
        <w:t>„</w:t>
      </w:r>
      <w:r w:rsidRPr="009B5B44">
        <w:rPr>
          <w:rFonts w:asciiTheme="minorHAnsi" w:hAnsiTheme="minorHAnsi"/>
          <w:b/>
          <w:noProof/>
          <w:lang w:val="de-DE"/>
        </w:rPr>
        <w:t>digiNEB.eu“</w:t>
      </w:r>
      <w:r w:rsidRPr="009B5B44">
        <w:rPr>
          <w:rFonts w:asciiTheme="minorHAnsi" w:hAnsiTheme="minorHAnsi"/>
          <w:noProof/>
          <w:lang w:val="de-DE"/>
        </w:rPr>
        <w:t xml:space="preserve"> fördert digitale Lösungen, die der wachsenden NEB-Bewegung Auftrieb geben werden. Mit dem Projekt wird eine Brücke zwischen den digitalen und den NEB-Gemeinschaften geschlagen und alle Interessenträger des Neuen Europäischen Bauhauses werden für die digitalen Lösungen der EU sensibilisiert, wodurch ein gesamteuropäisches digitales Ökosystem geschaffen wird. </w:t>
      </w:r>
      <w:r w:rsidRPr="009B5B44">
        <w:rPr>
          <w:rFonts w:asciiTheme="minorHAnsi" w:hAnsiTheme="minorHAnsi"/>
          <w:noProof/>
          <w:color w:val="242424"/>
          <w:lang w:val="de-DE"/>
        </w:rPr>
        <w:t xml:space="preserve">An „digiNEB.eu“ sind </w:t>
      </w:r>
      <w:r w:rsidRPr="009B5B44">
        <w:rPr>
          <w:rFonts w:asciiTheme="minorHAnsi" w:hAnsiTheme="minorHAnsi"/>
          <w:b/>
          <w:noProof/>
          <w:color w:val="242424"/>
          <w:lang w:val="de-DE"/>
        </w:rPr>
        <w:t>Mitglieder der NEB-Gemeinschaft</w:t>
      </w:r>
      <w:r w:rsidRPr="009B5B44">
        <w:rPr>
          <w:rFonts w:asciiTheme="minorHAnsi" w:hAnsiTheme="minorHAnsi"/>
          <w:noProof/>
          <w:color w:val="242424"/>
          <w:lang w:val="de-DE"/>
        </w:rPr>
        <w:t xml:space="preserve"> und andere Teilnehmer aus Italien, den Niederlanden, Schweden und Belgien beteiligt. Mehrere </w:t>
      </w:r>
      <w:r w:rsidRPr="009B5B44">
        <w:rPr>
          <w:rFonts w:asciiTheme="minorHAnsi" w:hAnsiTheme="minorHAnsi"/>
          <w:b/>
          <w:noProof/>
          <w:lang w:val="de-DE"/>
        </w:rPr>
        <w:t xml:space="preserve">Mitglieder des Hochrangigen Runden Tisches </w:t>
      </w:r>
      <w:r w:rsidRPr="009B5B44">
        <w:rPr>
          <w:rFonts w:asciiTheme="minorHAnsi" w:hAnsiTheme="minorHAnsi"/>
          <w:noProof/>
          <w:lang w:val="de-DE"/>
        </w:rPr>
        <w:t xml:space="preserve">werden als Berater an der Steuerung des Projekts beteiligt sein. </w:t>
      </w:r>
    </w:p>
    <w:p w14:paraId="16042BA9" w14:textId="4C59D6B9" w:rsidR="00D76B7A" w:rsidRPr="009B5B44" w:rsidRDefault="4A8C2908" w:rsidP="00594675">
      <w:pPr>
        <w:pStyle w:val="ListParagraph"/>
        <w:numPr>
          <w:ilvl w:val="0"/>
          <w:numId w:val="35"/>
        </w:numPr>
        <w:spacing w:after="120" w:line="276" w:lineRule="auto"/>
        <w:contextualSpacing w:val="0"/>
        <w:jc w:val="both"/>
        <w:rPr>
          <w:rFonts w:asciiTheme="minorHAnsi" w:hAnsiTheme="minorHAnsi" w:cstheme="minorHAnsi"/>
          <w:noProof/>
          <w:lang w:val="de-DE"/>
        </w:rPr>
      </w:pPr>
      <w:r w:rsidRPr="009B5B44">
        <w:rPr>
          <w:rFonts w:asciiTheme="minorHAnsi" w:hAnsiTheme="minorHAnsi"/>
          <w:noProof/>
          <w:lang w:val="de-DE"/>
        </w:rPr>
        <w:t>Die Umgestaltung von Orten entlang der Grundsätze des Neuen Europäischen Bauhauses erfordert auch die Anpassung von Geschäftsmodellen und die Entwicklung neuer Ansätze. In diesem Zusammenhang können die räumliche Nähe und das sozialwirtschaftliche Ökosystem einen wichtigen Beitrag zu der Initiative leisten.</w:t>
      </w:r>
    </w:p>
    <w:p w14:paraId="390BB7B4" w14:textId="75E2035C" w:rsidR="007E15CB" w:rsidRPr="009B5B44" w:rsidRDefault="007E15CB" w:rsidP="00594675">
      <w:pPr>
        <w:pStyle w:val="ListParagraph"/>
        <w:spacing w:after="120" w:line="276" w:lineRule="auto"/>
        <w:contextualSpacing w:val="0"/>
        <w:jc w:val="both"/>
        <w:rPr>
          <w:rFonts w:asciiTheme="minorHAnsi" w:hAnsiTheme="minorHAnsi" w:cstheme="minorHAnsi"/>
          <w:noProof/>
          <w:lang w:val="de-DE"/>
        </w:rPr>
      </w:pPr>
      <w:r w:rsidRPr="009B5B44">
        <w:rPr>
          <w:rFonts w:asciiTheme="minorHAnsi" w:hAnsiTheme="minorHAnsi"/>
          <w:noProof/>
          <w:lang w:val="de-DE"/>
        </w:rPr>
        <w:t>Im Rahmen des Binnenmarktprogramms </w:t>
      </w:r>
      <w:r w:rsidRPr="003E5D4C">
        <w:rPr>
          <w:rFonts w:asciiTheme="minorHAnsi" w:hAnsiTheme="minorHAnsi"/>
          <w:noProof/>
          <w:lang w:val="de-DE"/>
        </w:rPr>
        <w:t>2021</w:t>
      </w:r>
      <w:r w:rsidRPr="009B5B44">
        <w:rPr>
          <w:rFonts w:asciiTheme="minorHAnsi" w:hAnsiTheme="minorHAnsi"/>
          <w:noProof/>
          <w:lang w:val="de-DE"/>
        </w:rPr>
        <w:t xml:space="preserve"> wurde eine Aufforderung zur Einreichung von Vorschlägen zum Thema </w:t>
      </w:r>
      <w:r w:rsidRPr="009B5B44">
        <w:rPr>
          <w:rFonts w:asciiTheme="minorHAnsi" w:hAnsiTheme="minorHAnsi"/>
          <w:b/>
          <w:noProof/>
          <w:lang w:val="de-DE"/>
        </w:rPr>
        <w:t>„Sozialwirtschaft und lokale grüne Deals zur Unterstützung der Steigerung der Widerstandsfähigkeit der KMU“</w:t>
      </w:r>
      <w:r w:rsidRPr="009B5B44">
        <w:rPr>
          <w:rFonts w:asciiTheme="minorHAnsi" w:hAnsiTheme="minorHAnsi"/>
          <w:noProof/>
          <w:lang w:val="de-DE"/>
        </w:rPr>
        <w:t xml:space="preserve"> veröffentlicht. Ziel war es, den Aufbau von Partnerschaften zwischen Regionen und Städten zu lokalen Grünen Deals und zur Sozialwirtschaft zu unterstützen, um die territoriale Widerstandsfähigkeit zu stärken und das lokale Wirtschaftswachstum im Einklang mit dem doppelten Wandel neu zu gestalten. Im Bereich des Aufbaus von Kapazitäten für Städte/lokale Behörden und Unternehmen der Sozialwirtschaft sowie der Beteiligung und Befähigung der Bürgerinnen und Bürger zu aktiver Mitgestaltung, wurde bei mehreren Projekten das Neue Europäische Bauhaus als Schwerpunkt festgelegt.</w:t>
      </w:r>
      <w:r>
        <w:rPr>
          <w:rStyle w:val="FootnoteReference"/>
          <w:rFonts w:asciiTheme="minorHAnsi" w:hAnsiTheme="minorHAnsi" w:cstheme="minorHAnsi"/>
          <w:noProof/>
        </w:rPr>
        <w:footnoteReference w:id="15"/>
      </w:r>
      <w:r w:rsidRPr="009B5B44">
        <w:rPr>
          <w:rFonts w:asciiTheme="minorHAnsi" w:hAnsiTheme="minorHAnsi"/>
          <w:noProof/>
          <w:lang w:val="de-DE"/>
        </w:rPr>
        <w:t xml:space="preserve"> </w:t>
      </w:r>
    </w:p>
    <w:p w14:paraId="4F56FFF2" w14:textId="7F390ABF" w:rsidR="00036D3D" w:rsidRPr="009B5B44" w:rsidRDefault="00036D3D" w:rsidP="00594675">
      <w:pPr>
        <w:pStyle w:val="ListParagraph"/>
        <w:numPr>
          <w:ilvl w:val="0"/>
          <w:numId w:val="35"/>
        </w:numPr>
        <w:spacing w:after="120" w:line="276" w:lineRule="auto"/>
        <w:contextualSpacing w:val="0"/>
        <w:jc w:val="both"/>
        <w:rPr>
          <w:rFonts w:asciiTheme="minorHAnsi" w:hAnsiTheme="minorHAnsi" w:cstheme="minorHAnsi"/>
          <w:noProof/>
          <w:lang w:val="de-DE"/>
        </w:rPr>
      </w:pPr>
      <w:r w:rsidRPr="009B5B44">
        <w:rPr>
          <w:rFonts w:asciiTheme="minorHAnsi" w:hAnsiTheme="minorHAnsi"/>
          <w:noProof/>
          <w:lang w:val="de-DE"/>
        </w:rPr>
        <w:t xml:space="preserve">Die von der Europäischen Kommission durchgeführte </w:t>
      </w:r>
      <w:r w:rsidRPr="009B5B44">
        <w:rPr>
          <w:rFonts w:asciiTheme="minorHAnsi" w:hAnsiTheme="minorHAnsi"/>
          <w:b/>
          <w:noProof/>
          <w:lang w:val="de-DE"/>
        </w:rPr>
        <w:t>Initiative „Intelligent Cities Challenge“ (ICC)</w:t>
      </w:r>
      <w:r>
        <w:rPr>
          <w:rStyle w:val="FootnoteReference"/>
          <w:rFonts w:asciiTheme="minorHAnsi" w:hAnsiTheme="minorHAnsi" w:cstheme="minorHAnsi"/>
          <w:b/>
          <w:noProof/>
        </w:rPr>
        <w:footnoteReference w:id="16"/>
      </w:r>
      <w:r w:rsidRPr="009B5B44">
        <w:rPr>
          <w:rFonts w:asciiTheme="minorHAnsi" w:hAnsiTheme="minorHAnsi"/>
          <w:noProof/>
          <w:lang w:val="de-DE"/>
        </w:rPr>
        <w:t xml:space="preserve"> bringt eine lebendige Gemeinschaft von </w:t>
      </w:r>
      <w:r w:rsidRPr="003E5D4C">
        <w:rPr>
          <w:rFonts w:asciiTheme="minorHAnsi" w:hAnsiTheme="minorHAnsi"/>
          <w:noProof/>
          <w:lang w:val="de-DE"/>
        </w:rPr>
        <w:t>136</w:t>
      </w:r>
      <w:r w:rsidRPr="009B5B44">
        <w:rPr>
          <w:rFonts w:asciiTheme="minorHAnsi" w:hAnsiTheme="minorHAnsi"/>
          <w:noProof/>
          <w:lang w:val="de-DE"/>
        </w:rPr>
        <w:t xml:space="preserve"> EU-Städten aus </w:t>
      </w:r>
      <w:r w:rsidRPr="003E5D4C">
        <w:rPr>
          <w:rFonts w:asciiTheme="minorHAnsi" w:hAnsiTheme="minorHAnsi"/>
          <w:noProof/>
          <w:lang w:val="de-DE"/>
        </w:rPr>
        <w:t>21</w:t>
      </w:r>
      <w:r w:rsidRPr="009B5B44">
        <w:rPr>
          <w:rFonts w:asciiTheme="minorHAnsi" w:hAnsiTheme="minorHAnsi"/>
          <w:noProof/>
          <w:lang w:val="de-DE"/>
        </w:rPr>
        <w:t xml:space="preserve"> Ländern mit </w:t>
      </w:r>
      <w:r w:rsidRPr="003E5D4C">
        <w:rPr>
          <w:rFonts w:asciiTheme="minorHAnsi" w:hAnsiTheme="minorHAnsi"/>
          <w:noProof/>
          <w:lang w:val="de-DE"/>
        </w:rPr>
        <w:t>34</w:t>
      </w:r>
      <w:r w:rsidRPr="009B5B44">
        <w:rPr>
          <w:rFonts w:asciiTheme="minorHAnsi" w:hAnsiTheme="minorHAnsi"/>
          <w:noProof/>
          <w:lang w:val="de-DE"/>
        </w:rPr>
        <w:t xml:space="preserve"> Millionen EU-Bürgerinnen und -Bürgern zusammen, die sich für einen grünen und digitalen Aufschwung und soziale Widerstandsfähigkeit einsetzen und dabei Spitzentechnologien nutzen. Sie gibt eine klare Richtung für eine ökologisch nachhaltige, sozial gerechte und wissensintensive industrielle Entwicklung vor. Die ICC bietet strategische Leitlinien für eine nachhaltige und inklusive lokale Entwicklung sowie Instrumente für den Kapazitätsaufbau (z. B. eine Blaupause für lokale Grüne Deals, einen Städteleitfaden für Weiterbildung und Umschulung, einen Tech</w:t>
      </w:r>
      <w:r w:rsidRPr="003E5D4C">
        <w:rPr>
          <w:rFonts w:asciiTheme="minorHAnsi" w:hAnsiTheme="minorHAnsi"/>
          <w:noProof/>
          <w:lang w:val="de-DE"/>
        </w:rPr>
        <w:t>4</w:t>
      </w:r>
      <w:r w:rsidRPr="009B5B44">
        <w:rPr>
          <w:rFonts w:asciiTheme="minorHAnsi" w:hAnsiTheme="minorHAnsi"/>
          <w:noProof/>
          <w:lang w:val="de-DE"/>
        </w:rPr>
        <w:t>Good-Marktplatz für Lösungen, die soziale, ökologische und wirtschaftliche Ursachen fördern).</w:t>
      </w:r>
    </w:p>
    <w:p w14:paraId="5F7381DA" w14:textId="07BE3A8D" w:rsidR="00E22D79" w:rsidRPr="009B5B44" w:rsidRDefault="00E22D79" w:rsidP="00594675">
      <w:pPr>
        <w:pStyle w:val="ListParagraph"/>
        <w:numPr>
          <w:ilvl w:val="0"/>
          <w:numId w:val="35"/>
        </w:numPr>
        <w:spacing w:after="120" w:line="276" w:lineRule="auto"/>
        <w:contextualSpacing w:val="0"/>
        <w:jc w:val="both"/>
        <w:rPr>
          <w:rFonts w:asciiTheme="minorHAnsi" w:hAnsiTheme="minorHAnsi" w:cstheme="minorHAnsi"/>
          <w:noProof/>
          <w:lang w:val="de-DE"/>
        </w:rPr>
      </w:pPr>
      <w:r w:rsidRPr="009B5B44">
        <w:rPr>
          <w:rFonts w:asciiTheme="minorHAnsi" w:hAnsiTheme="minorHAnsi"/>
          <w:noProof/>
          <w:lang w:val="de-DE"/>
        </w:rPr>
        <w:t xml:space="preserve">Das </w:t>
      </w:r>
      <w:r w:rsidRPr="009B5B44">
        <w:rPr>
          <w:rFonts w:asciiTheme="minorHAnsi" w:hAnsiTheme="minorHAnsi"/>
          <w:b/>
          <w:noProof/>
          <w:lang w:val="de-DE"/>
        </w:rPr>
        <w:t>Enterprise Europe Network</w:t>
      </w:r>
      <w:r>
        <w:rPr>
          <w:rStyle w:val="FootnoteReference"/>
          <w:rFonts w:asciiTheme="minorHAnsi" w:hAnsiTheme="minorHAnsi" w:cstheme="minorHAnsi"/>
          <w:noProof/>
        </w:rPr>
        <w:footnoteReference w:id="17"/>
      </w:r>
      <w:r w:rsidRPr="009B5B44">
        <w:rPr>
          <w:rFonts w:asciiTheme="minorHAnsi" w:hAnsiTheme="minorHAnsi"/>
          <w:noProof/>
          <w:lang w:val="de-DE"/>
        </w:rPr>
        <w:t xml:space="preserve"> hat die NEB-Initiative bei kleinen und mittleren Unternehmen des Baugewerbes in der EU und anderen teilnehmenden Ländern durch spezielle Informationsveranstaltungen beworben, die Teil der von seinen Nachhaltigkeits- und Innovationsberatern angebotenen Dienstleistungen sind.</w:t>
      </w:r>
    </w:p>
    <w:p w14:paraId="3522CF58" w14:textId="48737702" w:rsidR="00E22D79" w:rsidRPr="005E7A2E" w:rsidRDefault="00E22D79" w:rsidP="00594675">
      <w:pPr>
        <w:pStyle w:val="ListParagraph"/>
        <w:numPr>
          <w:ilvl w:val="0"/>
          <w:numId w:val="35"/>
        </w:numPr>
        <w:spacing w:after="120" w:line="276" w:lineRule="auto"/>
        <w:contextualSpacing w:val="0"/>
        <w:jc w:val="both"/>
        <w:rPr>
          <w:rFonts w:asciiTheme="minorHAnsi" w:hAnsiTheme="minorHAnsi" w:cstheme="minorHAnsi"/>
          <w:noProof/>
          <w:lang w:val="de-DE"/>
        </w:rPr>
      </w:pPr>
      <w:r w:rsidRPr="009B5B44">
        <w:rPr>
          <w:rFonts w:asciiTheme="minorHAnsi" w:hAnsiTheme="minorHAnsi"/>
          <w:noProof/>
          <w:lang w:val="de-DE"/>
        </w:rPr>
        <w:t xml:space="preserve">Die </w:t>
      </w:r>
      <w:r w:rsidRPr="009B5B44">
        <w:rPr>
          <w:rFonts w:asciiTheme="minorHAnsi" w:hAnsiTheme="minorHAnsi"/>
          <w:b/>
          <w:noProof/>
          <w:lang w:val="de-DE"/>
        </w:rPr>
        <w:t>Europäische Plattform für Cluster-Zusammenarbeit</w:t>
      </w:r>
      <w:r>
        <w:rPr>
          <w:rStyle w:val="FootnoteReference"/>
          <w:rFonts w:asciiTheme="minorHAnsi" w:hAnsiTheme="minorHAnsi" w:cstheme="minorHAnsi"/>
          <w:noProof/>
        </w:rPr>
        <w:footnoteReference w:id="18"/>
      </w:r>
      <w:r w:rsidRPr="009B5B44">
        <w:rPr>
          <w:rFonts w:asciiTheme="minorHAnsi" w:hAnsiTheme="minorHAnsi"/>
          <w:noProof/>
          <w:lang w:val="de-DE"/>
        </w:rPr>
        <w:t xml:space="preserve"> hat die NEB-Initiative bei den europäischen Clustern propagiert, insbesondere bei denjenigen, die im Baugewerbe, in der Digital-, Kultur- und Kreativwirtschaft sowie in den Ökosystemen für erneuerbare Energien tätig sind. Cluster-Organisationen unterstützen daher KMU dabei, Möglichkeiten zu prüfen und sich zusammenzuschließen, um neue Produkte, Dienstleistungen und Projekte anzubieten, die den Zielen des Neuen Europäischen Bauhauses entsprechen. Darüber hinaus verbinden Eurocluster auch Cluster-Organisationen aus verschiedenen industriellen Ökosystemen, um gemeinsam nachzudenken und unterstützen sie dabei, sich zu vernetzen, innovativ zu sein und Verfahren und Technologien einzuführen, um den Wandel zu einer grüneren und digitaleren Wirtschaft zu fördern. Der Eurocluster SUSTAIN beispielsweise besteht aus fünf Mitgliedern aus drei EU-Ländern und hat das Ziel, Energieeffizienzmaßnahmen und Innovationen im Baugewerbe zu fördern. </w:t>
      </w:r>
    </w:p>
    <w:p w14:paraId="63F72C60" w14:textId="77777777" w:rsidR="0058454A" w:rsidRPr="0058454A" w:rsidRDefault="0520E1DC" w:rsidP="00102F0A">
      <w:pPr>
        <w:pStyle w:val="ListParagraph"/>
        <w:numPr>
          <w:ilvl w:val="0"/>
          <w:numId w:val="35"/>
        </w:numPr>
        <w:spacing w:after="160" w:line="259" w:lineRule="auto"/>
        <w:contextualSpacing w:val="0"/>
        <w:jc w:val="both"/>
        <w:rPr>
          <w:rFonts w:asciiTheme="minorHAnsi" w:hAnsiTheme="minorHAnsi" w:cstheme="minorHAnsi"/>
          <w:b/>
          <w:noProof/>
          <w:lang w:val="de-DE"/>
        </w:rPr>
      </w:pPr>
      <w:r w:rsidRPr="005E7A2E">
        <w:rPr>
          <w:rFonts w:asciiTheme="minorHAnsi" w:hAnsiTheme="minorHAnsi"/>
          <w:noProof/>
          <w:lang w:val="de-DE"/>
        </w:rPr>
        <w:t>Aus dem LIFE-Programm waren im Rahmen einer Aufforderung zur Einreichung von Vorschlägen (LIFE-2021-SAP-ENV-ENVIRONMENT) ebenfalls Mittel in Höhe von 13 Mio. EUR vorgesehen, doch die Anträge haben die Bewertung nicht bestanden.</w:t>
      </w:r>
      <w:r w:rsidR="005E7A2E" w:rsidRPr="005E7A2E">
        <w:rPr>
          <w:rFonts w:asciiTheme="minorHAnsi" w:hAnsiTheme="minorHAnsi"/>
          <w:noProof/>
          <w:lang w:val="de-DE"/>
        </w:rPr>
        <w:t xml:space="preserve"> </w:t>
      </w:r>
    </w:p>
    <w:p w14:paraId="144F0A8F" w14:textId="282D1123" w:rsidR="00036D3D" w:rsidRPr="005E7A2E" w:rsidRDefault="00036D3D" w:rsidP="00102F0A">
      <w:pPr>
        <w:pStyle w:val="ListParagraph"/>
        <w:numPr>
          <w:ilvl w:val="0"/>
          <w:numId w:val="35"/>
        </w:numPr>
        <w:spacing w:after="160" w:line="259" w:lineRule="auto"/>
        <w:contextualSpacing w:val="0"/>
        <w:jc w:val="both"/>
        <w:rPr>
          <w:rFonts w:asciiTheme="minorHAnsi" w:hAnsiTheme="minorHAnsi" w:cstheme="minorHAnsi"/>
          <w:b/>
          <w:noProof/>
          <w:lang w:val="de-DE"/>
        </w:rPr>
      </w:pPr>
      <w:r w:rsidRPr="005E7A2E">
        <w:rPr>
          <w:noProof/>
          <w:lang w:val="de-DE"/>
        </w:rPr>
        <w:br w:type="page"/>
      </w:r>
    </w:p>
    <w:p w14:paraId="6B2EB646" w14:textId="652D750E" w:rsidR="001C1885" w:rsidRPr="009B5B44" w:rsidRDefault="38185581" w:rsidP="0A2D47AF">
      <w:pPr>
        <w:rPr>
          <w:rFonts w:asciiTheme="minorHAnsi" w:hAnsiTheme="minorHAnsi" w:cstheme="minorHAnsi"/>
          <w:b/>
          <w:noProof/>
          <w:lang w:val="de-DE"/>
        </w:rPr>
      </w:pPr>
      <w:r w:rsidRPr="003E5D4C">
        <w:rPr>
          <w:rFonts w:asciiTheme="minorHAnsi" w:hAnsiTheme="minorHAnsi"/>
          <w:b/>
          <w:noProof/>
          <w:lang w:val="de-DE"/>
        </w:rPr>
        <w:t>3</w:t>
      </w:r>
      <w:r w:rsidRPr="009B5B44">
        <w:rPr>
          <w:rFonts w:asciiTheme="minorHAnsi" w:hAnsiTheme="minorHAnsi"/>
          <w:b/>
          <w:noProof/>
          <w:lang w:val="de-DE"/>
        </w:rPr>
        <w:t xml:space="preserve">. Maßnahmen im Zusammenhang mit der Verbreitung neuer Bedeutungen </w:t>
      </w:r>
    </w:p>
    <w:p w14:paraId="560DAB63" w14:textId="0594F708" w:rsidR="001C1885" w:rsidRPr="00594675" w:rsidRDefault="001C1885">
      <w:pPr>
        <w:spacing w:after="120" w:line="276" w:lineRule="auto"/>
        <w:jc w:val="both"/>
        <w:rPr>
          <w:rFonts w:asciiTheme="minorHAnsi" w:hAnsiTheme="minorHAnsi" w:cstheme="minorHAnsi"/>
          <w:noProof/>
        </w:rPr>
      </w:pPr>
      <w:r w:rsidRPr="009B5B44">
        <w:rPr>
          <w:rFonts w:asciiTheme="minorHAnsi" w:hAnsiTheme="minorHAnsi"/>
          <w:noProof/>
          <w:lang w:val="de-DE"/>
        </w:rPr>
        <w:t xml:space="preserve">Die Verbreitung neuer Bedeutungen ist die dritte Stufe des Wandels, auf der gezielte Maßnahmen durchgeführt wurden. Am Anfang einer neuen Bewegung stehen Werte. Es ist unerlässlich, mit denen zu arbeiten, die über unsere Werte nachdenken, sich mit ihnen auseinandersetzen und sie vermitteln, etwa Künstlern, Sozialwissenschaftlern, Personen aus dem Bildungswesen und Bildungseinrichtungen sowie Jugendorganisationen. </w:t>
      </w:r>
      <w:r>
        <w:rPr>
          <w:rFonts w:asciiTheme="minorHAnsi" w:hAnsiTheme="minorHAnsi"/>
          <w:noProof/>
        </w:rPr>
        <w:t xml:space="preserve">In den Jahren </w:t>
      </w:r>
      <w:r w:rsidRPr="003E5D4C">
        <w:rPr>
          <w:rFonts w:asciiTheme="minorHAnsi" w:hAnsiTheme="minorHAnsi"/>
          <w:noProof/>
        </w:rPr>
        <w:t>2021</w:t>
      </w:r>
      <w:r>
        <w:rPr>
          <w:rFonts w:asciiTheme="minorHAnsi" w:hAnsiTheme="minorHAnsi"/>
          <w:noProof/>
        </w:rPr>
        <w:t xml:space="preserve"> und </w:t>
      </w:r>
      <w:r w:rsidRPr="003E5D4C">
        <w:rPr>
          <w:rFonts w:asciiTheme="minorHAnsi" w:hAnsiTheme="minorHAnsi"/>
          <w:noProof/>
        </w:rPr>
        <w:t>2022</w:t>
      </w:r>
      <w:r w:rsidR="00C95706">
        <w:rPr>
          <w:rFonts w:asciiTheme="minorHAnsi" w:hAnsiTheme="minorHAnsi"/>
          <w:noProof/>
        </w:rPr>
        <w:t xml:space="preserve"> wurden Folgendes umgesetzt:</w:t>
      </w:r>
    </w:p>
    <w:p w14:paraId="2003060E" w14:textId="08203880" w:rsidR="001C1885" w:rsidRPr="009B5B44" w:rsidRDefault="75D66955">
      <w:pPr>
        <w:pStyle w:val="ListParagraph"/>
        <w:numPr>
          <w:ilvl w:val="0"/>
          <w:numId w:val="27"/>
        </w:numPr>
        <w:spacing w:after="120" w:line="276" w:lineRule="auto"/>
        <w:contextualSpacing w:val="0"/>
        <w:jc w:val="both"/>
        <w:rPr>
          <w:rFonts w:asciiTheme="minorHAnsi" w:hAnsiTheme="minorHAnsi" w:cstheme="minorHAnsi"/>
          <w:noProof/>
          <w:lang w:val="de-DE"/>
        </w:rPr>
      </w:pPr>
      <w:r w:rsidRPr="009B5B44">
        <w:rPr>
          <w:rFonts w:asciiTheme="minorHAnsi" w:hAnsiTheme="minorHAnsi"/>
          <w:noProof/>
          <w:lang w:val="de-DE"/>
        </w:rPr>
        <w:t xml:space="preserve">Die Aufforderungen zur Einreichung von Vorschlägen im Rahmen des </w:t>
      </w:r>
      <w:r w:rsidRPr="009B5B44">
        <w:rPr>
          <w:rFonts w:asciiTheme="minorHAnsi" w:hAnsiTheme="minorHAnsi"/>
          <w:b/>
          <w:noProof/>
          <w:lang w:val="de-DE"/>
        </w:rPr>
        <w:t>Jahresarbeitsprogramms </w:t>
      </w:r>
      <w:r w:rsidRPr="003E5D4C">
        <w:rPr>
          <w:rFonts w:asciiTheme="minorHAnsi" w:hAnsiTheme="minorHAnsi"/>
          <w:b/>
          <w:noProof/>
          <w:lang w:val="de-DE"/>
        </w:rPr>
        <w:t>2022</w:t>
      </w:r>
      <w:r w:rsidRPr="009B5B44">
        <w:rPr>
          <w:rFonts w:asciiTheme="minorHAnsi" w:hAnsiTheme="minorHAnsi"/>
          <w:b/>
          <w:noProof/>
          <w:lang w:val="de-DE"/>
        </w:rPr>
        <w:t xml:space="preserve"> des Programms „Kreatives Europa“</w:t>
      </w:r>
      <w:r w:rsidRPr="009B5B44">
        <w:rPr>
          <w:rFonts w:asciiTheme="minorHAnsi" w:hAnsiTheme="minorHAnsi"/>
          <w:noProof/>
          <w:lang w:val="de-DE"/>
        </w:rPr>
        <w:t xml:space="preserve"> enthielten Themen und thematische Prioritäten, die für das Neue Europäische Bauhaus relevant sind. Die Aufforderung zur Einreichung von Vorschlägen für die Finanzierung von </w:t>
      </w:r>
      <w:r w:rsidRPr="009B5B44">
        <w:rPr>
          <w:rFonts w:asciiTheme="minorHAnsi" w:hAnsiTheme="minorHAnsi"/>
          <w:b/>
          <w:noProof/>
          <w:lang w:val="de-DE"/>
        </w:rPr>
        <w:t>europäischen Kooperationsprojekten</w:t>
      </w:r>
      <w:r w:rsidRPr="009B5B44">
        <w:rPr>
          <w:rFonts w:asciiTheme="minorHAnsi" w:hAnsiTheme="minorHAnsi"/>
          <w:noProof/>
          <w:lang w:val="de-DE"/>
        </w:rPr>
        <w:t xml:space="preserve"> wurde Anfang Februar </w:t>
      </w:r>
      <w:r w:rsidRPr="003E5D4C">
        <w:rPr>
          <w:rFonts w:asciiTheme="minorHAnsi" w:hAnsiTheme="minorHAnsi"/>
          <w:noProof/>
          <w:lang w:val="de-DE"/>
        </w:rPr>
        <w:t>2022</w:t>
      </w:r>
      <w:r w:rsidRPr="009B5B44">
        <w:rPr>
          <w:rFonts w:asciiTheme="minorHAnsi" w:hAnsiTheme="minorHAnsi"/>
          <w:noProof/>
          <w:lang w:val="de-DE"/>
        </w:rPr>
        <w:t xml:space="preserve"> veröffentlicht. Es ging eine Rekordzahl von fast </w:t>
      </w:r>
      <w:r w:rsidRPr="003E5D4C">
        <w:rPr>
          <w:rFonts w:asciiTheme="minorHAnsi" w:hAnsiTheme="minorHAnsi"/>
          <w:noProof/>
          <w:lang w:val="de-DE"/>
        </w:rPr>
        <w:t>700</w:t>
      </w:r>
      <w:r w:rsidRPr="009B5B44">
        <w:rPr>
          <w:rFonts w:asciiTheme="minorHAnsi" w:hAnsiTheme="minorHAnsi"/>
          <w:noProof/>
          <w:lang w:val="de-DE"/>
        </w:rPr>
        <w:t xml:space="preserve"> Anträgen ein, was das große Interesse an Zusammenarbeit in der Kultur- und Kreativwirtschaft und deren Bedarf an finanzieller Unterstützung belegt. Von den für eine Finanzierung ausgewählten Projekten orientieren sich etwa </w:t>
      </w:r>
      <w:r w:rsidRPr="003E5D4C">
        <w:rPr>
          <w:rFonts w:asciiTheme="minorHAnsi" w:hAnsiTheme="minorHAnsi"/>
          <w:noProof/>
          <w:lang w:val="de-DE"/>
        </w:rPr>
        <w:t>20</w:t>
      </w:r>
      <w:r w:rsidRPr="009B5B44">
        <w:rPr>
          <w:rFonts w:asciiTheme="minorHAnsi" w:hAnsiTheme="minorHAnsi"/>
          <w:noProof/>
          <w:lang w:val="de-DE"/>
        </w:rPr>
        <w:t xml:space="preserve"> Projekte stark an den Grundsätzen des Neuen Europäischen Bauhauses. </w:t>
      </w:r>
    </w:p>
    <w:p w14:paraId="6054FEFF" w14:textId="3AB592EB" w:rsidR="00CD4F72" w:rsidRPr="009B5B44" w:rsidRDefault="00A35A4E">
      <w:pPr>
        <w:pStyle w:val="ListParagraph"/>
        <w:numPr>
          <w:ilvl w:val="0"/>
          <w:numId w:val="27"/>
        </w:numPr>
        <w:spacing w:after="120" w:line="276" w:lineRule="auto"/>
        <w:contextualSpacing w:val="0"/>
        <w:jc w:val="both"/>
        <w:rPr>
          <w:rFonts w:asciiTheme="minorHAnsi" w:hAnsiTheme="minorHAnsi" w:cstheme="minorHAnsi"/>
          <w:noProof/>
          <w:lang w:val="de-DE"/>
        </w:rPr>
      </w:pPr>
      <w:r w:rsidRPr="009B5B44">
        <w:rPr>
          <w:rFonts w:asciiTheme="minorHAnsi" w:hAnsiTheme="minorHAnsi"/>
          <w:noProof/>
          <w:lang w:val="de-DE"/>
        </w:rPr>
        <w:t>Auch ein neues Mobilitätsprogramm für Künstler und Kulturakteure, das Ende </w:t>
      </w:r>
      <w:r w:rsidRPr="003E5D4C">
        <w:rPr>
          <w:rFonts w:asciiTheme="minorHAnsi" w:hAnsiTheme="minorHAnsi"/>
          <w:noProof/>
          <w:lang w:val="de-DE"/>
        </w:rPr>
        <w:t>2022</w:t>
      </w:r>
      <w:r w:rsidRPr="009B5B44">
        <w:rPr>
          <w:rFonts w:asciiTheme="minorHAnsi" w:hAnsiTheme="minorHAnsi"/>
          <w:noProof/>
          <w:lang w:val="de-DE"/>
        </w:rPr>
        <w:t xml:space="preserve"> eingeführt wird, soll zu den Prioritäten des NEB beitragen. Im Rahmen des Programms </w:t>
      </w:r>
      <w:r w:rsidRPr="009B5B44">
        <w:rPr>
          <w:rFonts w:asciiTheme="minorHAnsi" w:hAnsiTheme="minorHAnsi"/>
          <w:b/>
          <w:bCs/>
          <w:noProof/>
          <w:lang w:val="de-DE"/>
        </w:rPr>
        <w:t>„</w:t>
      </w:r>
      <w:r w:rsidRPr="009B5B44">
        <w:rPr>
          <w:rFonts w:asciiTheme="minorHAnsi" w:hAnsiTheme="minorHAnsi"/>
          <w:b/>
          <w:noProof/>
          <w:lang w:val="de-DE"/>
        </w:rPr>
        <w:t>Culture Moves Europe</w:t>
      </w:r>
      <w:r w:rsidRPr="009B5B44">
        <w:rPr>
          <w:rFonts w:asciiTheme="minorHAnsi" w:hAnsiTheme="minorHAnsi"/>
          <w:b/>
          <w:bCs/>
          <w:noProof/>
          <w:lang w:val="de-DE"/>
        </w:rPr>
        <w:t>“</w:t>
      </w:r>
      <w:r w:rsidRPr="009B5B44">
        <w:rPr>
          <w:rFonts w:asciiTheme="minorHAnsi" w:hAnsiTheme="minorHAnsi"/>
          <w:noProof/>
          <w:lang w:val="de-DE"/>
        </w:rPr>
        <w:t xml:space="preserve"> werden </w:t>
      </w:r>
      <w:r w:rsidRPr="009B5B44">
        <w:rPr>
          <w:rFonts w:asciiTheme="minorHAnsi" w:hAnsiTheme="minorHAnsi"/>
          <w:b/>
          <w:noProof/>
          <w:lang w:val="de-DE"/>
        </w:rPr>
        <w:t>Künstlerresidenzen</w:t>
      </w:r>
      <w:r w:rsidRPr="009B5B44">
        <w:rPr>
          <w:rFonts w:asciiTheme="minorHAnsi" w:hAnsiTheme="minorHAnsi"/>
          <w:noProof/>
          <w:lang w:val="de-DE"/>
        </w:rPr>
        <w:t xml:space="preserve"> und andere Arten von ortsgebundenen Aktivitäten gefördert. Die Förderung des gesellschaftlichen Wandels im Einklang mit den Grundsätzen und Werten des Neuen Europäischen Bauhauses ist eine der Prioritäten, die die Gastgeber für ihre Residenzen wählen könnten. Die Aufforderungen zur Einreichung von Vorschlägen für Residenzen werden </w:t>
      </w:r>
      <w:r w:rsidRPr="003E5D4C">
        <w:rPr>
          <w:rFonts w:asciiTheme="minorHAnsi" w:hAnsiTheme="minorHAnsi"/>
          <w:noProof/>
          <w:lang w:val="de-DE"/>
        </w:rPr>
        <w:t>2023</w:t>
      </w:r>
      <w:r w:rsidRPr="009B5B44">
        <w:rPr>
          <w:rFonts w:asciiTheme="minorHAnsi" w:hAnsiTheme="minorHAnsi"/>
          <w:noProof/>
          <w:lang w:val="de-DE"/>
        </w:rPr>
        <w:t xml:space="preserve"> veröffentlicht. </w:t>
      </w:r>
    </w:p>
    <w:p w14:paraId="321555F3" w14:textId="315D5D44" w:rsidR="00E92AB1" w:rsidRPr="009B5B44" w:rsidRDefault="00E92AB1" w:rsidP="00594675">
      <w:pPr>
        <w:pStyle w:val="ListParagraph"/>
        <w:numPr>
          <w:ilvl w:val="0"/>
          <w:numId w:val="27"/>
        </w:numPr>
        <w:spacing w:after="120" w:line="276" w:lineRule="auto"/>
        <w:contextualSpacing w:val="0"/>
        <w:jc w:val="both"/>
        <w:rPr>
          <w:rFonts w:asciiTheme="minorHAnsi" w:hAnsiTheme="minorHAnsi" w:cstheme="minorHAnsi"/>
          <w:noProof/>
          <w:lang w:val="de-DE"/>
        </w:rPr>
      </w:pPr>
      <w:r w:rsidRPr="009B5B44">
        <w:rPr>
          <w:rFonts w:asciiTheme="minorHAnsi" w:hAnsiTheme="minorHAnsi"/>
          <w:noProof/>
          <w:lang w:val="de-DE"/>
        </w:rPr>
        <w:t>Wie in der Mitteilung der Kommission über das NEB</w:t>
      </w:r>
      <w:r>
        <w:rPr>
          <w:rStyle w:val="FootnoteReference"/>
          <w:rFonts w:asciiTheme="minorHAnsi" w:hAnsiTheme="minorHAnsi" w:cstheme="minorHAnsi"/>
          <w:noProof/>
        </w:rPr>
        <w:footnoteReference w:id="19"/>
      </w:r>
      <w:r w:rsidRPr="009B5B44">
        <w:rPr>
          <w:rFonts w:asciiTheme="minorHAnsi" w:hAnsiTheme="minorHAnsi"/>
          <w:noProof/>
          <w:lang w:val="de-DE"/>
        </w:rPr>
        <w:t xml:space="preserve">angekündigt, wurde im Dezember </w:t>
      </w:r>
      <w:r w:rsidRPr="003E5D4C">
        <w:rPr>
          <w:rFonts w:asciiTheme="minorHAnsi" w:hAnsiTheme="minorHAnsi"/>
          <w:noProof/>
          <w:lang w:val="de-DE"/>
        </w:rPr>
        <w:t>2022</w:t>
      </w:r>
      <w:r w:rsidRPr="009B5B44">
        <w:rPr>
          <w:rFonts w:asciiTheme="minorHAnsi" w:hAnsiTheme="minorHAnsi"/>
          <w:noProof/>
          <w:lang w:val="de-DE"/>
        </w:rPr>
        <w:t xml:space="preserve"> eine Ausschreibung zur Entwicklung einer </w:t>
      </w:r>
      <w:r w:rsidRPr="009B5B44">
        <w:rPr>
          <w:rFonts w:asciiTheme="minorHAnsi" w:hAnsiTheme="minorHAnsi"/>
          <w:b/>
          <w:noProof/>
          <w:lang w:val="de-DE"/>
        </w:rPr>
        <w:t>Peer-Learning-Maßnahme</w:t>
      </w:r>
      <w:r w:rsidRPr="009B5B44">
        <w:rPr>
          <w:rFonts w:asciiTheme="minorHAnsi" w:hAnsiTheme="minorHAnsi"/>
          <w:noProof/>
          <w:lang w:val="de-DE"/>
        </w:rPr>
        <w:t xml:space="preserve"> veröffentlicht. Ziel ist es, kommunale Behörden dabei zu unterstützen, Qualitätsprinzipien zu übernehmen und umzusetzen, wie sie beim Davos-Prozess und von der Sachverständigengruppe der Mitgliedstaaten zu hochwertiger Architektur und bebauter Umgebung für alle, die im Rahmen der neuen europäischen Agenda für Kultur eingerichtet wurde, entwickelt wurden. </w:t>
      </w:r>
    </w:p>
    <w:p w14:paraId="59A137D2" w14:textId="49158232" w:rsidR="001C1885" w:rsidRPr="009B5B44" w:rsidRDefault="70475FCA">
      <w:pPr>
        <w:pStyle w:val="ListParagraph"/>
        <w:numPr>
          <w:ilvl w:val="0"/>
          <w:numId w:val="27"/>
        </w:numPr>
        <w:spacing w:after="120" w:line="276" w:lineRule="auto"/>
        <w:contextualSpacing w:val="0"/>
        <w:jc w:val="both"/>
        <w:rPr>
          <w:rFonts w:asciiTheme="minorHAnsi" w:hAnsiTheme="minorHAnsi" w:cstheme="minorHAnsi"/>
          <w:noProof/>
          <w:color w:val="212121"/>
          <w:shd w:val="clear" w:color="auto" w:fill="FFFFFF"/>
          <w:lang w:val="de-DE"/>
        </w:rPr>
      </w:pPr>
      <w:r w:rsidRPr="009B5B44">
        <w:rPr>
          <w:rFonts w:asciiTheme="minorHAnsi" w:hAnsiTheme="minorHAnsi"/>
          <w:noProof/>
          <w:color w:val="212121"/>
          <w:shd w:val="clear" w:color="auto" w:fill="FFFFFF"/>
          <w:lang w:val="de-DE"/>
        </w:rPr>
        <w:t xml:space="preserve">Die allgemeine </w:t>
      </w:r>
      <w:r w:rsidRPr="009B5B44">
        <w:rPr>
          <w:rFonts w:asciiTheme="minorHAnsi" w:hAnsiTheme="minorHAnsi"/>
          <w:b/>
          <w:noProof/>
          <w:color w:val="212121"/>
          <w:shd w:val="clear" w:color="auto" w:fill="FFFFFF"/>
          <w:lang w:val="de-DE"/>
        </w:rPr>
        <w:t xml:space="preserve">Aufforderung zur Einreichung von Vorschlägen für Erasmus+ für </w:t>
      </w:r>
      <w:r w:rsidRPr="003E5D4C">
        <w:rPr>
          <w:rFonts w:asciiTheme="minorHAnsi" w:hAnsiTheme="minorHAnsi"/>
          <w:b/>
          <w:noProof/>
          <w:color w:val="212121"/>
          <w:shd w:val="clear" w:color="auto" w:fill="FFFFFF"/>
          <w:lang w:val="de-DE"/>
        </w:rPr>
        <w:t>2022</w:t>
      </w:r>
      <w:r w:rsidRPr="009B5B44">
        <w:rPr>
          <w:rFonts w:asciiTheme="minorHAnsi" w:hAnsiTheme="minorHAnsi"/>
          <w:noProof/>
          <w:color w:val="212121"/>
          <w:shd w:val="clear" w:color="auto" w:fill="FFFFFF"/>
          <w:lang w:val="de-DE"/>
        </w:rPr>
        <w:t xml:space="preserve"> ist sowohl</w:t>
      </w:r>
      <w:r w:rsidRPr="009B5B44">
        <w:rPr>
          <w:rFonts w:asciiTheme="minorHAnsi" w:hAnsiTheme="minorHAnsi"/>
          <w:noProof/>
          <w:lang w:val="de-DE"/>
        </w:rPr>
        <w:t xml:space="preserve"> an den Bereich Hochschulbildung als auch an den Bereich berufliche Bildung gerichtet, </w:t>
      </w:r>
      <w:r w:rsidRPr="009B5B44">
        <w:rPr>
          <w:rFonts w:asciiTheme="minorHAnsi" w:hAnsiTheme="minorHAnsi"/>
          <w:noProof/>
          <w:color w:val="212121"/>
          <w:shd w:val="clear" w:color="auto" w:fill="FFFFFF"/>
          <w:lang w:val="de-DE"/>
        </w:rPr>
        <w:t>die aufgefordert werden</w:t>
      </w:r>
      <w:r w:rsidRPr="009B5B44">
        <w:rPr>
          <w:rFonts w:asciiTheme="minorHAnsi" w:hAnsiTheme="minorHAnsi"/>
          <w:noProof/>
          <w:lang w:val="de-DE"/>
        </w:rPr>
        <w:t xml:space="preserve">, </w:t>
      </w:r>
      <w:r w:rsidRPr="009B5B44">
        <w:rPr>
          <w:rFonts w:asciiTheme="minorHAnsi" w:hAnsiTheme="minorHAnsi"/>
          <w:b/>
          <w:noProof/>
          <w:color w:val="000000" w:themeColor="text1"/>
          <w:lang w:val="de-DE"/>
        </w:rPr>
        <w:t>Allianzen für Innovation</w:t>
      </w:r>
      <w:r w:rsidRPr="009B5B44">
        <w:rPr>
          <w:rFonts w:asciiTheme="minorHAnsi" w:hAnsiTheme="minorHAnsi"/>
          <w:noProof/>
          <w:lang w:val="de-DE"/>
        </w:rPr>
        <w:t xml:space="preserve"> </w:t>
      </w:r>
      <w:r w:rsidRPr="009B5B44">
        <w:rPr>
          <w:rFonts w:asciiTheme="minorHAnsi" w:hAnsiTheme="minorHAnsi"/>
          <w:noProof/>
          <w:color w:val="212121"/>
          <w:shd w:val="clear" w:color="auto" w:fill="FFFFFF"/>
          <w:lang w:val="de-DE"/>
        </w:rPr>
        <w:t xml:space="preserve">vorzuschlagen, die zur NEB-Initiative beitragen und innovative, kreative und nachhaltige Ansätze in der Bildung fördern. </w:t>
      </w:r>
    </w:p>
    <w:p w14:paraId="18E74E08" w14:textId="65CFCCB9" w:rsidR="001C1885" w:rsidRPr="009B5B44" w:rsidRDefault="70475FCA">
      <w:pPr>
        <w:pStyle w:val="ListParagraph"/>
        <w:numPr>
          <w:ilvl w:val="0"/>
          <w:numId w:val="27"/>
        </w:numPr>
        <w:spacing w:after="120" w:line="276" w:lineRule="auto"/>
        <w:contextualSpacing w:val="0"/>
        <w:jc w:val="both"/>
        <w:rPr>
          <w:rFonts w:asciiTheme="minorHAnsi" w:hAnsiTheme="minorHAnsi" w:cstheme="minorHAnsi"/>
          <w:noProof/>
          <w:lang w:val="de-DE"/>
        </w:rPr>
      </w:pPr>
      <w:r w:rsidRPr="009B5B44">
        <w:rPr>
          <w:rFonts w:asciiTheme="minorHAnsi" w:hAnsiTheme="minorHAnsi"/>
          <w:b/>
          <w:noProof/>
          <w:lang w:val="de-DE"/>
        </w:rPr>
        <w:t>Im Rahmen des Jahresarbeitsprogramms </w:t>
      </w:r>
      <w:r w:rsidRPr="003E5D4C">
        <w:rPr>
          <w:rFonts w:asciiTheme="minorHAnsi" w:hAnsiTheme="minorHAnsi"/>
          <w:b/>
          <w:noProof/>
          <w:lang w:val="de-DE"/>
        </w:rPr>
        <w:t>2022</w:t>
      </w:r>
      <w:r w:rsidRPr="009B5B44">
        <w:rPr>
          <w:rFonts w:asciiTheme="minorHAnsi" w:hAnsiTheme="minorHAnsi"/>
          <w:b/>
          <w:noProof/>
          <w:lang w:val="de-DE"/>
        </w:rPr>
        <w:t xml:space="preserve"> des Europäischen Solidaritätskorps</w:t>
      </w:r>
      <w:r>
        <w:rPr>
          <w:rStyle w:val="FootnoteReference"/>
          <w:rFonts w:asciiTheme="minorHAnsi" w:hAnsiTheme="minorHAnsi" w:cstheme="minorHAnsi"/>
          <w:noProof/>
        </w:rPr>
        <w:footnoteReference w:id="20"/>
      </w:r>
      <w:r w:rsidRPr="009B5B44">
        <w:rPr>
          <w:rStyle w:val="Hyperlink"/>
          <w:rFonts w:asciiTheme="minorHAnsi" w:hAnsiTheme="minorHAnsi"/>
          <w:b/>
          <w:noProof/>
          <w:color w:val="5B9AD5"/>
          <w:lang w:val="de-DE"/>
        </w:rPr>
        <w:t xml:space="preserve"> </w:t>
      </w:r>
      <w:r w:rsidRPr="009B5B44">
        <w:rPr>
          <w:rFonts w:asciiTheme="minorHAnsi" w:hAnsiTheme="minorHAnsi"/>
          <w:noProof/>
          <w:lang w:val="de-DE"/>
        </w:rPr>
        <w:t xml:space="preserve">(angenommen am </w:t>
      </w:r>
      <w:r w:rsidRPr="003E5D4C">
        <w:rPr>
          <w:rFonts w:asciiTheme="minorHAnsi" w:hAnsiTheme="minorHAnsi"/>
          <w:noProof/>
          <w:lang w:val="de-DE"/>
        </w:rPr>
        <w:t>8</w:t>
      </w:r>
      <w:r w:rsidRPr="009B5B44">
        <w:rPr>
          <w:rFonts w:asciiTheme="minorHAnsi" w:hAnsiTheme="minorHAnsi"/>
          <w:noProof/>
          <w:lang w:val="de-DE"/>
        </w:rPr>
        <w:t xml:space="preserve">. November </w:t>
      </w:r>
      <w:r w:rsidRPr="003E5D4C">
        <w:rPr>
          <w:rFonts w:asciiTheme="minorHAnsi" w:hAnsiTheme="minorHAnsi"/>
          <w:noProof/>
          <w:lang w:val="de-DE"/>
        </w:rPr>
        <w:t>2021</w:t>
      </w:r>
      <w:r w:rsidRPr="009B5B44">
        <w:rPr>
          <w:rFonts w:asciiTheme="minorHAnsi" w:hAnsiTheme="minorHAnsi"/>
          <w:noProof/>
          <w:lang w:val="de-DE"/>
        </w:rPr>
        <w:t xml:space="preserve">) </w:t>
      </w:r>
      <w:r w:rsidRPr="009B5B44">
        <w:rPr>
          <w:rFonts w:asciiTheme="minorHAnsi" w:hAnsiTheme="minorHAnsi"/>
          <w:b/>
          <w:noProof/>
          <w:lang w:val="de-DE"/>
        </w:rPr>
        <w:t>und der Aufforderung zur Einreichung von Vorschlägen</w:t>
      </w:r>
      <w:r>
        <w:rPr>
          <w:rStyle w:val="FootnoteReference"/>
          <w:rFonts w:asciiTheme="minorHAnsi" w:hAnsiTheme="minorHAnsi" w:cstheme="minorHAnsi"/>
          <w:noProof/>
        </w:rPr>
        <w:footnoteReference w:id="21"/>
      </w:r>
      <w:r w:rsidRPr="009B5B44">
        <w:rPr>
          <w:rFonts w:asciiTheme="minorHAnsi" w:hAnsiTheme="minorHAnsi"/>
          <w:noProof/>
          <w:lang w:val="de-DE"/>
        </w:rPr>
        <w:t xml:space="preserve"> (veröffentlicht am </w:t>
      </w:r>
      <w:r w:rsidRPr="003E5D4C">
        <w:rPr>
          <w:rFonts w:asciiTheme="minorHAnsi" w:hAnsiTheme="minorHAnsi"/>
          <w:noProof/>
          <w:lang w:val="de-DE"/>
        </w:rPr>
        <w:t>17</w:t>
      </w:r>
      <w:r w:rsidRPr="009B5B44">
        <w:rPr>
          <w:rFonts w:asciiTheme="minorHAnsi" w:hAnsiTheme="minorHAnsi"/>
          <w:noProof/>
          <w:lang w:val="de-DE"/>
        </w:rPr>
        <w:t xml:space="preserve">. November </w:t>
      </w:r>
      <w:r w:rsidRPr="003E5D4C">
        <w:rPr>
          <w:rFonts w:asciiTheme="minorHAnsi" w:hAnsiTheme="minorHAnsi"/>
          <w:noProof/>
          <w:lang w:val="de-DE"/>
        </w:rPr>
        <w:t>2021</w:t>
      </w:r>
      <w:r w:rsidRPr="009B5B44">
        <w:rPr>
          <w:rFonts w:asciiTheme="minorHAnsi" w:hAnsiTheme="minorHAnsi"/>
          <w:noProof/>
          <w:lang w:val="de-DE"/>
        </w:rPr>
        <w:t>) werden Projekte für junge Freiwillige im Bereich der ökologischen Nachhaltigkeit und des NEB gefördert.</w:t>
      </w:r>
    </w:p>
    <w:p w14:paraId="7CA93B1B" w14:textId="56AC3CB8" w:rsidR="001C1885" w:rsidRPr="009B5B44" w:rsidRDefault="70475FCA">
      <w:pPr>
        <w:pStyle w:val="ListParagraph"/>
        <w:numPr>
          <w:ilvl w:val="0"/>
          <w:numId w:val="27"/>
        </w:numPr>
        <w:spacing w:after="120" w:line="276" w:lineRule="auto"/>
        <w:contextualSpacing w:val="0"/>
        <w:jc w:val="both"/>
        <w:rPr>
          <w:rFonts w:asciiTheme="minorHAnsi" w:hAnsiTheme="minorHAnsi" w:cstheme="minorHAnsi"/>
          <w:noProof/>
          <w:lang w:val="de-DE"/>
        </w:rPr>
      </w:pPr>
      <w:r w:rsidRPr="009B5B44">
        <w:rPr>
          <w:rFonts w:asciiTheme="minorHAnsi" w:hAnsiTheme="minorHAnsi"/>
          <w:noProof/>
          <w:lang w:val="de-DE"/>
        </w:rPr>
        <w:t xml:space="preserve">Durch die </w:t>
      </w:r>
      <w:r w:rsidRPr="009B5B44">
        <w:rPr>
          <w:rFonts w:asciiTheme="minorHAnsi" w:hAnsiTheme="minorHAnsi"/>
          <w:b/>
          <w:noProof/>
          <w:lang w:val="de-DE"/>
        </w:rPr>
        <w:t>Aufforderung zur Einreichung von Vorschlägen für Projekte im Rahmen Maßnahme „European Youth Together des Programms „Erasmus+“ </w:t>
      </w:r>
      <w:r w:rsidRPr="003E5D4C">
        <w:rPr>
          <w:rFonts w:asciiTheme="minorHAnsi" w:hAnsiTheme="minorHAnsi"/>
          <w:b/>
          <w:noProof/>
          <w:lang w:val="de-DE"/>
        </w:rPr>
        <w:t>2022</w:t>
      </w:r>
      <w:r w:rsidRPr="009B5B44">
        <w:rPr>
          <w:rFonts w:asciiTheme="minorHAnsi" w:hAnsiTheme="minorHAnsi"/>
          <w:noProof/>
          <w:lang w:val="de-DE"/>
        </w:rPr>
        <w:t xml:space="preserve"> werden transnationale Partnerschaften für Jugendorganisationen unterstützt, die den europäischen Grünen Deal und das NEB umsetzen.</w:t>
      </w:r>
    </w:p>
    <w:p w14:paraId="034D6F7A" w14:textId="7525A38F" w:rsidR="001C1885" w:rsidRPr="00594675" w:rsidRDefault="70475FCA">
      <w:pPr>
        <w:pStyle w:val="ListParagraph"/>
        <w:numPr>
          <w:ilvl w:val="0"/>
          <w:numId w:val="27"/>
        </w:numPr>
        <w:spacing w:after="120" w:line="276" w:lineRule="auto"/>
        <w:contextualSpacing w:val="0"/>
        <w:jc w:val="both"/>
        <w:rPr>
          <w:rFonts w:asciiTheme="minorHAnsi" w:hAnsiTheme="minorHAnsi" w:cstheme="minorHAnsi"/>
          <w:noProof/>
        </w:rPr>
      </w:pPr>
      <w:r w:rsidRPr="009B5B44">
        <w:rPr>
          <w:rFonts w:asciiTheme="minorHAnsi" w:hAnsiTheme="minorHAnsi"/>
          <w:noProof/>
          <w:lang w:val="de-DE"/>
        </w:rPr>
        <w:t xml:space="preserve">Im Rahmen der </w:t>
      </w:r>
      <w:r w:rsidRPr="009B5B44">
        <w:rPr>
          <w:noProof/>
          <w:lang w:val="de-DE"/>
        </w:rPr>
        <w:t xml:space="preserve">Maßnahme </w:t>
      </w:r>
      <w:r w:rsidRPr="009B5B44">
        <w:rPr>
          <w:rFonts w:asciiTheme="minorHAnsi" w:hAnsiTheme="minorHAnsi"/>
          <w:b/>
          <w:bCs/>
          <w:noProof/>
          <w:lang w:val="de-DE"/>
        </w:rPr>
        <w:t>„</w:t>
      </w:r>
      <w:hyperlink r:id="rId24">
        <w:r w:rsidRPr="009B5B44">
          <w:rPr>
            <w:rFonts w:asciiTheme="minorHAnsi" w:hAnsiTheme="minorHAnsi"/>
            <w:b/>
            <w:noProof/>
            <w:lang w:val="de-DE"/>
          </w:rPr>
          <w:t>DiscoverEU</w:t>
        </w:r>
      </w:hyperlink>
      <w:r w:rsidRPr="009B5B44">
        <w:rPr>
          <w:rFonts w:asciiTheme="minorHAnsi" w:hAnsiTheme="minorHAnsi"/>
          <w:b/>
          <w:noProof/>
          <w:lang w:val="de-DE"/>
        </w:rPr>
        <w:t>“</w:t>
      </w:r>
      <w:r w:rsidRPr="009B5B44">
        <w:rPr>
          <w:rFonts w:asciiTheme="minorHAnsi" w:hAnsiTheme="minorHAnsi"/>
          <w:noProof/>
          <w:lang w:val="de-DE"/>
        </w:rPr>
        <w:t xml:space="preserve"> des Programms </w:t>
      </w:r>
      <w:r w:rsidRPr="009B5B44">
        <w:rPr>
          <w:rFonts w:asciiTheme="minorHAnsi" w:hAnsiTheme="minorHAnsi"/>
          <w:b/>
          <w:noProof/>
          <w:lang w:val="de-DE"/>
        </w:rPr>
        <w:t xml:space="preserve">Erasmus+ </w:t>
      </w:r>
      <w:r w:rsidRPr="009B5B44">
        <w:rPr>
          <w:rFonts w:asciiTheme="minorHAnsi" w:hAnsiTheme="minorHAnsi"/>
          <w:noProof/>
          <w:lang w:val="de-DE"/>
        </w:rPr>
        <w:t xml:space="preserve">wird im Jahr </w:t>
      </w:r>
      <w:r w:rsidRPr="003E5D4C">
        <w:rPr>
          <w:rFonts w:asciiTheme="minorHAnsi" w:hAnsiTheme="minorHAnsi"/>
          <w:noProof/>
          <w:lang w:val="de-DE"/>
        </w:rPr>
        <w:t>2022</w:t>
      </w:r>
      <w:r w:rsidRPr="009B5B44">
        <w:rPr>
          <w:rFonts w:asciiTheme="minorHAnsi" w:hAnsiTheme="minorHAnsi"/>
          <w:noProof/>
          <w:lang w:val="de-DE"/>
        </w:rPr>
        <w:t xml:space="preserve"> eine </w:t>
      </w:r>
      <w:r w:rsidRPr="009B5B44">
        <w:rPr>
          <w:rFonts w:asciiTheme="minorHAnsi" w:hAnsiTheme="minorHAnsi"/>
          <w:b/>
          <w:noProof/>
          <w:lang w:val="de-DE"/>
        </w:rPr>
        <w:t>neue europäische Bauhausroute</w:t>
      </w:r>
      <w:r w:rsidRPr="009B5B44">
        <w:rPr>
          <w:rFonts w:asciiTheme="minorHAnsi" w:hAnsiTheme="minorHAnsi"/>
          <w:noProof/>
          <w:lang w:val="de-DE"/>
        </w:rPr>
        <w:t xml:space="preserve"> entwickelt</w:t>
      </w:r>
      <w:r w:rsidRPr="009B5B44">
        <w:rPr>
          <w:noProof/>
          <w:lang w:val="de-DE"/>
        </w:rPr>
        <w:t xml:space="preserve"> </w:t>
      </w:r>
      <w:r w:rsidRPr="009B5B44">
        <w:rPr>
          <w:rFonts w:asciiTheme="minorHAnsi" w:hAnsiTheme="minorHAnsi"/>
          <w:noProof/>
          <w:lang w:val="de-DE"/>
        </w:rPr>
        <w:t xml:space="preserve">(für </w:t>
      </w:r>
      <w:r w:rsidRPr="003E5D4C">
        <w:rPr>
          <w:rFonts w:asciiTheme="minorHAnsi" w:hAnsiTheme="minorHAnsi"/>
          <w:noProof/>
          <w:lang w:val="de-DE"/>
        </w:rPr>
        <w:t>18</w:t>
      </w:r>
      <w:r w:rsidRPr="009B5B44">
        <w:rPr>
          <w:rFonts w:asciiTheme="minorHAnsi" w:hAnsiTheme="minorHAnsi"/>
          <w:noProof/>
          <w:lang w:val="de-DE"/>
        </w:rPr>
        <w:t xml:space="preserve">-Jährige, die quer durch Europa reisen). </w:t>
      </w:r>
      <w:r>
        <w:rPr>
          <w:rFonts w:asciiTheme="minorHAnsi" w:hAnsiTheme="minorHAnsi"/>
          <w:noProof/>
        </w:rPr>
        <w:t xml:space="preserve">Die Route sollte Anfang </w:t>
      </w:r>
      <w:r w:rsidRPr="003E5D4C">
        <w:rPr>
          <w:rFonts w:asciiTheme="minorHAnsi" w:hAnsiTheme="minorHAnsi"/>
          <w:noProof/>
        </w:rPr>
        <w:t>2023</w:t>
      </w:r>
      <w:r>
        <w:rPr>
          <w:rFonts w:asciiTheme="minorHAnsi" w:hAnsiTheme="minorHAnsi"/>
          <w:noProof/>
        </w:rPr>
        <w:t xml:space="preserve"> freigegeben werden.</w:t>
      </w:r>
    </w:p>
    <w:p w14:paraId="4CBA47C1" w14:textId="1BF09426" w:rsidR="001C1885" w:rsidRPr="009B5B44" w:rsidRDefault="70475FCA">
      <w:pPr>
        <w:pStyle w:val="ListParagraph"/>
        <w:numPr>
          <w:ilvl w:val="0"/>
          <w:numId w:val="27"/>
        </w:numPr>
        <w:spacing w:after="120" w:line="276" w:lineRule="auto"/>
        <w:contextualSpacing w:val="0"/>
        <w:jc w:val="both"/>
        <w:rPr>
          <w:rFonts w:asciiTheme="minorHAnsi" w:hAnsiTheme="minorHAnsi" w:cstheme="minorHAnsi"/>
          <w:b/>
          <w:noProof/>
          <w:lang w:val="de-DE"/>
        </w:rPr>
      </w:pPr>
      <w:r w:rsidRPr="009B5B44">
        <w:rPr>
          <w:rFonts w:asciiTheme="minorHAnsi" w:hAnsiTheme="minorHAnsi"/>
          <w:noProof/>
          <w:lang w:val="de-DE"/>
        </w:rPr>
        <w:t xml:space="preserve">Der </w:t>
      </w:r>
      <w:r w:rsidRPr="009B5B44">
        <w:rPr>
          <w:rFonts w:asciiTheme="minorHAnsi" w:hAnsiTheme="minorHAnsi"/>
          <w:b/>
          <w:noProof/>
          <w:lang w:val="de-DE"/>
        </w:rPr>
        <w:t xml:space="preserve">Europäische Preis für innovativen Unterricht </w:t>
      </w:r>
      <w:r w:rsidRPr="003E5D4C">
        <w:rPr>
          <w:rFonts w:asciiTheme="minorHAnsi" w:hAnsiTheme="minorHAnsi"/>
          <w:b/>
          <w:noProof/>
          <w:lang w:val="de-DE"/>
        </w:rPr>
        <w:t>2022</w:t>
      </w:r>
      <w:r>
        <w:rPr>
          <w:rStyle w:val="FootnoteReference"/>
          <w:rFonts w:asciiTheme="minorHAnsi" w:hAnsiTheme="minorHAnsi" w:cstheme="minorHAnsi"/>
          <w:noProof/>
        </w:rPr>
        <w:footnoteReference w:id="22"/>
      </w:r>
      <w:r w:rsidRPr="009B5B44">
        <w:rPr>
          <w:rFonts w:asciiTheme="minorHAnsi" w:hAnsiTheme="minorHAnsi"/>
          <w:b/>
          <w:noProof/>
          <w:lang w:val="de-DE"/>
        </w:rPr>
        <w:t xml:space="preserve"> </w:t>
      </w:r>
      <w:r w:rsidRPr="009B5B44">
        <w:rPr>
          <w:rFonts w:asciiTheme="minorHAnsi" w:hAnsiTheme="minorHAnsi"/>
          <w:noProof/>
          <w:lang w:val="de-DE"/>
        </w:rPr>
        <w:t>wurde konzipiert, um die Leidenschaft und Sorgfalt von Lehrkräften und Studierenden in den europäischen Bildungssystemen zu würdigen.</w:t>
      </w:r>
      <w:r w:rsidRPr="009B5B44">
        <w:rPr>
          <w:rFonts w:asciiTheme="minorHAnsi" w:hAnsiTheme="minorHAnsi"/>
          <w:b/>
          <w:noProof/>
          <w:lang w:val="de-DE"/>
        </w:rPr>
        <w:t xml:space="preserve"> </w:t>
      </w:r>
      <w:r w:rsidRPr="009B5B44">
        <w:rPr>
          <w:rFonts w:asciiTheme="minorHAnsi" w:hAnsiTheme="minorHAnsi"/>
          <w:noProof/>
          <w:lang w:val="de-DE"/>
        </w:rPr>
        <w:t xml:space="preserve">Bei der zweiten Verleihung erhielten </w:t>
      </w:r>
      <w:r w:rsidRPr="003E5D4C">
        <w:rPr>
          <w:rFonts w:asciiTheme="minorHAnsi" w:hAnsiTheme="minorHAnsi"/>
          <w:noProof/>
          <w:lang w:val="de-DE"/>
        </w:rPr>
        <w:t>98</w:t>
      </w:r>
      <w:r w:rsidRPr="009B5B44">
        <w:rPr>
          <w:rFonts w:asciiTheme="minorHAnsi" w:hAnsiTheme="minorHAnsi"/>
          <w:noProof/>
          <w:lang w:val="de-DE"/>
        </w:rPr>
        <w:t> Projekte den europäischen Preis für innovativen Unterricht in vier Kategorien: Frühkindliche Betreuung, Bildung und Erziehung, Primar-, Sekundar- und Berufsbildungseinrichtungen.</w:t>
      </w:r>
      <w:r w:rsidRPr="009B5B44">
        <w:rPr>
          <w:rFonts w:asciiTheme="minorHAnsi" w:hAnsiTheme="minorHAnsi"/>
          <w:b/>
          <w:noProof/>
          <w:lang w:val="de-DE"/>
        </w:rPr>
        <w:t xml:space="preserve"> </w:t>
      </w:r>
      <w:r w:rsidRPr="009B5B44">
        <w:rPr>
          <w:rFonts w:asciiTheme="minorHAnsi" w:hAnsiTheme="minorHAnsi"/>
          <w:noProof/>
          <w:lang w:val="de-DE"/>
        </w:rPr>
        <w:t xml:space="preserve">Der </w:t>
      </w:r>
      <w:r w:rsidRPr="009B5B44">
        <w:rPr>
          <w:rFonts w:asciiTheme="minorHAnsi" w:hAnsiTheme="minorHAnsi"/>
          <w:b/>
          <w:noProof/>
          <w:lang w:val="de-DE"/>
        </w:rPr>
        <w:t>Themenbereich</w:t>
      </w:r>
      <w:r w:rsidRPr="009B5B44">
        <w:rPr>
          <w:rFonts w:asciiTheme="minorHAnsi" w:hAnsiTheme="minorHAnsi"/>
          <w:noProof/>
          <w:lang w:val="de-DE"/>
        </w:rPr>
        <w:t xml:space="preserve">, der für die diesjährige Verleihung des Preises ausgewählt wurde, steht im Zusammenhang mit der NEB-Initiative: </w:t>
      </w:r>
      <w:r w:rsidRPr="009B5B44">
        <w:rPr>
          <w:rFonts w:asciiTheme="minorHAnsi" w:hAnsiTheme="minorHAnsi"/>
          <w:b/>
          <w:noProof/>
          <w:lang w:val="de-DE"/>
        </w:rPr>
        <w:t>„Gemeinsam lernen und dabei Kreativität und Nachhaltigkeit fördern“.</w:t>
      </w:r>
    </w:p>
    <w:p w14:paraId="051F46C1" w14:textId="5177BE6E" w:rsidR="00E92AB1" w:rsidRPr="009B5B44" w:rsidRDefault="00E92AB1" w:rsidP="00594675">
      <w:pPr>
        <w:pStyle w:val="ListParagraph"/>
        <w:numPr>
          <w:ilvl w:val="0"/>
          <w:numId w:val="27"/>
        </w:numPr>
        <w:spacing w:after="120" w:line="276" w:lineRule="auto"/>
        <w:contextualSpacing w:val="0"/>
        <w:jc w:val="both"/>
        <w:rPr>
          <w:rFonts w:asciiTheme="minorHAnsi" w:hAnsiTheme="minorHAnsi" w:cstheme="minorHAnsi"/>
          <w:noProof/>
          <w:lang w:val="de-DE"/>
        </w:rPr>
      </w:pPr>
      <w:r w:rsidRPr="009B5B44">
        <w:rPr>
          <w:rFonts w:asciiTheme="minorHAnsi" w:hAnsiTheme="minorHAnsi"/>
          <w:noProof/>
          <w:lang w:val="de-DE"/>
        </w:rPr>
        <w:t xml:space="preserve">Das </w:t>
      </w:r>
      <w:r w:rsidRPr="009B5B44">
        <w:rPr>
          <w:rFonts w:asciiTheme="minorHAnsi" w:hAnsiTheme="minorHAnsi"/>
          <w:b/>
          <w:noProof/>
          <w:lang w:val="de-DE"/>
        </w:rPr>
        <w:t xml:space="preserve">Jahresthema von eTwinning </w:t>
      </w:r>
      <w:r w:rsidRPr="003E5D4C">
        <w:rPr>
          <w:rFonts w:asciiTheme="minorHAnsi" w:hAnsiTheme="minorHAnsi"/>
          <w:b/>
          <w:noProof/>
          <w:lang w:val="de-DE"/>
        </w:rPr>
        <w:t>2022</w:t>
      </w:r>
      <w:r w:rsidRPr="009B5B44">
        <w:rPr>
          <w:rFonts w:asciiTheme="minorHAnsi" w:hAnsiTheme="minorHAnsi"/>
          <w:b/>
          <w:noProof/>
          <w:lang w:val="de-DE"/>
        </w:rPr>
        <w:t xml:space="preserve"> lautet „Unsere Zukunft: attraktiv – nachhaltig – gemeinsam. Schulen und das Neue Europäische Bauhaus: Vorstellung eines kreativen Lernumfelds in grünen und inklusive Schulen“.</w:t>
      </w:r>
      <w:r w:rsidRPr="009B5B44">
        <w:rPr>
          <w:rFonts w:asciiTheme="minorHAnsi" w:hAnsiTheme="minorHAnsi"/>
          <w:noProof/>
          <w:lang w:val="de-DE"/>
        </w:rPr>
        <w:t xml:space="preserve"> Lehrkräfte und Schulpersonal werden aufgefordert, mit ihren Schülern über ihre Vorstellungen von der idealen Schule nachzudenken (attraktiv, nachhaltig, gemeinsam).</w:t>
      </w:r>
    </w:p>
    <w:p w14:paraId="68A23C53" w14:textId="7A75F283" w:rsidR="001C1885" w:rsidRPr="009B5B44" w:rsidRDefault="001C1885">
      <w:pPr>
        <w:spacing w:after="120" w:line="276" w:lineRule="auto"/>
        <w:ind w:left="720"/>
        <w:jc w:val="both"/>
        <w:rPr>
          <w:rFonts w:asciiTheme="minorHAnsi" w:hAnsiTheme="minorHAnsi" w:cstheme="minorHAnsi"/>
          <w:noProof/>
          <w:lang w:val="de-DE"/>
        </w:rPr>
      </w:pPr>
      <w:r w:rsidRPr="009B5B44">
        <w:rPr>
          <w:rFonts w:asciiTheme="minorHAnsi" w:hAnsiTheme="minorHAnsi"/>
          <w:noProof/>
          <w:lang w:val="de-DE"/>
        </w:rPr>
        <w:t xml:space="preserve">Vom </w:t>
      </w:r>
      <w:r w:rsidRPr="003E5D4C">
        <w:rPr>
          <w:rFonts w:asciiTheme="minorHAnsi" w:hAnsiTheme="minorHAnsi"/>
          <w:noProof/>
          <w:lang w:val="de-DE"/>
        </w:rPr>
        <w:t>26</w:t>
      </w:r>
      <w:r w:rsidRPr="009B5B44">
        <w:rPr>
          <w:rFonts w:asciiTheme="minorHAnsi" w:hAnsiTheme="minorHAnsi"/>
          <w:noProof/>
          <w:lang w:val="de-DE"/>
        </w:rPr>
        <w:t xml:space="preserve">. September bis zum </w:t>
      </w:r>
      <w:r w:rsidRPr="003E5D4C">
        <w:rPr>
          <w:rFonts w:asciiTheme="minorHAnsi" w:hAnsiTheme="minorHAnsi"/>
          <w:noProof/>
          <w:lang w:val="de-DE"/>
        </w:rPr>
        <w:t>20</w:t>
      </w:r>
      <w:r w:rsidRPr="009B5B44">
        <w:rPr>
          <w:rFonts w:asciiTheme="minorHAnsi" w:hAnsiTheme="minorHAnsi"/>
          <w:noProof/>
          <w:lang w:val="de-DE"/>
        </w:rPr>
        <w:t xml:space="preserve">. Oktober </w:t>
      </w:r>
      <w:r w:rsidRPr="003E5D4C">
        <w:rPr>
          <w:rFonts w:asciiTheme="minorHAnsi" w:hAnsiTheme="minorHAnsi"/>
          <w:noProof/>
          <w:lang w:val="de-DE"/>
        </w:rPr>
        <w:t>2022</w:t>
      </w:r>
      <w:r w:rsidRPr="009B5B44">
        <w:rPr>
          <w:rFonts w:asciiTheme="minorHAnsi" w:hAnsiTheme="minorHAnsi"/>
          <w:noProof/>
          <w:lang w:val="de-DE"/>
        </w:rPr>
        <w:t xml:space="preserve"> fanden die </w:t>
      </w:r>
      <w:r w:rsidRPr="009B5B44">
        <w:rPr>
          <w:rFonts w:asciiTheme="minorHAnsi" w:hAnsiTheme="minorHAnsi"/>
          <w:b/>
          <w:noProof/>
          <w:lang w:val="de-DE"/>
        </w:rPr>
        <w:t>eTwinning Wochen</w:t>
      </w:r>
      <w:r w:rsidRPr="009B5B44">
        <w:rPr>
          <w:rFonts w:asciiTheme="minorHAnsi" w:hAnsiTheme="minorHAnsi"/>
          <w:noProof/>
          <w:lang w:val="de-DE"/>
        </w:rPr>
        <w:t xml:space="preserve"> statt, mit dem Ziel, die eTwinner zu ermutigen, neue hochwertige Projekte zum Jahresthema zu entwickeln. Die Kampagne wurde in der eigens dafür eingerichteten (auf eTwinner beschränkten) Gruppe durchgeführt und unterstützte die Teilnehmer mit einer breiten Palette von Aktivitäten zu diesem Thema, wie interaktive Webinare, Partnermessen, eine Galerie von Projektaktivitäten oder ein Forum für Fragen und Antworten. </w:t>
      </w:r>
    </w:p>
    <w:p w14:paraId="32F12AD3" w14:textId="74E651EF" w:rsidR="001C1885" w:rsidRPr="009B5B44" w:rsidRDefault="001C1885">
      <w:pPr>
        <w:spacing w:after="120" w:line="276" w:lineRule="auto"/>
        <w:ind w:left="720"/>
        <w:jc w:val="both"/>
        <w:rPr>
          <w:rFonts w:asciiTheme="minorHAnsi" w:hAnsiTheme="minorHAnsi" w:cstheme="minorHAnsi"/>
          <w:noProof/>
          <w:lang w:val="de-DE"/>
        </w:rPr>
      </w:pPr>
      <w:r w:rsidRPr="009B5B44">
        <w:rPr>
          <w:rFonts w:asciiTheme="minorHAnsi" w:hAnsiTheme="minorHAnsi"/>
          <w:noProof/>
          <w:lang w:val="de-DE"/>
        </w:rPr>
        <w:t xml:space="preserve">Vom </w:t>
      </w:r>
      <w:r w:rsidRPr="003E5D4C">
        <w:rPr>
          <w:rFonts w:asciiTheme="minorHAnsi" w:hAnsiTheme="minorHAnsi"/>
          <w:noProof/>
          <w:lang w:val="de-DE"/>
        </w:rPr>
        <w:t>20</w:t>
      </w:r>
      <w:r w:rsidRPr="009B5B44">
        <w:rPr>
          <w:rFonts w:asciiTheme="minorHAnsi" w:hAnsiTheme="minorHAnsi"/>
          <w:noProof/>
          <w:lang w:val="de-DE"/>
        </w:rPr>
        <w:t xml:space="preserve">. bis </w:t>
      </w:r>
      <w:r w:rsidRPr="003E5D4C">
        <w:rPr>
          <w:rFonts w:asciiTheme="minorHAnsi" w:hAnsiTheme="minorHAnsi"/>
          <w:noProof/>
          <w:lang w:val="de-DE"/>
        </w:rPr>
        <w:t>22</w:t>
      </w:r>
      <w:r w:rsidRPr="009B5B44">
        <w:rPr>
          <w:rFonts w:asciiTheme="minorHAnsi" w:hAnsiTheme="minorHAnsi"/>
          <w:noProof/>
          <w:lang w:val="de-DE"/>
        </w:rPr>
        <w:t xml:space="preserve">. Oktober </w:t>
      </w:r>
      <w:r w:rsidRPr="003E5D4C">
        <w:rPr>
          <w:rFonts w:asciiTheme="minorHAnsi" w:hAnsiTheme="minorHAnsi"/>
          <w:noProof/>
          <w:lang w:val="de-DE"/>
        </w:rPr>
        <w:t>2022</w:t>
      </w:r>
      <w:r w:rsidRPr="009B5B44">
        <w:rPr>
          <w:rFonts w:asciiTheme="minorHAnsi" w:hAnsiTheme="minorHAnsi"/>
          <w:noProof/>
          <w:lang w:val="de-DE"/>
        </w:rPr>
        <w:t xml:space="preserve"> fand die </w:t>
      </w:r>
      <w:r w:rsidRPr="009B5B44">
        <w:rPr>
          <w:rFonts w:asciiTheme="minorHAnsi" w:hAnsiTheme="minorHAnsi"/>
          <w:b/>
          <w:noProof/>
          <w:lang w:val="de-DE"/>
        </w:rPr>
        <w:t>eTwinning-Jahreskonferenz</w:t>
      </w:r>
      <w:r w:rsidRPr="009B5B44">
        <w:rPr>
          <w:rFonts w:asciiTheme="minorHAnsi" w:hAnsiTheme="minorHAnsi"/>
          <w:noProof/>
          <w:lang w:val="de-DE"/>
        </w:rPr>
        <w:t xml:space="preserve"> statt. Ziel der Veranstaltung war es, das Bewusstsein für das Thema zu schärfen und die Teilnehmer darüber zu informieren, wie eTwinning Lehrkräfte dabei unterstützen kann, das Jahresthema – Neues Europäisches Bauhaus – in ihren Schulen umzusetzen. </w:t>
      </w:r>
    </w:p>
    <w:p w14:paraId="690BEDC5" w14:textId="3668E1F4" w:rsidR="00106DD6" w:rsidRPr="009B5B44" w:rsidRDefault="00EC15C5" w:rsidP="00594675">
      <w:pPr>
        <w:pStyle w:val="ListParagraph"/>
        <w:numPr>
          <w:ilvl w:val="0"/>
          <w:numId w:val="27"/>
        </w:numPr>
        <w:spacing w:after="120" w:line="276" w:lineRule="auto"/>
        <w:contextualSpacing w:val="0"/>
        <w:jc w:val="both"/>
        <w:rPr>
          <w:rFonts w:asciiTheme="minorHAnsi" w:hAnsiTheme="minorHAnsi" w:cstheme="minorHAnsi"/>
          <w:noProof/>
          <w:lang w:val="de-DE"/>
        </w:rPr>
      </w:pPr>
      <w:r w:rsidRPr="009B5B44">
        <w:rPr>
          <w:rFonts w:asciiTheme="minorHAnsi" w:hAnsiTheme="minorHAnsi"/>
          <w:noProof/>
          <w:lang w:val="de-DE"/>
        </w:rPr>
        <w:t xml:space="preserve">Eine Aufforderung zur Einreichung von Vorschlägen zum Thema „Umgestaltung von Lernorten“. wurde am </w:t>
      </w:r>
      <w:r w:rsidRPr="003E5D4C">
        <w:rPr>
          <w:rFonts w:asciiTheme="minorHAnsi" w:hAnsiTheme="minorHAnsi"/>
          <w:noProof/>
          <w:lang w:val="de-DE"/>
        </w:rPr>
        <w:t>31</w:t>
      </w:r>
      <w:r w:rsidRPr="009B5B44">
        <w:rPr>
          <w:rFonts w:asciiTheme="minorHAnsi" w:hAnsiTheme="minorHAnsi"/>
          <w:noProof/>
          <w:lang w:val="de-DE"/>
        </w:rPr>
        <w:t xml:space="preserve">. Dezember </w:t>
      </w:r>
      <w:r w:rsidRPr="003E5D4C">
        <w:rPr>
          <w:rFonts w:asciiTheme="minorHAnsi" w:hAnsiTheme="minorHAnsi"/>
          <w:noProof/>
          <w:lang w:val="de-DE"/>
        </w:rPr>
        <w:t>2022</w:t>
      </w:r>
      <w:r w:rsidRPr="009B5B44">
        <w:rPr>
          <w:rFonts w:asciiTheme="minorHAnsi" w:hAnsiTheme="minorHAnsi"/>
          <w:noProof/>
          <w:lang w:val="de-DE"/>
        </w:rPr>
        <w:t xml:space="preserve"> abgeschlossen. Es wurden Projekte zur Umgestaltung von Lernorten gesucht, die einen konkreten Ort mit innovativen pädagogischen Methoden und der lokalen Gemeinschaft verbinden. Die Kommission war an den Bewerbungen für laufende oder neue Projekte in den Bereichen allgemeine und berufliche Bildung, Jugend und Wissen interessiert, die die Werte des Neuen Europäischen Bauhauses (Nachhaltigkeit, Ästhetik, Inklusion) widerspiegeln und darauf abzielen,</w:t>
      </w:r>
    </w:p>
    <w:p w14:paraId="41704D02" w14:textId="7F870E59" w:rsidR="00EC15C5" w:rsidRPr="009B5B44" w:rsidRDefault="00106DD6" w:rsidP="00594675">
      <w:pPr>
        <w:pStyle w:val="ListParagraph"/>
        <w:numPr>
          <w:ilvl w:val="0"/>
          <w:numId w:val="33"/>
        </w:numPr>
        <w:spacing w:after="120" w:line="276" w:lineRule="auto"/>
        <w:contextualSpacing w:val="0"/>
        <w:jc w:val="both"/>
        <w:rPr>
          <w:rFonts w:asciiTheme="minorHAnsi" w:hAnsiTheme="minorHAnsi" w:cstheme="minorHAnsi"/>
          <w:noProof/>
          <w:lang w:val="de-DE"/>
        </w:rPr>
      </w:pPr>
      <w:r w:rsidRPr="009B5B44">
        <w:rPr>
          <w:rFonts w:asciiTheme="minorHAnsi" w:hAnsiTheme="minorHAnsi"/>
          <w:noProof/>
          <w:lang w:val="de-DE"/>
        </w:rPr>
        <w:t>einen physischen Ort der Bildung und des Wissens umzugestalten,</w:t>
      </w:r>
    </w:p>
    <w:p w14:paraId="59FAFC98" w14:textId="7B3E7B4B" w:rsidR="00EC15C5" w:rsidRPr="009B5B44" w:rsidRDefault="00106DD6" w:rsidP="00594675">
      <w:pPr>
        <w:pStyle w:val="ListParagraph"/>
        <w:numPr>
          <w:ilvl w:val="0"/>
          <w:numId w:val="33"/>
        </w:numPr>
        <w:spacing w:after="120" w:line="276" w:lineRule="auto"/>
        <w:contextualSpacing w:val="0"/>
        <w:jc w:val="both"/>
        <w:rPr>
          <w:rFonts w:asciiTheme="minorHAnsi" w:hAnsiTheme="minorHAnsi" w:cstheme="minorHAnsi"/>
          <w:noProof/>
          <w:lang w:val="de-DE"/>
        </w:rPr>
      </w:pPr>
      <w:r w:rsidRPr="009B5B44">
        <w:rPr>
          <w:rFonts w:asciiTheme="minorHAnsi" w:hAnsiTheme="minorHAnsi"/>
          <w:noProof/>
          <w:lang w:val="de-DE"/>
        </w:rPr>
        <w:t>die Art und Weise zu lernen oder den Wissenserwerb und/oder das Bildungswesen und den pädagogischen Schwerpunkt umzugestalten,</w:t>
      </w:r>
    </w:p>
    <w:p w14:paraId="503E2071" w14:textId="270CDBF7" w:rsidR="00106DD6" w:rsidRPr="009B5B44" w:rsidRDefault="00106DD6" w:rsidP="00594675">
      <w:pPr>
        <w:pStyle w:val="ListParagraph"/>
        <w:numPr>
          <w:ilvl w:val="0"/>
          <w:numId w:val="33"/>
        </w:numPr>
        <w:spacing w:after="120" w:line="276" w:lineRule="auto"/>
        <w:contextualSpacing w:val="0"/>
        <w:jc w:val="both"/>
        <w:rPr>
          <w:rFonts w:asciiTheme="minorHAnsi" w:hAnsiTheme="minorHAnsi" w:cstheme="minorHAnsi"/>
          <w:noProof/>
          <w:lang w:val="de-DE"/>
        </w:rPr>
      </w:pPr>
      <w:r w:rsidRPr="009B5B44">
        <w:rPr>
          <w:rFonts w:asciiTheme="minorHAnsi" w:hAnsiTheme="minorHAnsi"/>
          <w:noProof/>
          <w:lang w:val="de-DE"/>
        </w:rPr>
        <w:t>die Beziehungen zur lokalen Gemeinschaft umzugestalten.</w:t>
      </w:r>
    </w:p>
    <w:p w14:paraId="10878B10" w14:textId="77777777" w:rsidR="00106DD6" w:rsidRPr="009B5B44" w:rsidRDefault="00106DD6" w:rsidP="00594675">
      <w:pPr>
        <w:spacing w:after="120" w:line="276" w:lineRule="auto"/>
        <w:jc w:val="both"/>
        <w:rPr>
          <w:rFonts w:asciiTheme="minorHAnsi" w:hAnsiTheme="minorHAnsi" w:cstheme="minorHAnsi"/>
          <w:noProof/>
          <w:lang w:val="de-DE"/>
        </w:rPr>
      </w:pPr>
    </w:p>
    <w:p w14:paraId="1FDD0675" w14:textId="38B250C9" w:rsidR="00E944F1" w:rsidRPr="009B5B44" w:rsidRDefault="00E944F1" w:rsidP="009255E4">
      <w:pPr>
        <w:spacing w:after="160" w:line="259" w:lineRule="auto"/>
        <w:rPr>
          <w:rFonts w:asciiTheme="minorHAnsi" w:hAnsiTheme="minorHAnsi" w:cstheme="minorHAnsi"/>
          <w:b/>
          <w:noProof/>
          <w:u w:val="single"/>
          <w:lang w:val="de-DE"/>
        </w:rPr>
      </w:pPr>
      <w:r w:rsidRPr="009B5B44">
        <w:rPr>
          <w:noProof/>
          <w:lang w:val="de-DE"/>
        </w:rPr>
        <w:br w:type="page"/>
      </w:r>
      <w:r w:rsidRPr="003E5D4C">
        <w:rPr>
          <w:rFonts w:asciiTheme="minorHAnsi" w:hAnsiTheme="minorHAnsi"/>
          <w:noProof/>
          <w:lang w:val="de-DE"/>
        </w:rPr>
        <w:t>4</w:t>
      </w:r>
      <w:r w:rsidRPr="009B5B44">
        <w:rPr>
          <w:rFonts w:asciiTheme="minorHAnsi" w:hAnsiTheme="minorHAnsi"/>
          <w:noProof/>
          <w:lang w:val="de-DE"/>
        </w:rPr>
        <w:t xml:space="preserve">. </w:t>
      </w:r>
      <w:r w:rsidRPr="009B5B44">
        <w:rPr>
          <w:rFonts w:asciiTheme="minorHAnsi" w:hAnsiTheme="minorHAnsi"/>
          <w:b/>
          <w:noProof/>
          <w:lang w:val="de-DE"/>
        </w:rPr>
        <w:t>EU-Mittel für das Neue Europäische Bauhaus – zusammenfassende Tabellen</w:t>
      </w:r>
    </w:p>
    <w:p w14:paraId="202959DD" w14:textId="77777777" w:rsidR="00E944F1" w:rsidRPr="009B5B44" w:rsidRDefault="00E944F1" w:rsidP="00E944F1">
      <w:pPr>
        <w:spacing w:after="120" w:line="276" w:lineRule="auto"/>
        <w:jc w:val="both"/>
        <w:rPr>
          <w:rFonts w:asciiTheme="minorHAnsi" w:hAnsiTheme="minorHAnsi" w:cstheme="minorHAnsi"/>
          <w:i/>
          <w:noProof/>
          <w:u w:val="single"/>
          <w:lang w:val="de-DE"/>
        </w:rPr>
      </w:pPr>
      <w:r w:rsidRPr="009B5B44">
        <w:rPr>
          <w:rFonts w:asciiTheme="minorHAnsi" w:hAnsiTheme="minorHAnsi"/>
          <w:i/>
          <w:noProof/>
          <w:u w:val="single"/>
          <w:lang w:val="de-DE"/>
        </w:rPr>
        <w:t>Für die Initiative bereitgestellte Mittel, hauptsächlich über auf das NEB ausgerichtete Aufforderungen zur Einreichung von Vorschlägen für den Zeitraum </w:t>
      </w:r>
      <w:r w:rsidRPr="003E5D4C">
        <w:rPr>
          <w:rFonts w:asciiTheme="minorHAnsi" w:hAnsiTheme="minorHAnsi"/>
          <w:i/>
          <w:noProof/>
          <w:u w:val="single"/>
          <w:lang w:val="de-DE"/>
        </w:rPr>
        <w:t>2021</w:t>
      </w:r>
      <w:r w:rsidRPr="009B5B44">
        <w:rPr>
          <w:rFonts w:asciiTheme="minorHAnsi" w:hAnsiTheme="minorHAnsi"/>
          <w:i/>
          <w:noProof/>
          <w:u w:val="single"/>
          <w:lang w:val="de-DE"/>
        </w:rPr>
        <w:t>-</w:t>
      </w:r>
      <w:r w:rsidRPr="003E5D4C">
        <w:rPr>
          <w:rFonts w:asciiTheme="minorHAnsi" w:hAnsiTheme="minorHAnsi"/>
          <w:i/>
          <w:noProof/>
          <w:u w:val="single"/>
          <w:lang w:val="de-DE"/>
        </w:rPr>
        <w:t>2022</w:t>
      </w:r>
      <w:r w:rsidRPr="009B5B44">
        <w:rPr>
          <w:rFonts w:asciiTheme="minorHAnsi" w:hAnsiTheme="minorHAnsi"/>
          <w:i/>
          <w:noProof/>
          <w:u w:val="single"/>
          <w:lang w:val="de-DE"/>
        </w:rPr>
        <w:t xml:space="preserve"> </w:t>
      </w:r>
    </w:p>
    <w:p w14:paraId="6D69360B" w14:textId="3FC4817D" w:rsidR="00E944F1" w:rsidRPr="009B5B44" w:rsidRDefault="00E944F1" w:rsidP="00E944F1">
      <w:pPr>
        <w:numPr>
          <w:ilvl w:val="1"/>
          <w:numId w:val="32"/>
        </w:numPr>
        <w:spacing w:after="120" w:line="276" w:lineRule="auto"/>
        <w:jc w:val="both"/>
        <w:rPr>
          <w:rFonts w:asciiTheme="minorHAnsi" w:hAnsiTheme="minorHAnsi" w:cstheme="minorHAnsi"/>
          <w:noProof/>
          <w:lang w:val="de-DE"/>
        </w:rPr>
      </w:pPr>
      <w:r w:rsidRPr="009B5B44">
        <w:rPr>
          <w:rFonts w:asciiTheme="minorHAnsi" w:hAnsiTheme="minorHAnsi"/>
          <w:noProof/>
          <w:lang w:val="de-DE"/>
        </w:rPr>
        <w:t>Bislang werden die für die Initiative verfügbaren EU-Mittel über bestehende EU-Programme bereitgestellt. Dieser Prozess der durchgängigen Berücksichtigung des Neuen Europäischen Bauhauses hat zu Aufforderungen zur Einreichung von Vorschlägen geführt, die in vollem Umfang der Initiative gewidmet sind (siehe Zusammenfassung in der nachstehenden Tabelle).</w:t>
      </w:r>
    </w:p>
    <w:tbl>
      <w:tblPr>
        <w:tblStyle w:val="TableGrid"/>
        <w:tblW w:w="5000" w:type="pct"/>
        <w:jc w:val="center"/>
        <w:tblLook w:val="04A0" w:firstRow="1" w:lastRow="0" w:firstColumn="1" w:lastColumn="0" w:noHBand="0" w:noVBand="1"/>
      </w:tblPr>
      <w:tblGrid>
        <w:gridCol w:w="2375"/>
        <w:gridCol w:w="2128"/>
        <w:gridCol w:w="4739"/>
      </w:tblGrid>
      <w:tr w:rsidR="00E944F1" w:rsidRPr="00594675" w14:paraId="6215469C" w14:textId="77777777" w:rsidTr="0058454A">
        <w:trPr>
          <w:jc w:val="center"/>
        </w:trPr>
        <w:tc>
          <w:tcPr>
            <w:tcW w:w="1285" w:type="pct"/>
            <w:shd w:val="clear" w:color="auto" w:fill="E7E6E6" w:themeFill="background2"/>
            <w:vAlign w:val="center"/>
          </w:tcPr>
          <w:p w14:paraId="799B54D2" w14:textId="77777777" w:rsidR="00E944F1" w:rsidRPr="00594675" w:rsidRDefault="00E944F1" w:rsidP="00E944F1">
            <w:pPr>
              <w:spacing w:after="120" w:line="276" w:lineRule="auto"/>
              <w:jc w:val="both"/>
              <w:rPr>
                <w:rFonts w:asciiTheme="minorHAnsi" w:hAnsiTheme="minorHAnsi" w:cstheme="minorHAnsi"/>
                <w:b/>
                <w:noProof/>
              </w:rPr>
            </w:pPr>
            <w:r>
              <w:rPr>
                <w:rFonts w:asciiTheme="minorHAnsi" w:hAnsiTheme="minorHAnsi"/>
                <w:b/>
                <w:noProof/>
              </w:rPr>
              <w:t>EU-Programm</w:t>
            </w:r>
          </w:p>
        </w:tc>
        <w:tc>
          <w:tcPr>
            <w:tcW w:w="1151" w:type="pct"/>
            <w:shd w:val="clear" w:color="auto" w:fill="E7E6E6" w:themeFill="background2"/>
            <w:vAlign w:val="center"/>
          </w:tcPr>
          <w:p w14:paraId="5711FE97" w14:textId="77777777" w:rsidR="00E944F1" w:rsidRPr="009B5B44" w:rsidRDefault="00E944F1" w:rsidP="00E944F1">
            <w:pPr>
              <w:spacing w:after="120" w:line="276" w:lineRule="auto"/>
              <w:jc w:val="both"/>
              <w:rPr>
                <w:rFonts w:asciiTheme="minorHAnsi" w:hAnsiTheme="minorHAnsi" w:cstheme="minorHAnsi"/>
                <w:b/>
                <w:noProof/>
                <w:lang w:val="de-DE"/>
              </w:rPr>
            </w:pPr>
            <w:r w:rsidRPr="009B5B44">
              <w:rPr>
                <w:rFonts w:asciiTheme="minorHAnsi" w:hAnsiTheme="minorHAnsi"/>
                <w:b/>
                <w:noProof/>
                <w:lang w:val="de-DE"/>
              </w:rPr>
              <w:t>Finanzierung </w:t>
            </w:r>
            <w:r w:rsidRPr="003E5D4C">
              <w:rPr>
                <w:rFonts w:asciiTheme="minorHAnsi" w:hAnsiTheme="minorHAnsi"/>
                <w:b/>
                <w:noProof/>
                <w:lang w:val="de-DE"/>
              </w:rPr>
              <w:t>2021</w:t>
            </w:r>
            <w:r w:rsidRPr="009B5B44">
              <w:rPr>
                <w:rFonts w:asciiTheme="minorHAnsi" w:hAnsiTheme="minorHAnsi"/>
                <w:b/>
                <w:noProof/>
                <w:lang w:val="de-DE"/>
              </w:rPr>
              <w:t>-</w:t>
            </w:r>
            <w:r w:rsidRPr="003E5D4C">
              <w:rPr>
                <w:rFonts w:asciiTheme="minorHAnsi" w:hAnsiTheme="minorHAnsi"/>
                <w:b/>
                <w:noProof/>
                <w:lang w:val="de-DE"/>
              </w:rPr>
              <w:t>2022</w:t>
            </w:r>
            <w:r w:rsidRPr="009B5B44">
              <w:rPr>
                <w:rFonts w:asciiTheme="minorHAnsi" w:hAnsiTheme="minorHAnsi"/>
                <w:b/>
                <w:noProof/>
                <w:lang w:val="de-DE"/>
              </w:rPr>
              <w:t xml:space="preserve"> (Aufforderungen, die dem Neuen Europäischen Bauhaus gewidmet sind)</w:t>
            </w:r>
          </w:p>
        </w:tc>
        <w:tc>
          <w:tcPr>
            <w:tcW w:w="2564" w:type="pct"/>
            <w:shd w:val="clear" w:color="auto" w:fill="E7E6E6" w:themeFill="background2"/>
            <w:vAlign w:val="center"/>
          </w:tcPr>
          <w:p w14:paraId="6860BBE6" w14:textId="77777777" w:rsidR="00E944F1" w:rsidRPr="00594675" w:rsidRDefault="00E944F1" w:rsidP="00E944F1">
            <w:pPr>
              <w:spacing w:after="120" w:line="276" w:lineRule="auto"/>
              <w:jc w:val="both"/>
              <w:rPr>
                <w:rFonts w:asciiTheme="minorHAnsi" w:hAnsiTheme="minorHAnsi" w:cstheme="minorHAnsi"/>
                <w:b/>
                <w:noProof/>
              </w:rPr>
            </w:pPr>
            <w:r>
              <w:rPr>
                <w:rFonts w:asciiTheme="minorHAnsi" w:hAnsiTheme="minorHAnsi"/>
                <w:b/>
                <w:noProof/>
              </w:rPr>
              <w:t>Zusätzliche Informationen</w:t>
            </w:r>
          </w:p>
        </w:tc>
      </w:tr>
      <w:tr w:rsidR="00E944F1" w:rsidRPr="005E7A2E" w14:paraId="1DDC57C9" w14:textId="77777777" w:rsidTr="0058454A">
        <w:trPr>
          <w:jc w:val="center"/>
        </w:trPr>
        <w:tc>
          <w:tcPr>
            <w:tcW w:w="1285" w:type="pct"/>
            <w:vAlign w:val="center"/>
          </w:tcPr>
          <w:p w14:paraId="6542C9A1" w14:textId="77777777" w:rsidR="00E944F1" w:rsidRPr="00594675" w:rsidRDefault="00E944F1" w:rsidP="00E944F1">
            <w:pPr>
              <w:spacing w:after="120" w:line="276" w:lineRule="auto"/>
              <w:jc w:val="both"/>
              <w:rPr>
                <w:rFonts w:asciiTheme="minorHAnsi" w:hAnsiTheme="minorHAnsi" w:cstheme="minorHAnsi"/>
                <w:noProof/>
              </w:rPr>
            </w:pPr>
            <w:r>
              <w:rPr>
                <w:rFonts w:asciiTheme="minorHAnsi" w:hAnsiTheme="minorHAnsi"/>
                <w:noProof/>
              </w:rPr>
              <w:t>Horizont Europa</w:t>
            </w:r>
          </w:p>
        </w:tc>
        <w:tc>
          <w:tcPr>
            <w:tcW w:w="1151" w:type="pct"/>
            <w:vAlign w:val="center"/>
          </w:tcPr>
          <w:p w14:paraId="4E3E0219" w14:textId="77777777" w:rsidR="00E944F1" w:rsidRPr="00594675" w:rsidRDefault="00E944F1" w:rsidP="00E944F1">
            <w:pPr>
              <w:spacing w:after="120" w:line="276" w:lineRule="auto"/>
              <w:jc w:val="both"/>
              <w:rPr>
                <w:rFonts w:asciiTheme="minorHAnsi" w:hAnsiTheme="minorHAnsi" w:cstheme="minorHAnsi"/>
                <w:noProof/>
              </w:rPr>
            </w:pPr>
            <w:r w:rsidRPr="003E5D4C">
              <w:rPr>
                <w:rFonts w:asciiTheme="minorHAnsi" w:hAnsiTheme="minorHAnsi"/>
                <w:noProof/>
              </w:rPr>
              <w:t>50</w:t>
            </w:r>
            <w:r>
              <w:rPr>
                <w:rFonts w:asciiTheme="minorHAnsi" w:hAnsiTheme="minorHAnsi"/>
                <w:noProof/>
              </w:rPr>
              <w:t>,</w:t>
            </w:r>
            <w:r w:rsidRPr="003E5D4C">
              <w:rPr>
                <w:rFonts w:asciiTheme="minorHAnsi" w:hAnsiTheme="minorHAnsi"/>
                <w:noProof/>
              </w:rPr>
              <w:t>5</w:t>
            </w:r>
            <w:r>
              <w:rPr>
                <w:rFonts w:asciiTheme="minorHAnsi" w:hAnsiTheme="minorHAnsi"/>
                <w:noProof/>
              </w:rPr>
              <w:t> Mio. EUR</w:t>
            </w:r>
          </w:p>
        </w:tc>
        <w:tc>
          <w:tcPr>
            <w:tcW w:w="2564" w:type="pct"/>
            <w:vAlign w:val="center"/>
          </w:tcPr>
          <w:p w14:paraId="3BE36667" w14:textId="77777777" w:rsidR="00E944F1" w:rsidRPr="009B5B44" w:rsidRDefault="00E944F1" w:rsidP="00E944F1">
            <w:pPr>
              <w:spacing w:after="120" w:line="276" w:lineRule="auto"/>
              <w:jc w:val="both"/>
              <w:rPr>
                <w:rFonts w:asciiTheme="minorHAnsi" w:hAnsiTheme="minorHAnsi" w:cstheme="minorHAnsi"/>
                <w:noProof/>
                <w:lang w:val="de-DE"/>
              </w:rPr>
            </w:pPr>
            <w:r w:rsidRPr="009B5B44">
              <w:rPr>
                <w:rFonts w:asciiTheme="minorHAnsi" w:hAnsiTheme="minorHAnsi"/>
                <w:noProof/>
                <w:lang w:val="de-DE"/>
              </w:rPr>
              <w:t>Finanzierung durch die Cluster, die Missionen und die KIC-übergreifende Initiative „NEB der EIT-Gemeinschaft“</w:t>
            </w:r>
          </w:p>
        </w:tc>
      </w:tr>
      <w:tr w:rsidR="00E944F1" w:rsidRPr="005E7A2E" w14:paraId="5E150973" w14:textId="77777777" w:rsidTr="0058454A">
        <w:trPr>
          <w:jc w:val="center"/>
        </w:trPr>
        <w:tc>
          <w:tcPr>
            <w:tcW w:w="1285" w:type="pct"/>
            <w:vAlign w:val="center"/>
          </w:tcPr>
          <w:p w14:paraId="29206FBF" w14:textId="77777777" w:rsidR="00E944F1" w:rsidRPr="00594675" w:rsidRDefault="00E944F1" w:rsidP="00E944F1">
            <w:pPr>
              <w:spacing w:after="120" w:line="276" w:lineRule="auto"/>
              <w:jc w:val="both"/>
              <w:rPr>
                <w:rFonts w:asciiTheme="minorHAnsi" w:hAnsiTheme="minorHAnsi" w:cstheme="minorHAnsi"/>
                <w:noProof/>
              </w:rPr>
            </w:pPr>
            <w:r>
              <w:rPr>
                <w:rFonts w:asciiTheme="minorHAnsi" w:hAnsiTheme="minorHAnsi"/>
                <w:noProof/>
              </w:rPr>
              <w:t>Kohäsionspolitik (EFRE)</w:t>
            </w:r>
          </w:p>
        </w:tc>
        <w:tc>
          <w:tcPr>
            <w:tcW w:w="1151" w:type="pct"/>
            <w:vAlign w:val="center"/>
          </w:tcPr>
          <w:p w14:paraId="5C6BAEED" w14:textId="77777777" w:rsidR="00E944F1" w:rsidRPr="00594675" w:rsidRDefault="00E944F1" w:rsidP="00E944F1">
            <w:pPr>
              <w:spacing w:after="120" w:line="276" w:lineRule="auto"/>
              <w:jc w:val="both"/>
              <w:rPr>
                <w:rFonts w:asciiTheme="minorHAnsi" w:hAnsiTheme="minorHAnsi" w:cstheme="minorHAnsi"/>
                <w:noProof/>
              </w:rPr>
            </w:pPr>
            <w:r w:rsidRPr="003E5D4C">
              <w:rPr>
                <w:rFonts w:asciiTheme="minorHAnsi" w:hAnsiTheme="minorHAnsi"/>
                <w:noProof/>
              </w:rPr>
              <w:t>52</w:t>
            </w:r>
            <w:r>
              <w:rPr>
                <w:rFonts w:asciiTheme="minorHAnsi" w:hAnsiTheme="minorHAnsi"/>
                <w:noProof/>
              </w:rPr>
              <w:t>,</w:t>
            </w:r>
            <w:r w:rsidRPr="003E5D4C">
              <w:rPr>
                <w:rFonts w:asciiTheme="minorHAnsi" w:hAnsiTheme="minorHAnsi"/>
                <w:noProof/>
              </w:rPr>
              <w:t>5</w:t>
            </w:r>
            <w:r>
              <w:rPr>
                <w:rFonts w:asciiTheme="minorHAnsi" w:hAnsiTheme="minorHAnsi"/>
                <w:noProof/>
              </w:rPr>
              <w:t> Mio. EUR</w:t>
            </w:r>
          </w:p>
        </w:tc>
        <w:tc>
          <w:tcPr>
            <w:tcW w:w="2564" w:type="pct"/>
            <w:vAlign w:val="center"/>
          </w:tcPr>
          <w:p w14:paraId="2A22B14F" w14:textId="77777777" w:rsidR="00E944F1" w:rsidRPr="009B5B44" w:rsidRDefault="00E944F1" w:rsidP="00E944F1">
            <w:pPr>
              <w:spacing w:after="120" w:line="276" w:lineRule="auto"/>
              <w:jc w:val="both"/>
              <w:rPr>
                <w:rFonts w:asciiTheme="minorHAnsi" w:hAnsiTheme="minorHAnsi" w:cstheme="minorHAnsi"/>
                <w:noProof/>
                <w:lang w:val="de-DE"/>
              </w:rPr>
            </w:pPr>
            <w:r w:rsidRPr="009B5B44">
              <w:rPr>
                <w:rFonts w:asciiTheme="minorHAnsi" w:hAnsiTheme="minorHAnsi"/>
                <w:noProof/>
                <w:lang w:val="de-DE"/>
              </w:rPr>
              <w:t>Finanzierung im Rahmen der technischen Hilfe und der Europäischen Stadtinitiative</w:t>
            </w:r>
          </w:p>
          <w:p w14:paraId="0FF8FD2B" w14:textId="77777777" w:rsidR="00E944F1" w:rsidRPr="009B5B44" w:rsidRDefault="00E944F1" w:rsidP="00E944F1">
            <w:pPr>
              <w:spacing w:after="120" w:line="276" w:lineRule="auto"/>
              <w:jc w:val="both"/>
              <w:rPr>
                <w:rFonts w:asciiTheme="minorHAnsi" w:hAnsiTheme="minorHAnsi" w:cstheme="minorHAnsi"/>
                <w:noProof/>
                <w:lang w:val="de-DE"/>
              </w:rPr>
            </w:pPr>
            <w:r w:rsidRPr="009B5B44">
              <w:rPr>
                <w:rFonts w:asciiTheme="minorHAnsi" w:hAnsiTheme="minorHAnsi"/>
                <w:noProof/>
                <w:lang w:val="de-DE"/>
              </w:rPr>
              <w:t>Diese Zahl umfasst nicht die Mittel, die den jährlichen NEB-Preisen zugewiesen werden.</w:t>
            </w:r>
          </w:p>
        </w:tc>
      </w:tr>
      <w:tr w:rsidR="00E944F1" w:rsidRPr="005E7A2E" w14:paraId="526E29F3" w14:textId="77777777" w:rsidTr="0058454A">
        <w:trPr>
          <w:jc w:val="center"/>
        </w:trPr>
        <w:tc>
          <w:tcPr>
            <w:tcW w:w="1285" w:type="pct"/>
            <w:vAlign w:val="center"/>
          </w:tcPr>
          <w:p w14:paraId="68186EC5" w14:textId="77777777" w:rsidR="00E944F1" w:rsidRPr="00594675" w:rsidRDefault="00E944F1" w:rsidP="00E944F1">
            <w:pPr>
              <w:spacing w:after="120" w:line="276" w:lineRule="auto"/>
              <w:jc w:val="both"/>
              <w:rPr>
                <w:rFonts w:asciiTheme="minorHAnsi" w:hAnsiTheme="minorHAnsi" w:cstheme="minorHAnsi"/>
                <w:noProof/>
              </w:rPr>
            </w:pPr>
            <w:r>
              <w:rPr>
                <w:rFonts w:asciiTheme="minorHAnsi" w:hAnsiTheme="minorHAnsi"/>
                <w:noProof/>
              </w:rPr>
              <w:t>LIFE</w:t>
            </w:r>
          </w:p>
        </w:tc>
        <w:tc>
          <w:tcPr>
            <w:tcW w:w="1151" w:type="pct"/>
            <w:vAlign w:val="center"/>
          </w:tcPr>
          <w:p w14:paraId="0C5E6E49" w14:textId="77777777" w:rsidR="00E944F1" w:rsidRPr="00594675" w:rsidRDefault="00E944F1" w:rsidP="00E944F1">
            <w:pPr>
              <w:spacing w:after="120" w:line="276" w:lineRule="auto"/>
              <w:jc w:val="both"/>
              <w:rPr>
                <w:rFonts w:asciiTheme="minorHAnsi" w:hAnsiTheme="minorHAnsi" w:cstheme="minorHAnsi"/>
                <w:noProof/>
              </w:rPr>
            </w:pPr>
            <w:r w:rsidRPr="003E5D4C">
              <w:rPr>
                <w:rFonts w:asciiTheme="minorHAnsi" w:hAnsiTheme="minorHAnsi"/>
                <w:noProof/>
              </w:rPr>
              <w:t>0</w:t>
            </w:r>
            <w:r>
              <w:rPr>
                <w:rFonts w:asciiTheme="minorHAnsi" w:hAnsiTheme="minorHAnsi"/>
                <w:noProof/>
              </w:rPr>
              <w:t>,</w:t>
            </w:r>
            <w:r w:rsidRPr="003E5D4C">
              <w:rPr>
                <w:rFonts w:asciiTheme="minorHAnsi" w:hAnsiTheme="minorHAnsi"/>
                <w:noProof/>
              </w:rPr>
              <w:t>15</w:t>
            </w:r>
            <w:r>
              <w:rPr>
                <w:rFonts w:asciiTheme="minorHAnsi" w:hAnsiTheme="minorHAnsi"/>
                <w:noProof/>
              </w:rPr>
              <w:t> Mio. EUR</w:t>
            </w:r>
          </w:p>
        </w:tc>
        <w:tc>
          <w:tcPr>
            <w:tcW w:w="2564" w:type="pct"/>
            <w:vAlign w:val="center"/>
          </w:tcPr>
          <w:p w14:paraId="1DB99D85" w14:textId="70A86A74" w:rsidR="00E944F1" w:rsidRPr="009B5B44" w:rsidRDefault="00E944F1" w:rsidP="00E944F1">
            <w:pPr>
              <w:spacing w:after="120" w:line="276" w:lineRule="auto"/>
              <w:jc w:val="both"/>
              <w:rPr>
                <w:rFonts w:asciiTheme="minorHAnsi" w:hAnsiTheme="minorHAnsi" w:cstheme="minorHAnsi"/>
                <w:noProof/>
                <w:lang w:val="de-DE"/>
              </w:rPr>
            </w:pPr>
            <w:r w:rsidRPr="009B5B44">
              <w:rPr>
                <w:rFonts w:asciiTheme="minorHAnsi" w:hAnsiTheme="minorHAnsi"/>
                <w:noProof/>
                <w:lang w:val="de-DE"/>
              </w:rPr>
              <w:t xml:space="preserve">Finanzierung der Plattformveranstaltung zum Wissensaustausch </w:t>
            </w:r>
            <w:r w:rsidRPr="009B5B44">
              <w:rPr>
                <w:rFonts w:asciiTheme="minorHAnsi" w:hAnsiTheme="minorHAnsi"/>
                <w:i/>
                <w:noProof/>
                <w:lang w:val="de-DE"/>
              </w:rPr>
              <w:t>(LIFE im Neuen Europäischen Bauhaus</w:t>
            </w:r>
            <w:r w:rsidRPr="009B5B44">
              <w:rPr>
                <w:rFonts w:asciiTheme="minorHAnsi" w:hAnsiTheme="minorHAnsi"/>
                <w:noProof/>
                <w:lang w:val="de-DE"/>
              </w:rPr>
              <w:t>)</w:t>
            </w:r>
          </w:p>
          <w:p w14:paraId="74DCB73A" w14:textId="77777777" w:rsidR="00E944F1" w:rsidRPr="009B5B44" w:rsidRDefault="00E944F1" w:rsidP="00E944F1">
            <w:pPr>
              <w:spacing w:after="120" w:line="276" w:lineRule="auto"/>
              <w:jc w:val="both"/>
              <w:rPr>
                <w:rFonts w:asciiTheme="minorHAnsi" w:hAnsiTheme="minorHAnsi" w:cstheme="minorHAnsi"/>
                <w:noProof/>
                <w:lang w:val="de-DE"/>
              </w:rPr>
            </w:pPr>
            <w:r w:rsidRPr="009B5B44">
              <w:rPr>
                <w:rFonts w:asciiTheme="minorHAnsi" w:hAnsiTheme="minorHAnsi"/>
                <w:noProof/>
                <w:lang w:val="de-DE"/>
              </w:rPr>
              <w:t xml:space="preserve">Aus dem LIFE-Programm waren im Rahmen einer Aufforderung zur Einreichung von Vorschlägen ebenfalls Mittel in Höhe von </w:t>
            </w:r>
            <w:r w:rsidRPr="003E5D4C">
              <w:rPr>
                <w:rFonts w:asciiTheme="minorHAnsi" w:hAnsiTheme="minorHAnsi"/>
                <w:noProof/>
                <w:lang w:val="de-DE"/>
              </w:rPr>
              <w:t>13</w:t>
            </w:r>
            <w:r w:rsidRPr="009B5B44">
              <w:rPr>
                <w:rFonts w:asciiTheme="minorHAnsi" w:hAnsiTheme="minorHAnsi"/>
                <w:noProof/>
                <w:lang w:val="de-DE"/>
              </w:rPr>
              <w:t> Mio. EUR vorgesehen, doch die Anträge haben die Bewertung nicht bestanden</w:t>
            </w:r>
          </w:p>
        </w:tc>
      </w:tr>
      <w:tr w:rsidR="00E944F1" w:rsidRPr="005E7A2E" w14:paraId="2E5C897C" w14:textId="77777777" w:rsidTr="0058454A">
        <w:trPr>
          <w:jc w:val="center"/>
        </w:trPr>
        <w:tc>
          <w:tcPr>
            <w:tcW w:w="1285" w:type="pct"/>
            <w:vAlign w:val="center"/>
          </w:tcPr>
          <w:p w14:paraId="674C2F1C" w14:textId="3A420D01" w:rsidR="00E944F1" w:rsidRPr="00594675" w:rsidRDefault="00E944F1" w:rsidP="00E944F1">
            <w:pPr>
              <w:spacing w:after="120" w:line="276" w:lineRule="auto"/>
              <w:jc w:val="both"/>
              <w:rPr>
                <w:rFonts w:asciiTheme="minorHAnsi" w:hAnsiTheme="minorHAnsi" w:cstheme="minorHAnsi"/>
                <w:noProof/>
              </w:rPr>
            </w:pPr>
            <w:r>
              <w:rPr>
                <w:rFonts w:asciiTheme="minorHAnsi" w:hAnsiTheme="minorHAnsi"/>
                <w:noProof/>
              </w:rPr>
              <w:t xml:space="preserve">Binnenmarktprogramm, einschließlich COSME-Programm </w:t>
            </w:r>
          </w:p>
        </w:tc>
        <w:tc>
          <w:tcPr>
            <w:tcW w:w="1151" w:type="pct"/>
            <w:vAlign w:val="center"/>
          </w:tcPr>
          <w:p w14:paraId="70B82B39" w14:textId="0808E060" w:rsidR="00E944F1" w:rsidRPr="00594675" w:rsidRDefault="00E944F1" w:rsidP="00E944F1">
            <w:pPr>
              <w:spacing w:after="120" w:line="276" w:lineRule="auto"/>
              <w:jc w:val="both"/>
              <w:rPr>
                <w:rFonts w:asciiTheme="minorHAnsi" w:hAnsiTheme="minorHAnsi" w:cstheme="minorHAnsi"/>
                <w:noProof/>
              </w:rPr>
            </w:pPr>
            <w:r w:rsidRPr="003E5D4C">
              <w:rPr>
                <w:rFonts w:asciiTheme="minorHAnsi" w:hAnsiTheme="minorHAnsi"/>
                <w:noProof/>
              </w:rPr>
              <w:t>2</w:t>
            </w:r>
            <w:r>
              <w:rPr>
                <w:rFonts w:asciiTheme="minorHAnsi" w:hAnsiTheme="minorHAnsi"/>
                <w:noProof/>
              </w:rPr>
              <w:t>,</w:t>
            </w:r>
            <w:r w:rsidRPr="003E5D4C">
              <w:rPr>
                <w:rFonts w:asciiTheme="minorHAnsi" w:hAnsiTheme="minorHAnsi"/>
                <w:noProof/>
              </w:rPr>
              <w:t>2</w:t>
            </w:r>
            <w:r>
              <w:rPr>
                <w:rFonts w:asciiTheme="minorHAnsi" w:hAnsiTheme="minorHAnsi"/>
                <w:noProof/>
              </w:rPr>
              <w:t> Mio. EUR</w:t>
            </w:r>
          </w:p>
        </w:tc>
        <w:tc>
          <w:tcPr>
            <w:tcW w:w="2564" w:type="pct"/>
            <w:vAlign w:val="center"/>
          </w:tcPr>
          <w:p w14:paraId="645F12AE" w14:textId="57947CA5" w:rsidR="00E944F1" w:rsidRPr="009B5B44" w:rsidRDefault="00E944F1" w:rsidP="00E944F1">
            <w:pPr>
              <w:spacing w:after="120" w:line="276" w:lineRule="auto"/>
              <w:jc w:val="both"/>
              <w:rPr>
                <w:rFonts w:asciiTheme="minorHAnsi" w:hAnsiTheme="minorHAnsi" w:cstheme="minorHAnsi"/>
                <w:noProof/>
                <w:lang w:val="de-DE"/>
              </w:rPr>
            </w:pPr>
            <w:r w:rsidRPr="009B5B44">
              <w:rPr>
                <w:rFonts w:asciiTheme="minorHAnsi" w:hAnsiTheme="minorHAnsi"/>
                <w:noProof/>
                <w:lang w:val="de-DE"/>
              </w:rPr>
              <w:t xml:space="preserve">Finanzierung aus der Initiative für bezahlbaren Wohnraum und dem Partnerschaftsprojekt Worth II </w:t>
            </w:r>
          </w:p>
        </w:tc>
      </w:tr>
      <w:tr w:rsidR="00E944F1" w:rsidRPr="005E7A2E" w14:paraId="2C66B016" w14:textId="77777777" w:rsidTr="0058454A">
        <w:trPr>
          <w:jc w:val="center"/>
        </w:trPr>
        <w:tc>
          <w:tcPr>
            <w:tcW w:w="1285" w:type="pct"/>
            <w:vAlign w:val="center"/>
          </w:tcPr>
          <w:p w14:paraId="2F131F95" w14:textId="77777777" w:rsidR="00E944F1" w:rsidRPr="00594675" w:rsidRDefault="00E944F1" w:rsidP="00E944F1">
            <w:pPr>
              <w:spacing w:after="120" w:line="276" w:lineRule="auto"/>
              <w:jc w:val="both"/>
              <w:rPr>
                <w:rFonts w:asciiTheme="minorHAnsi" w:hAnsiTheme="minorHAnsi" w:cstheme="minorHAnsi"/>
                <w:noProof/>
              </w:rPr>
            </w:pPr>
            <w:r>
              <w:rPr>
                <w:rFonts w:asciiTheme="minorHAnsi" w:hAnsiTheme="minorHAnsi"/>
                <w:noProof/>
              </w:rPr>
              <w:t>Programm „Digitales Europa“</w:t>
            </w:r>
          </w:p>
        </w:tc>
        <w:tc>
          <w:tcPr>
            <w:tcW w:w="1151" w:type="pct"/>
            <w:vAlign w:val="center"/>
          </w:tcPr>
          <w:p w14:paraId="0BAF6030" w14:textId="77777777" w:rsidR="00E944F1" w:rsidRPr="00594675" w:rsidRDefault="00E944F1" w:rsidP="00E944F1">
            <w:pPr>
              <w:spacing w:after="120" w:line="276" w:lineRule="auto"/>
              <w:jc w:val="both"/>
              <w:rPr>
                <w:rFonts w:asciiTheme="minorHAnsi" w:hAnsiTheme="minorHAnsi" w:cstheme="minorHAnsi"/>
                <w:noProof/>
              </w:rPr>
            </w:pPr>
            <w:r w:rsidRPr="003E5D4C">
              <w:rPr>
                <w:rFonts w:asciiTheme="minorHAnsi" w:hAnsiTheme="minorHAnsi"/>
                <w:noProof/>
              </w:rPr>
              <w:t>1</w:t>
            </w:r>
            <w:r>
              <w:rPr>
                <w:rFonts w:asciiTheme="minorHAnsi" w:hAnsiTheme="minorHAnsi"/>
                <w:noProof/>
              </w:rPr>
              <w:t> Mio. EUR</w:t>
            </w:r>
          </w:p>
        </w:tc>
        <w:tc>
          <w:tcPr>
            <w:tcW w:w="2564" w:type="pct"/>
            <w:shd w:val="clear" w:color="auto" w:fill="E7E6E6" w:themeFill="background2"/>
            <w:vAlign w:val="center"/>
          </w:tcPr>
          <w:p w14:paraId="6209C8BC" w14:textId="77777777" w:rsidR="00E944F1" w:rsidRPr="009B5B44" w:rsidRDefault="00E944F1" w:rsidP="00E944F1">
            <w:pPr>
              <w:spacing w:after="120" w:line="276" w:lineRule="auto"/>
              <w:jc w:val="both"/>
              <w:rPr>
                <w:rFonts w:asciiTheme="minorHAnsi" w:hAnsiTheme="minorHAnsi" w:cstheme="minorHAnsi"/>
                <w:noProof/>
                <w:lang w:val="de-DE"/>
              </w:rPr>
            </w:pPr>
            <w:r w:rsidRPr="009B5B44">
              <w:rPr>
                <w:rFonts w:asciiTheme="minorHAnsi" w:hAnsiTheme="minorHAnsi"/>
                <w:noProof/>
                <w:lang w:val="de-DE"/>
              </w:rPr>
              <w:t>Finanzierung aus dem mehrjährigen Arbeitsprogramm „Digitales Europa“ für den Zeitraum </w:t>
            </w:r>
            <w:r w:rsidRPr="003E5D4C">
              <w:rPr>
                <w:rFonts w:asciiTheme="minorHAnsi" w:hAnsiTheme="minorHAnsi"/>
                <w:noProof/>
                <w:lang w:val="de-DE"/>
              </w:rPr>
              <w:t>2021</w:t>
            </w:r>
            <w:r w:rsidRPr="009B5B44">
              <w:rPr>
                <w:rFonts w:asciiTheme="minorHAnsi" w:hAnsiTheme="minorHAnsi"/>
                <w:noProof/>
                <w:lang w:val="de-DE"/>
              </w:rPr>
              <w:t>-</w:t>
            </w:r>
            <w:r w:rsidRPr="003E5D4C">
              <w:rPr>
                <w:rFonts w:asciiTheme="minorHAnsi" w:hAnsiTheme="minorHAnsi"/>
                <w:noProof/>
                <w:lang w:val="de-DE"/>
              </w:rPr>
              <w:t>2022</w:t>
            </w:r>
          </w:p>
        </w:tc>
      </w:tr>
      <w:tr w:rsidR="00E944F1" w:rsidRPr="00594675" w14:paraId="7A714DBC" w14:textId="77777777" w:rsidTr="0058454A">
        <w:trPr>
          <w:jc w:val="center"/>
        </w:trPr>
        <w:tc>
          <w:tcPr>
            <w:tcW w:w="1285" w:type="pct"/>
            <w:shd w:val="clear" w:color="auto" w:fill="E7E6E6" w:themeFill="background2"/>
            <w:vAlign w:val="center"/>
          </w:tcPr>
          <w:p w14:paraId="7A7E0305" w14:textId="77777777" w:rsidR="00E944F1" w:rsidRPr="00594675" w:rsidRDefault="00E944F1" w:rsidP="00E944F1">
            <w:pPr>
              <w:spacing w:after="120" w:line="276" w:lineRule="auto"/>
              <w:jc w:val="both"/>
              <w:rPr>
                <w:rFonts w:asciiTheme="minorHAnsi" w:hAnsiTheme="minorHAnsi" w:cstheme="minorHAnsi"/>
                <w:b/>
                <w:noProof/>
              </w:rPr>
            </w:pPr>
            <w:r>
              <w:rPr>
                <w:rFonts w:asciiTheme="minorHAnsi" w:hAnsiTheme="minorHAnsi"/>
                <w:b/>
                <w:noProof/>
              </w:rPr>
              <w:t xml:space="preserve">NEB-spezifische Aufforderungen </w:t>
            </w:r>
            <w:r w:rsidRPr="003E5D4C">
              <w:rPr>
                <w:rFonts w:asciiTheme="minorHAnsi" w:hAnsiTheme="minorHAnsi"/>
                <w:b/>
                <w:noProof/>
              </w:rPr>
              <w:t>2021</w:t>
            </w:r>
            <w:r>
              <w:rPr>
                <w:rFonts w:asciiTheme="minorHAnsi" w:hAnsiTheme="minorHAnsi"/>
                <w:b/>
                <w:noProof/>
              </w:rPr>
              <w:t>-</w:t>
            </w:r>
            <w:r w:rsidRPr="003E5D4C">
              <w:rPr>
                <w:rFonts w:asciiTheme="minorHAnsi" w:hAnsiTheme="minorHAnsi"/>
                <w:b/>
                <w:noProof/>
              </w:rPr>
              <w:t>2022</w:t>
            </w:r>
            <w:r>
              <w:rPr>
                <w:rFonts w:asciiTheme="minorHAnsi" w:hAnsiTheme="minorHAnsi"/>
                <w:b/>
                <w:noProof/>
              </w:rPr>
              <w:t xml:space="preserve"> insgesamt</w:t>
            </w:r>
          </w:p>
        </w:tc>
        <w:tc>
          <w:tcPr>
            <w:tcW w:w="1151" w:type="pct"/>
            <w:shd w:val="clear" w:color="auto" w:fill="E7E6E6" w:themeFill="background2"/>
            <w:vAlign w:val="center"/>
          </w:tcPr>
          <w:p w14:paraId="4F46DE83" w14:textId="7306AA5A" w:rsidR="00E944F1" w:rsidRPr="00594675" w:rsidRDefault="00E944F1" w:rsidP="008C45AB">
            <w:pPr>
              <w:spacing w:after="120" w:line="276" w:lineRule="auto"/>
              <w:jc w:val="both"/>
              <w:rPr>
                <w:rFonts w:asciiTheme="minorHAnsi" w:hAnsiTheme="minorHAnsi" w:cstheme="minorHAnsi"/>
                <w:b/>
                <w:noProof/>
              </w:rPr>
            </w:pPr>
            <w:r w:rsidRPr="003E5D4C">
              <w:rPr>
                <w:rFonts w:asciiTheme="minorHAnsi" w:hAnsiTheme="minorHAnsi"/>
                <w:b/>
                <w:noProof/>
              </w:rPr>
              <w:t>106</w:t>
            </w:r>
            <w:r>
              <w:rPr>
                <w:rFonts w:asciiTheme="minorHAnsi" w:hAnsiTheme="minorHAnsi"/>
                <w:b/>
                <w:noProof/>
              </w:rPr>
              <w:t>,</w:t>
            </w:r>
            <w:r w:rsidRPr="003E5D4C">
              <w:rPr>
                <w:rFonts w:asciiTheme="minorHAnsi" w:hAnsiTheme="minorHAnsi"/>
                <w:b/>
                <w:noProof/>
              </w:rPr>
              <w:t>35</w:t>
            </w:r>
            <w:r>
              <w:rPr>
                <w:rFonts w:asciiTheme="minorHAnsi" w:hAnsiTheme="minorHAnsi"/>
                <w:b/>
                <w:noProof/>
              </w:rPr>
              <w:t> Mio. EUR</w:t>
            </w:r>
          </w:p>
        </w:tc>
        <w:tc>
          <w:tcPr>
            <w:tcW w:w="2564" w:type="pct"/>
            <w:shd w:val="clear" w:color="auto" w:fill="E7E6E6" w:themeFill="background2"/>
            <w:vAlign w:val="center"/>
          </w:tcPr>
          <w:p w14:paraId="6CD31FA1" w14:textId="77777777" w:rsidR="00E944F1" w:rsidRPr="00594675" w:rsidRDefault="00E944F1" w:rsidP="00E944F1">
            <w:pPr>
              <w:spacing w:after="120" w:line="276" w:lineRule="auto"/>
              <w:jc w:val="both"/>
              <w:rPr>
                <w:rFonts w:asciiTheme="minorHAnsi" w:hAnsiTheme="minorHAnsi" w:cstheme="minorHAnsi"/>
                <w:noProof/>
              </w:rPr>
            </w:pPr>
          </w:p>
        </w:tc>
      </w:tr>
    </w:tbl>
    <w:p w14:paraId="67C01503" w14:textId="77777777" w:rsidR="00E944F1" w:rsidRPr="00594675" w:rsidRDefault="00E944F1" w:rsidP="00E944F1">
      <w:pPr>
        <w:spacing w:after="120" w:line="276" w:lineRule="auto"/>
        <w:jc w:val="both"/>
        <w:rPr>
          <w:rFonts w:asciiTheme="minorHAnsi" w:hAnsiTheme="minorHAnsi" w:cstheme="minorHAnsi"/>
          <w:b/>
          <w:noProof/>
        </w:rPr>
      </w:pPr>
    </w:p>
    <w:p w14:paraId="5D615E4C" w14:textId="77777777" w:rsidR="00E944F1" w:rsidRPr="009B5B44" w:rsidRDefault="00E944F1" w:rsidP="00E944F1">
      <w:pPr>
        <w:spacing w:after="120" w:line="276" w:lineRule="auto"/>
        <w:jc w:val="both"/>
        <w:rPr>
          <w:rFonts w:asciiTheme="minorHAnsi" w:hAnsiTheme="minorHAnsi" w:cstheme="minorHAnsi"/>
          <w:i/>
          <w:noProof/>
          <w:u w:val="single"/>
          <w:lang w:val="de-DE"/>
        </w:rPr>
      </w:pPr>
      <w:r w:rsidRPr="009B5B44">
        <w:rPr>
          <w:rFonts w:asciiTheme="minorHAnsi" w:hAnsiTheme="minorHAnsi"/>
          <w:i/>
          <w:noProof/>
          <w:u w:val="single"/>
          <w:lang w:val="de-DE"/>
        </w:rPr>
        <w:t>Vorläufige Mittelzuweisung für die Initiative, hauptsächlich über auf das NEB ausgerichtete Aufforderungen zur Einreichung von Vorschlägen für den Zeitraum </w:t>
      </w:r>
      <w:r w:rsidRPr="003E5D4C">
        <w:rPr>
          <w:rFonts w:asciiTheme="minorHAnsi" w:hAnsiTheme="minorHAnsi"/>
          <w:i/>
          <w:noProof/>
          <w:u w:val="single"/>
          <w:lang w:val="de-DE"/>
        </w:rPr>
        <w:t>2023</w:t>
      </w:r>
      <w:r w:rsidRPr="009B5B44">
        <w:rPr>
          <w:rFonts w:asciiTheme="minorHAnsi" w:hAnsiTheme="minorHAnsi"/>
          <w:i/>
          <w:noProof/>
          <w:u w:val="single"/>
          <w:lang w:val="de-DE"/>
        </w:rPr>
        <w:t>-</w:t>
      </w:r>
      <w:r w:rsidRPr="003E5D4C">
        <w:rPr>
          <w:rFonts w:asciiTheme="minorHAnsi" w:hAnsiTheme="minorHAnsi"/>
          <w:i/>
          <w:noProof/>
          <w:u w:val="single"/>
          <w:lang w:val="de-DE"/>
        </w:rPr>
        <w:t>2024</w:t>
      </w:r>
      <w:r w:rsidRPr="009B5B44">
        <w:rPr>
          <w:rFonts w:asciiTheme="minorHAnsi" w:hAnsiTheme="minorHAnsi"/>
          <w:i/>
          <w:noProof/>
          <w:u w:val="single"/>
          <w:lang w:val="de-DE"/>
        </w:rPr>
        <w:t xml:space="preserve"> </w:t>
      </w:r>
    </w:p>
    <w:p w14:paraId="7B6B7461" w14:textId="77777777" w:rsidR="00E944F1" w:rsidRPr="009B5B44" w:rsidRDefault="00E944F1" w:rsidP="00E944F1">
      <w:pPr>
        <w:spacing w:after="120" w:line="276" w:lineRule="auto"/>
        <w:jc w:val="both"/>
        <w:rPr>
          <w:rFonts w:asciiTheme="minorHAnsi" w:hAnsiTheme="minorHAnsi" w:cstheme="minorHAnsi"/>
          <w:b/>
          <w:noProof/>
          <w:lang w:val="de-DE"/>
        </w:rPr>
      </w:pPr>
    </w:p>
    <w:p w14:paraId="645CA738" w14:textId="73BADC39" w:rsidR="00E944F1" w:rsidRPr="009B5B44" w:rsidRDefault="00E944F1" w:rsidP="2EDE63A7">
      <w:pPr>
        <w:numPr>
          <w:ilvl w:val="1"/>
          <w:numId w:val="32"/>
        </w:numPr>
        <w:spacing w:after="120" w:line="276" w:lineRule="auto"/>
        <w:jc w:val="both"/>
        <w:rPr>
          <w:rFonts w:asciiTheme="minorHAnsi" w:hAnsiTheme="minorHAnsi" w:cstheme="minorBidi"/>
          <w:noProof/>
          <w:lang w:val="de-DE"/>
        </w:rPr>
      </w:pPr>
      <w:r w:rsidRPr="009B5B44">
        <w:rPr>
          <w:rFonts w:asciiTheme="minorHAnsi" w:hAnsiTheme="minorHAnsi"/>
          <w:noProof/>
          <w:lang w:val="de-DE"/>
        </w:rPr>
        <w:t>Im Zeitraum </w:t>
      </w:r>
      <w:r w:rsidRPr="003E5D4C">
        <w:rPr>
          <w:rFonts w:asciiTheme="minorHAnsi" w:hAnsiTheme="minorHAnsi"/>
          <w:noProof/>
          <w:lang w:val="de-DE"/>
        </w:rPr>
        <w:t>2023</w:t>
      </w:r>
      <w:r w:rsidRPr="009B5B44">
        <w:rPr>
          <w:rFonts w:asciiTheme="minorHAnsi" w:hAnsiTheme="minorHAnsi"/>
          <w:noProof/>
          <w:lang w:val="de-DE"/>
        </w:rPr>
        <w:t>-</w:t>
      </w:r>
      <w:r w:rsidRPr="003E5D4C">
        <w:rPr>
          <w:rFonts w:asciiTheme="minorHAnsi" w:hAnsiTheme="minorHAnsi"/>
          <w:noProof/>
          <w:lang w:val="de-DE"/>
        </w:rPr>
        <w:t>2024</w:t>
      </w:r>
      <w:r w:rsidRPr="009B5B44">
        <w:rPr>
          <w:rFonts w:asciiTheme="minorHAnsi" w:hAnsiTheme="minorHAnsi"/>
          <w:noProof/>
          <w:lang w:val="de-DE"/>
        </w:rPr>
        <w:t xml:space="preserve"> wird die durchgängige Berücksichtigung des neuen Europäischen Bauhauses fortgesetzt. Derzeit betreffen die meisten verfügbaren Informationen „Horizont Europa“ (siehe nachstehende Tabelle).</w:t>
      </w:r>
    </w:p>
    <w:p w14:paraId="51880475" w14:textId="77777777" w:rsidR="00E944F1" w:rsidRPr="009B5B44" w:rsidRDefault="00E944F1" w:rsidP="00E944F1">
      <w:pPr>
        <w:spacing w:after="120" w:line="276" w:lineRule="auto"/>
        <w:jc w:val="both"/>
        <w:rPr>
          <w:rFonts w:asciiTheme="minorHAnsi" w:hAnsiTheme="minorHAnsi" w:cstheme="minorHAnsi"/>
          <w:b/>
          <w:noProof/>
          <w:lang w:val="de-DE"/>
        </w:rPr>
      </w:pPr>
    </w:p>
    <w:tbl>
      <w:tblPr>
        <w:tblStyle w:val="TableGrid"/>
        <w:tblW w:w="5000" w:type="pct"/>
        <w:jc w:val="center"/>
        <w:tblLook w:val="04A0" w:firstRow="1" w:lastRow="0" w:firstColumn="1" w:lastColumn="0" w:noHBand="0" w:noVBand="1"/>
      </w:tblPr>
      <w:tblGrid>
        <w:gridCol w:w="2092"/>
        <w:gridCol w:w="2270"/>
        <w:gridCol w:w="4880"/>
      </w:tblGrid>
      <w:tr w:rsidR="00E944F1" w:rsidRPr="00594675" w14:paraId="712DD161" w14:textId="77777777" w:rsidTr="00C1601A">
        <w:trPr>
          <w:jc w:val="center"/>
        </w:trPr>
        <w:tc>
          <w:tcPr>
            <w:tcW w:w="1132" w:type="pct"/>
            <w:shd w:val="clear" w:color="auto" w:fill="E7E6E6" w:themeFill="background2"/>
            <w:vAlign w:val="center"/>
          </w:tcPr>
          <w:p w14:paraId="6A1FD2AB" w14:textId="77777777" w:rsidR="00E944F1" w:rsidRPr="00594675" w:rsidRDefault="00E944F1" w:rsidP="00E944F1">
            <w:pPr>
              <w:spacing w:after="120" w:line="276" w:lineRule="auto"/>
              <w:jc w:val="both"/>
              <w:rPr>
                <w:rFonts w:asciiTheme="minorHAnsi" w:hAnsiTheme="minorHAnsi" w:cstheme="minorHAnsi"/>
                <w:b/>
                <w:noProof/>
              </w:rPr>
            </w:pPr>
            <w:r>
              <w:rPr>
                <w:rFonts w:asciiTheme="minorHAnsi" w:hAnsiTheme="minorHAnsi"/>
                <w:b/>
                <w:noProof/>
              </w:rPr>
              <w:t>EU-Programm</w:t>
            </w:r>
          </w:p>
        </w:tc>
        <w:tc>
          <w:tcPr>
            <w:tcW w:w="1228" w:type="pct"/>
            <w:shd w:val="clear" w:color="auto" w:fill="E7E6E6" w:themeFill="background2"/>
            <w:vAlign w:val="center"/>
          </w:tcPr>
          <w:p w14:paraId="61E1E5FA" w14:textId="77777777" w:rsidR="00E944F1" w:rsidRPr="009B5B44" w:rsidRDefault="00E944F1" w:rsidP="00E944F1">
            <w:pPr>
              <w:spacing w:after="120" w:line="276" w:lineRule="auto"/>
              <w:jc w:val="both"/>
              <w:rPr>
                <w:rFonts w:asciiTheme="minorHAnsi" w:hAnsiTheme="minorHAnsi" w:cstheme="minorHAnsi"/>
                <w:b/>
                <w:noProof/>
                <w:lang w:val="de-DE"/>
              </w:rPr>
            </w:pPr>
            <w:r w:rsidRPr="009B5B44">
              <w:rPr>
                <w:rFonts w:asciiTheme="minorHAnsi" w:hAnsiTheme="minorHAnsi"/>
                <w:b/>
                <w:noProof/>
                <w:lang w:val="de-DE"/>
              </w:rPr>
              <w:t>Finanzierung </w:t>
            </w:r>
            <w:r w:rsidRPr="003E5D4C">
              <w:rPr>
                <w:rFonts w:asciiTheme="minorHAnsi" w:hAnsiTheme="minorHAnsi"/>
                <w:b/>
                <w:noProof/>
                <w:lang w:val="de-DE"/>
              </w:rPr>
              <w:t>2023</w:t>
            </w:r>
            <w:r w:rsidRPr="009B5B44">
              <w:rPr>
                <w:rFonts w:asciiTheme="minorHAnsi" w:hAnsiTheme="minorHAnsi"/>
                <w:b/>
                <w:noProof/>
                <w:lang w:val="de-DE"/>
              </w:rPr>
              <w:t>-</w:t>
            </w:r>
            <w:r w:rsidRPr="003E5D4C">
              <w:rPr>
                <w:rFonts w:asciiTheme="minorHAnsi" w:hAnsiTheme="minorHAnsi"/>
                <w:b/>
                <w:noProof/>
                <w:lang w:val="de-DE"/>
              </w:rPr>
              <w:t>2024</w:t>
            </w:r>
            <w:r w:rsidRPr="009B5B44">
              <w:rPr>
                <w:rFonts w:asciiTheme="minorHAnsi" w:hAnsiTheme="minorHAnsi"/>
                <w:b/>
                <w:noProof/>
                <w:lang w:val="de-DE"/>
              </w:rPr>
              <w:t xml:space="preserve"> (Aufforderungen, die dem Neuen Europäischen Bauhaus gewidmet sind)</w:t>
            </w:r>
          </w:p>
        </w:tc>
        <w:tc>
          <w:tcPr>
            <w:tcW w:w="2640" w:type="pct"/>
            <w:shd w:val="clear" w:color="auto" w:fill="E7E6E6" w:themeFill="background2"/>
            <w:vAlign w:val="center"/>
          </w:tcPr>
          <w:p w14:paraId="32408B54" w14:textId="77777777" w:rsidR="00E944F1" w:rsidRPr="00594675" w:rsidRDefault="00E944F1" w:rsidP="00E944F1">
            <w:pPr>
              <w:spacing w:after="120" w:line="276" w:lineRule="auto"/>
              <w:jc w:val="both"/>
              <w:rPr>
                <w:rFonts w:asciiTheme="minorHAnsi" w:hAnsiTheme="minorHAnsi" w:cstheme="minorHAnsi"/>
                <w:b/>
                <w:noProof/>
              </w:rPr>
            </w:pPr>
            <w:r>
              <w:rPr>
                <w:rFonts w:asciiTheme="minorHAnsi" w:hAnsiTheme="minorHAnsi"/>
                <w:b/>
                <w:noProof/>
              </w:rPr>
              <w:t>Zusätzliche Informationen</w:t>
            </w:r>
          </w:p>
        </w:tc>
      </w:tr>
      <w:tr w:rsidR="00E944F1" w:rsidRPr="005E7A2E" w14:paraId="12537615" w14:textId="77777777" w:rsidTr="00C1601A">
        <w:trPr>
          <w:jc w:val="center"/>
        </w:trPr>
        <w:tc>
          <w:tcPr>
            <w:tcW w:w="1132" w:type="pct"/>
            <w:vAlign w:val="center"/>
          </w:tcPr>
          <w:p w14:paraId="05C67B77" w14:textId="77777777" w:rsidR="00E944F1" w:rsidRPr="00594675" w:rsidRDefault="00E944F1" w:rsidP="00E944F1">
            <w:pPr>
              <w:spacing w:after="120" w:line="276" w:lineRule="auto"/>
              <w:jc w:val="both"/>
              <w:rPr>
                <w:rFonts w:asciiTheme="minorHAnsi" w:hAnsiTheme="minorHAnsi" w:cstheme="minorHAnsi"/>
                <w:noProof/>
              </w:rPr>
            </w:pPr>
            <w:r>
              <w:rPr>
                <w:rFonts w:asciiTheme="minorHAnsi" w:hAnsiTheme="minorHAnsi"/>
                <w:noProof/>
              </w:rPr>
              <w:t>Horizont Europa</w:t>
            </w:r>
          </w:p>
        </w:tc>
        <w:tc>
          <w:tcPr>
            <w:tcW w:w="1228" w:type="pct"/>
            <w:vAlign w:val="center"/>
          </w:tcPr>
          <w:p w14:paraId="2A7B3636" w14:textId="629F7E1A" w:rsidR="00E944F1" w:rsidRPr="00594675" w:rsidRDefault="00E944F1">
            <w:pPr>
              <w:spacing w:after="120" w:line="276" w:lineRule="auto"/>
              <w:jc w:val="both"/>
              <w:rPr>
                <w:rFonts w:asciiTheme="minorHAnsi" w:hAnsiTheme="minorHAnsi" w:cstheme="minorHAnsi"/>
                <w:noProof/>
              </w:rPr>
            </w:pPr>
            <w:r w:rsidRPr="003E5D4C">
              <w:rPr>
                <w:rFonts w:asciiTheme="minorHAnsi" w:hAnsiTheme="minorHAnsi"/>
                <w:noProof/>
              </w:rPr>
              <w:t>106</w:t>
            </w:r>
            <w:r>
              <w:rPr>
                <w:rFonts w:asciiTheme="minorHAnsi" w:hAnsiTheme="minorHAnsi"/>
                <w:noProof/>
              </w:rPr>
              <w:t>,</w:t>
            </w:r>
            <w:r w:rsidRPr="003E5D4C">
              <w:rPr>
                <w:rFonts w:asciiTheme="minorHAnsi" w:hAnsiTheme="minorHAnsi"/>
                <w:noProof/>
              </w:rPr>
              <w:t>3</w:t>
            </w:r>
            <w:r>
              <w:rPr>
                <w:rFonts w:asciiTheme="minorHAnsi" w:hAnsiTheme="minorHAnsi"/>
                <w:noProof/>
              </w:rPr>
              <w:t xml:space="preserve"> Mio. EUR </w:t>
            </w:r>
          </w:p>
        </w:tc>
        <w:tc>
          <w:tcPr>
            <w:tcW w:w="2640" w:type="pct"/>
            <w:vAlign w:val="center"/>
          </w:tcPr>
          <w:p w14:paraId="53DB6F03" w14:textId="77777777" w:rsidR="00E944F1" w:rsidRPr="009B5B44" w:rsidRDefault="00E944F1" w:rsidP="00E944F1">
            <w:pPr>
              <w:spacing w:after="120" w:line="276" w:lineRule="auto"/>
              <w:jc w:val="both"/>
              <w:rPr>
                <w:rFonts w:asciiTheme="minorHAnsi" w:hAnsiTheme="minorHAnsi" w:cstheme="minorHAnsi"/>
                <w:noProof/>
                <w:lang w:val="de-DE"/>
              </w:rPr>
            </w:pPr>
            <w:r w:rsidRPr="009B5B44">
              <w:rPr>
                <w:rFonts w:asciiTheme="minorHAnsi" w:hAnsiTheme="minorHAnsi"/>
                <w:noProof/>
                <w:lang w:val="de-DE"/>
              </w:rPr>
              <w:t xml:space="preserve">Finanzierung durch die Cluster und die Missionen </w:t>
            </w:r>
          </w:p>
          <w:p w14:paraId="243EA52D" w14:textId="77777777" w:rsidR="00E944F1" w:rsidRPr="009B5B44" w:rsidRDefault="00E944F1" w:rsidP="00E944F1">
            <w:pPr>
              <w:spacing w:after="120" w:line="276" w:lineRule="auto"/>
              <w:jc w:val="both"/>
              <w:rPr>
                <w:rFonts w:asciiTheme="minorHAnsi" w:hAnsiTheme="minorHAnsi" w:cstheme="minorHAnsi"/>
                <w:noProof/>
                <w:lang w:val="de-DE"/>
              </w:rPr>
            </w:pPr>
            <w:r w:rsidRPr="009B5B44">
              <w:rPr>
                <w:rFonts w:asciiTheme="minorHAnsi" w:hAnsiTheme="minorHAnsi"/>
                <w:noProof/>
                <w:lang w:val="de-DE"/>
              </w:rPr>
              <w:t>Finanzierung der KIC-übergreifenden Initiative „Neues Europäisches Bauhaus der EIT-Gemeinschaft“ noch nicht bestätigt (die EIT-Aufforderung zur Unterstützung KIC-übergreifender Initiativen ist im Gange)</w:t>
            </w:r>
          </w:p>
        </w:tc>
      </w:tr>
    </w:tbl>
    <w:p w14:paraId="4A355262" w14:textId="77777777" w:rsidR="00E944F1" w:rsidRPr="009B5B44" w:rsidRDefault="00E944F1" w:rsidP="00E944F1">
      <w:pPr>
        <w:spacing w:after="120" w:line="276" w:lineRule="auto"/>
        <w:jc w:val="both"/>
        <w:rPr>
          <w:rFonts w:asciiTheme="minorHAnsi" w:hAnsiTheme="minorHAnsi" w:cstheme="minorHAnsi"/>
          <w:noProof/>
          <w:lang w:val="de-DE"/>
        </w:rPr>
      </w:pPr>
    </w:p>
    <w:p w14:paraId="7AA660A0" w14:textId="77777777" w:rsidR="00E944F1" w:rsidRPr="009B5B44" w:rsidRDefault="00E944F1" w:rsidP="00E944F1">
      <w:pPr>
        <w:spacing w:after="120" w:line="276" w:lineRule="auto"/>
        <w:jc w:val="both"/>
        <w:rPr>
          <w:rFonts w:asciiTheme="minorHAnsi" w:hAnsiTheme="minorHAnsi" w:cstheme="minorHAnsi"/>
          <w:i/>
          <w:noProof/>
          <w:u w:val="single"/>
          <w:lang w:val="de-DE"/>
        </w:rPr>
      </w:pPr>
      <w:r w:rsidRPr="009B5B44">
        <w:rPr>
          <w:rFonts w:asciiTheme="minorHAnsi" w:hAnsiTheme="minorHAnsi"/>
          <w:i/>
          <w:noProof/>
          <w:u w:val="single"/>
          <w:lang w:val="de-DE"/>
        </w:rPr>
        <w:t xml:space="preserve">Zusätzliche Mittel, die im Rahmen von zum NEB beitragenden Aufforderungen zur Einreichung von Vorschlägen bereitgestellt werden </w:t>
      </w:r>
    </w:p>
    <w:p w14:paraId="5BD5D0F6" w14:textId="77777777" w:rsidR="00E944F1" w:rsidRPr="009B5B44" w:rsidRDefault="00E944F1" w:rsidP="00E944F1">
      <w:pPr>
        <w:spacing w:after="120" w:line="276" w:lineRule="auto"/>
        <w:jc w:val="both"/>
        <w:rPr>
          <w:rFonts w:asciiTheme="minorHAnsi" w:hAnsiTheme="minorHAnsi" w:cstheme="minorHAnsi"/>
          <w:i/>
          <w:noProof/>
          <w:u w:val="single"/>
          <w:lang w:val="de-DE"/>
        </w:rPr>
      </w:pPr>
    </w:p>
    <w:p w14:paraId="34BE4A81" w14:textId="1BB58DFB" w:rsidR="00E944F1" w:rsidRPr="009B5B44" w:rsidRDefault="00E944F1" w:rsidP="00E944F1">
      <w:pPr>
        <w:numPr>
          <w:ilvl w:val="1"/>
          <w:numId w:val="32"/>
        </w:numPr>
        <w:spacing w:after="120" w:line="276" w:lineRule="auto"/>
        <w:jc w:val="both"/>
        <w:rPr>
          <w:rFonts w:asciiTheme="minorHAnsi" w:hAnsiTheme="minorHAnsi" w:cstheme="minorHAnsi"/>
          <w:noProof/>
          <w:lang w:val="de-DE"/>
        </w:rPr>
      </w:pPr>
      <w:r w:rsidRPr="009B5B44">
        <w:rPr>
          <w:rFonts w:asciiTheme="minorHAnsi" w:hAnsiTheme="minorHAnsi"/>
          <w:noProof/>
          <w:lang w:val="de-DE"/>
        </w:rPr>
        <w:t xml:space="preserve">Beitragende Aufforderungen sind die Aufforderungen zur Einreichung von Vorschlägen, mit denen das NEB teilweise unterstützt wird, indem die Initiative als Kontext- oder Prioritätselement aufgenommen wird (ohne spezifische Mittelzuweisungen für das NEB). </w:t>
      </w:r>
    </w:p>
    <w:p w14:paraId="033D083D" w14:textId="77777777" w:rsidR="00E944F1" w:rsidRPr="009B5B44" w:rsidRDefault="00E944F1" w:rsidP="00E944F1">
      <w:pPr>
        <w:numPr>
          <w:ilvl w:val="1"/>
          <w:numId w:val="32"/>
        </w:numPr>
        <w:spacing w:after="120" w:line="276" w:lineRule="auto"/>
        <w:jc w:val="both"/>
        <w:rPr>
          <w:rFonts w:asciiTheme="minorHAnsi" w:hAnsiTheme="minorHAnsi" w:cstheme="minorHAnsi"/>
          <w:noProof/>
          <w:lang w:val="de-DE"/>
        </w:rPr>
      </w:pPr>
      <w:r w:rsidRPr="009B5B44">
        <w:rPr>
          <w:rFonts w:asciiTheme="minorHAnsi" w:hAnsiTheme="minorHAnsi"/>
          <w:noProof/>
          <w:lang w:val="de-DE"/>
        </w:rPr>
        <w:t xml:space="preserve">Über Horizont Europa hinaus sind für </w:t>
      </w:r>
      <w:r w:rsidRPr="003E5D4C">
        <w:rPr>
          <w:rFonts w:asciiTheme="minorHAnsi" w:hAnsiTheme="minorHAnsi"/>
          <w:noProof/>
          <w:lang w:val="de-DE"/>
        </w:rPr>
        <w:t>2023</w:t>
      </w:r>
      <w:r w:rsidRPr="009B5B44">
        <w:rPr>
          <w:rFonts w:asciiTheme="minorHAnsi" w:hAnsiTheme="minorHAnsi"/>
          <w:noProof/>
          <w:lang w:val="de-DE"/>
        </w:rPr>
        <w:t xml:space="preserve"> zum NEB beitragende Aufforderungen zur Einreichung von Vorschlägen in Erasmus+, Kreatives Europa, dem Europäischen Solidaritätskorps und LIFE vorgesehen (siehe nachstehende Tabelle).</w:t>
      </w:r>
    </w:p>
    <w:p w14:paraId="5771C9AD" w14:textId="77777777" w:rsidR="00E944F1" w:rsidRPr="009B5B44" w:rsidRDefault="00E944F1" w:rsidP="00E944F1">
      <w:pPr>
        <w:spacing w:after="120" w:line="276" w:lineRule="auto"/>
        <w:jc w:val="both"/>
        <w:rPr>
          <w:rFonts w:asciiTheme="minorHAnsi" w:hAnsiTheme="minorHAnsi" w:cstheme="minorHAnsi"/>
          <w:noProof/>
          <w:lang w:val="de-DE"/>
        </w:rPr>
      </w:pPr>
    </w:p>
    <w:tbl>
      <w:tblPr>
        <w:tblStyle w:val="TableGrid"/>
        <w:tblW w:w="4873" w:type="pct"/>
        <w:jc w:val="center"/>
        <w:tblLook w:val="04A0" w:firstRow="1" w:lastRow="0" w:firstColumn="1" w:lastColumn="0" w:noHBand="0" w:noVBand="1"/>
      </w:tblPr>
      <w:tblGrid>
        <w:gridCol w:w="2940"/>
        <w:gridCol w:w="6067"/>
      </w:tblGrid>
      <w:tr w:rsidR="00E944F1" w:rsidRPr="00594675" w14:paraId="3DDAC540" w14:textId="77777777" w:rsidTr="2EDE63A7">
        <w:trPr>
          <w:jc w:val="center"/>
        </w:trPr>
        <w:tc>
          <w:tcPr>
            <w:tcW w:w="1632" w:type="pct"/>
            <w:shd w:val="clear" w:color="auto" w:fill="E7E6E6" w:themeFill="background2"/>
            <w:vAlign w:val="center"/>
          </w:tcPr>
          <w:p w14:paraId="4352D08F" w14:textId="77777777" w:rsidR="00E944F1" w:rsidRPr="00594675" w:rsidRDefault="00E944F1" w:rsidP="00E944F1">
            <w:pPr>
              <w:spacing w:after="120" w:line="276" w:lineRule="auto"/>
              <w:jc w:val="both"/>
              <w:rPr>
                <w:rFonts w:asciiTheme="minorHAnsi" w:hAnsiTheme="minorHAnsi" w:cstheme="minorHAnsi"/>
                <w:b/>
                <w:noProof/>
              </w:rPr>
            </w:pPr>
            <w:r>
              <w:rPr>
                <w:rFonts w:asciiTheme="minorHAnsi" w:hAnsiTheme="minorHAnsi"/>
                <w:b/>
                <w:noProof/>
              </w:rPr>
              <w:t>EU-Programm</w:t>
            </w:r>
          </w:p>
        </w:tc>
        <w:tc>
          <w:tcPr>
            <w:tcW w:w="3368" w:type="pct"/>
            <w:shd w:val="clear" w:color="auto" w:fill="E7E6E6" w:themeFill="background2"/>
            <w:vAlign w:val="center"/>
          </w:tcPr>
          <w:p w14:paraId="5B17DF34" w14:textId="77777777" w:rsidR="00E944F1" w:rsidRPr="00594675" w:rsidRDefault="00E944F1" w:rsidP="00E944F1">
            <w:pPr>
              <w:spacing w:after="120" w:line="276" w:lineRule="auto"/>
              <w:jc w:val="both"/>
              <w:rPr>
                <w:rFonts w:asciiTheme="minorHAnsi" w:hAnsiTheme="minorHAnsi" w:cstheme="minorHAnsi"/>
                <w:b/>
                <w:noProof/>
              </w:rPr>
            </w:pPr>
            <w:r>
              <w:rPr>
                <w:rFonts w:asciiTheme="minorHAnsi" w:hAnsiTheme="minorHAnsi"/>
                <w:b/>
                <w:noProof/>
              </w:rPr>
              <w:t>Zusätzliche Informationen</w:t>
            </w:r>
          </w:p>
        </w:tc>
      </w:tr>
      <w:tr w:rsidR="00E944F1" w:rsidRPr="00594675" w14:paraId="29BEF2C0" w14:textId="77777777" w:rsidTr="2EDE63A7">
        <w:trPr>
          <w:jc w:val="center"/>
        </w:trPr>
        <w:tc>
          <w:tcPr>
            <w:tcW w:w="1632" w:type="pct"/>
            <w:vAlign w:val="center"/>
          </w:tcPr>
          <w:p w14:paraId="0CCE0FA8" w14:textId="77777777" w:rsidR="00E944F1" w:rsidRPr="00594675" w:rsidRDefault="00E944F1" w:rsidP="00E944F1">
            <w:pPr>
              <w:spacing w:after="120" w:line="276" w:lineRule="auto"/>
              <w:jc w:val="both"/>
              <w:rPr>
                <w:rFonts w:asciiTheme="minorHAnsi" w:hAnsiTheme="minorHAnsi" w:cstheme="minorHAnsi"/>
                <w:noProof/>
              </w:rPr>
            </w:pPr>
            <w:r>
              <w:rPr>
                <w:rFonts w:asciiTheme="minorHAnsi" w:hAnsiTheme="minorHAnsi"/>
                <w:noProof/>
              </w:rPr>
              <w:t>LIFE</w:t>
            </w:r>
          </w:p>
        </w:tc>
        <w:tc>
          <w:tcPr>
            <w:tcW w:w="3368" w:type="pct"/>
            <w:vAlign w:val="center"/>
          </w:tcPr>
          <w:p w14:paraId="583B469E" w14:textId="30D9320E" w:rsidR="00E944F1" w:rsidRPr="009B5B44" w:rsidRDefault="00E944F1" w:rsidP="00E944F1">
            <w:pPr>
              <w:spacing w:after="120" w:line="276" w:lineRule="auto"/>
              <w:jc w:val="both"/>
              <w:rPr>
                <w:rFonts w:asciiTheme="minorHAnsi" w:hAnsiTheme="minorHAnsi" w:cstheme="minorHAnsi"/>
                <w:noProof/>
                <w:lang w:val="de-DE"/>
              </w:rPr>
            </w:pPr>
            <w:r w:rsidRPr="009B5B44">
              <w:rPr>
                <w:rFonts w:asciiTheme="minorHAnsi" w:hAnsiTheme="minorHAnsi"/>
                <w:noProof/>
                <w:lang w:val="de-DE"/>
              </w:rPr>
              <w:t xml:space="preserve">Wie im Jahr </w:t>
            </w:r>
            <w:r w:rsidRPr="003E5D4C">
              <w:rPr>
                <w:rFonts w:asciiTheme="minorHAnsi" w:hAnsiTheme="minorHAnsi"/>
                <w:noProof/>
                <w:lang w:val="de-DE"/>
              </w:rPr>
              <w:t>2022</w:t>
            </w:r>
            <w:r w:rsidRPr="009B5B44">
              <w:rPr>
                <w:rFonts w:asciiTheme="minorHAnsi" w:hAnsiTheme="minorHAnsi"/>
                <w:noProof/>
                <w:lang w:val="de-DE"/>
              </w:rPr>
              <w:t xml:space="preserve"> wird das NEB zu den Zielen der Aufforderung zur Einreichung von Vorschlägen für LIFE </w:t>
            </w:r>
            <w:r w:rsidRPr="003E5D4C">
              <w:rPr>
                <w:rFonts w:asciiTheme="minorHAnsi" w:hAnsiTheme="minorHAnsi"/>
                <w:noProof/>
                <w:lang w:val="de-DE"/>
              </w:rPr>
              <w:t>2023</w:t>
            </w:r>
            <w:r w:rsidRPr="009B5B44">
              <w:rPr>
                <w:rFonts w:asciiTheme="minorHAnsi" w:hAnsiTheme="minorHAnsi"/>
                <w:noProof/>
                <w:lang w:val="de-DE"/>
              </w:rPr>
              <w:t xml:space="preserve"> gehören, ohne besondere Mittelzuweisung. Das Gesamtbudget für die Aufforderung wird sich auf rund </w:t>
            </w:r>
            <w:r w:rsidRPr="003E5D4C">
              <w:rPr>
                <w:rFonts w:asciiTheme="minorHAnsi" w:hAnsiTheme="minorHAnsi"/>
                <w:noProof/>
                <w:lang w:val="de-DE"/>
              </w:rPr>
              <w:t>92</w:t>
            </w:r>
            <w:r w:rsidRPr="009B5B44">
              <w:rPr>
                <w:rFonts w:asciiTheme="minorHAnsi" w:hAnsiTheme="minorHAnsi"/>
                <w:noProof/>
                <w:lang w:val="de-DE"/>
              </w:rPr>
              <w:t> Mio. EUR belaufen.</w:t>
            </w:r>
          </w:p>
          <w:p w14:paraId="75110A24" w14:textId="77777777" w:rsidR="00E944F1" w:rsidRPr="00594675" w:rsidRDefault="00E944F1" w:rsidP="00E944F1">
            <w:pPr>
              <w:spacing w:after="120" w:line="276" w:lineRule="auto"/>
              <w:jc w:val="both"/>
              <w:rPr>
                <w:rFonts w:asciiTheme="minorHAnsi" w:hAnsiTheme="minorHAnsi" w:cstheme="minorHAnsi"/>
                <w:noProof/>
              </w:rPr>
            </w:pPr>
            <w:r w:rsidRPr="009B5B44">
              <w:rPr>
                <w:rFonts w:asciiTheme="minorHAnsi" w:hAnsiTheme="minorHAnsi"/>
                <w:noProof/>
                <w:lang w:val="de-DE"/>
              </w:rPr>
              <w:t>Die Aufforderung zur Einreichung von Vorschlägen wird im April </w:t>
            </w:r>
            <w:r w:rsidRPr="003E5D4C">
              <w:rPr>
                <w:rFonts w:asciiTheme="minorHAnsi" w:hAnsiTheme="minorHAnsi"/>
                <w:noProof/>
                <w:lang w:val="de-DE"/>
              </w:rPr>
              <w:t>2023</w:t>
            </w:r>
            <w:r w:rsidRPr="009B5B44">
              <w:rPr>
                <w:rFonts w:asciiTheme="minorHAnsi" w:hAnsiTheme="minorHAnsi"/>
                <w:noProof/>
                <w:lang w:val="de-DE"/>
              </w:rPr>
              <w:t xml:space="preserve"> veröffentlicht, wobei die Anträge nach einem zweistufigen Ansatz einzureichen sind. </w:t>
            </w:r>
            <w:r>
              <w:rPr>
                <w:rFonts w:asciiTheme="minorHAnsi" w:hAnsiTheme="minorHAnsi"/>
                <w:noProof/>
              </w:rPr>
              <w:t>Die Ergebnisse werden für Ende </w:t>
            </w:r>
            <w:r w:rsidRPr="003E5D4C">
              <w:rPr>
                <w:rFonts w:asciiTheme="minorHAnsi" w:hAnsiTheme="minorHAnsi"/>
                <w:noProof/>
              </w:rPr>
              <w:t>2023</w:t>
            </w:r>
            <w:r>
              <w:rPr>
                <w:rFonts w:asciiTheme="minorHAnsi" w:hAnsiTheme="minorHAnsi"/>
                <w:noProof/>
              </w:rPr>
              <w:t>/Anfang </w:t>
            </w:r>
            <w:r w:rsidRPr="003E5D4C">
              <w:rPr>
                <w:rFonts w:asciiTheme="minorHAnsi" w:hAnsiTheme="minorHAnsi"/>
                <w:noProof/>
              </w:rPr>
              <w:t>2024</w:t>
            </w:r>
            <w:r>
              <w:rPr>
                <w:rFonts w:asciiTheme="minorHAnsi" w:hAnsiTheme="minorHAnsi"/>
                <w:noProof/>
              </w:rPr>
              <w:t xml:space="preserve"> erwartet.</w:t>
            </w:r>
          </w:p>
        </w:tc>
      </w:tr>
      <w:tr w:rsidR="00E944F1" w:rsidRPr="005E7A2E" w14:paraId="2B893257" w14:textId="77777777" w:rsidTr="2EDE63A7">
        <w:trPr>
          <w:jc w:val="center"/>
        </w:trPr>
        <w:tc>
          <w:tcPr>
            <w:tcW w:w="1632" w:type="pct"/>
            <w:vAlign w:val="center"/>
          </w:tcPr>
          <w:p w14:paraId="1D738A57" w14:textId="77777777" w:rsidR="00E944F1" w:rsidRPr="00594675" w:rsidRDefault="00E944F1" w:rsidP="00E944F1">
            <w:pPr>
              <w:spacing w:after="120" w:line="276" w:lineRule="auto"/>
              <w:jc w:val="both"/>
              <w:rPr>
                <w:rFonts w:asciiTheme="minorHAnsi" w:hAnsiTheme="minorHAnsi" w:cstheme="minorHAnsi"/>
                <w:noProof/>
              </w:rPr>
            </w:pPr>
            <w:r>
              <w:rPr>
                <w:rFonts w:asciiTheme="minorHAnsi" w:hAnsiTheme="minorHAnsi"/>
                <w:noProof/>
              </w:rPr>
              <w:t>Kreatives Europa</w:t>
            </w:r>
          </w:p>
        </w:tc>
        <w:tc>
          <w:tcPr>
            <w:tcW w:w="3368" w:type="pct"/>
            <w:vAlign w:val="center"/>
          </w:tcPr>
          <w:p w14:paraId="748EF63B" w14:textId="71201381" w:rsidR="00E944F1" w:rsidRPr="009B5B44" w:rsidRDefault="00E944F1" w:rsidP="2EDE63A7">
            <w:pPr>
              <w:spacing w:after="120" w:line="276" w:lineRule="auto"/>
              <w:jc w:val="both"/>
              <w:rPr>
                <w:rFonts w:asciiTheme="minorHAnsi" w:hAnsiTheme="minorHAnsi" w:cstheme="minorBidi"/>
                <w:noProof/>
                <w:lang w:val="de-DE"/>
              </w:rPr>
            </w:pPr>
            <w:r w:rsidRPr="009B5B44">
              <w:rPr>
                <w:rFonts w:asciiTheme="minorHAnsi" w:hAnsiTheme="minorHAnsi"/>
                <w:noProof/>
                <w:lang w:val="de-DE"/>
              </w:rPr>
              <w:t>Das Jahresarbeitsprogramm </w:t>
            </w:r>
            <w:r w:rsidRPr="003E5D4C">
              <w:rPr>
                <w:rFonts w:asciiTheme="minorHAnsi" w:hAnsiTheme="minorHAnsi"/>
                <w:noProof/>
                <w:lang w:val="de-DE"/>
              </w:rPr>
              <w:t>2023</w:t>
            </w:r>
            <w:r w:rsidRPr="009B5B44">
              <w:rPr>
                <w:rFonts w:asciiTheme="minorHAnsi" w:hAnsiTheme="minorHAnsi"/>
                <w:noProof/>
                <w:lang w:val="de-DE"/>
              </w:rPr>
              <w:t xml:space="preserve"> für Kreatives Europa wurde am </w:t>
            </w:r>
            <w:r w:rsidRPr="003E5D4C">
              <w:rPr>
                <w:rFonts w:asciiTheme="minorHAnsi" w:hAnsiTheme="minorHAnsi"/>
                <w:noProof/>
                <w:lang w:val="de-DE"/>
              </w:rPr>
              <w:t>31</w:t>
            </w:r>
            <w:r w:rsidRPr="009B5B44">
              <w:rPr>
                <w:rFonts w:asciiTheme="minorHAnsi" w:hAnsiTheme="minorHAnsi"/>
                <w:noProof/>
                <w:lang w:val="de-DE"/>
              </w:rPr>
              <w:t xml:space="preserve">. August </w:t>
            </w:r>
            <w:r w:rsidRPr="003E5D4C">
              <w:rPr>
                <w:rFonts w:asciiTheme="minorHAnsi" w:hAnsiTheme="minorHAnsi"/>
                <w:noProof/>
                <w:lang w:val="de-DE"/>
              </w:rPr>
              <w:t>2022</w:t>
            </w:r>
            <w:r w:rsidRPr="009B5B44">
              <w:rPr>
                <w:rFonts w:asciiTheme="minorHAnsi" w:hAnsiTheme="minorHAnsi"/>
                <w:noProof/>
                <w:lang w:val="de-DE"/>
              </w:rPr>
              <w:t xml:space="preserve"> angenommen. Was den Aktionsbereich Kultur und sektorübergreifende Aktionsbereiche betrifft, so dürften mehrere Maßnahmen, wie das neue Mobilitätsprogramm für Künstler und Kulturakteure, durch Residenzen und ortsbezogene Kulturprogramme zu den Themen des Neuen Europäischen Bauhauses beitragen. Auch in den Kooperationsprojekten und den Innovationslaboren wird in der Beschreibung der Maßnahme ausdrücklich auf das NEB verwiesen.</w:t>
            </w:r>
          </w:p>
        </w:tc>
      </w:tr>
      <w:tr w:rsidR="00E944F1" w:rsidRPr="005E7A2E" w14:paraId="5B9DA864" w14:textId="77777777" w:rsidTr="2EDE63A7">
        <w:trPr>
          <w:jc w:val="center"/>
        </w:trPr>
        <w:tc>
          <w:tcPr>
            <w:tcW w:w="1632" w:type="pct"/>
            <w:vAlign w:val="center"/>
          </w:tcPr>
          <w:p w14:paraId="495D05A7" w14:textId="77777777" w:rsidR="00E944F1" w:rsidRPr="00594675" w:rsidRDefault="00E944F1" w:rsidP="00E944F1">
            <w:pPr>
              <w:spacing w:after="120" w:line="276" w:lineRule="auto"/>
              <w:jc w:val="both"/>
              <w:rPr>
                <w:rFonts w:asciiTheme="minorHAnsi" w:hAnsiTheme="minorHAnsi" w:cstheme="minorHAnsi"/>
                <w:noProof/>
              </w:rPr>
            </w:pPr>
            <w:r>
              <w:rPr>
                <w:rFonts w:asciiTheme="minorHAnsi" w:hAnsiTheme="minorHAnsi"/>
                <w:noProof/>
              </w:rPr>
              <w:t>Erasmus+</w:t>
            </w:r>
          </w:p>
        </w:tc>
        <w:tc>
          <w:tcPr>
            <w:tcW w:w="3368" w:type="pct"/>
            <w:vAlign w:val="center"/>
          </w:tcPr>
          <w:p w14:paraId="10AEAD8A" w14:textId="6EA81519" w:rsidR="00E944F1" w:rsidRPr="009B5B44" w:rsidRDefault="00E944F1" w:rsidP="00E944F1">
            <w:pPr>
              <w:spacing w:after="120" w:line="276" w:lineRule="auto"/>
              <w:jc w:val="both"/>
              <w:rPr>
                <w:rFonts w:asciiTheme="minorHAnsi" w:hAnsiTheme="minorHAnsi" w:cstheme="minorHAnsi"/>
                <w:noProof/>
                <w:lang w:val="de-DE"/>
              </w:rPr>
            </w:pPr>
            <w:r w:rsidRPr="009B5B44">
              <w:rPr>
                <w:rFonts w:asciiTheme="minorHAnsi" w:hAnsiTheme="minorHAnsi"/>
                <w:noProof/>
                <w:lang w:val="de-DE"/>
              </w:rPr>
              <w:t>Das Jahresarbeitsprogramm </w:t>
            </w:r>
            <w:r w:rsidRPr="003E5D4C">
              <w:rPr>
                <w:rFonts w:asciiTheme="minorHAnsi" w:hAnsiTheme="minorHAnsi"/>
                <w:noProof/>
                <w:lang w:val="de-DE"/>
              </w:rPr>
              <w:t>2023</w:t>
            </w:r>
            <w:r w:rsidRPr="009B5B44">
              <w:rPr>
                <w:rFonts w:asciiTheme="minorHAnsi" w:hAnsiTheme="minorHAnsi"/>
                <w:noProof/>
                <w:lang w:val="de-DE"/>
              </w:rPr>
              <w:t xml:space="preserve"> für Erasmus+ wurde am </w:t>
            </w:r>
            <w:r w:rsidRPr="003E5D4C">
              <w:rPr>
                <w:rFonts w:asciiTheme="minorHAnsi" w:hAnsiTheme="minorHAnsi"/>
                <w:noProof/>
                <w:lang w:val="de-DE"/>
              </w:rPr>
              <w:t>25</w:t>
            </w:r>
            <w:r w:rsidRPr="009B5B44">
              <w:rPr>
                <w:rFonts w:asciiTheme="minorHAnsi" w:hAnsiTheme="minorHAnsi"/>
                <w:noProof/>
                <w:lang w:val="de-DE"/>
              </w:rPr>
              <w:t xml:space="preserve">. August </w:t>
            </w:r>
            <w:r w:rsidRPr="003E5D4C">
              <w:rPr>
                <w:rFonts w:asciiTheme="minorHAnsi" w:hAnsiTheme="minorHAnsi"/>
                <w:noProof/>
                <w:lang w:val="de-DE"/>
              </w:rPr>
              <w:t>2022</w:t>
            </w:r>
            <w:r w:rsidRPr="009B5B44">
              <w:rPr>
                <w:rFonts w:asciiTheme="minorHAnsi" w:hAnsiTheme="minorHAnsi"/>
                <w:noProof/>
                <w:lang w:val="de-DE"/>
              </w:rPr>
              <w:t xml:space="preserve"> angenommen. </w:t>
            </w:r>
          </w:p>
          <w:p w14:paraId="184440C1" w14:textId="77777777" w:rsidR="00E944F1" w:rsidRPr="009B5B44" w:rsidRDefault="00E944F1" w:rsidP="00E944F1">
            <w:pPr>
              <w:spacing w:after="120" w:line="276" w:lineRule="auto"/>
              <w:jc w:val="both"/>
              <w:rPr>
                <w:rFonts w:asciiTheme="minorHAnsi" w:hAnsiTheme="minorHAnsi" w:cstheme="minorHAnsi"/>
                <w:noProof/>
                <w:lang w:val="de-DE"/>
              </w:rPr>
            </w:pPr>
            <w:r w:rsidRPr="009B5B44">
              <w:rPr>
                <w:rFonts w:asciiTheme="minorHAnsi" w:hAnsiTheme="minorHAnsi"/>
                <w:noProof/>
                <w:lang w:val="de-DE"/>
              </w:rPr>
              <w:t xml:space="preserve">Wie im Jahr </w:t>
            </w:r>
            <w:r w:rsidRPr="003E5D4C">
              <w:rPr>
                <w:rFonts w:asciiTheme="minorHAnsi" w:hAnsiTheme="minorHAnsi"/>
                <w:noProof/>
                <w:lang w:val="de-DE"/>
              </w:rPr>
              <w:t>2022</w:t>
            </w:r>
            <w:r w:rsidRPr="009B5B44">
              <w:rPr>
                <w:rFonts w:asciiTheme="minorHAnsi" w:hAnsiTheme="minorHAnsi"/>
                <w:noProof/>
                <w:lang w:val="de-DE"/>
              </w:rPr>
              <w:t xml:space="preserve"> ist im Jahresarbeitsprogramm die NEB-Initiative in der Priorität „Grün“ enthalten, einer der vier allgemeinen Prioritäten von Erasmus+; dies bedeutet, dass alle Programmprojekte in allen abgedeckten Sektoren aufgefordert werden, diesen Aspekt in ihre Projekte aufzunehmen. </w:t>
            </w:r>
          </w:p>
          <w:p w14:paraId="0D74F9BE" w14:textId="17621B0E" w:rsidR="00E944F1" w:rsidRPr="009B5B44" w:rsidRDefault="00E944F1" w:rsidP="00E944F1">
            <w:pPr>
              <w:spacing w:after="120" w:line="276" w:lineRule="auto"/>
              <w:jc w:val="both"/>
              <w:rPr>
                <w:rFonts w:asciiTheme="minorHAnsi" w:hAnsiTheme="minorHAnsi" w:cstheme="minorHAnsi"/>
                <w:noProof/>
                <w:lang w:val="de-DE"/>
              </w:rPr>
            </w:pPr>
            <w:r w:rsidRPr="009B5B44">
              <w:rPr>
                <w:rFonts w:asciiTheme="minorHAnsi" w:hAnsiTheme="minorHAnsi"/>
                <w:noProof/>
                <w:lang w:val="de-DE"/>
              </w:rPr>
              <w:t>Bei einigen Maßnahmen des Programms, bei denen dies als besonders relevant angesehen wurde, wird der Zusammenhang noch deutlicher hervorgehoben: Dies gilt für Zentren der beruflichen Exzellenz (Berufsbildungsprojekte, in denen lokale/regionale Partner aus verschiedenen Ländern zusammenkommen, die eine Reihe von Aktivitäten zur Schaffung von Kompetenzökosystemen entwickeln), Allianzen für Innovation (mit dem Ziel, die Innovation durch die Zusammenarbeit zwischen Hochschulbildung, Berufsbildung und dem breiteren sozioökonomischen Umfeld zu fördern), die Initiative „European Youth Together “, mit der die Zusammenarbeit zwischen Jugend-NRO unterstützt wird, und im Sport (mit der SHARE-Initiative „SportHub: Allianz für regionale Entwicklung in Europa“, mit der die Rolle des Sports und der körperlichen Betätigung als Instrument für die wirtschaftliche, soziale und kulturelle Entwicklung zugunsten gesünderer und aktiverer Gemeinschaften und der Schaffung von Räumen für eine gesunde Lebensweise weiter gefördert wird).</w:t>
            </w:r>
          </w:p>
        </w:tc>
      </w:tr>
      <w:tr w:rsidR="00E944F1" w:rsidRPr="005E7A2E" w14:paraId="29CD0E26" w14:textId="77777777" w:rsidTr="2EDE63A7">
        <w:trPr>
          <w:jc w:val="center"/>
        </w:trPr>
        <w:tc>
          <w:tcPr>
            <w:tcW w:w="1632" w:type="pct"/>
            <w:vAlign w:val="center"/>
          </w:tcPr>
          <w:p w14:paraId="4A51F146" w14:textId="77777777" w:rsidR="00E944F1" w:rsidRPr="00594675" w:rsidRDefault="00E944F1" w:rsidP="00E944F1">
            <w:pPr>
              <w:spacing w:after="120" w:line="276" w:lineRule="auto"/>
              <w:jc w:val="both"/>
              <w:rPr>
                <w:rFonts w:asciiTheme="minorHAnsi" w:hAnsiTheme="minorHAnsi" w:cstheme="minorHAnsi"/>
                <w:noProof/>
              </w:rPr>
            </w:pPr>
            <w:r>
              <w:rPr>
                <w:rFonts w:asciiTheme="minorHAnsi" w:hAnsiTheme="minorHAnsi"/>
                <w:noProof/>
              </w:rPr>
              <w:t>Europäische Solidaritätskorps</w:t>
            </w:r>
          </w:p>
        </w:tc>
        <w:tc>
          <w:tcPr>
            <w:tcW w:w="3368" w:type="pct"/>
            <w:vAlign w:val="center"/>
          </w:tcPr>
          <w:p w14:paraId="44A1E851" w14:textId="413E46CF" w:rsidR="00E944F1" w:rsidRPr="009B5B44" w:rsidRDefault="00E944F1" w:rsidP="00E944F1">
            <w:pPr>
              <w:spacing w:after="120" w:line="276" w:lineRule="auto"/>
              <w:jc w:val="both"/>
              <w:rPr>
                <w:rFonts w:asciiTheme="minorHAnsi" w:hAnsiTheme="minorHAnsi" w:cstheme="minorHAnsi"/>
                <w:noProof/>
                <w:lang w:val="de-DE"/>
              </w:rPr>
            </w:pPr>
            <w:r w:rsidRPr="009B5B44">
              <w:rPr>
                <w:rFonts w:asciiTheme="minorHAnsi" w:hAnsiTheme="minorHAnsi"/>
                <w:noProof/>
                <w:lang w:val="de-DE"/>
              </w:rPr>
              <w:t>Die Vorbereitungen für das Jahresarbeitsprogramm </w:t>
            </w:r>
            <w:r w:rsidRPr="003E5D4C">
              <w:rPr>
                <w:rFonts w:asciiTheme="minorHAnsi" w:hAnsiTheme="minorHAnsi"/>
                <w:noProof/>
                <w:lang w:val="de-DE"/>
              </w:rPr>
              <w:t>2023</w:t>
            </w:r>
            <w:r w:rsidRPr="009B5B44">
              <w:rPr>
                <w:rFonts w:asciiTheme="minorHAnsi" w:hAnsiTheme="minorHAnsi"/>
                <w:noProof/>
                <w:lang w:val="de-DE"/>
              </w:rPr>
              <w:t xml:space="preserve"> für das Europäische Solidaritätskorps wurden im Frühjahr </w:t>
            </w:r>
            <w:r w:rsidRPr="003E5D4C">
              <w:rPr>
                <w:rFonts w:asciiTheme="minorHAnsi" w:hAnsiTheme="minorHAnsi"/>
                <w:noProof/>
                <w:lang w:val="de-DE"/>
              </w:rPr>
              <w:t>2022</w:t>
            </w:r>
            <w:r w:rsidRPr="009B5B44">
              <w:rPr>
                <w:rFonts w:asciiTheme="minorHAnsi" w:hAnsiTheme="minorHAnsi"/>
                <w:noProof/>
                <w:lang w:val="de-DE"/>
              </w:rPr>
              <w:t xml:space="preserve"> fortgesetzt. Der entsprechende Durchführungsbeschluss wurde Ende August angenommen und ebnete den Weg für die Ausarbeitung der allgemeinen Aufforderung zur Einreichung von Vorschlägen </w:t>
            </w:r>
            <w:r w:rsidRPr="003E5D4C">
              <w:rPr>
                <w:rFonts w:asciiTheme="minorHAnsi" w:hAnsiTheme="minorHAnsi"/>
                <w:noProof/>
                <w:lang w:val="de-DE"/>
              </w:rPr>
              <w:t>2023</w:t>
            </w:r>
            <w:r w:rsidRPr="009B5B44">
              <w:rPr>
                <w:rFonts w:asciiTheme="minorHAnsi" w:hAnsiTheme="minorHAnsi"/>
                <w:noProof/>
                <w:lang w:val="de-DE"/>
              </w:rPr>
              <w:t xml:space="preserve">, die am </w:t>
            </w:r>
            <w:r w:rsidRPr="003E5D4C">
              <w:rPr>
                <w:rFonts w:asciiTheme="minorHAnsi" w:hAnsiTheme="minorHAnsi"/>
                <w:noProof/>
                <w:lang w:val="de-DE"/>
              </w:rPr>
              <w:t>24</w:t>
            </w:r>
            <w:r w:rsidRPr="009B5B44">
              <w:rPr>
                <w:rFonts w:asciiTheme="minorHAnsi" w:hAnsiTheme="minorHAnsi"/>
                <w:noProof/>
                <w:lang w:val="de-DE"/>
              </w:rPr>
              <w:t xml:space="preserve">. November </w:t>
            </w:r>
            <w:r w:rsidRPr="003E5D4C">
              <w:rPr>
                <w:rFonts w:asciiTheme="minorHAnsi" w:hAnsiTheme="minorHAnsi"/>
                <w:noProof/>
                <w:lang w:val="de-DE"/>
              </w:rPr>
              <w:t>2022</w:t>
            </w:r>
            <w:r w:rsidRPr="009B5B44">
              <w:rPr>
                <w:rFonts w:asciiTheme="minorHAnsi" w:hAnsiTheme="minorHAnsi"/>
                <w:noProof/>
                <w:lang w:val="de-DE"/>
              </w:rPr>
              <w:t xml:space="preserve"> veröffentlicht wurde.</w:t>
            </w:r>
          </w:p>
          <w:p w14:paraId="125A35C2" w14:textId="6AD9483C" w:rsidR="00E944F1" w:rsidRPr="009B5B44" w:rsidRDefault="00E944F1">
            <w:pPr>
              <w:spacing w:after="120" w:line="276" w:lineRule="auto"/>
              <w:jc w:val="both"/>
              <w:rPr>
                <w:rFonts w:asciiTheme="minorHAnsi" w:hAnsiTheme="minorHAnsi" w:cstheme="minorHAnsi"/>
                <w:noProof/>
                <w:lang w:val="de-DE"/>
              </w:rPr>
            </w:pPr>
            <w:r w:rsidRPr="009B5B44">
              <w:rPr>
                <w:rFonts w:asciiTheme="minorHAnsi" w:hAnsiTheme="minorHAnsi"/>
                <w:noProof/>
                <w:lang w:val="de-DE"/>
              </w:rPr>
              <w:t>Die politischen Prioritäten des Arbeitsprogramms </w:t>
            </w:r>
            <w:r w:rsidRPr="003E5D4C">
              <w:rPr>
                <w:rFonts w:asciiTheme="minorHAnsi" w:hAnsiTheme="minorHAnsi"/>
                <w:noProof/>
                <w:lang w:val="de-DE"/>
              </w:rPr>
              <w:t>2023</w:t>
            </w:r>
            <w:r w:rsidRPr="009B5B44">
              <w:rPr>
                <w:rFonts w:asciiTheme="minorHAnsi" w:hAnsiTheme="minorHAnsi"/>
                <w:noProof/>
                <w:lang w:val="de-DE"/>
              </w:rPr>
              <w:t xml:space="preserve"> enthalten den nachfolgenden Verweis auf das Neue Europäische Bauhaus im Rahmen der Ziele für ökologische Nachhaltigkeit und Klimaschutz: „Maßnahmen, die zu anderen bestehenden EU-Initiativen im Bereich der ökologischen Nachhaltigkeit beitragen (z. B. das Neue Europäische Bauhaus, die EU-Waldstrategie – insbesondere die Initiative „</w:t>
            </w:r>
            <w:r w:rsidRPr="003E5D4C">
              <w:rPr>
                <w:rFonts w:asciiTheme="minorHAnsi" w:hAnsiTheme="minorHAnsi"/>
                <w:noProof/>
                <w:lang w:val="de-DE"/>
              </w:rPr>
              <w:t>3</w:t>
            </w:r>
            <w:r w:rsidRPr="009B5B44">
              <w:rPr>
                <w:rFonts w:asciiTheme="minorHAnsi" w:hAnsiTheme="minorHAnsi"/>
                <w:noProof/>
                <w:lang w:val="de-DE"/>
              </w:rPr>
              <w:t xml:space="preserve"> Milliarden Bäume“ – und die EU-Klimamissionen) werden nachdrücklich gefördert.“</w:t>
            </w:r>
          </w:p>
        </w:tc>
      </w:tr>
    </w:tbl>
    <w:p w14:paraId="3AA483E6" w14:textId="77777777" w:rsidR="00E944F1" w:rsidRPr="009B5B44" w:rsidRDefault="00E944F1" w:rsidP="00E944F1">
      <w:pPr>
        <w:spacing w:after="120" w:line="276" w:lineRule="auto"/>
        <w:jc w:val="both"/>
        <w:rPr>
          <w:rFonts w:asciiTheme="minorHAnsi" w:hAnsiTheme="minorHAnsi" w:cstheme="minorHAnsi"/>
          <w:noProof/>
          <w:lang w:val="de-DE"/>
        </w:rPr>
      </w:pPr>
    </w:p>
    <w:p w14:paraId="5464DBF4" w14:textId="77777777" w:rsidR="00E944F1" w:rsidRPr="009B5B44" w:rsidRDefault="00E944F1" w:rsidP="00E944F1">
      <w:pPr>
        <w:spacing w:after="120" w:line="276" w:lineRule="auto"/>
        <w:jc w:val="both"/>
        <w:rPr>
          <w:rFonts w:asciiTheme="minorHAnsi" w:hAnsiTheme="minorHAnsi" w:cstheme="minorHAnsi"/>
          <w:noProof/>
          <w:lang w:val="de-DE"/>
        </w:rPr>
      </w:pPr>
    </w:p>
    <w:p w14:paraId="3C5711D5" w14:textId="77777777" w:rsidR="00E944F1" w:rsidRPr="009B5B44" w:rsidRDefault="00E944F1" w:rsidP="00E944F1">
      <w:pPr>
        <w:spacing w:after="120" w:line="276" w:lineRule="auto"/>
        <w:jc w:val="both"/>
        <w:rPr>
          <w:rFonts w:asciiTheme="minorHAnsi" w:hAnsiTheme="minorHAnsi" w:cstheme="minorHAnsi"/>
          <w:i/>
          <w:noProof/>
          <w:u w:val="single"/>
          <w:lang w:val="de-DE"/>
        </w:rPr>
      </w:pPr>
      <w:r w:rsidRPr="009B5B44">
        <w:rPr>
          <w:rFonts w:asciiTheme="minorHAnsi" w:hAnsiTheme="minorHAnsi"/>
          <w:i/>
          <w:noProof/>
          <w:u w:val="single"/>
          <w:lang w:val="de-DE"/>
        </w:rPr>
        <w:t xml:space="preserve">Zusätzliche Mittel – Vorbereitende Maßnahme (Vorschlag des Europäischen Parlaments) </w:t>
      </w:r>
    </w:p>
    <w:p w14:paraId="7353EB52" w14:textId="77777777" w:rsidR="00E944F1" w:rsidRPr="009B5B44" w:rsidRDefault="00E944F1" w:rsidP="00E944F1">
      <w:pPr>
        <w:spacing w:after="120" w:line="276" w:lineRule="auto"/>
        <w:jc w:val="both"/>
        <w:rPr>
          <w:rFonts w:asciiTheme="minorHAnsi" w:hAnsiTheme="minorHAnsi" w:cstheme="minorHAnsi"/>
          <w:i/>
          <w:noProof/>
          <w:u w:val="single"/>
          <w:lang w:val="de-DE"/>
        </w:rPr>
      </w:pPr>
    </w:p>
    <w:tbl>
      <w:tblPr>
        <w:tblStyle w:val="TableGrid"/>
        <w:tblW w:w="0" w:type="auto"/>
        <w:jc w:val="center"/>
        <w:tblLook w:val="04A0" w:firstRow="1" w:lastRow="0" w:firstColumn="1" w:lastColumn="0" w:noHBand="0" w:noVBand="1"/>
      </w:tblPr>
      <w:tblGrid>
        <w:gridCol w:w="2218"/>
        <w:gridCol w:w="2218"/>
        <w:gridCol w:w="4578"/>
      </w:tblGrid>
      <w:tr w:rsidR="00E944F1" w:rsidRPr="00594675" w14:paraId="2C13E41F" w14:textId="77777777" w:rsidTr="0D0B407B">
        <w:trPr>
          <w:jc w:val="center"/>
        </w:trPr>
        <w:tc>
          <w:tcPr>
            <w:tcW w:w="2218" w:type="dxa"/>
            <w:shd w:val="clear" w:color="auto" w:fill="E7E6E6" w:themeFill="background2"/>
            <w:vAlign w:val="center"/>
          </w:tcPr>
          <w:p w14:paraId="7577ABE9" w14:textId="77777777" w:rsidR="00E944F1" w:rsidRPr="00594675" w:rsidRDefault="00E944F1" w:rsidP="00E944F1">
            <w:pPr>
              <w:spacing w:after="120" w:line="276" w:lineRule="auto"/>
              <w:jc w:val="both"/>
              <w:rPr>
                <w:rFonts w:asciiTheme="minorHAnsi" w:hAnsiTheme="minorHAnsi" w:cstheme="minorHAnsi"/>
                <w:b/>
                <w:noProof/>
              </w:rPr>
            </w:pPr>
            <w:r>
              <w:rPr>
                <w:rFonts w:asciiTheme="minorHAnsi" w:hAnsiTheme="minorHAnsi"/>
                <w:b/>
                <w:noProof/>
              </w:rPr>
              <w:t>Förderung der Union</w:t>
            </w:r>
          </w:p>
        </w:tc>
        <w:tc>
          <w:tcPr>
            <w:tcW w:w="2218" w:type="dxa"/>
            <w:shd w:val="clear" w:color="auto" w:fill="E7E6E6" w:themeFill="background2"/>
            <w:vAlign w:val="center"/>
          </w:tcPr>
          <w:p w14:paraId="0B0B050E" w14:textId="77777777" w:rsidR="00E944F1" w:rsidRPr="00594675" w:rsidRDefault="00E944F1" w:rsidP="00E944F1">
            <w:pPr>
              <w:spacing w:after="120" w:line="276" w:lineRule="auto"/>
              <w:jc w:val="both"/>
              <w:rPr>
                <w:rFonts w:asciiTheme="minorHAnsi" w:hAnsiTheme="minorHAnsi" w:cstheme="minorHAnsi"/>
                <w:b/>
                <w:noProof/>
              </w:rPr>
            </w:pPr>
            <w:r>
              <w:rPr>
                <w:rFonts w:asciiTheme="minorHAnsi" w:hAnsiTheme="minorHAnsi"/>
                <w:b/>
                <w:noProof/>
              </w:rPr>
              <w:t>Mittelausstattung</w:t>
            </w:r>
          </w:p>
        </w:tc>
        <w:tc>
          <w:tcPr>
            <w:tcW w:w="4578" w:type="dxa"/>
            <w:shd w:val="clear" w:color="auto" w:fill="E7E6E6" w:themeFill="background2"/>
            <w:vAlign w:val="center"/>
          </w:tcPr>
          <w:p w14:paraId="40CDA3DB" w14:textId="77777777" w:rsidR="00E944F1" w:rsidRPr="00594675" w:rsidRDefault="00E944F1" w:rsidP="00E944F1">
            <w:pPr>
              <w:spacing w:after="120" w:line="276" w:lineRule="auto"/>
              <w:jc w:val="both"/>
              <w:rPr>
                <w:rFonts w:asciiTheme="minorHAnsi" w:hAnsiTheme="minorHAnsi" w:cstheme="minorHAnsi"/>
                <w:b/>
                <w:noProof/>
              </w:rPr>
            </w:pPr>
            <w:r>
              <w:rPr>
                <w:rFonts w:asciiTheme="minorHAnsi" w:hAnsiTheme="minorHAnsi"/>
                <w:b/>
                <w:noProof/>
              </w:rPr>
              <w:t>Zusätzliche Informationen</w:t>
            </w:r>
          </w:p>
        </w:tc>
      </w:tr>
      <w:tr w:rsidR="00E944F1" w:rsidRPr="005E7A2E" w14:paraId="65241335" w14:textId="77777777" w:rsidTr="0D0B407B">
        <w:trPr>
          <w:jc w:val="center"/>
        </w:trPr>
        <w:tc>
          <w:tcPr>
            <w:tcW w:w="2218" w:type="dxa"/>
            <w:vAlign w:val="center"/>
          </w:tcPr>
          <w:p w14:paraId="122351C1" w14:textId="77777777" w:rsidR="00E944F1" w:rsidRPr="00594675" w:rsidRDefault="00E944F1" w:rsidP="00E944F1">
            <w:pPr>
              <w:spacing w:after="120" w:line="276" w:lineRule="auto"/>
              <w:jc w:val="both"/>
              <w:rPr>
                <w:rFonts w:asciiTheme="minorHAnsi" w:hAnsiTheme="minorHAnsi" w:cstheme="minorHAnsi"/>
                <w:noProof/>
              </w:rPr>
            </w:pPr>
            <w:r>
              <w:rPr>
                <w:rFonts w:asciiTheme="minorHAnsi" w:hAnsiTheme="minorHAnsi"/>
                <w:noProof/>
              </w:rPr>
              <w:t>Pilotprojekte und vorbereitende Maßnahmen</w:t>
            </w:r>
          </w:p>
        </w:tc>
        <w:tc>
          <w:tcPr>
            <w:tcW w:w="2218" w:type="dxa"/>
            <w:vAlign w:val="center"/>
          </w:tcPr>
          <w:p w14:paraId="70042071" w14:textId="77777777" w:rsidR="00E944F1" w:rsidRPr="00594675" w:rsidRDefault="00E944F1" w:rsidP="00E944F1">
            <w:pPr>
              <w:spacing w:after="120" w:line="276" w:lineRule="auto"/>
              <w:jc w:val="both"/>
              <w:rPr>
                <w:rFonts w:asciiTheme="minorHAnsi" w:hAnsiTheme="minorHAnsi" w:cstheme="minorHAnsi"/>
                <w:noProof/>
              </w:rPr>
            </w:pPr>
            <w:r w:rsidRPr="003E5D4C">
              <w:rPr>
                <w:rFonts w:asciiTheme="minorHAnsi" w:hAnsiTheme="minorHAnsi"/>
                <w:noProof/>
              </w:rPr>
              <w:t>2</w:t>
            </w:r>
            <w:r>
              <w:rPr>
                <w:rFonts w:asciiTheme="minorHAnsi" w:hAnsiTheme="minorHAnsi"/>
                <w:noProof/>
              </w:rPr>
              <w:t> Mio. EUR</w:t>
            </w:r>
          </w:p>
        </w:tc>
        <w:tc>
          <w:tcPr>
            <w:tcW w:w="4578" w:type="dxa"/>
            <w:vAlign w:val="center"/>
          </w:tcPr>
          <w:p w14:paraId="05D8B1A7" w14:textId="7233E61A" w:rsidR="00E944F1" w:rsidRPr="009B5B44" w:rsidRDefault="00E944F1">
            <w:pPr>
              <w:spacing w:after="120" w:line="276" w:lineRule="auto"/>
              <w:jc w:val="both"/>
              <w:rPr>
                <w:rFonts w:asciiTheme="minorHAnsi" w:hAnsiTheme="minorHAnsi" w:cstheme="minorHAnsi"/>
                <w:noProof/>
                <w:lang w:val="de-DE"/>
              </w:rPr>
            </w:pPr>
            <w:r w:rsidRPr="009B5B44">
              <w:rPr>
                <w:rFonts w:asciiTheme="minorHAnsi" w:hAnsiTheme="minorHAnsi"/>
                <w:noProof/>
                <w:lang w:val="de-DE"/>
              </w:rPr>
              <w:t xml:space="preserve">Eines der von der Kommission geleiteten NEB-Laborprojekte konzentriert sich auf die Entwicklung von Instrumenten zur Charakterisierung und Anerkennung dessen, was eine konkrete Initiative zu einer Initiative des „Neuen Europäischen Bauhauses“ macht. Diese „Kennzeichnungsstrategie“ wird im Rahmen der </w:t>
            </w:r>
            <w:r w:rsidRPr="009B5B44">
              <w:rPr>
                <w:rFonts w:asciiTheme="minorHAnsi" w:hAnsiTheme="minorHAnsi"/>
                <w:b/>
                <w:noProof/>
                <w:lang w:val="de-DE"/>
              </w:rPr>
              <w:t>vorbereitenden Maßnahme für die „Plattform für Wissensmanagement des NEB“</w:t>
            </w:r>
            <w:r w:rsidRPr="009B5B44">
              <w:rPr>
                <w:rFonts w:asciiTheme="minorHAnsi" w:hAnsiTheme="minorHAnsi"/>
                <w:noProof/>
                <w:lang w:val="de-DE"/>
              </w:rPr>
              <w:t xml:space="preserve"> umgesetzt. </w:t>
            </w:r>
          </w:p>
        </w:tc>
      </w:tr>
    </w:tbl>
    <w:p w14:paraId="128FBB07" w14:textId="1B140A46" w:rsidR="00E944F1" w:rsidRPr="009B5B44" w:rsidRDefault="00E944F1" w:rsidP="00E944F1">
      <w:pPr>
        <w:spacing w:after="120" w:line="276" w:lineRule="auto"/>
        <w:jc w:val="both"/>
        <w:rPr>
          <w:rFonts w:asciiTheme="minorHAnsi" w:hAnsiTheme="minorHAnsi" w:cstheme="minorHAnsi"/>
          <w:noProof/>
          <w:lang w:val="de-DE"/>
        </w:rPr>
      </w:pPr>
    </w:p>
    <w:sectPr w:rsidR="00E944F1" w:rsidRPr="009B5B44" w:rsidSect="00C142EB">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A9244" w14:textId="77777777" w:rsidR="002439DA" w:rsidRDefault="002439DA" w:rsidP="00844A61">
      <w:pPr>
        <w:spacing w:after="0"/>
      </w:pPr>
      <w:r>
        <w:separator/>
      </w:r>
    </w:p>
  </w:endnote>
  <w:endnote w:type="continuationSeparator" w:id="0">
    <w:p w14:paraId="5A157F52" w14:textId="77777777" w:rsidR="002439DA" w:rsidRDefault="002439DA" w:rsidP="00844A61">
      <w:pPr>
        <w:spacing w:after="0"/>
      </w:pPr>
      <w:r>
        <w:continuationSeparator/>
      </w:r>
    </w:p>
  </w:endnote>
  <w:endnote w:type="continuationNotice" w:id="1">
    <w:p w14:paraId="09E876FB" w14:textId="77777777" w:rsidR="002439DA" w:rsidRDefault="002439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ACA3B" w14:textId="77777777" w:rsidR="00D06042" w:rsidRPr="00D06042" w:rsidRDefault="00D06042" w:rsidP="00D060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A3EBD" w14:textId="21EA1E74" w:rsidR="009B5B44" w:rsidRPr="00D06042" w:rsidRDefault="00D06042" w:rsidP="00D06042">
    <w:pPr>
      <w:pStyle w:val="FooterCoverPage"/>
      <w:rPr>
        <w:rFonts w:ascii="Arial" w:hAnsi="Arial" w:cs="Arial"/>
        <w:b/>
        <w:sz w:val="48"/>
      </w:rPr>
    </w:pPr>
    <w:r w:rsidRPr="00D06042">
      <w:rPr>
        <w:rFonts w:ascii="Arial" w:hAnsi="Arial" w:cs="Arial"/>
        <w:b/>
        <w:sz w:val="48"/>
      </w:rPr>
      <w:t>DE</w:t>
    </w:r>
    <w:r w:rsidRPr="00D06042">
      <w:rPr>
        <w:rFonts w:ascii="Arial" w:hAnsi="Arial" w:cs="Arial"/>
        <w:b/>
        <w:sz w:val="48"/>
      </w:rPr>
      <w:tab/>
    </w:r>
    <w:r w:rsidRPr="00D06042">
      <w:rPr>
        <w:rFonts w:ascii="Arial" w:hAnsi="Arial" w:cs="Arial"/>
        <w:b/>
        <w:sz w:val="48"/>
      </w:rPr>
      <w:tab/>
    </w:r>
    <w:r w:rsidRPr="00D06042">
      <w:tab/>
    </w:r>
    <w:r w:rsidRPr="00D06042">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88023" w14:textId="77777777" w:rsidR="00D06042" w:rsidRPr="00D06042" w:rsidRDefault="00D06042" w:rsidP="00D06042">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4C386" w14:textId="77777777" w:rsidR="00C142EB" w:rsidRDefault="00C142E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20534"/>
      <w:docPartObj>
        <w:docPartGallery w:val="Page Numbers (Bottom of Page)"/>
        <w:docPartUnique/>
      </w:docPartObj>
    </w:sdtPr>
    <w:sdtEndPr>
      <w:rPr>
        <w:rFonts w:asciiTheme="minorHAnsi" w:hAnsiTheme="minorHAnsi" w:cstheme="minorHAnsi"/>
      </w:rPr>
    </w:sdtEndPr>
    <w:sdtContent>
      <w:p w14:paraId="0CD6221F" w14:textId="624F76C6" w:rsidR="00D664BF" w:rsidRPr="00594675" w:rsidRDefault="00D664BF">
        <w:pPr>
          <w:pStyle w:val="Footer"/>
          <w:jc w:val="right"/>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PAGE   \* MERGEFORMAT </w:instrText>
        </w:r>
        <w:r>
          <w:rPr>
            <w:rFonts w:asciiTheme="minorHAnsi" w:hAnsiTheme="minorHAnsi" w:cstheme="minorHAnsi"/>
          </w:rPr>
          <w:fldChar w:fldCharType="separate"/>
        </w:r>
        <w:r w:rsidR="00D06042">
          <w:rPr>
            <w:rFonts w:asciiTheme="minorHAnsi" w:hAnsiTheme="minorHAnsi" w:cstheme="minorHAnsi"/>
            <w:noProof/>
          </w:rPr>
          <w:t>1</w:t>
        </w:r>
        <w:r>
          <w:rPr>
            <w:rFonts w:asciiTheme="minorHAnsi" w:hAnsiTheme="minorHAnsi" w:cstheme="minorHAnsi"/>
          </w:rPr>
          <w:fldChar w:fldCharType="end"/>
        </w:r>
      </w:p>
    </w:sdtContent>
  </w:sdt>
  <w:p w14:paraId="451F9BE4" w14:textId="77777777" w:rsidR="00C142EB" w:rsidRDefault="00C142E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8687A" w14:textId="77777777" w:rsidR="00C142EB" w:rsidRDefault="00C142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ECFF5" w14:textId="77777777" w:rsidR="002439DA" w:rsidRDefault="002439DA" w:rsidP="00844A61">
      <w:pPr>
        <w:spacing w:after="0"/>
      </w:pPr>
      <w:r>
        <w:separator/>
      </w:r>
    </w:p>
  </w:footnote>
  <w:footnote w:type="continuationSeparator" w:id="0">
    <w:p w14:paraId="7ED0770B" w14:textId="77777777" w:rsidR="002439DA" w:rsidRDefault="002439DA" w:rsidP="00844A61">
      <w:pPr>
        <w:spacing w:after="0"/>
      </w:pPr>
      <w:r>
        <w:continuationSeparator/>
      </w:r>
    </w:p>
  </w:footnote>
  <w:footnote w:type="continuationNotice" w:id="1">
    <w:p w14:paraId="5FBB4607" w14:textId="77777777" w:rsidR="002439DA" w:rsidRDefault="002439DA">
      <w:pPr>
        <w:spacing w:after="0"/>
      </w:pPr>
    </w:p>
  </w:footnote>
  <w:footnote w:id="2">
    <w:p w14:paraId="1B69245B" w14:textId="62C8FE7B" w:rsidR="00D26450" w:rsidRPr="009B5B44" w:rsidRDefault="00D26450" w:rsidP="00594675">
      <w:pPr>
        <w:pStyle w:val="FootnoteText"/>
        <w:jc w:val="both"/>
        <w:rPr>
          <w:lang w:val="de-DE"/>
        </w:rPr>
      </w:pPr>
      <w:r>
        <w:rPr>
          <w:rStyle w:val="FootnoteReference"/>
        </w:rPr>
        <w:footnoteRef/>
      </w:r>
      <w:r w:rsidRPr="009B5B44">
        <w:rPr>
          <w:lang w:val="de-DE"/>
        </w:rPr>
        <w:t xml:space="preserve"> </w:t>
      </w:r>
      <w:r w:rsidRPr="009B5B44">
        <w:rPr>
          <w:rFonts w:asciiTheme="minorHAnsi" w:hAnsiTheme="minorHAnsi"/>
          <w:sz w:val="18"/>
          <w:lang w:val="de-DE"/>
        </w:rPr>
        <w:t>Der Zweck dieses Anhangs ist es, einen Überblick über die Maßnahmen zur Umsetzung oder Unterstützung des NEB zu geben, insbesondere über diejenigen, die EU-Mittel erhalten. Es ist nicht beabsichtigt, eine erschöpfende Liste dieser Maßnahmen zu erstellen, sondern die wichtigsten Maßnahmen vorzustellen und relevante und repräsentative Beispiele für andere zu nennen.</w:t>
      </w:r>
    </w:p>
  </w:footnote>
  <w:footnote w:id="3">
    <w:p w14:paraId="68DC9D28" w14:textId="77777777" w:rsidR="00502C0B" w:rsidRPr="009B5B44" w:rsidRDefault="00502C0B" w:rsidP="00502C0B">
      <w:pPr>
        <w:pStyle w:val="FootnoteText"/>
        <w:jc w:val="both"/>
        <w:rPr>
          <w:rFonts w:asciiTheme="minorHAnsi" w:hAnsiTheme="minorHAnsi" w:cstheme="minorHAnsi"/>
          <w:sz w:val="18"/>
          <w:lang w:val="de-DE"/>
        </w:rPr>
      </w:pPr>
      <w:r>
        <w:rPr>
          <w:rStyle w:val="FootnoteReference"/>
          <w:rFonts w:asciiTheme="minorHAnsi" w:hAnsiTheme="minorHAnsi" w:cstheme="minorHAnsi"/>
          <w:sz w:val="18"/>
        </w:rPr>
        <w:footnoteRef/>
      </w:r>
      <w:r w:rsidRPr="009B5B44">
        <w:rPr>
          <w:rFonts w:asciiTheme="minorHAnsi" w:hAnsiTheme="minorHAnsi"/>
          <w:sz w:val="18"/>
          <w:lang w:val="de-DE"/>
        </w:rPr>
        <w:t xml:space="preserve"> Das Arbeitsprogramm </w:t>
      </w:r>
      <w:r w:rsidRPr="003E5D4C">
        <w:rPr>
          <w:rFonts w:asciiTheme="minorHAnsi" w:hAnsiTheme="minorHAnsi"/>
          <w:sz w:val="18"/>
          <w:lang w:val="de-DE"/>
        </w:rPr>
        <w:t>2021</w:t>
      </w:r>
      <w:r w:rsidRPr="009B5B44">
        <w:rPr>
          <w:rFonts w:asciiTheme="minorHAnsi" w:hAnsiTheme="minorHAnsi"/>
          <w:sz w:val="18"/>
          <w:lang w:val="de-DE"/>
        </w:rPr>
        <w:t>-</w:t>
      </w:r>
      <w:r w:rsidRPr="003E5D4C">
        <w:rPr>
          <w:rFonts w:asciiTheme="minorHAnsi" w:hAnsiTheme="minorHAnsi"/>
          <w:sz w:val="18"/>
          <w:lang w:val="de-DE"/>
        </w:rPr>
        <w:t>2022</w:t>
      </w:r>
      <w:r w:rsidRPr="009B5B44">
        <w:rPr>
          <w:rFonts w:asciiTheme="minorHAnsi" w:hAnsiTheme="minorHAnsi"/>
          <w:sz w:val="18"/>
          <w:lang w:val="de-DE"/>
        </w:rPr>
        <w:t xml:space="preserve"> für Horizont Europa umfasste eine Reihe von Themen in den Clustern </w:t>
      </w:r>
      <w:r w:rsidRPr="003E5D4C">
        <w:rPr>
          <w:rFonts w:asciiTheme="minorHAnsi" w:hAnsiTheme="minorHAnsi"/>
          <w:sz w:val="18"/>
          <w:lang w:val="de-DE"/>
        </w:rPr>
        <w:t>2</w:t>
      </w:r>
      <w:r w:rsidRPr="009B5B44">
        <w:rPr>
          <w:rFonts w:asciiTheme="minorHAnsi" w:hAnsiTheme="minorHAnsi"/>
          <w:sz w:val="18"/>
          <w:lang w:val="de-DE"/>
        </w:rPr>
        <w:t xml:space="preserve">, </w:t>
      </w:r>
      <w:r w:rsidRPr="003E5D4C">
        <w:rPr>
          <w:rFonts w:asciiTheme="minorHAnsi" w:hAnsiTheme="minorHAnsi"/>
          <w:sz w:val="18"/>
          <w:lang w:val="de-DE"/>
        </w:rPr>
        <w:t>4</w:t>
      </w:r>
      <w:r w:rsidRPr="009B5B44">
        <w:rPr>
          <w:rFonts w:asciiTheme="minorHAnsi" w:hAnsiTheme="minorHAnsi"/>
          <w:sz w:val="18"/>
          <w:lang w:val="de-DE"/>
        </w:rPr>
        <w:t xml:space="preserve">, </w:t>
      </w:r>
      <w:r w:rsidRPr="003E5D4C">
        <w:rPr>
          <w:rFonts w:asciiTheme="minorHAnsi" w:hAnsiTheme="minorHAnsi"/>
          <w:sz w:val="18"/>
          <w:lang w:val="de-DE"/>
        </w:rPr>
        <w:t>5</w:t>
      </w:r>
      <w:r w:rsidRPr="009B5B44">
        <w:rPr>
          <w:rFonts w:asciiTheme="minorHAnsi" w:hAnsiTheme="minorHAnsi"/>
          <w:sz w:val="18"/>
          <w:lang w:val="de-DE"/>
        </w:rPr>
        <w:t xml:space="preserve"> und </w:t>
      </w:r>
      <w:r w:rsidRPr="003E5D4C">
        <w:rPr>
          <w:rFonts w:asciiTheme="minorHAnsi" w:hAnsiTheme="minorHAnsi"/>
          <w:sz w:val="18"/>
          <w:lang w:val="de-DE"/>
        </w:rPr>
        <w:t>6</w:t>
      </w:r>
      <w:r w:rsidRPr="009B5B44">
        <w:rPr>
          <w:rFonts w:asciiTheme="minorHAnsi" w:hAnsiTheme="minorHAnsi"/>
          <w:sz w:val="18"/>
          <w:lang w:val="de-DE"/>
        </w:rPr>
        <w:t xml:space="preserve"> sowie den Teil „Missionen“ des Arbeitsprogramms, der direkt zum NEB beigetragen hat. Diese Themen werden in den kommenden Jahren zu ersten Ergebnissen führen. Dies entspricht </w:t>
      </w:r>
      <w:r w:rsidRPr="003E5D4C">
        <w:rPr>
          <w:rFonts w:asciiTheme="minorHAnsi" w:hAnsiTheme="minorHAnsi"/>
          <w:sz w:val="18"/>
          <w:lang w:val="de-DE"/>
        </w:rPr>
        <w:t>44</w:t>
      </w:r>
      <w:r w:rsidRPr="009B5B44">
        <w:rPr>
          <w:rFonts w:asciiTheme="minorHAnsi" w:hAnsiTheme="minorHAnsi"/>
          <w:sz w:val="18"/>
          <w:lang w:val="de-DE"/>
        </w:rPr>
        <w:t xml:space="preserve"> Mio. EUR an zweckgebundenen Mitteln für das Neue Europäische Bauhaus, und zwar ohne Themen, die das Neue Europäische Bauhaus als Kontextelement betreffen, und die sich auf </w:t>
      </w:r>
      <w:r w:rsidRPr="003E5D4C">
        <w:rPr>
          <w:rFonts w:asciiTheme="minorHAnsi" w:hAnsiTheme="minorHAnsi"/>
          <w:sz w:val="18"/>
          <w:lang w:val="de-DE"/>
        </w:rPr>
        <w:t>123</w:t>
      </w:r>
      <w:r w:rsidRPr="009B5B44">
        <w:rPr>
          <w:rFonts w:asciiTheme="minorHAnsi" w:hAnsiTheme="minorHAnsi"/>
          <w:sz w:val="18"/>
          <w:lang w:val="de-DE"/>
        </w:rPr>
        <w:t> Mio. EUR belaufen.</w:t>
      </w:r>
    </w:p>
  </w:footnote>
  <w:footnote w:id="4">
    <w:p w14:paraId="6DB22EA5" w14:textId="3C96AAAA" w:rsidR="00EF3038" w:rsidRPr="009B5B44" w:rsidRDefault="00EF3038">
      <w:pPr>
        <w:pStyle w:val="FootnoteText"/>
        <w:rPr>
          <w:rStyle w:val="Hyperlink"/>
          <w:rFonts w:asciiTheme="minorHAnsi" w:hAnsiTheme="minorHAnsi" w:cstheme="minorHAnsi"/>
          <w:lang w:val="de-DE"/>
        </w:rPr>
      </w:pPr>
      <w:r>
        <w:rPr>
          <w:rStyle w:val="FootnoteReference"/>
        </w:rPr>
        <w:footnoteRef/>
      </w:r>
      <w:r w:rsidRPr="009B5B44">
        <w:rPr>
          <w:lang w:val="de-DE"/>
        </w:rPr>
        <w:t xml:space="preserve"> </w:t>
      </w:r>
      <w:hyperlink r:id="rId1" w:history="1">
        <w:r w:rsidRPr="009B5B44">
          <w:rPr>
            <w:rStyle w:val="Hyperlink"/>
            <w:rFonts w:asciiTheme="minorHAnsi" w:hAnsiTheme="minorHAnsi"/>
            <w:lang w:val="de-DE"/>
          </w:rPr>
          <w:t>https://research-and-innovation.ec.europa.eu/funding/funding-opportunities/funding-programmes-and-open-calls/horizon-europe/eu-missions-horizon-europe/climate-neutral-and-smart-cities_en</w:t>
        </w:r>
      </w:hyperlink>
      <w:r w:rsidRPr="009B5B44">
        <w:rPr>
          <w:rStyle w:val="Hyperlink"/>
          <w:rFonts w:asciiTheme="minorHAnsi" w:hAnsiTheme="minorHAnsi"/>
          <w:lang w:val="de-DE"/>
        </w:rPr>
        <w:t xml:space="preserve"> </w:t>
      </w:r>
    </w:p>
  </w:footnote>
  <w:footnote w:id="5">
    <w:p w14:paraId="11A45659" w14:textId="75B4F992" w:rsidR="00766F96" w:rsidRPr="009B5B44" w:rsidRDefault="00766F96" w:rsidP="000063D0">
      <w:pPr>
        <w:pStyle w:val="FootnoteText"/>
        <w:rPr>
          <w:rFonts w:asciiTheme="minorHAnsi" w:hAnsiTheme="minorHAnsi" w:cstheme="minorHAnsi"/>
          <w:lang w:val="de-DE"/>
        </w:rPr>
      </w:pPr>
      <w:r>
        <w:rPr>
          <w:rStyle w:val="FootnoteReference"/>
          <w:rFonts w:asciiTheme="minorHAnsi" w:hAnsiTheme="minorHAnsi" w:cstheme="minorHAnsi"/>
        </w:rPr>
        <w:footnoteRef/>
      </w:r>
      <w:r w:rsidRPr="009B5B44">
        <w:rPr>
          <w:rFonts w:asciiTheme="minorHAnsi" w:hAnsiTheme="minorHAnsi"/>
          <w:lang w:val="de-DE"/>
        </w:rPr>
        <w:t xml:space="preserve"> </w:t>
      </w:r>
      <w:r w:rsidRPr="009B5B44">
        <w:rPr>
          <w:rStyle w:val="Hyperlink"/>
          <w:rFonts w:asciiTheme="minorHAnsi" w:hAnsiTheme="minorHAnsi"/>
          <w:lang w:val="de-DE"/>
        </w:rPr>
        <w:t>https://single-market-economy.ec.europa.eu/sectors/proximity-and-social-economy/social-economy-eu/affordable-housing-initiative_en</w:t>
      </w:r>
    </w:p>
  </w:footnote>
  <w:footnote w:id="6">
    <w:p w14:paraId="45DF643A" w14:textId="69175721" w:rsidR="00766F96" w:rsidRPr="009B5B44" w:rsidRDefault="00766F96" w:rsidP="000063D0">
      <w:pPr>
        <w:pStyle w:val="FootnoteText"/>
        <w:rPr>
          <w:lang w:val="de-DE"/>
        </w:rPr>
      </w:pPr>
      <w:r>
        <w:rPr>
          <w:rStyle w:val="FootnoteReference"/>
          <w:rFonts w:asciiTheme="minorHAnsi" w:hAnsiTheme="minorHAnsi" w:cstheme="minorHAnsi"/>
        </w:rPr>
        <w:footnoteRef/>
      </w:r>
      <w:r w:rsidRPr="009B5B44">
        <w:rPr>
          <w:rFonts w:asciiTheme="minorHAnsi" w:hAnsiTheme="minorHAnsi"/>
          <w:lang w:val="de-DE"/>
        </w:rPr>
        <w:t xml:space="preserve"> </w:t>
      </w:r>
      <w:hyperlink r:id="rId2" w:history="1">
        <w:r w:rsidRPr="009B5B44">
          <w:rPr>
            <w:rStyle w:val="Hyperlink"/>
            <w:rFonts w:asciiTheme="minorHAnsi" w:hAnsiTheme="minorHAnsi"/>
            <w:lang w:val="de-DE"/>
          </w:rPr>
          <w:t>https://shape-affordablehousing.eu/</w:t>
        </w:r>
      </w:hyperlink>
      <w:r w:rsidRPr="009B5B44">
        <w:rPr>
          <w:lang w:val="de-DE"/>
        </w:rPr>
        <w:t xml:space="preserve"> </w:t>
      </w:r>
    </w:p>
  </w:footnote>
  <w:footnote w:id="7">
    <w:p w14:paraId="03B658B3" w14:textId="16D400F9" w:rsidR="0055758B" w:rsidRPr="009B5B44" w:rsidRDefault="0055758B">
      <w:pPr>
        <w:pStyle w:val="FootnoteText"/>
        <w:rPr>
          <w:lang w:val="de-DE"/>
        </w:rPr>
      </w:pPr>
      <w:r>
        <w:rPr>
          <w:rStyle w:val="FootnoteReference"/>
        </w:rPr>
        <w:footnoteRef/>
      </w:r>
      <w:r w:rsidRPr="009B5B44">
        <w:rPr>
          <w:lang w:val="de-DE"/>
        </w:rPr>
        <w:t xml:space="preserve"> https://cordis.europa.eu/de</w:t>
      </w:r>
    </w:p>
  </w:footnote>
  <w:footnote w:id="8">
    <w:p w14:paraId="445D83DD" w14:textId="243F2EF7" w:rsidR="00A21EF5" w:rsidRPr="009B5B44" w:rsidRDefault="00A21EF5">
      <w:pPr>
        <w:pStyle w:val="FootnoteText"/>
        <w:rPr>
          <w:lang w:val="de-DE"/>
        </w:rPr>
      </w:pPr>
      <w:r>
        <w:rPr>
          <w:rStyle w:val="FootnoteReference"/>
        </w:rPr>
        <w:footnoteRef/>
      </w:r>
      <w:r w:rsidRPr="009B5B44">
        <w:rPr>
          <w:lang w:val="de-DE"/>
        </w:rPr>
        <w:t xml:space="preserve"> </w:t>
      </w:r>
      <w:hyperlink r:id="rId3" w:history="1">
        <w:r w:rsidRPr="009B5B44">
          <w:rPr>
            <w:rStyle w:val="Hyperlink"/>
            <w:rFonts w:asciiTheme="minorHAnsi" w:hAnsiTheme="minorHAnsi"/>
            <w:sz w:val="18"/>
            <w:lang w:val="de-DE"/>
          </w:rPr>
          <w:t>https://c.ramboll.com/local-support-new-european-bauhaus?utm_source=twitter&amp;utm_medium=social&amp;utm_campaign=twit</w:t>
        </w:r>
        <w:r w:rsidRPr="003E5D4C">
          <w:rPr>
            <w:rStyle w:val="Hyperlink"/>
            <w:rFonts w:asciiTheme="minorHAnsi" w:hAnsiTheme="minorHAnsi"/>
            <w:sz w:val="18"/>
            <w:lang w:val="de-DE"/>
          </w:rPr>
          <w:t>1</w:t>
        </w:r>
      </w:hyperlink>
      <w:r w:rsidRPr="009B5B44">
        <w:rPr>
          <w:lang w:val="de-DE"/>
        </w:rPr>
        <w:t xml:space="preserve"> </w:t>
      </w:r>
    </w:p>
  </w:footnote>
  <w:footnote w:id="9">
    <w:p w14:paraId="1C91C4ED" w14:textId="77777777" w:rsidR="00580937" w:rsidRPr="009B5B44" w:rsidRDefault="00580937" w:rsidP="00580937">
      <w:pPr>
        <w:pStyle w:val="FootnoteText"/>
        <w:rPr>
          <w:rFonts w:asciiTheme="minorHAnsi" w:hAnsiTheme="minorHAnsi" w:cstheme="minorHAnsi"/>
          <w:sz w:val="18"/>
          <w:lang w:val="de-DE"/>
        </w:rPr>
      </w:pPr>
      <w:r>
        <w:rPr>
          <w:rStyle w:val="FootnoteReference"/>
          <w:rFonts w:asciiTheme="minorHAnsi" w:hAnsiTheme="minorHAnsi" w:cstheme="minorHAnsi"/>
          <w:sz w:val="18"/>
        </w:rPr>
        <w:footnoteRef/>
      </w:r>
      <w:r w:rsidRPr="009B5B44">
        <w:rPr>
          <w:rFonts w:asciiTheme="minorHAnsi" w:hAnsiTheme="minorHAnsi"/>
          <w:sz w:val="18"/>
          <w:lang w:val="de-DE"/>
        </w:rPr>
        <w:t xml:space="preserve"> </w:t>
      </w:r>
      <w:hyperlink r:id="rId4" w:history="1">
        <w:r w:rsidRPr="009B5B44">
          <w:rPr>
            <w:rStyle w:val="Hyperlink"/>
            <w:rFonts w:asciiTheme="minorHAnsi" w:hAnsiTheme="minorHAnsi"/>
            <w:sz w:val="18"/>
            <w:lang w:val="de-DE"/>
          </w:rPr>
          <w:t>https://ec.europa.eu/regional_policy/en/information/publications/communications/</w:t>
        </w:r>
        <w:r w:rsidRPr="003E5D4C">
          <w:rPr>
            <w:rStyle w:val="Hyperlink"/>
            <w:rFonts w:asciiTheme="minorHAnsi" w:hAnsiTheme="minorHAnsi"/>
            <w:sz w:val="18"/>
            <w:lang w:val="de-DE"/>
          </w:rPr>
          <w:t>2022</w:t>
        </w:r>
        <w:r w:rsidRPr="009B5B44">
          <w:rPr>
            <w:rStyle w:val="Hyperlink"/>
            <w:rFonts w:asciiTheme="minorHAnsi" w:hAnsiTheme="minorHAnsi"/>
            <w:sz w:val="18"/>
            <w:lang w:val="de-DE"/>
          </w:rPr>
          <w:t>/new-european-bauhaus-territorial-development-model-neb-tdm-financial-instrument</w:t>
        </w:r>
      </w:hyperlink>
      <w:r w:rsidRPr="009B5B44">
        <w:rPr>
          <w:rFonts w:asciiTheme="minorHAnsi" w:hAnsiTheme="minorHAnsi"/>
          <w:sz w:val="18"/>
          <w:lang w:val="de-DE"/>
        </w:rPr>
        <w:t xml:space="preserve"> </w:t>
      </w:r>
    </w:p>
  </w:footnote>
  <w:footnote w:id="10">
    <w:p w14:paraId="2133199D" w14:textId="77777777" w:rsidR="00F83959" w:rsidRPr="009B5B44" w:rsidRDefault="00F83959" w:rsidP="00F83959">
      <w:pPr>
        <w:pStyle w:val="FootnoteText"/>
        <w:rPr>
          <w:rFonts w:asciiTheme="minorHAnsi" w:hAnsiTheme="minorHAnsi" w:cstheme="minorHAnsi"/>
          <w:sz w:val="18"/>
          <w:lang w:val="de-DE"/>
        </w:rPr>
      </w:pPr>
      <w:r>
        <w:rPr>
          <w:rStyle w:val="FootnoteReference"/>
          <w:rFonts w:asciiTheme="minorHAnsi" w:hAnsiTheme="minorHAnsi" w:cstheme="minorHAnsi"/>
          <w:sz w:val="18"/>
        </w:rPr>
        <w:footnoteRef/>
      </w:r>
      <w:r w:rsidRPr="009B5B44">
        <w:rPr>
          <w:rFonts w:asciiTheme="minorHAnsi" w:hAnsiTheme="minorHAnsi"/>
          <w:sz w:val="18"/>
          <w:lang w:val="de-DE"/>
        </w:rPr>
        <w:t xml:space="preserve"> </w:t>
      </w:r>
      <w:hyperlink r:id="rId5" w:history="1">
        <w:r w:rsidRPr="009B5B44">
          <w:rPr>
            <w:rStyle w:val="Hyperlink"/>
            <w:rFonts w:asciiTheme="minorHAnsi" w:hAnsiTheme="minorHAnsi"/>
            <w:sz w:val="18"/>
            <w:lang w:val="de-DE"/>
          </w:rPr>
          <w:t>https://www.urban-initiative.eu/new-european-bauhaus-topic-first-call</w:t>
        </w:r>
      </w:hyperlink>
      <w:r w:rsidRPr="009B5B44">
        <w:rPr>
          <w:rFonts w:asciiTheme="minorHAnsi" w:hAnsiTheme="minorHAnsi"/>
          <w:sz w:val="18"/>
          <w:lang w:val="de-DE"/>
        </w:rPr>
        <w:t xml:space="preserve"> </w:t>
      </w:r>
    </w:p>
  </w:footnote>
  <w:footnote w:id="11">
    <w:p w14:paraId="7559B3E1" w14:textId="77777777" w:rsidR="00E952DD" w:rsidRPr="009B5B44" w:rsidRDefault="00E952DD" w:rsidP="00E952DD">
      <w:pPr>
        <w:pStyle w:val="FootnoteText"/>
        <w:rPr>
          <w:lang w:val="de-DE"/>
        </w:rPr>
      </w:pPr>
      <w:r>
        <w:rPr>
          <w:rStyle w:val="FootnoteReference"/>
          <w:rFonts w:asciiTheme="minorHAnsi" w:hAnsiTheme="minorHAnsi" w:cstheme="minorHAnsi"/>
          <w:sz w:val="18"/>
        </w:rPr>
        <w:footnoteRef/>
      </w:r>
      <w:r w:rsidRPr="009B5B44">
        <w:rPr>
          <w:rFonts w:asciiTheme="minorHAnsi" w:hAnsiTheme="minorHAnsi"/>
          <w:sz w:val="18"/>
          <w:lang w:val="de-DE"/>
        </w:rPr>
        <w:t xml:space="preserve"> </w:t>
      </w:r>
      <w:hyperlink r:id="rId6" w:history="1">
        <w:r w:rsidRPr="009B5B44">
          <w:rPr>
            <w:rStyle w:val="Hyperlink"/>
            <w:rFonts w:asciiTheme="minorHAnsi" w:hAnsiTheme="minorHAnsi"/>
            <w:sz w:val="18"/>
            <w:lang w:val="de-DE"/>
          </w:rPr>
          <w:t>https://new-european-bauhaus.europa.eu/get-involved/</w:t>
        </w:r>
        <w:r w:rsidRPr="003E5D4C">
          <w:rPr>
            <w:rStyle w:val="Hyperlink"/>
            <w:rFonts w:asciiTheme="minorHAnsi" w:hAnsiTheme="minorHAnsi"/>
            <w:sz w:val="18"/>
            <w:lang w:val="de-DE"/>
          </w:rPr>
          <w:t>2022</w:t>
        </w:r>
        <w:r w:rsidRPr="009B5B44">
          <w:rPr>
            <w:rStyle w:val="Hyperlink"/>
            <w:rFonts w:asciiTheme="minorHAnsi" w:hAnsiTheme="minorHAnsi"/>
            <w:sz w:val="18"/>
            <w:lang w:val="de-DE"/>
          </w:rPr>
          <w:t>-prizes_en</w:t>
        </w:r>
      </w:hyperlink>
      <w:r w:rsidRPr="009B5B44">
        <w:rPr>
          <w:lang w:val="de-DE"/>
        </w:rPr>
        <w:t xml:space="preserve"> </w:t>
      </w:r>
    </w:p>
  </w:footnote>
  <w:footnote w:id="12">
    <w:p w14:paraId="35948FE1" w14:textId="77777777" w:rsidR="00502C0B" w:rsidRPr="009B5B44" w:rsidRDefault="00502C0B" w:rsidP="00502C0B">
      <w:pPr>
        <w:pStyle w:val="FootnoteText"/>
        <w:rPr>
          <w:rFonts w:asciiTheme="minorHAnsi" w:hAnsiTheme="minorHAnsi" w:cstheme="minorHAnsi"/>
          <w:sz w:val="18"/>
          <w:lang w:val="de-DE"/>
        </w:rPr>
      </w:pPr>
      <w:r>
        <w:rPr>
          <w:rStyle w:val="FootnoteReference"/>
          <w:rFonts w:asciiTheme="minorHAnsi" w:hAnsiTheme="minorHAnsi" w:cstheme="minorHAnsi"/>
          <w:sz w:val="18"/>
        </w:rPr>
        <w:footnoteRef/>
      </w:r>
      <w:r w:rsidRPr="009B5B44">
        <w:rPr>
          <w:rFonts w:asciiTheme="minorHAnsi" w:hAnsiTheme="minorHAnsi"/>
          <w:sz w:val="18"/>
          <w:lang w:val="de-DE"/>
        </w:rPr>
        <w:t xml:space="preserve"> Die </w:t>
      </w:r>
      <w:r w:rsidRPr="003E5D4C">
        <w:rPr>
          <w:rFonts w:asciiTheme="minorHAnsi" w:hAnsiTheme="minorHAnsi"/>
          <w:sz w:val="18"/>
          <w:lang w:val="de-DE"/>
        </w:rPr>
        <w:t>18</w:t>
      </w:r>
      <w:r w:rsidRPr="009B5B44">
        <w:rPr>
          <w:rFonts w:asciiTheme="minorHAnsi" w:hAnsiTheme="minorHAnsi"/>
          <w:sz w:val="18"/>
          <w:lang w:val="de-DE"/>
        </w:rPr>
        <w:t xml:space="preserve"> ausgezeichneten Projekte für beide Aufforderungen zur Einreichung von Vorschlägen können hier eingesehen werden: </w:t>
      </w:r>
      <w:r w:rsidRPr="009B5B44">
        <w:rPr>
          <w:rStyle w:val="Hyperlink"/>
          <w:rFonts w:asciiTheme="minorHAnsi" w:hAnsiTheme="minorHAnsi"/>
          <w:sz w:val="18"/>
          <w:lang w:val="de-DE"/>
        </w:rPr>
        <w:t>https://eit.europa.eu/news-events/news/eit-community-announces-new-european-bauhaus-citizen-engagement-projects</w:t>
      </w:r>
    </w:p>
  </w:footnote>
  <w:footnote w:id="13">
    <w:p w14:paraId="60D61101" w14:textId="77777777" w:rsidR="000F6A8C" w:rsidRPr="009B5B44" w:rsidRDefault="000F6A8C" w:rsidP="00594675">
      <w:pPr>
        <w:pStyle w:val="FootnoteText"/>
        <w:jc w:val="both"/>
        <w:rPr>
          <w:lang w:val="de-DE"/>
        </w:rPr>
      </w:pPr>
      <w:r>
        <w:rPr>
          <w:rStyle w:val="FootnoteReference"/>
          <w:rFonts w:asciiTheme="minorHAnsi" w:hAnsiTheme="minorHAnsi" w:cstheme="minorHAnsi"/>
          <w:sz w:val="18"/>
        </w:rPr>
        <w:footnoteRef/>
      </w:r>
      <w:r w:rsidRPr="009B5B44">
        <w:rPr>
          <w:rFonts w:asciiTheme="minorHAnsi" w:hAnsiTheme="minorHAnsi"/>
          <w:sz w:val="18"/>
          <w:lang w:val="de-DE"/>
        </w:rPr>
        <w:t xml:space="preserve"> </w:t>
      </w:r>
      <w:hyperlink r:id="rId7" w:history="1">
        <w:r w:rsidRPr="009B5B44">
          <w:rPr>
            <w:rStyle w:val="Hyperlink"/>
            <w:rFonts w:asciiTheme="minorHAnsi" w:hAnsiTheme="minorHAnsi"/>
            <w:sz w:val="18"/>
            <w:lang w:val="de-DE"/>
          </w:rPr>
          <w:t>https://eit.europa.eu/news-events/news/multi-million-euro-partnership-culture-and-creativity-launched-eit-culture</w:t>
        </w:r>
      </w:hyperlink>
      <w:r w:rsidRPr="009B5B44">
        <w:rPr>
          <w:lang w:val="de-DE"/>
        </w:rPr>
        <w:t xml:space="preserve"> </w:t>
      </w:r>
    </w:p>
  </w:footnote>
  <w:footnote w:id="14">
    <w:p w14:paraId="49AC3FE5" w14:textId="77777777" w:rsidR="00580937" w:rsidRPr="009B5B44" w:rsidRDefault="00580937" w:rsidP="00594675">
      <w:pPr>
        <w:pStyle w:val="FootnoteText"/>
        <w:jc w:val="both"/>
        <w:rPr>
          <w:rFonts w:asciiTheme="minorHAnsi" w:hAnsiTheme="minorHAnsi" w:cstheme="minorHAnsi"/>
          <w:sz w:val="18"/>
          <w:lang w:val="de-DE"/>
        </w:rPr>
      </w:pPr>
      <w:r>
        <w:rPr>
          <w:rStyle w:val="FootnoteReference"/>
          <w:rFonts w:asciiTheme="minorHAnsi" w:hAnsiTheme="minorHAnsi" w:cstheme="minorHAnsi"/>
          <w:sz w:val="18"/>
        </w:rPr>
        <w:footnoteRef/>
      </w:r>
      <w:r w:rsidRPr="009B5B44">
        <w:rPr>
          <w:lang w:val="de-DE"/>
        </w:rPr>
        <w:t xml:space="preserve"> </w:t>
      </w:r>
      <w:r w:rsidRPr="009B5B44">
        <w:rPr>
          <w:rFonts w:asciiTheme="minorHAnsi" w:hAnsiTheme="minorHAnsi"/>
          <w:sz w:val="18"/>
          <w:lang w:val="de-DE"/>
        </w:rPr>
        <w:t xml:space="preserve">Weitere Informationen über die ausgewählten Projekte und Unternehmenspartnerschaften sind auf der Website des Programms abrufbar: </w:t>
      </w:r>
      <w:hyperlink r:id="rId8" w:history="1">
        <w:r w:rsidRPr="009B5B44">
          <w:rPr>
            <w:rStyle w:val="Hyperlink"/>
            <w:rFonts w:asciiTheme="minorHAnsi" w:hAnsiTheme="minorHAnsi"/>
            <w:sz w:val="18"/>
            <w:lang w:val="de-DE"/>
          </w:rPr>
          <w:t>Partnerschaftsprojekt WORTH (europa.eu)</w:t>
        </w:r>
      </w:hyperlink>
      <w:r w:rsidRPr="009B5B44">
        <w:rPr>
          <w:lang w:val="de-DE"/>
        </w:rPr>
        <w:t>.</w:t>
      </w:r>
    </w:p>
  </w:footnote>
  <w:footnote w:id="15">
    <w:p w14:paraId="6A40E8B2" w14:textId="77777777" w:rsidR="00DA2DA3" w:rsidRPr="009B5B44" w:rsidRDefault="00DA2DA3" w:rsidP="00594675">
      <w:pPr>
        <w:spacing w:after="160" w:line="259" w:lineRule="auto"/>
        <w:jc w:val="both"/>
        <w:rPr>
          <w:b/>
          <w:lang w:val="de-DE"/>
        </w:rPr>
      </w:pPr>
      <w:r>
        <w:rPr>
          <w:rStyle w:val="FootnoteReference"/>
          <w:rFonts w:asciiTheme="minorHAnsi" w:hAnsiTheme="minorHAnsi" w:cstheme="minorHAnsi"/>
          <w:sz w:val="18"/>
        </w:rPr>
        <w:footnoteRef/>
      </w:r>
      <w:r w:rsidRPr="009B5B44">
        <w:rPr>
          <w:lang w:val="de-DE"/>
        </w:rPr>
        <w:t xml:space="preserve"> </w:t>
      </w:r>
      <w:r w:rsidRPr="009B5B44">
        <w:rPr>
          <w:rFonts w:asciiTheme="minorHAnsi" w:hAnsiTheme="minorHAnsi"/>
          <w:sz w:val="18"/>
          <w:lang w:val="de-DE"/>
        </w:rPr>
        <w:t>Zum Beispiel: das Projekt „SEA</w:t>
      </w:r>
      <w:r w:rsidRPr="003E5D4C">
        <w:rPr>
          <w:rFonts w:asciiTheme="minorHAnsi" w:hAnsiTheme="minorHAnsi"/>
          <w:sz w:val="18"/>
          <w:lang w:val="de-DE"/>
        </w:rPr>
        <w:t>4</w:t>
      </w:r>
      <w:r w:rsidRPr="009B5B44">
        <w:rPr>
          <w:rFonts w:asciiTheme="minorHAnsi" w:hAnsiTheme="minorHAnsi"/>
          <w:sz w:val="18"/>
          <w:lang w:val="de-DE"/>
        </w:rPr>
        <w:t xml:space="preserve">NEB“: </w:t>
      </w:r>
      <w:hyperlink r:id="rId9" w:history="1">
        <w:r w:rsidRPr="009B5B44">
          <w:rPr>
            <w:rFonts w:asciiTheme="minorHAnsi" w:hAnsiTheme="minorHAnsi"/>
            <w:sz w:val="18"/>
            <w:lang w:val="de-DE"/>
          </w:rPr>
          <w:t>Finanzierung und Ausschreibungen (europa.eu)</w:t>
        </w:r>
      </w:hyperlink>
      <w:r w:rsidRPr="009B5B44">
        <w:rPr>
          <w:rFonts w:asciiTheme="minorHAnsi" w:hAnsiTheme="minorHAnsi"/>
          <w:sz w:val="18"/>
          <w:lang w:val="de-DE"/>
        </w:rPr>
        <w:t xml:space="preserve"> und das Projekt „eLabHauSE“: </w:t>
      </w:r>
      <w:hyperlink r:id="rId10" w:history="1">
        <w:r w:rsidRPr="009B5B44">
          <w:rPr>
            <w:rFonts w:asciiTheme="minorHAnsi" w:hAnsiTheme="minorHAnsi"/>
            <w:sz w:val="18"/>
            <w:lang w:val="de-DE"/>
          </w:rPr>
          <w:t>Finanzierung und Ausschreibungen (europa.eu)</w:t>
        </w:r>
      </w:hyperlink>
      <w:r w:rsidRPr="009B5B44">
        <w:rPr>
          <w:lang w:val="de-DE"/>
        </w:rPr>
        <w:t>.</w:t>
      </w:r>
    </w:p>
  </w:footnote>
  <w:footnote w:id="16">
    <w:p w14:paraId="5FB7E675" w14:textId="77777777" w:rsidR="00036D3D" w:rsidRPr="009B5B44" w:rsidRDefault="00036D3D" w:rsidP="00036D3D">
      <w:pPr>
        <w:pStyle w:val="FootnoteText"/>
        <w:rPr>
          <w:rFonts w:asciiTheme="minorHAnsi" w:hAnsiTheme="minorHAnsi" w:cstheme="minorHAnsi"/>
          <w:sz w:val="22"/>
          <w:lang w:val="de-DE"/>
        </w:rPr>
      </w:pPr>
      <w:r>
        <w:rPr>
          <w:rStyle w:val="FootnoteReference"/>
          <w:rFonts w:asciiTheme="minorHAnsi" w:hAnsiTheme="minorHAnsi" w:cstheme="minorHAnsi"/>
          <w:sz w:val="22"/>
        </w:rPr>
        <w:footnoteRef/>
      </w:r>
      <w:r w:rsidRPr="009B5B44">
        <w:rPr>
          <w:rFonts w:asciiTheme="minorHAnsi" w:hAnsiTheme="minorHAnsi"/>
          <w:sz w:val="22"/>
          <w:lang w:val="de-DE"/>
        </w:rPr>
        <w:t xml:space="preserve"> </w:t>
      </w:r>
      <w:hyperlink r:id="rId11" w:history="1">
        <w:r w:rsidRPr="009B5B44">
          <w:rPr>
            <w:rStyle w:val="Hyperlink"/>
            <w:rFonts w:asciiTheme="minorHAnsi" w:hAnsiTheme="minorHAnsi"/>
            <w:sz w:val="22"/>
            <w:lang w:val="de-DE"/>
          </w:rPr>
          <w:t>https://www.intelligentcitieschallenge.eu/</w:t>
        </w:r>
      </w:hyperlink>
      <w:r w:rsidRPr="009B5B44">
        <w:rPr>
          <w:rFonts w:asciiTheme="minorHAnsi" w:hAnsiTheme="minorHAnsi"/>
          <w:sz w:val="22"/>
          <w:lang w:val="de-DE"/>
        </w:rPr>
        <w:t xml:space="preserve"> </w:t>
      </w:r>
    </w:p>
  </w:footnote>
  <w:footnote w:id="17">
    <w:p w14:paraId="13793EC2" w14:textId="38223E7F" w:rsidR="00E22D79" w:rsidRPr="009B5B44" w:rsidRDefault="00E22D79" w:rsidP="00E22D79">
      <w:pPr>
        <w:pStyle w:val="FootnoteText"/>
        <w:rPr>
          <w:rFonts w:asciiTheme="minorHAnsi" w:hAnsiTheme="minorHAnsi" w:cstheme="minorHAnsi"/>
          <w:sz w:val="22"/>
          <w:lang w:val="de-DE"/>
        </w:rPr>
      </w:pPr>
      <w:r>
        <w:rPr>
          <w:rStyle w:val="FootnoteReference"/>
          <w:rFonts w:asciiTheme="minorHAnsi" w:hAnsiTheme="minorHAnsi" w:cstheme="minorHAnsi"/>
          <w:sz w:val="22"/>
        </w:rPr>
        <w:footnoteRef/>
      </w:r>
      <w:r w:rsidRPr="009B5B44">
        <w:rPr>
          <w:rFonts w:asciiTheme="minorHAnsi" w:hAnsiTheme="minorHAnsi"/>
          <w:sz w:val="22"/>
          <w:lang w:val="de-DE"/>
        </w:rPr>
        <w:t xml:space="preserve"> </w:t>
      </w:r>
      <w:hyperlink r:id="rId12" w:history="1">
        <w:r w:rsidRPr="009B5B44">
          <w:rPr>
            <w:rStyle w:val="Hyperlink"/>
            <w:rFonts w:asciiTheme="minorHAnsi" w:hAnsiTheme="minorHAnsi"/>
            <w:sz w:val="22"/>
            <w:lang w:val="de-DE"/>
          </w:rPr>
          <w:t>https://een.ec.europa.eu/</w:t>
        </w:r>
      </w:hyperlink>
      <w:r w:rsidRPr="009B5B44">
        <w:rPr>
          <w:rFonts w:asciiTheme="minorHAnsi" w:hAnsiTheme="minorHAnsi"/>
          <w:sz w:val="22"/>
          <w:lang w:val="de-DE"/>
        </w:rPr>
        <w:t xml:space="preserve"> </w:t>
      </w:r>
    </w:p>
  </w:footnote>
  <w:footnote w:id="18">
    <w:p w14:paraId="2D695F83" w14:textId="77777777" w:rsidR="00E22D79" w:rsidRPr="009B5B44" w:rsidRDefault="00E22D79" w:rsidP="00E22D79">
      <w:pPr>
        <w:pStyle w:val="FootnoteText"/>
        <w:rPr>
          <w:lang w:val="de-DE"/>
        </w:rPr>
      </w:pPr>
      <w:r>
        <w:rPr>
          <w:rStyle w:val="FootnoteReference"/>
          <w:rFonts w:asciiTheme="minorHAnsi" w:hAnsiTheme="minorHAnsi" w:cstheme="minorHAnsi"/>
          <w:sz w:val="22"/>
        </w:rPr>
        <w:footnoteRef/>
      </w:r>
      <w:r w:rsidRPr="009B5B44">
        <w:rPr>
          <w:rFonts w:asciiTheme="minorHAnsi" w:hAnsiTheme="minorHAnsi"/>
          <w:sz w:val="22"/>
          <w:lang w:val="de-DE"/>
        </w:rPr>
        <w:t xml:space="preserve"> </w:t>
      </w:r>
      <w:hyperlink r:id="rId13" w:history="1">
        <w:r w:rsidRPr="009B5B44">
          <w:rPr>
            <w:rStyle w:val="Hyperlink"/>
            <w:rFonts w:asciiTheme="minorHAnsi" w:hAnsiTheme="minorHAnsi"/>
            <w:sz w:val="22"/>
            <w:lang w:val="de-DE"/>
          </w:rPr>
          <w:t>https://clustercollaboration.eu/</w:t>
        </w:r>
      </w:hyperlink>
      <w:r w:rsidRPr="009B5B44">
        <w:rPr>
          <w:lang w:val="de-DE"/>
        </w:rPr>
        <w:t xml:space="preserve"> </w:t>
      </w:r>
    </w:p>
  </w:footnote>
  <w:footnote w:id="19">
    <w:p w14:paraId="06CADECF" w14:textId="3E9AC95D" w:rsidR="00E92AB1" w:rsidRPr="009B5B44" w:rsidRDefault="00E92AB1">
      <w:pPr>
        <w:pStyle w:val="FootnoteText"/>
        <w:rPr>
          <w:lang w:val="de-DE"/>
        </w:rPr>
      </w:pPr>
      <w:r>
        <w:rPr>
          <w:rStyle w:val="FootnoteReference"/>
          <w:rFonts w:asciiTheme="minorHAnsi" w:hAnsiTheme="minorHAnsi" w:cstheme="minorHAnsi"/>
          <w:sz w:val="18"/>
        </w:rPr>
        <w:footnoteRef/>
      </w:r>
      <w:r w:rsidRPr="009B5B44">
        <w:rPr>
          <w:rFonts w:asciiTheme="minorHAnsi" w:hAnsiTheme="minorHAnsi"/>
          <w:sz w:val="18"/>
          <w:lang w:val="de-DE"/>
        </w:rPr>
        <w:t xml:space="preserve"> </w:t>
      </w:r>
      <w:hyperlink r:id="rId14" w:history="1">
        <w:r w:rsidRPr="009B5B44">
          <w:rPr>
            <w:rStyle w:val="Hyperlink"/>
            <w:rFonts w:asciiTheme="minorHAnsi" w:hAnsiTheme="minorHAnsi"/>
            <w:sz w:val="18"/>
            <w:lang w:val="de-DE"/>
          </w:rPr>
          <w:t>https://ec.europa.eu/commission/presscorner/detail/de/IP_</w:t>
        </w:r>
        <w:r w:rsidRPr="003E5D4C">
          <w:rPr>
            <w:rStyle w:val="Hyperlink"/>
            <w:rFonts w:asciiTheme="minorHAnsi" w:hAnsiTheme="minorHAnsi"/>
            <w:sz w:val="18"/>
            <w:lang w:val="de-DE"/>
          </w:rPr>
          <w:t>21</w:t>
        </w:r>
        <w:r w:rsidRPr="009B5B44">
          <w:rPr>
            <w:rStyle w:val="Hyperlink"/>
            <w:rFonts w:asciiTheme="minorHAnsi" w:hAnsiTheme="minorHAnsi"/>
            <w:sz w:val="18"/>
            <w:lang w:val="de-DE"/>
          </w:rPr>
          <w:t>_</w:t>
        </w:r>
        <w:r w:rsidRPr="003E5D4C">
          <w:rPr>
            <w:rStyle w:val="Hyperlink"/>
            <w:rFonts w:asciiTheme="minorHAnsi" w:hAnsiTheme="minorHAnsi"/>
            <w:sz w:val="18"/>
            <w:lang w:val="de-DE"/>
          </w:rPr>
          <w:t>4626</w:t>
        </w:r>
      </w:hyperlink>
      <w:r w:rsidRPr="009B5B44">
        <w:rPr>
          <w:lang w:val="de-DE"/>
        </w:rPr>
        <w:t xml:space="preserve"> </w:t>
      </w:r>
    </w:p>
  </w:footnote>
  <w:footnote w:id="20">
    <w:p w14:paraId="4B2DDD94" w14:textId="77777777" w:rsidR="00E92AB1" w:rsidRPr="009B5B44" w:rsidRDefault="00E92AB1" w:rsidP="00E92AB1">
      <w:pPr>
        <w:pStyle w:val="FootnoteText"/>
        <w:rPr>
          <w:rFonts w:asciiTheme="minorHAnsi" w:hAnsiTheme="minorHAnsi" w:cstheme="minorHAnsi"/>
          <w:sz w:val="18"/>
          <w:lang w:val="de-DE"/>
        </w:rPr>
      </w:pPr>
      <w:r>
        <w:rPr>
          <w:rStyle w:val="FootnoteReference"/>
          <w:rFonts w:asciiTheme="minorHAnsi" w:hAnsiTheme="minorHAnsi" w:cstheme="minorHAnsi"/>
          <w:sz w:val="18"/>
        </w:rPr>
        <w:footnoteRef/>
      </w:r>
      <w:r w:rsidRPr="009B5B44">
        <w:rPr>
          <w:rFonts w:asciiTheme="minorHAnsi" w:hAnsiTheme="minorHAnsi"/>
          <w:sz w:val="18"/>
          <w:lang w:val="de-DE"/>
        </w:rPr>
        <w:t xml:space="preserve"> </w:t>
      </w:r>
      <w:hyperlink r:id="rId15" w:history="1">
        <w:r w:rsidRPr="009B5B44">
          <w:rPr>
            <w:rStyle w:val="Hyperlink"/>
            <w:rFonts w:asciiTheme="minorHAnsi" w:hAnsiTheme="minorHAnsi"/>
            <w:sz w:val="18"/>
            <w:lang w:val="de-DE"/>
          </w:rPr>
          <w:t>https://www.solidaritaetskorps.at/wp-content/uploads/</w:t>
        </w:r>
        <w:r w:rsidRPr="003E5D4C">
          <w:rPr>
            <w:rStyle w:val="Hyperlink"/>
            <w:rFonts w:asciiTheme="minorHAnsi" w:hAnsiTheme="minorHAnsi"/>
            <w:sz w:val="18"/>
            <w:lang w:val="de-DE"/>
          </w:rPr>
          <w:t>2021</w:t>
        </w:r>
        <w:r w:rsidRPr="009B5B44">
          <w:rPr>
            <w:rStyle w:val="Hyperlink"/>
            <w:rFonts w:asciiTheme="minorHAnsi" w:hAnsiTheme="minorHAnsi"/>
            <w:sz w:val="18"/>
            <w:lang w:val="de-DE"/>
          </w:rPr>
          <w:t>/</w:t>
        </w:r>
        <w:r w:rsidRPr="003E5D4C">
          <w:rPr>
            <w:rStyle w:val="Hyperlink"/>
            <w:rFonts w:asciiTheme="minorHAnsi" w:hAnsiTheme="minorHAnsi"/>
            <w:sz w:val="18"/>
            <w:lang w:val="de-DE"/>
          </w:rPr>
          <w:t>11</w:t>
        </w:r>
        <w:r w:rsidRPr="009B5B44">
          <w:rPr>
            <w:rStyle w:val="Hyperlink"/>
            <w:rFonts w:asciiTheme="minorHAnsi" w:hAnsiTheme="minorHAnsi"/>
            <w:sz w:val="18"/>
            <w:lang w:val="de-DE"/>
          </w:rPr>
          <w:t>/</w:t>
        </w:r>
        <w:r w:rsidRPr="003E5D4C">
          <w:rPr>
            <w:rStyle w:val="Hyperlink"/>
            <w:rFonts w:asciiTheme="minorHAnsi" w:hAnsiTheme="minorHAnsi"/>
            <w:sz w:val="18"/>
            <w:lang w:val="de-DE"/>
          </w:rPr>
          <w:t>2022</w:t>
        </w:r>
        <w:r w:rsidRPr="009B5B44">
          <w:rPr>
            <w:rStyle w:val="Hyperlink"/>
            <w:rFonts w:asciiTheme="minorHAnsi" w:hAnsiTheme="minorHAnsi"/>
            <w:sz w:val="18"/>
            <w:lang w:val="de-DE"/>
          </w:rPr>
          <w:t>-annual-work-programme_esk.pdf</w:t>
        </w:r>
      </w:hyperlink>
      <w:r w:rsidRPr="009B5B44">
        <w:rPr>
          <w:rFonts w:asciiTheme="minorHAnsi" w:hAnsiTheme="minorHAnsi"/>
          <w:sz w:val="18"/>
          <w:lang w:val="de-DE"/>
        </w:rPr>
        <w:t xml:space="preserve"> </w:t>
      </w:r>
    </w:p>
  </w:footnote>
  <w:footnote w:id="21">
    <w:p w14:paraId="738D0EA1" w14:textId="77777777" w:rsidR="00E92AB1" w:rsidRPr="009B5B44" w:rsidRDefault="00E92AB1" w:rsidP="00E92AB1">
      <w:pPr>
        <w:pStyle w:val="FootnoteText"/>
        <w:rPr>
          <w:rFonts w:asciiTheme="minorHAnsi" w:hAnsiTheme="minorHAnsi" w:cstheme="minorHAnsi"/>
          <w:sz w:val="18"/>
          <w:lang w:val="de-DE"/>
        </w:rPr>
      </w:pPr>
      <w:r>
        <w:rPr>
          <w:rStyle w:val="FootnoteReference"/>
          <w:rFonts w:asciiTheme="minorHAnsi" w:hAnsiTheme="minorHAnsi" w:cstheme="minorHAnsi"/>
          <w:sz w:val="18"/>
        </w:rPr>
        <w:footnoteRef/>
      </w:r>
      <w:r w:rsidRPr="009B5B44">
        <w:rPr>
          <w:rFonts w:asciiTheme="minorHAnsi" w:hAnsiTheme="minorHAnsi"/>
          <w:sz w:val="18"/>
          <w:lang w:val="de-DE"/>
        </w:rPr>
        <w:t xml:space="preserve"> </w:t>
      </w:r>
      <w:hyperlink r:id="rId16" w:history="1">
        <w:r w:rsidRPr="009B5B44">
          <w:rPr>
            <w:rStyle w:val="Hyperlink"/>
            <w:rFonts w:asciiTheme="minorHAnsi" w:hAnsiTheme="minorHAnsi"/>
            <w:sz w:val="18"/>
            <w:lang w:val="de-DE"/>
          </w:rPr>
          <w:t>https://europa.eu/youth/sites/default/files/european_solidarity_corps_guide_</w:t>
        </w:r>
        <w:r w:rsidRPr="003E5D4C">
          <w:rPr>
            <w:rStyle w:val="Hyperlink"/>
            <w:rFonts w:asciiTheme="minorHAnsi" w:hAnsiTheme="minorHAnsi"/>
            <w:sz w:val="18"/>
            <w:lang w:val="de-DE"/>
          </w:rPr>
          <w:t>2022</w:t>
        </w:r>
        <w:r w:rsidRPr="009B5B44">
          <w:rPr>
            <w:rStyle w:val="Hyperlink"/>
            <w:rFonts w:asciiTheme="minorHAnsi" w:hAnsiTheme="minorHAnsi"/>
            <w:sz w:val="18"/>
            <w:lang w:val="de-DE"/>
          </w:rPr>
          <w:t>.pdf</w:t>
        </w:r>
      </w:hyperlink>
      <w:r w:rsidRPr="009B5B44">
        <w:rPr>
          <w:rFonts w:asciiTheme="minorHAnsi" w:hAnsiTheme="minorHAnsi"/>
          <w:sz w:val="18"/>
          <w:lang w:val="de-DE"/>
        </w:rPr>
        <w:t xml:space="preserve"> </w:t>
      </w:r>
    </w:p>
  </w:footnote>
  <w:footnote w:id="22">
    <w:p w14:paraId="7E27E4BD" w14:textId="77777777" w:rsidR="00E92AB1" w:rsidRPr="009B5B44" w:rsidRDefault="00E92AB1" w:rsidP="00E92AB1">
      <w:pPr>
        <w:pStyle w:val="FootnoteText"/>
        <w:rPr>
          <w:lang w:val="de-DE"/>
        </w:rPr>
      </w:pPr>
      <w:r>
        <w:rPr>
          <w:rStyle w:val="FootnoteReference"/>
          <w:rFonts w:asciiTheme="minorHAnsi" w:hAnsiTheme="minorHAnsi" w:cstheme="minorHAnsi"/>
          <w:sz w:val="18"/>
        </w:rPr>
        <w:footnoteRef/>
      </w:r>
      <w:r w:rsidRPr="009B5B44">
        <w:rPr>
          <w:rFonts w:asciiTheme="minorHAnsi" w:hAnsiTheme="minorHAnsi"/>
          <w:sz w:val="18"/>
          <w:lang w:val="de-DE"/>
        </w:rPr>
        <w:t xml:space="preserve"> </w:t>
      </w:r>
      <w:hyperlink r:id="rId17" w:history="1">
        <w:r w:rsidRPr="009B5B44">
          <w:rPr>
            <w:rStyle w:val="Hyperlink"/>
            <w:rFonts w:asciiTheme="minorHAnsi" w:hAnsiTheme="minorHAnsi"/>
            <w:sz w:val="18"/>
            <w:lang w:val="de-DE"/>
          </w:rPr>
          <w:t>https://innovative-teaching-award.ec.europa.eu/european-innovative-teaching-award-</w:t>
        </w:r>
        <w:r w:rsidRPr="003E5D4C">
          <w:rPr>
            <w:rStyle w:val="Hyperlink"/>
            <w:rFonts w:asciiTheme="minorHAnsi" w:hAnsiTheme="minorHAnsi"/>
            <w:sz w:val="18"/>
            <w:lang w:val="de-DE"/>
          </w:rPr>
          <w:t>2022</w:t>
        </w:r>
        <w:r w:rsidRPr="009B5B44">
          <w:rPr>
            <w:rStyle w:val="Hyperlink"/>
            <w:rFonts w:asciiTheme="minorHAnsi" w:hAnsiTheme="minorHAnsi"/>
            <w:sz w:val="18"/>
            <w:lang w:val="de-DE"/>
          </w:rPr>
          <w:t>_en</w:t>
        </w:r>
      </w:hyperlink>
      <w:r w:rsidRPr="009B5B44">
        <w:rPr>
          <w:lang w:val="de-D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F3297" w14:textId="77777777" w:rsidR="00D06042" w:rsidRPr="00D06042" w:rsidRDefault="00D06042" w:rsidP="00D060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DDF6A" w14:textId="77777777" w:rsidR="00D06042" w:rsidRPr="00D06042" w:rsidRDefault="00D06042" w:rsidP="00D06042">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3618F" w14:textId="77777777" w:rsidR="00D06042" w:rsidRPr="00D06042" w:rsidRDefault="00D06042" w:rsidP="00D06042">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D092" w14:textId="77777777" w:rsidR="00C142EB" w:rsidRDefault="00C142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205CF" w14:textId="77777777" w:rsidR="00C142EB" w:rsidRDefault="00C142E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4F982" w14:textId="77777777" w:rsidR="00C142EB" w:rsidRDefault="00C142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229E"/>
    <w:multiLevelType w:val="hybridMultilevel"/>
    <w:tmpl w:val="6FC2C8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156D2E"/>
    <w:multiLevelType w:val="hybridMultilevel"/>
    <w:tmpl w:val="BC523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85FE4"/>
    <w:multiLevelType w:val="hybridMultilevel"/>
    <w:tmpl w:val="13748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B9372A"/>
    <w:multiLevelType w:val="hybridMultilevel"/>
    <w:tmpl w:val="F50C8D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D15002C"/>
    <w:multiLevelType w:val="hybridMultilevel"/>
    <w:tmpl w:val="B0CC01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F7A64C8"/>
    <w:multiLevelType w:val="hybridMultilevel"/>
    <w:tmpl w:val="4AA073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2DE0832"/>
    <w:multiLevelType w:val="hybridMultilevel"/>
    <w:tmpl w:val="A1BC4F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BD208E"/>
    <w:multiLevelType w:val="hybridMultilevel"/>
    <w:tmpl w:val="44D65906"/>
    <w:lvl w:ilvl="0" w:tplc="CAEE879A">
      <w:start w:val="1"/>
      <w:numFmt w:val="decimal"/>
      <w:lvlText w:val="%1."/>
      <w:lvlJc w:val="left"/>
      <w:pPr>
        <w:ind w:left="720" w:hanging="360"/>
      </w:pPr>
    </w:lvl>
    <w:lvl w:ilvl="1" w:tplc="AC62B086">
      <w:start w:val="1"/>
      <w:numFmt w:val="lowerLetter"/>
      <w:lvlText w:val="%2."/>
      <w:lvlJc w:val="left"/>
      <w:pPr>
        <w:ind w:left="1440" w:hanging="360"/>
      </w:pPr>
    </w:lvl>
    <w:lvl w:ilvl="2" w:tplc="B2B09452">
      <w:start w:val="1"/>
      <w:numFmt w:val="lowerRoman"/>
      <w:lvlText w:val="%3."/>
      <w:lvlJc w:val="right"/>
      <w:pPr>
        <w:ind w:left="2160" w:hanging="180"/>
      </w:pPr>
    </w:lvl>
    <w:lvl w:ilvl="3" w:tplc="B82AC956">
      <w:start w:val="1"/>
      <w:numFmt w:val="decimal"/>
      <w:lvlText w:val="%4."/>
      <w:lvlJc w:val="left"/>
      <w:pPr>
        <w:ind w:left="2880" w:hanging="360"/>
      </w:pPr>
    </w:lvl>
    <w:lvl w:ilvl="4" w:tplc="7CBE0B8E">
      <w:start w:val="1"/>
      <w:numFmt w:val="lowerLetter"/>
      <w:lvlText w:val="%5."/>
      <w:lvlJc w:val="left"/>
      <w:pPr>
        <w:ind w:left="3600" w:hanging="360"/>
      </w:pPr>
    </w:lvl>
    <w:lvl w:ilvl="5" w:tplc="A14AFD32">
      <w:start w:val="1"/>
      <w:numFmt w:val="lowerRoman"/>
      <w:lvlText w:val="%6."/>
      <w:lvlJc w:val="right"/>
      <w:pPr>
        <w:ind w:left="4320" w:hanging="180"/>
      </w:pPr>
    </w:lvl>
    <w:lvl w:ilvl="6" w:tplc="272E6182">
      <w:start w:val="1"/>
      <w:numFmt w:val="decimal"/>
      <w:lvlText w:val="%7."/>
      <w:lvlJc w:val="left"/>
      <w:pPr>
        <w:ind w:left="5040" w:hanging="360"/>
      </w:pPr>
    </w:lvl>
    <w:lvl w:ilvl="7" w:tplc="5762D4CA">
      <w:start w:val="1"/>
      <w:numFmt w:val="lowerLetter"/>
      <w:lvlText w:val="%8."/>
      <w:lvlJc w:val="left"/>
      <w:pPr>
        <w:ind w:left="5760" w:hanging="360"/>
      </w:pPr>
    </w:lvl>
    <w:lvl w:ilvl="8" w:tplc="E9E6CBF8">
      <w:start w:val="1"/>
      <w:numFmt w:val="lowerRoman"/>
      <w:lvlText w:val="%9."/>
      <w:lvlJc w:val="right"/>
      <w:pPr>
        <w:ind w:left="6480" w:hanging="180"/>
      </w:pPr>
    </w:lvl>
  </w:abstractNum>
  <w:abstractNum w:abstractNumId="8" w15:restartNumberingAfterBreak="0">
    <w:nsid w:val="180E7C8A"/>
    <w:multiLevelType w:val="hybridMultilevel"/>
    <w:tmpl w:val="2C30A99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C8E1C0D"/>
    <w:multiLevelType w:val="hybridMultilevel"/>
    <w:tmpl w:val="65E0C712"/>
    <w:lvl w:ilvl="0" w:tplc="A5CE71DA">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8530AC"/>
    <w:multiLevelType w:val="hybridMultilevel"/>
    <w:tmpl w:val="C74AE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774913"/>
    <w:multiLevelType w:val="hybridMultilevel"/>
    <w:tmpl w:val="FDB471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7655ED"/>
    <w:multiLevelType w:val="hybridMultilevel"/>
    <w:tmpl w:val="687E2C32"/>
    <w:lvl w:ilvl="0" w:tplc="08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C4BDF7"/>
    <w:multiLevelType w:val="hybridMultilevel"/>
    <w:tmpl w:val="8EDAE1AE"/>
    <w:lvl w:ilvl="0" w:tplc="9440D7AA">
      <w:start w:val="1"/>
      <w:numFmt w:val="bullet"/>
      <w:lvlText w:val=""/>
      <w:lvlJc w:val="left"/>
      <w:pPr>
        <w:ind w:left="720" w:hanging="360"/>
      </w:pPr>
      <w:rPr>
        <w:rFonts w:ascii="Symbol" w:hAnsi="Symbol" w:hint="default"/>
      </w:rPr>
    </w:lvl>
    <w:lvl w:ilvl="1" w:tplc="4952430A">
      <w:start w:val="1"/>
      <w:numFmt w:val="bullet"/>
      <w:lvlText w:val="o"/>
      <w:lvlJc w:val="left"/>
      <w:pPr>
        <w:ind w:left="1440" w:hanging="360"/>
      </w:pPr>
      <w:rPr>
        <w:rFonts w:ascii="Courier New" w:hAnsi="Courier New" w:hint="default"/>
      </w:rPr>
    </w:lvl>
    <w:lvl w:ilvl="2" w:tplc="6546A412">
      <w:start w:val="1"/>
      <w:numFmt w:val="bullet"/>
      <w:lvlText w:val=""/>
      <w:lvlJc w:val="left"/>
      <w:pPr>
        <w:ind w:left="2160" w:hanging="360"/>
      </w:pPr>
      <w:rPr>
        <w:rFonts w:ascii="Wingdings" w:hAnsi="Wingdings" w:hint="default"/>
      </w:rPr>
    </w:lvl>
    <w:lvl w:ilvl="3" w:tplc="F7A64A4A">
      <w:start w:val="1"/>
      <w:numFmt w:val="bullet"/>
      <w:lvlText w:val=""/>
      <w:lvlJc w:val="left"/>
      <w:pPr>
        <w:ind w:left="2880" w:hanging="360"/>
      </w:pPr>
      <w:rPr>
        <w:rFonts w:ascii="Symbol" w:hAnsi="Symbol" w:hint="default"/>
      </w:rPr>
    </w:lvl>
    <w:lvl w:ilvl="4" w:tplc="79923AEA">
      <w:start w:val="1"/>
      <w:numFmt w:val="bullet"/>
      <w:lvlText w:val="o"/>
      <w:lvlJc w:val="left"/>
      <w:pPr>
        <w:ind w:left="3600" w:hanging="360"/>
      </w:pPr>
      <w:rPr>
        <w:rFonts w:ascii="Courier New" w:hAnsi="Courier New" w:hint="default"/>
      </w:rPr>
    </w:lvl>
    <w:lvl w:ilvl="5" w:tplc="A48AEBD6">
      <w:start w:val="1"/>
      <w:numFmt w:val="bullet"/>
      <w:lvlText w:val=""/>
      <w:lvlJc w:val="left"/>
      <w:pPr>
        <w:ind w:left="4320" w:hanging="360"/>
      </w:pPr>
      <w:rPr>
        <w:rFonts w:ascii="Wingdings" w:hAnsi="Wingdings" w:hint="default"/>
      </w:rPr>
    </w:lvl>
    <w:lvl w:ilvl="6" w:tplc="2F34568E">
      <w:start w:val="1"/>
      <w:numFmt w:val="bullet"/>
      <w:lvlText w:val=""/>
      <w:lvlJc w:val="left"/>
      <w:pPr>
        <w:ind w:left="5040" w:hanging="360"/>
      </w:pPr>
      <w:rPr>
        <w:rFonts w:ascii="Symbol" w:hAnsi="Symbol" w:hint="default"/>
      </w:rPr>
    </w:lvl>
    <w:lvl w:ilvl="7" w:tplc="E9366E20">
      <w:start w:val="1"/>
      <w:numFmt w:val="bullet"/>
      <w:lvlText w:val="o"/>
      <w:lvlJc w:val="left"/>
      <w:pPr>
        <w:ind w:left="5760" w:hanging="360"/>
      </w:pPr>
      <w:rPr>
        <w:rFonts w:ascii="Courier New" w:hAnsi="Courier New" w:hint="default"/>
      </w:rPr>
    </w:lvl>
    <w:lvl w:ilvl="8" w:tplc="24C2AB72">
      <w:start w:val="1"/>
      <w:numFmt w:val="bullet"/>
      <w:lvlText w:val=""/>
      <w:lvlJc w:val="left"/>
      <w:pPr>
        <w:ind w:left="6480" w:hanging="360"/>
      </w:pPr>
      <w:rPr>
        <w:rFonts w:ascii="Wingdings" w:hAnsi="Wingdings" w:hint="default"/>
      </w:rPr>
    </w:lvl>
  </w:abstractNum>
  <w:abstractNum w:abstractNumId="14" w15:restartNumberingAfterBreak="0">
    <w:nsid w:val="2CFD11B5"/>
    <w:multiLevelType w:val="hybridMultilevel"/>
    <w:tmpl w:val="E50C8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9D67EC"/>
    <w:multiLevelType w:val="hybridMultilevel"/>
    <w:tmpl w:val="FDB471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F634C6"/>
    <w:multiLevelType w:val="hybridMultilevel"/>
    <w:tmpl w:val="9FAC268E"/>
    <w:lvl w:ilvl="0" w:tplc="18090001">
      <w:start w:val="1"/>
      <w:numFmt w:val="bullet"/>
      <w:lvlText w:val=""/>
      <w:lvlJc w:val="left"/>
      <w:pPr>
        <w:ind w:left="741" w:hanging="360"/>
      </w:pPr>
      <w:rPr>
        <w:rFonts w:ascii="Symbol" w:hAnsi="Symbol" w:hint="default"/>
      </w:rPr>
    </w:lvl>
    <w:lvl w:ilvl="1" w:tplc="08090003" w:tentative="1">
      <w:start w:val="1"/>
      <w:numFmt w:val="bullet"/>
      <w:lvlText w:val="o"/>
      <w:lvlJc w:val="left"/>
      <w:pPr>
        <w:ind w:left="1461" w:hanging="360"/>
      </w:pPr>
      <w:rPr>
        <w:rFonts w:ascii="Courier New" w:hAnsi="Courier New" w:cs="Courier New" w:hint="default"/>
      </w:rPr>
    </w:lvl>
    <w:lvl w:ilvl="2" w:tplc="08090005" w:tentative="1">
      <w:start w:val="1"/>
      <w:numFmt w:val="bullet"/>
      <w:lvlText w:val=""/>
      <w:lvlJc w:val="left"/>
      <w:pPr>
        <w:ind w:left="2181" w:hanging="360"/>
      </w:pPr>
      <w:rPr>
        <w:rFonts w:ascii="Wingdings" w:hAnsi="Wingdings" w:hint="default"/>
      </w:rPr>
    </w:lvl>
    <w:lvl w:ilvl="3" w:tplc="08090001" w:tentative="1">
      <w:start w:val="1"/>
      <w:numFmt w:val="bullet"/>
      <w:lvlText w:val=""/>
      <w:lvlJc w:val="left"/>
      <w:pPr>
        <w:ind w:left="2901" w:hanging="360"/>
      </w:pPr>
      <w:rPr>
        <w:rFonts w:ascii="Symbol" w:hAnsi="Symbol" w:hint="default"/>
      </w:rPr>
    </w:lvl>
    <w:lvl w:ilvl="4" w:tplc="08090003" w:tentative="1">
      <w:start w:val="1"/>
      <w:numFmt w:val="bullet"/>
      <w:lvlText w:val="o"/>
      <w:lvlJc w:val="left"/>
      <w:pPr>
        <w:ind w:left="3621" w:hanging="360"/>
      </w:pPr>
      <w:rPr>
        <w:rFonts w:ascii="Courier New" w:hAnsi="Courier New" w:cs="Courier New" w:hint="default"/>
      </w:rPr>
    </w:lvl>
    <w:lvl w:ilvl="5" w:tplc="08090005" w:tentative="1">
      <w:start w:val="1"/>
      <w:numFmt w:val="bullet"/>
      <w:lvlText w:val=""/>
      <w:lvlJc w:val="left"/>
      <w:pPr>
        <w:ind w:left="4341" w:hanging="360"/>
      </w:pPr>
      <w:rPr>
        <w:rFonts w:ascii="Wingdings" w:hAnsi="Wingdings" w:hint="default"/>
      </w:rPr>
    </w:lvl>
    <w:lvl w:ilvl="6" w:tplc="08090001" w:tentative="1">
      <w:start w:val="1"/>
      <w:numFmt w:val="bullet"/>
      <w:lvlText w:val=""/>
      <w:lvlJc w:val="left"/>
      <w:pPr>
        <w:ind w:left="5061" w:hanging="360"/>
      </w:pPr>
      <w:rPr>
        <w:rFonts w:ascii="Symbol" w:hAnsi="Symbol" w:hint="default"/>
      </w:rPr>
    </w:lvl>
    <w:lvl w:ilvl="7" w:tplc="08090003" w:tentative="1">
      <w:start w:val="1"/>
      <w:numFmt w:val="bullet"/>
      <w:lvlText w:val="o"/>
      <w:lvlJc w:val="left"/>
      <w:pPr>
        <w:ind w:left="5781" w:hanging="360"/>
      </w:pPr>
      <w:rPr>
        <w:rFonts w:ascii="Courier New" w:hAnsi="Courier New" w:cs="Courier New" w:hint="default"/>
      </w:rPr>
    </w:lvl>
    <w:lvl w:ilvl="8" w:tplc="08090005" w:tentative="1">
      <w:start w:val="1"/>
      <w:numFmt w:val="bullet"/>
      <w:lvlText w:val=""/>
      <w:lvlJc w:val="left"/>
      <w:pPr>
        <w:ind w:left="6501" w:hanging="360"/>
      </w:pPr>
      <w:rPr>
        <w:rFonts w:ascii="Wingdings" w:hAnsi="Wingdings" w:hint="default"/>
      </w:rPr>
    </w:lvl>
  </w:abstractNum>
  <w:abstractNum w:abstractNumId="17" w15:restartNumberingAfterBreak="0">
    <w:nsid w:val="324C3BEB"/>
    <w:multiLevelType w:val="hybridMultilevel"/>
    <w:tmpl w:val="75B65288"/>
    <w:lvl w:ilvl="0" w:tplc="7CECEC30">
      <w:start w:val="1"/>
      <w:numFmt w:val="decimal"/>
      <w:lvlText w:val="%1)"/>
      <w:lvlJc w:val="left"/>
      <w:pPr>
        <w:ind w:left="720" w:hanging="360"/>
      </w:pPr>
      <w:rPr>
        <w:rFonts w:ascii="Arial" w:hAnsi="Arial"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7E038C"/>
    <w:multiLevelType w:val="hybridMultilevel"/>
    <w:tmpl w:val="2F36AC12"/>
    <w:lvl w:ilvl="0" w:tplc="DAB269B6">
      <w:start w:val="1"/>
      <w:numFmt w:val="bullet"/>
      <w:pStyle w:val="LTTBullet"/>
      <w:lvlText w:val=""/>
      <w:lvlJc w:val="left"/>
      <w:pPr>
        <w:ind w:left="360" w:hanging="360"/>
      </w:pPr>
      <w:rPr>
        <w:rFonts w:ascii="Symbol" w:hAnsi="Symbol" w:hint="default"/>
        <w:sz w:val="28"/>
      </w:rPr>
    </w:lvl>
    <w:lvl w:ilvl="1" w:tplc="7012E70C">
      <w:start w:val="1"/>
      <w:numFmt w:val="bullet"/>
      <w:pStyle w:val="LTTBullet2"/>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76E314A"/>
    <w:multiLevelType w:val="hybridMultilevel"/>
    <w:tmpl w:val="3DAC7AE4"/>
    <w:lvl w:ilvl="0" w:tplc="ACD4B4CA">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D956D6"/>
    <w:multiLevelType w:val="hybridMultilevel"/>
    <w:tmpl w:val="1032BD7E"/>
    <w:lvl w:ilvl="0" w:tplc="08090001">
      <w:start w:val="1"/>
      <w:numFmt w:val="bullet"/>
      <w:lvlText w:val=""/>
      <w:lvlJc w:val="left"/>
      <w:pPr>
        <w:ind w:left="540" w:hanging="360"/>
      </w:pPr>
      <w:rPr>
        <w:rFonts w:ascii="Symbol" w:hAnsi="Symbol" w:hint="default"/>
      </w:rPr>
    </w:lvl>
    <w:lvl w:ilvl="1" w:tplc="08090005">
      <w:start w:val="1"/>
      <w:numFmt w:val="bullet"/>
      <w:lvlText w:val=""/>
      <w:lvlJc w:val="left"/>
      <w:pPr>
        <w:ind w:left="1260" w:hanging="360"/>
      </w:pPr>
      <w:rPr>
        <w:rFonts w:ascii="Wingdings" w:hAnsi="Wingdings" w:hint="default"/>
      </w:rPr>
    </w:lvl>
    <w:lvl w:ilvl="2" w:tplc="08090005">
      <w:start w:val="1"/>
      <w:numFmt w:val="bullet"/>
      <w:lvlText w:val=""/>
      <w:lvlJc w:val="left"/>
      <w:pPr>
        <w:ind w:left="1980" w:hanging="360"/>
      </w:pPr>
      <w:rPr>
        <w:rFonts w:ascii="Wingdings" w:hAnsi="Wingdings" w:hint="default"/>
      </w:rPr>
    </w:lvl>
    <w:lvl w:ilvl="3" w:tplc="08090001">
      <w:start w:val="1"/>
      <w:numFmt w:val="bullet"/>
      <w:lvlText w:val=""/>
      <w:lvlJc w:val="left"/>
      <w:pPr>
        <w:ind w:left="2700" w:hanging="360"/>
      </w:pPr>
      <w:rPr>
        <w:rFonts w:ascii="Symbol" w:hAnsi="Symbol" w:hint="default"/>
      </w:rPr>
    </w:lvl>
    <w:lvl w:ilvl="4" w:tplc="08090003">
      <w:start w:val="1"/>
      <w:numFmt w:val="bullet"/>
      <w:lvlText w:val="o"/>
      <w:lvlJc w:val="left"/>
      <w:pPr>
        <w:ind w:left="3420" w:hanging="360"/>
      </w:pPr>
      <w:rPr>
        <w:rFonts w:ascii="Courier New" w:hAnsi="Courier New" w:cs="Courier New" w:hint="default"/>
      </w:rPr>
    </w:lvl>
    <w:lvl w:ilvl="5" w:tplc="08090005">
      <w:start w:val="1"/>
      <w:numFmt w:val="bullet"/>
      <w:lvlText w:val=""/>
      <w:lvlJc w:val="left"/>
      <w:pPr>
        <w:ind w:left="4140" w:hanging="360"/>
      </w:pPr>
      <w:rPr>
        <w:rFonts w:ascii="Wingdings" w:hAnsi="Wingdings" w:hint="default"/>
      </w:rPr>
    </w:lvl>
    <w:lvl w:ilvl="6" w:tplc="08090001">
      <w:start w:val="1"/>
      <w:numFmt w:val="bullet"/>
      <w:lvlText w:val=""/>
      <w:lvlJc w:val="left"/>
      <w:pPr>
        <w:ind w:left="4860" w:hanging="360"/>
      </w:pPr>
      <w:rPr>
        <w:rFonts w:ascii="Symbol" w:hAnsi="Symbol" w:hint="default"/>
      </w:rPr>
    </w:lvl>
    <w:lvl w:ilvl="7" w:tplc="08090003">
      <w:start w:val="1"/>
      <w:numFmt w:val="bullet"/>
      <w:lvlText w:val="o"/>
      <w:lvlJc w:val="left"/>
      <w:pPr>
        <w:ind w:left="5580" w:hanging="360"/>
      </w:pPr>
      <w:rPr>
        <w:rFonts w:ascii="Courier New" w:hAnsi="Courier New" w:cs="Courier New" w:hint="default"/>
      </w:rPr>
    </w:lvl>
    <w:lvl w:ilvl="8" w:tplc="08090005">
      <w:start w:val="1"/>
      <w:numFmt w:val="bullet"/>
      <w:lvlText w:val=""/>
      <w:lvlJc w:val="left"/>
      <w:pPr>
        <w:ind w:left="6300" w:hanging="360"/>
      </w:pPr>
      <w:rPr>
        <w:rFonts w:ascii="Wingdings" w:hAnsi="Wingdings" w:hint="default"/>
      </w:rPr>
    </w:lvl>
  </w:abstractNum>
  <w:abstractNum w:abstractNumId="21" w15:restartNumberingAfterBreak="0">
    <w:nsid w:val="497B33FF"/>
    <w:multiLevelType w:val="hybridMultilevel"/>
    <w:tmpl w:val="1AEE6CD8"/>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3680FCE"/>
    <w:multiLevelType w:val="hybridMultilevel"/>
    <w:tmpl w:val="0254BD1C"/>
    <w:lvl w:ilvl="0" w:tplc="CBE842DE">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E54E26"/>
    <w:multiLevelType w:val="hybridMultilevel"/>
    <w:tmpl w:val="FDB471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0B0A3E"/>
    <w:multiLevelType w:val="hybridMultilevel"/>
    <w:tmpl w:val="DA023C16"/>
    <w:lvl w:ilvl="0" w:tplc="AC944F90">
      <w:start w:val="1"/>
      <w:numFmt w:val="decimal"/>
      <w:lvlText w:val="%1."/>
      <w:lvlJc w:val="left"/>
      <w:pPr>
        <w:ind w:left="720" w:hanging="360"/>
      </w:pPr>
    </w:lvl>
    <w:lvl w:ilvl="1" w:tplc="C3702AC2">
      <w:start w:val="1"/>
      <w:numFmt w:val="lowerLetter"/>
      <w:lvlText w:val="%2."/>
      <w:lvlJc w:val="left"/>
      <w:pPr>
        <w:ind w:left="1440" w:hanging="360"/>
      </w:pPr>
    </w:lvl>
    <w:lvl w:ilvl="2" w:tplc="A5D6A80A">
      <w:start w:val="1"/>
      <w:numFmt w:val="lowerRoman"/>
      <w:lvlText w:val="%3."/>
      <w:lvlJc w:val="right"/>
      <w:pPr>
        <w:ind w:left="2160" w:hanging="180"/>
      </w:pPr>
    </w:lvl>
    <w:lvl w:ilvl="3" w:tplc="39888E9A">
      <w:start w:val="1"/>
      <w:numFmt w:val="decimal"/>
      <w:lvlText w:val="%4."/>
      <w:lvlJc w:val="left"/>
      <w:pPr>
        <w:ind w:left="2880" w:hanging="360"/>
      </w:pPr>
    </w:lvl>
    <w:lvl w:ilvl="4" w:tplc="4044C5B6">
      <w:start w:val="1"/>
      <w:numFmt w:val="lowerLetter"/>
      <w:lvlText w:val="%5."/>
      <w:lvlJc w:val="left"/>
      <w:pPr>
        <w:ind w:left="3600" w:hanging="360"/>
      </w:pPr>
    </w:lvl>
    <w:lvl w:ilvl="5" w:tplc="84D462EE">
      <w:start w:val="1"/>
      <w:numFmt w:val="lowerRoman"/>
      <w:lvlText w:val="%6."/>
      <w:lvlJc w:val="right"/>
      <w:pPr>
        <w:ind w:left="4320" w:hanging="180"/>
      </w:pPr>
    </w:lvl>
    <w:lvl w:ilvl="6" w:tplc="B5924BA8">
      <w:start w:val="1"/>
      <w:numFmt w:val="decimal"/>
      <w:lvlText w:val="%7."/>
      <w:lvlJc w:val="left"/>
      <w:pPr>
        <w:ind w:left="5040" w:hanging="360"/>
      </w:pPr>
    </w:lvl>
    <w:lvl w:ilvl="7" w:tplc="F45622C0">
      <w:start w:val="1"/>
      <w:numFmt w:val="lowerLetter"/>
      <w:lvlText w:val="%8."/>
      <w:lvlJc w:val="left"/>
      <w:pPr>
        <w:ind w:left="5760" w:hanging="360"/>
      </w:pPr>
    </w:lvl>
    <w:lvl w:ilvl="8" w:tplc="88662E9E">
      <w:start w:val="1"/>
      <w:numFmt w:val="lowerRoman"/>
      <w:lvlText w:val="%9."/>
      <w:lvlJc w:val="right"/>
      <w:pPr>
        <w:ind w:left="6480" w:hanging="180"/>
      </w:pPr>
    </w:lvl>
  </w:abstractNum>
  <w:abstractNum w:abstractNumId="25" w15:restartNumberingAfterBreak="0">
    <w:nsid w:val="56B650EB"/>
    <w:multiLevelType w:val="hybridMultilevel"/>
    <w:tmpl w:val="098CBC3A"/>
    <w:lvl w:ilvl="0" w:tplc="08090001">
      <w:start w:val="1"/>
      <w:numFmt w:val="bullet"/>
      <w:lvlText w:val=""/>
      <w:lvlJc w:val="left"/>
      <w:pPr>
        <w:ind w:left="540" w:hanging="360"/>
      </w:pPr>
      <w:rPr>
        <w:rFonts w:ascii="Symbol" w:hAnsi="Symbol" w:hint="default"/>
      </w:rPr>
    </w:lvl>
    <w:lvl w:ilvl="1" w:tplc="08090003">
      <w:start w:val="1"/>
      <w:numFmt w:val="bullet"/>
      <w:lvlText w:val="o"/>
      <w:lvlJc w:val="left"/>
      <w:pPr>
        <w:ind w:left="1260" w:hanging="360"/>
      </w:pPr>
      <w:rPr>
        <w:rFonts w:ascii="Courier New" w:hAnsi="Courier New" w:cs="Courier New" w:hint="default"/>
      </w:rPr>
    </w:lvl>
    <w:lvl w:ilvl="2" w:tplc="08090003">
      <w:start w:val="1"/>
      <w:numFmt w:val="bullet"/>
      <w:lvlText w:val="o"/>
      <w:lvlJc w:val="left"/>
      <w:pPr>
        <w:ind w:left="1980" w:hanging="360"/>
      </w:pPr>
      <w:rPr>
        <w:rFonts w:ascii="Courier New" w:hAnsi="Courier New" w:cs="Courier New" w:hint="default"/>
      </w:rPr>
    </w:lvl>
    <w:lvl w:ilvl="3" w:tplc="08090001">
      <w:start w:val="1"/>
      <w:numFmt w:val="bullet"/>
      <w:lvlText w:val=""/>
      <w:lvlJc w:val="left"/>
      <w:pPr>
        <w:ind w:left="2700" w:hanging="360"/>
      </w:pPr>
      <w:rPr>
        <w:rFonts w:ascii="Symbol" w:hAnsi="Symbol" w:hint="default"/>
      </w:rPr>
    </w:lvl>
    <w:lvl w:ilvl="4" w:tplc="08090003">
      <w:start w:val="1"/>
      <w:numFmt w:val="bullet"/>
      <w:lvlText w:val="o"/>
      <w:lvlJc w:val="left"/>
      <w:pPr>
        <w:ind w:left="3420" w:hanging="360"/>
      </w:pPr>
      <w:rPr>
        <w:rFonts w:ascii="Courier New" w:hAnsi="Courier New" w:cs="Courier New" w:hint="default"/>
      </w:rPr>
    </w:lvl>
    <w:lvl w:ilvl="5" w:tplc="08090005">
      <w:start w:val="1"/>
      <w:numFmt w:val="bullet"/>
      <w:lvlText w:val=""/>
      <w:lvlJc w:val="left"/>
      <w:pPr>
        <w:ind w:left="4140" w:hanging="360"/>
      </w:pPr>
      <w:rPr>
        <w:rFonts w:ascii="Wingdings" w:hAnsi="Wingdings" w:hint="default"/>
      </w:rPr>
    </w:lvl>
    <w:lvl w:ilvl="6" w:tplc="08090001">
      <w:start w:val="1"/>
      <w:numFmt w:val="bullet"/>
      <w:lvlText w:val=""/>
      <w:lvlJc w:val="left"/>
      <w:pPr>
        <w:ind w:left="4860" w:hanging="360"/>
      </w:pPr>
      <w:rPr>
        <w:rFonts w:ascii="Symbol" w:hAnsi="Symbol" w:hint="default"/>
      </w:rPr>
    </w:lvl>
    <w:lvl w:ilvl="7" w:tplc="08090003">
      <w:start w:val="1"/>
      <w:numFmt w:val="bullet"/>
      <w:lvlText w:val="o"/>
      <w:lvlJc w:val="left"/>
      <w:pPr>
        <w:ind w:left="5580" w:hanging="360"/>
      </w:pPr>
      <w:rPr>
        <w:rFonts w:ascii="Courier New" w:hAnsi="Courier New" w:cs="Courier New" w:hint="default"/>
      </w:rPr>
    </w:lvl>
    <w:lvl w:ilvl="8" w:tplc="08090005">
      <w:start w:val="1"/>
      <w:numFmt w:val="bullet"/>
      <w:lvlText w:val=""/>
      <w:lvlJc w:val="left"/>
      <w:pPr>
        <w:ind w:left="6300" w:hanging="360"/>
      </w:pPr>
      <w:rPr>
        <w:rFonts w:ascii="Wingdings" w:hAnsi="Wingdings" w:hint="default"/>
      </w:rPr>
    </w:lvl>
  </w:abstractNum>
  <w:abstractNum w:abstractNumId="26" w15:restartNumberingAfterBreak="0">
    <w:nsid w:val="581F71C5"/>
    <w:multiLevelType w:val="hybridMultilevel"/>
    <w:tmpl w:val="BA3E80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B825045"/>
    <w:multiLevelType w:val="hybridMultilevel"/>
    <w:tmpl w:val="501EF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BB4382"/>
    <w:multiLevelType w:val="hybridMultilevel"/>
    <w:tmpl w:val="DF5E95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9C2D2C"/>
    <w:multiLevelType w:val="hybridMultilevel"/>
    <w:tmpl w:val="23D4FB6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0" w15:restartNumberingAfterBreak="0">
    <w:nsid w:val="72C11FCB"/>
    <w:multiLevelType w:val="hybridMultilevel"/>
    <w:tmpl w:val="BDCA7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65679E9"/>
    <w:multiLevelType w:val="hybridMultilevel"/>
    <w:tmpl w:val="356E2874"/>
    <w:lvl w:ilvl="0" w:tplc="612E8D84">
      <w:start w:val="1"/>
      <w:numFmt w:val="bullet"/>
      <w:lvlText w:val=""/>
      <w:lvlJc w:val="left"/>
      <w:pPr>
        <w:ind w:left="720" w:hanging="360"/>
      </w:pPr>
      <w:rPr>
        <w:rFonts w:ascii="Symbol" w:hAnsi="Symbol" w:hint="default"/>
      </w:rPr>
    </w:lvl>
    <w:lvl w:ilvl="1" w:tplc="61C2CB6A">
      <w:start w:val="1"/>
      <w:numFmt w:val="bullet"/>
      <w:lvlText w:val="o"/>
      <w:lvlJc w:val="left"/>
      <w:pPr>
        <w:ind w:left="1440" w:hanging="360"/>
      </w:pPr>
      <w:rPr>
        <w:rFonts w:ascii="Courier New" w:hAnsi="Courier New" w:hint="default"/>
      </w:rPr>
    </w:lvl>
    <w:lvl w:ilvl="2" w:tplc="2E06F862">
      <w:start w:val="1"/>
      <w:numFmt w:val="bullet"/>
      <w:lvlText w:val=""/>
      <w:lvlJc w:val="left"/>
      <w:pPr>
        <w:ind w:left="2160" w:hanging="360"/>
      </w:pPr>
      <w:rPr>
        <w:rFonts w:ascii="Wingdings" w:hAnsi="Wingdings" w:hint="default"/>
      </w:rPr>
    </w:lvl>
    <w:lvl w:ilvl="3" w:tplc="7C02F5CE">
      <w:start w:val="1"/>
      <w:numFmt w:val="bullet"/>
      <w:lvlText w:val=""/>
      <w:lvlJc w:val="left"/>
      <w:pPr>
        <w:ind w:left="2880" w:hanging="360"/>
      </w:pPr>
      <w:rPr>
        <w:rFonts w:ascii="Symbol" w:hAnsi="Symbol" w:hint="default"/>
      </w:rPr>
    </w:lvl>
    <w:lvl w:ilvl="4" w:tplc="630AD5B4">
      <w:start w:val="1"/>
      <w:numFmt w:val="bullet"/>
      <w:lvlText w:val="o"/>
      <w:lvlJc w:val="left"/>
      <w:pPr>
        <w:ind w:left="3600" w:hanging="360"/>
      </w:pPr>
      <w:rPr>
        <w:rFonts w:ascii="Courier New" w:hAnsi="Courier New" w:hint="default"/>
      </w:rPr>
    </w:lvl>
    <w:lvl w:ilvl="5" w:tplc="0130E7B0">
      <w:start w:val="1"/>
      <w:numFmt w:val="bullet"/>
      <w:lvlText w:val=""/>
      <w:lvlJc w:val="left"/>
      <w:pPr>
        <w:ind w:left="4320" w:hanging="360"/>
      </w:pPr>
      <w:rPr>
        <w:rFonts w:ascii="Wingdings" w:hAnsi="Wingdings" w:hint="default"/>
      </w:rPr>
    </w:lvl>
    <w:lvl w:ilvl="6" w:tplc="F170184A">
      <w:start w:val="1"/>
      <w:numFmt w:val="bullet"/>
      <w:lvlText w:val=""/>
      <w:lvlJc w:val="left"/>
      <w:pPr>
        <w:ind w:left="5040" w:hanging="360"/>
      </w:pPr>
      <w:rPr>
        <w:rFonts w:ascii="Symbol" w:hAnsi="Symbol" w:hint="default"/>
      </w:rPr>
    </w:lvl>
    <w:lvl w:ilvl="7" w:tplc="1674B67C">
      <w:start w:val="1"/>
      <w:numFmt w:val="bullet"/>
      <w:lvlText w:val="o"/>
      <w:lvlJc w:val="left"/>
      <w:pPr>
        <w:ind w:left="5760" w:hanging="360"/>
      </w:pPr>
      <w:rPr>
        <w:rFonts w:ascii="Courier New" w:hAnsi="Courier New" w:hint="default"/>
      </w:rPr>
    </w:lvl>
    <w:lvl w:ilvl="8" w:tplc="60F8A880">
      <w:start w:val="1"/>
      <w:numFmt w:val="bullet"/>
      <w:lvlText w:val=""/>
      <w:lvlJc w:val="left"/>
      <w:pPr>
        <w:ind w:left="6480" w:hanging="360"/>
      </w:pPr>
      <w:rPr>
        <w:rFonts w:ascii="Wingdings" w:hAnsi="Wingdings" w:hint="default"/>
      </w:rPr>
    </w:lvl>
  </w:abstractNum>
  <w:abstractNum w:abstractNumId="32" w15:restartNumberingAfterBreak="0">
    <w:nsid w:val="77CB76A6"/>
    <w:multiLevelType w:val="hybridMultilevel"/>
    <w:tmpl w:val="65E0C712"/>
    <w:lvl w:ilvl="0" w:tplc="FFFFFFFF">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0E56AE"/>
    <w:multiLevelType w:val="hybridMultilevel"/>
    <w:tmpl w:val="0A56F59E"/>
    <w:lvl w:ilvl="0" w:tplc="33E8BD8A">
      <w:start w:val="6"/>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D6E3011"/>
    <w:multiLevelType w:val="hybridMultilevel"/>
    <w:tmpl w:val="38E63E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6086111">
    <w:abstractNumId w:val="7"/>
  </w:num>
  <w:num w:numId="2" w16cid:durableId="846405303">
    <w:abstractNumId w:val="10"/>
  </w:num>
  <w:num w:numId="3" w16cid:durableId="1898665495">
    <w:abstractNumId w:val="27"/>
  </w:num>
  <w:num w:numId="4" w16cid:durableId="1652560994">
    <w:abstractNumId w:val="12"/>
  </w:num>
  <w:num w:numId="5" w16cid:durableId="1901791272">
    <w:abstractNumId w:val="18"/>
  </w:num>
  <w:num w:numId="6" w16cid:durableId="474419919">
    <w:abstractNumId w:val="29"/>
  </w:num>
  <w:num w:numId="7" w16cid:durableId="1005478369">
    <w:abstractNumId w:val="16"/>
  </w:num>
  <w:num w:numId="8" w16cid:durableId="1911500224">
    <w:abstractNumId w:val="25"/>
  </w:num>
  <w:num w:numId="9" w16cid:durableId="2066679538">
    <w:abstractNumId w:val="2"/>
  </w:num>
  <w:num w:numId="10" w16cid:durableId="731660802">
    <w:abstractNumId w:val="5"/>
  </w:num>
  <w:num w:numId="11" w16cid:durableId="589235240">
    <w:abstractNumId w:val="20"/>
  </w:num>
  <w:num w:numId="12" w16cid:durableId="1340159966">
    <w:abstractNumId w:val="19"/>
  </w:num>
  <w:num w:numId="13" w16cid:durableId="1203327397">
    <w:abstractNumId w:val="26"/>
  </w:num>
  <w:num w:numId="14" w16cid:durableId="56326185">
    <w:abstractNumId w:val="23"/>
  </w:num>
  <w:num w:numId="15" w16cid:durableId="782041522">
    <w:abstractNumId w:val="32"/>
  </w:num>
  <w:num w:numId="16" w16cid:durableId="770318589">
    <w:abstractNumId w:val="6"/>
  </w:num>
  <w:num w:numId="17" w16cid:durableId="918366033">
    <w:abstractNumId w:val="31"/>
  </w:num>
  <w:num w:numId="18" w16cid:durableId="2131895951">
    <w:abstractNumId w:val="24"/>
  </w:num>
  <w:num w:numId="19" w16cid:durableId="215550500">
    <w:abstractNumId w:val="11"/>
  </w:num>
  <w:num w:numId="20" w16cid:durableId="397898253">
    <w:abstractNumId w:val="14"/>
  </w:num>
  <w:num w:numId="21" w16cid:durableId="1864631870">
    <w:abstractNumId w:val="28"/>
  </w:num>
  <w:num w:numId="22" w16cid:durableId="1331904778">
    <w:abstractNumId w:val="33"/>
  </w:num>
  <w:num w:numId="23" w16cid:durableId="1193688804">
    <w:abstractNumId w:val="8"/>
  </w:num>
  <w:num w:numId="24" w16cid:durableId="1136415955">
    <w:abstractNumId w:val="0"/>
  </w:num>
  <w:num w:numId="25" w16cid:durableId="1930504016">
    <w:abstractNumId w:val="15"/>
  </w:num>
  <w:num w:numId="26" w16cid:durableId="814375343">
    <w:abstractNumId w:val="4"/>
  </w:num>
  <w:num w:numId="27" w16cid:durableId="2050035079">
    <w:abstractNumId w:val="9"/>
  </w:num>
  <w:num w:numId="28" w16cid:durableId="296374266">
    <w:abstractNumId w:val="30"/>
  </w:num>
  <w:num w:numId="29" w16cid:durableId="13002730">
    <w:abstractNumId w:val="34"/>
  </w:num>
  <w:num w:numId="30" w16cid:durableId="245236589">
    <w:abstractNumId w:val="1"/>
  </w:num>
  <w:num w:numId="31" w16cid:durableId="1520506308">
    <w:abstractNumId w:val="13"/>
  </w:num>
  <w:num w:numId="32" w16cid:durableId="504563214">
    <w:abstractNumId w:val="21"/>
  </w:num>
  <w:num w:numId="33" w16cid:durableId="104354667">
    <w:abstractNumId w:val="3"/>
  </w:num>
  <w:num w:numId="34" w16cid:durableId="1578980177">
    <w:abstractNumId w:val="17"/>
  </w:num>
  <w:num w:numId="35" w16cid:durableId="159581801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hideSpellingErrors/>
  <w:hideGrammaticalErrors/>
  <w:activeWritingStyle w:appName="MSWord" w:lang="de-DE" w:vendorID="64" w:dllVersion="6" w:nlCheck="1" w:checkStyle="0"/>
  <w:activeWritingStyle w:appName="MSWord" w:lang="en-IE" w:vendorID="64" w:dllVersion="6" w:nlCheck="1" w:checkStyle="1"/>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Status" w:val="Green"/>
    <w:docVar w:name="LW_ACCOMPAGNANT.CP" w:val="des"/>
    <w:docVar w:name="LW_ANNEX_NBR_FIRST" w:val="1"/>
    <w:docVar w:name="LW_ANNEX_NBR_LAST" w:val="1"/>
    <w:docVar w:name="LW_ANNEX_UNIQUE" w:val="0"/>
    <w:docVar w:name="LW_CORRIGENDUM" w:val="&lt;UNUSED&gt;"/>
    <w:docVar w:name="LW_COVERPAGE_EXISTS" w:val="True"/>
    <w:docVar w:name="LW_COVERPAGE_GUID" w:val="E965DF73-1E66-4BDE-9431-16C6BE88ED88"/>
    <w:docVar w:name="LW_COVERPAGE_TYPE" w:val="1"/>
    <w:docVar w:name="LW_CROSSREFERENCE" w:val="&lt;UNUSED&gt;"/>
    <w:docVar w:name="LW_DocType" w:val="NORMAL"/>
    <w:docVar w:name="LW_EMISSION" w:val="16.1.2023"/>
    <w:docVar w:name="LW_EMISSION_ISODATE" w:val="2023-01-16"/>
    <w:docVar w:name="LW_EMISSION_LOCATION" w:val="BRX"/>
    <w:docVar w:name="LW_EMISSION_PREFIX" w:val="Brüssel, den "/>
    <w:docVar w:name="LW_EMISSION_SUFFIX" w:val=" "/>
    <w:docVar w:name="LW_ID_DOCTYPE_NONLW" w:val="CP-039"/>
    <w:docVar w:name="LW_LANGUE" w:val="DE"/>
    <w:docVar w:name="LW_LEVEL_OF_SENSITIVITY" w:val="Standard treatment"/>
    <w:docVar w:name="LW_NOM.INST" w:val="EUROPÄISCHE KOMMISSION"/>
    <w:docVar w:name="LW_NOM.INST_JOINTDOC" w:val="&lt;EMPTY&gt;"/>
    <w:docVar w:name="LW_OBJETACTEPRINCIPAL.CP" w:val="Neues Europäisches Bauhaus – Fortschrittsbericht "/>
    <w:docVar w:name="LW_PART_NBR" w:val="1"/>
    <w:docVar w:name="LW_PART_NBR_TOTAL" w:val="1"/>
    <w:docVar w:name="LW_REF.INST.NEW" w:val="COM"/>
    <w:docVar w:name="LW_REF.INST.NEW_ADOPTED" w:val="final"/>
    <w:docVar w:name="LW_REF.INST.NEW_TEXT" w:val="(2023) 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HANG_x000b_"/>
    <w:docVar w:name="LW_TYPEACTEPRINCIPAL.CP" w:val="BERICHTS DER KOMMISSION AN DAS EUROPÄISCHE PARLAMENT, DEN RAT, DEN EUROPÄISCHEN WIRTSCHAFTS- UND SOZIALAUSSCHUSS UND DEN AUSSCHUSS DER REGIONEN"/>
    <w:docVar w:name="LwApiVersions" w:val="LW4CoDe 1.23.2.0; LW 8.0, Build 20211117"/>
  </w:docVars>
  <w:rsids>
    <w:rsidRoot w:val="00844A61"/>
    <w:rsid w:val="000063D0"/>
    <w:rsid w:val="00011850"/>
    <w:rsid w:val="000143FD"/>
    <w:rsid w:val="00016860"/>
    <w:rsid w:val="000176B8"/>
    <w:rsid w:val="00023026"/>
    <w:rsid w:val="0002701A"/>
    <w:rsid w:val="00031AD6"/>
    <w:rsid w:val="00036D3D"/>
    <w:rsid w:val="00044869"/>
    <w:rsid w:val="00046A1B"/>
    <w:rsid w:val="00047E7F"/>
    <w:rsid w:val="00051E48"/>
    <w:rsid w:val="00054FEB"/>
    <w:rsid w:val="00077FD3"/>
    <w:rsid w:val="000A3AD1"/>
    <w:rsid w:val="000C16CF"/>
    <w:rsid w:val="000D23AF"/>
    <w:rsid w:val="000F6A8C"/>
    <w:rsid w:val="00106921"/>
    <w:rsid w:val="00106DD6"/>
    <w:rsid w:val="00135A2C"/>
    <w:rsid w:val="0013731A"/>
    <w:rsid w:val="00154917"/>
    <w:rsid w:val="00160512"/>
    <w:rsid w:val="00163967"/>
    <w:rsid w:val="00165FF7"/>
    <w:rsid w:val="0016642D"/>
    <w:rsid w:val="00176057"/>
    <w:rsid w:val="001A0AB7"/>
    <w:rsid w:val="001A5C83"/>
    <w:rsid w:val="001B5F81"/>
    <w:rsid w:val="001C1885"/>
    <w:rsid w:val="001C5AF6"/>
    <w:rsid w:val="00204441"/>
    <w:rsid w:val="0023179E"/>
    <w:rsid w:val="00231D58"/>
    <w:rsid w:val="002335E9"/>
    <w:rsid w:val="002439DA"/>
    <w:rsid w:val="002442A1"/>
    <w:rsid w:val="0024615D"/>
    <w:rsid w:val="002538F3"/>
    <w:rsid w:val="00274BE3"/>
    <w:rsid w:val="002767E4"/>
    <w:rsid w:val="002A459B"/>
    <w:rsid w:val="002A7594"/>
    <w:rsid w:val="002B028D"/>
    <w:rsid w:val="002C67D8"/>
    <w:rsid w:val="002F416A"/>
    <w:rsid w:val="002F5A73"/>
    <w:rsid w:val="00311B9F"/>
    <w:rsid w:val="00312E6F"/>
    <w:rsid w:val="003231EC"/>
    <w:rsid w:val="003322B9"/>
    <w:rsid w:val="00340ECF"/>
    <w:rsid w:val="00362A51"/>
    <w:rsid w:val="003659B7"/>
    <w:rsid w:val="00381031"/>
    <w:rsid w:val="00393BB4"/>
    <w:rsid w:val="003A553A"/>
    <w:rsid w:val="003B06FE"/>
    <w:rsid w:val="003C021D"/>
    <w:rsid w:val="003D5162"/>
    <w:rsid w:val="003E5D4C"/>
    <w:rsid w:val="004001B7"/>
    <w:rsid w:val="004028E2"/>
    <w:rsid w:val="00403131"/>
    <w:rsid w:val="00415FE9"/>
    <w:rsid w:val="00436384"/>
    <w:rsid w:val="00447317"/>
    <w:rsid w:val="0045621D"/>
    <w:rsid w:val="004772AB"/>
    <w:rsid w:val="00482797"/>
    <w:rsid w:val="004B3448"/>
    <w:rsid w:val="004C0C6A"/>
    <w:rsid w:val="004D2ED0"/>
    <w:rsid w:val="00502C0B"/>
    <w:rsid w:val="00513D89"/>
    <w:rsid w:val="00544A34"/>
    <w:rsid w:val="0055004C"/>
    <w:rsid w:val="00550999"/>
    <w:rsid w:val="0055758B"/>
    <w:rsid w:val="00566701"/>
    <w:rsid w:val="00580937"/>
    <w:rsid w:val="00582079"/>
    <w:rsid w:val="0058454A"/>
    <w:rsid w:val="00591897"/>
    <w:rsid w:val="00594675"/>
    <w:rsid w:val="005B39B3"/>
    <w:rsid w:val="005B3EFE"/>
    <w:rsid w:val="005D1BCF"/>
    <w:rsid w:val="005D4233"/>
    <w:rsid w:val="005E0575"/>
    <w:rsid w:val="005E7A2E"/>
    <w:rsid w:val="005F1F7E"/>
    <w:rsid w:val="005F2CBB"/>
    <w:rsid w:val="006323FF"/>
    <w:rsid w:val="00641E95"/>
    <w:rsid w:val="00681EBE"/>
    <w:rsid w:val="006C30C8"/>
    <w:rsid w:val="006E0FE8"/>
    <w:rsid w:val="006F6762"/>
    <w:rsid w:val="007054B5"/>
    <w:rsid w:val="007213A6"/>
    <w:rsid w:val="00723A7E"/>
    <w:rsid w:val="007278BB"/>
    <w:rsid w:val="00763DAA"/>
    <w:rsid w:val="00766F96"/>
    <w:rsid w:val="00775729"/>
    <w:rsid w:val="007A2CF4"/>
    <w:rsid w:val="007B4EBB"/>
    <w:rsid w:val="007E15CB"/>
    <w:rsid w:val="008423A7"/>
    <w:rsid w:val="00844A61"/>
    <w:rsid w:val="00844C1E"/>
    <w:rsid w:val="008842C1"/>
    <w:rsid w:val="00887EF0"/>
    <w:rsid w:val="008C30F2"/>
    <w:rsid w:val="008C45AB"/>
    <w:rsid w:val="008D1A50"/>
    <w:rsid w:val="008D248A"/>
    <w:rsid w:val="008D2A8B"/>
    <w:rsid w:val="008E0F36"/>
    <w:rsid w:val="00921832"/>
    <w:rsid w:val="009255E4"/>
    <w:rsid w:val="0092639C"/>
    <w:rsid w:val="00927534"/>
    <w:rsid w:val="00944E8C"/>
    <w:rsid w:val="00950ECE"/>
    <w:rsid w:val="00971D4C"/>
    <w:rsid w:val="00974724"/>
    <w:rsid w:val="00985220"/>
    <w:rsid w:val="009852D9"/>
    <w:rsid w:val="00986158"/>
    <w:rsid w:val="00991DEF"/>
    <w:rsid w:val="009A2979"/>
    <w:rsid w:val="009B5B44"/>
    <w:rsid w:val="009C1417"/>
    <w:rsid w:val="009D0E50"/>
    <w:rsid w:val="009D20EA"/>
    <w:rsid w:val="009D6DBA"/>
    <w:rsid w:val="009E5542"/>
    <w:rsid w:val="009E6B23"/>
    <w:rsid w:val="009F7B42"/>
    <w:rsid w:val="00A133F8"/>
    <w:rsid w:val="00A21EF5"/>
    <w:rsid w:val="00A25224"/>
    <w:rsid w:val="00A35A4E"/>
    <w:rsid w:val="00AA6F48"/>
    <w:rsid w:val="00AB047D"/>
    <w:rsid w:val="00AB3B36"/>
    <w:rsid w:val="00AB78DC"/>
    <w:rsid w:val="00AC607F"/>
    <w:rsid w:val="00B21481"/>
    <w:rsid w:val="00B2683A"/>
    <w:rsid w:val="00B35FF6"/>
    <w:rsid w:val="00B667D3"/>
    <w:rsid w:val="00B750AA"/>
    <w:rsid w:val="00B879E7"/>
    <w:rsid w:val="00BA0C9C"/>
    <w:rsid w:val="00BA248D"/>
    <w:rsid w:val="00BA3941"/>
    <w:rsid w:val="00BD21BC"/>
    <w:rsid w:val="00BD2F6B"/>
    <w:rsid w:val="00BE6EC2"/>
    <w:rsid w:val="00C142EB"/>
    <w:rsid w:val="00C14966"/>
    <w:rsid w:val="00C1601A"/>
    <w:rsid w:val="00C23D76"/>
    <w:rsid w:val="00C30047"/>
    <w:rsid w:val="00C30CCE"/>
    <w:rsid w:val="00C44494"/>
    <w:rsid w:val="00C47F85"/>
    <w:rsid w:val="00C531AF"/>
    <w:rsid w:val="00C5486D"/>
    <w:rsid w:val="00C55F36"/>
    <w:rsid w:val="00C66C99"/>
    <w:rsid w:val="00C7712C"/>
    <w:rsid w:val="00C864BD"/>
    <w:rsid w:val="00C95706"/>
    <w:rsid w:val="00CA7CBE"/>
    <w:rsid w:val="00CB2048"/>
    <w:rsid w:val="00CB33F4"/>
    <w:rsid w:val="00CC2C74"/>
    <w:rsid w:val="00CC3304"/>
    <w:rsid w:val="00CD4F72"/>
    <w:rsid w:val="00CE1472"/>
    <w:rsid w:val="00CE564D"/>
    <w:rsid w:val="00CE5C22"/>
    <w:rsid w:val="00CF1581"/>
    <w:rsid w:val="00CF34A8"/>
    <w:rsid w:val="00D06042"/>
    <w:rsid w:val="00D236DE"/>
    <w:rsid w:val="00D2491F"/>
    <w:rsid w:val="00D26450"/>
    <w:rsid w:val="00D31522"/>
    <w:rsid w:val="00D3451F"/>
    <w:rsid w:val="00D34CC4"/>
    <w:rsid w:val="00D371EC"/>
    <w:rsid w:val="00D47E0D"/>
    <w:rsid w:val="00D532E3"/>
    <w:rsid w:val="00D53BE9"/>
    <w:rsid w:val="00D62911"/>
    <w:rsid w:val="00D646CE"/>
    <w:rsid w:val="00D664BF"/>
    <w:rsid w:val="00D75D85"/>
    <w:rsid w:val="00D76B7A"/>
    <w:rsid w:val="00DA2DA3"/>
    <w:rsid w:val="00DA5809"/>
    <w:rsid w:val="00DD1599"/>
    <w:rsid w:val="00DD753E"/>
    <w:rsid w:val="00DE0F83"/>
    <w:rsid w:val="00DE55D0"/>
    <w:rsid w:val="00DE7931"/>
    <w:rsid w:val="00DF1100"/>
    <w:rsid w:val="00E141D6"/>
    <w:rsid w:val="00E20B48"/>
    <w:rsid w:val="00E22D79"/>
    <w:rsid w:val="00E23127"/>
    <w:rsid w:val="00E35F6E"/>
    <w:rsid w:val="00E365A3"/>
    <w:rsid w:val="00E566AC"/>
    <w:rsid w:val="00E65F81"/>
    <w:rsid w:val="00E84A7C"/>
    <w:rsid w:val="00E92AB1"/>
    <w:rsid w:val="00E944F1"/>
    <w:rsid w:val="00E952DD"/>
    <w:rsid w:val="00EC15C5"/>
    <w:rsid w:val="00EF3038"/>
    <w:rsid w:val="00EF6450"/>
    <w:rsid w:val="00F15960"/>
    <w:rsid w:val="00F33282"/>
    <w:rsid w:val="00F379E5"/>
    <w:rsid w:val="00F529C2"/>
    <w:rsid w:val="00F52DFC"/>
    <w:rsid w:val="00F64AF9"/>
    <w:rsid w:val="00F66E9C"/>
    <w:rsid w:val="00F83959"/>
    <w:rsid w:val="00F90E56"/>
    <w:rsid w:val="00F9636C"/>
    <w:rsid w:val="00FA0F7D"/>
    <w:rsid w:val="00FB33D8"/>
    <w:rsid w:val="00FB5099"/>
    <w:rsid w:val="00FD11A7"/>
    <w:rsid w:val="00FE241E"/>
    <w:rsid w:val="00FE5614"/>
    <w:rsid w:val="00FF6159"/>
    <w:rsid w:val="0113D81B"/>
    <w:rsid w:val="01534F1A"/>
    <w:rsid w:val="0172D9E0"/>
    <w:rsid w:val="02877EEA"/>
    <w:rsid w:val="028A5A1F"/>
    <w:rsid w:val="02C59DC1"/>
    <w:rsid w:val="038AB8DC"/>
    <w:rsid w:val="043B769D"/>
    <w:rsid w:val="0484FA6C"/>
    <w:rsid w:val="05113645"/>
    <w:rsid w:val="0520E1DC"/>
    <w:rsid w:val="05E47ACD"/>
    <w:rsid w:val="06B90AA3"/>
    <w:rsid w:val="080BC12F"/>
    <w:rsid w:val="085F0A0C"/>
    <w:rsid w:val="095CE7EE"/>
    <w:rsid w:val="09C55CC0"/>
    <w:rsid w:val="0A2D47AF"/>
    <w:rsid w:val="0AE3CC42"/>
    <w:rsid w:val="0B11CF9B"/>
    <w:rsid w:val="0BE853A5"/>
    <w:rsid w:val="0C68AB73"/>
    <w:rsid w:val="0D0B407B"/>
    <w:rsid w:val="0D8DA523"/>
    <w:rsid w:val="0DB680AA"/>
    <w:rsid w:val="0E43F90B"/>
    <w:rsid w:val="0EC1ED10"/>
    <w:rsid w:val="0F24A467"/>
    <w:rsid w:val="0F9C016D"/>
    <w:rsid w:val="0FF3DEA7"/>
    <w:rsid w:val="10F11477"/>
    <w:rsid w:val="1109BE3C"/>
    <w:rsid w:val="13CC8693"/>
    <w:rsid w:val="14BA2C4D"/>
    <w:rsid w:val="15D3485F"/>
    <w:rsid w:val="16839056"/>
    <w:rsid w:val="16AFDE0C"/>
    <w:rsid w:val="16B0A35C"/>
    <w:rsid w:val="177D3F03"/>
    <w:rsid w:val="18323E8A"/>
    <w:rsid w:val="18391D40"/>
    <w:rsid w:val="18AC591D"/>
    <w:rsid w:val="18FFE707"/>
    <w:rsid w:val="19D98331"/>
    <w:rsid w:val="1A2E4EDE"/>
    <w:rsid w:val="1B44E4E2"/>
    <w:rsid w:val="1B5BDD14"/>
    <w:rsid w:val="1B706B92"/>
    <w:rsid w:val="1BE1834E"/>
    <w:rsid w:val="1C3A85B4"/>
    <w:rsid w:val="1C8267E4"/>
    <w:rsid w:val="1C9315B4"/>
    <w:rsid w:val="1CA48C9F"/>
    <w:rsid w:val="1D262850"/>
    <w:rsid w:val="1E6E8972"/>
    <w:rsid w:val="1E7C85A4"/>
    <w:rsid w:val="216005A7"/>
    <w:rsid w:val="22929FA7"/>
    <w:rsid w:val="23FD75D7"/>
    <w:rsid w:val="2404D097"/>
    <w:rsid w:val="2496C452"/>
    <w:rsid w:val="256EF4DB"/>
    <w:rsid w:val="257AC131"/>
    <w:rsid w:val="267148BC"/>
    <w:rsid w:val="27713692"/>
    <w:rsid w:val="2775AE2B"/>
    <w:rsid w:val="27A906ED"/>
    <w:rsid w:val="2824ED4F"/>
    <w:rsid w:val="282B5570"/>
    <w:rsid w:val="284ADB64"/>
    <w:rsid w:val="29910BF7"/>
    <w:rsid w:val="2B8B3095"/>
    <w:rsid w:val="2B99683F"/>
    <w:rsid w:val="2C7554D3"/>
    <w:rsid w:val="2D3C0198"/>
    <w:rsid w:val="2D71818A"/>
    <w:rsid w:val="2E00CCB6"/>
    <w:rsid w:val="2E9A96F4"/>
    <w:rsid w:val="2EDE63A7"/>
    <w:rsid w:val="2F51CCF3"/>
    <w:rsid w:val="2F5CC0A9"/>
    <w:rsid w:val="2F87AA35"/>
    <w:rsid w:val="2FA455CA"/>
    <w:rsid w:val="2FAC5E1D"/>
    <w:rsid w:val="30184759"/>
    <w:rsid w:val="309AC43B"/>
    <w:rsid w:val="31AC24CF"/>
    <w:rsid w:val="31D237B6"/>
    <w:rsid w:val="3244439E"/>
    <w:rsid w:val="32CEF032"/>
    <w:rsid w:val="335A7C99"/>
    <w:rsid w:val="338EB4D4"/>
    <w:rsid w:val="3434033F"/>
    <w:rsid w:val="3456B656"/>
    <w:rsid w:val="34CC37A9"/>
    <w:rsid w:val="34EC36EB"/>
    <w:rsid w:val="3533580E"/>
    <w:rsid w:val="35F5ADE5"/>
    <w:rsid w:val="3604CC91"/>
    <w:rsid w:val="36689964"/>
    <w:rsid w:val="36EEEDDE"/>
    <w:rsid w:val="37917E46"/>
    <w:rsid w:val="3794DACC"/>
    <w:rsid w:val="38185581"/>
    <w:rsid w:val="386AF8D0"/>
    <w:rsid w:val="389C0041"/>
    <w:rsid w:val="38EB66DF"/>
    <w:rsid w:val="39702315"/>
    <w:rsid w:val="39FA3B36"/>
    <w:rsid w:val="3A46538A"/>
    <w:rsid w:val="3C1F9876"/>
    <w:rsid w:val="3C81AF39"/>
    <w:rsid w:val="3CACDDD9"/>
    <w:rsid w:val="3D5E50E6"/>
    <w:rsid w:val="3E45AD62"/>
    <w:rsid w:val="3E587139"/>
    <w:rsid w:val="3ECA1F89"/>
    <w:rsid w:val="3F275A84"/>
    <w:rsid w:val="3F528757"/>
    <w:rsid w:val="3FB95988"/>
    <w:rsid w:val="3FDF4203"/>
    <w:rsid w:val="41301D43"/>
    <w:rsid w:val="4224ABB0"/>
    <w:rsid w:val="42E925F2"/>
    <w:rsid w:val="432422B2"/>
    <w:rsid w:val="4477EED4"/>
    <w:rsid w:val="44FE8F0A"/>
    <w:rsid w:val="45072D17"/>
    <w:rsid w:val="4523884E"/>
    <w:rsid w:val="452FA54D"/>
    <w:rsid w:val="45442796"/>
    <w:rsid w:val="4596916B"/>
    <w:rsid w:val="45B61C07"/>
    <w:rsid w:val="47B65D16"/>
    <w:rsid w:val="485E4A26"/>
    <w:rsid w:val="48901304"/>
    <w:rsid w:val="49229150"/>
    <w:rsid w:val="495A7EA3"/>
    <w:rsid w:val="49A87937"/>
    <w:rsid w:val="49B771F7"/>
    <w:rsid w:val="49D56847"/>
    <w:rsid w:val="49E645F8"/>
    <w:rsid w:val="4A8C2908"/>
    <w:rsid w:val="4AB606F5"/>
    <w:rsid w:val="4AFB1CF4"/>
    <w:rsid w:val="4B845BC8"/>
    <w:rsid w:val="4B925DAD"/>
    <w:rsid w:val="4BC0AAE2"/>
    <w:rsid w:val="4BCA0313"/>
    <w:rsid w:val="4D19D350"/>
    <w:rsid w:val="4D24E35E"/>
    <w:rsid w:val="4D55ADC9"/>
    <w:rsid w:val="4D5B18D2"/>
    <w:rsid w:val="4DB7253C"/>
    <w:rsid w:val="4DC54631"/>
    <w:rsid w:val="4E3A699C"/>
    <w:rsid w:val="4E9777B1"/>
    <w:rsid w:val="4EAF3B90"/>
    <w:rsid w:val="4EF84BA4"/>
    <w:rsid w:val="50035538"/>
    <w:rsid w:val="50D3A65E"/>
    <w:rsid w:val="511C75D4"/>
    <w:rsid w:val="512F8BEE"/>
    <w:rsid w:val="51718132"/>
    <w:rsid w:val="51DC9965"/>
    <w:rsid w:val="5266CFAC"/>
    <w:rsid w:val="52FE7424"/>
    <w:rsid w:val="53341DCC"/>
    <w:rsid w:val="53738F39"/>
    <w:rsid w:val="540B4720"/>
    <w:rsid w:val="5431D131"/>
    <w:rsid w:val="547CB5C2"/>
    <w:rsid w:val="54BE50CA"/>
    <w:rsid w:val="55250AAF"/>
    <w:rsid w:val="554FF7B2"/>
    <w:rsid w:val="557250B7"/>
    <w:rsid w:val="55BBB7CC"/>
    <w:rsid w:val="57236C11"/>
    <w:rsid w:val="575868F2"/>
    <w:rsid w:val="57E8DC3C"/>
    <w:rsid w:val="58886C00"/>
    <w:rsid w:val="58E021F5"/>
    <w:rsid w:val="591BECBD"/>
    <w:rsid w:val="5A077EE9"/>
    <w:rsid w:val="5ACDED4B"/>
    <w:rsid w:val="5AE1FD6A"/>
    <w:rsid w:val="5C052AEF"/>
    <w:rsid w:val="5C4392B3"/>
    <w:rsid w:val="5C56C60D"/>
    <w:rsid w:val="5C95AF2A"/>
    <w:rsid w:val="5DD5140D"/>
    <w:rsid w:val="5E368B68"/>
    <w:rsid w:val="5E59B72E"/>
    <w:rsid w:val="5E5F1808"/>
    <w:rsid w:val="5FC33621"/>
    <w:rsid w:val="616499B6"/>
    <w:rsid w:val="6184DA65"/>
    <w:rsid w:val="6274F3D3"/>
    <w:rsid w:val="62757425"/>
    <w:rsid w:val="62C8224F"/>
    <w:rsid w:val="62DE02D3"/>
    <w:rsid w:val="63F08182"/>
    <w:rsid w:val="644F129D"/>
    <w:rsid w:val="6451B21A"/>
    <w:rsid w:val="6479D334"/>
    <w:rsid w:val="648C5AF9"/>
    <w:rsid w:val="64A0C10F"/>
    <w:rsid w:val="65F1A404"/>
    <w:rsid w:val="665A9C8D"/>
    <w:rsid w:val="66B0BCDA"/>
    <w:rsid w:val="66D42E50"/>
    <w:rsid w:val="676FFA67"/>
    <w:rsid w:val="687B768E"/>
    <w:rsid w:val="68AA8691"/>
    <w:rsid w:val="697A002E"/>
    <w:rsid w:val="69B534CA"/>
    <w:rsid w:val="6A3B8F1B"/>
    <w:rsid w:val="6A85BC3B"/>
    <w:rsid w:val="6AD383B4"/>
    <w:rsid w:val="6B2BBCAB"/>
    <w:rsid w:val="6B3CBA2A"/>
    <w:rsid w:val="6C04F476"/>
    <w:rsid w:val="6C8BBA2B"/>
    <w:rsid w:val="6C8C3821"/>
    <w:rsid w:val="6CBBDFD6"/>
    <w:rsid w:val="6D1BB7B0"/>
    <w:rsid w:val="6D8F245E"/>
    <w:rsid w:val="6DB48676"/>
    <w:rsid w:val="6DE3F55E"/>
    <w:rsid w:val="6E0CB27E"/>
    <w:rsid w:val="6F3BFDC0"/>
    <w:rsid w:val="6F9222A7"/>
    <w:rsid w:val="70475FCA"/>
    <w:rsid w:val="70669B64"/>
    <w:rsid w:val="70932A11"/>
    <w:rsid w:val="717547D7"/>
    <w:rsid w:val="718C525E"/>
    <w:rsid w:val="728A4A14"/>
    <w:rsid w:val="731511F9"/>
    <w:rsid w:val="73711CDA"/>
    <w:rsid w:val="7379E131"/>
    <w:rsid w:val="739C891F"/>
    <w:rsid w:val="742472F8"/>
    <w:rsid w:val="74385802"/>
    <w:rsid w:val="74A45F31"/>
    <w:rsid w:val="74B81437"/>
    <w:rsid w:val="74D4FCD1"/>
    <w:rsid w:val="75482643"/>
    <w:rsid w:val="75D66955"/>
    <w:rsid w:val="7739EBE3"/>
    <w:rsid w:val="77B86C9E"/>
    <w:rsid w:val="77C8DE27"/>
    <w:rsid w:val="782A610F"/>
    <w:rsid w:val="78A23256"/>
    <w:rsid w:val="78CE316A"/>
    <w:rsid w:val="793C2C1B"/>
    <w:rsid w:val="79439895"/>
    <w:rsid w:val="79CC7210"/>
    <w:rsid w:val="7A02209F"/>
    <w:rsid w:val="7A701BD9"/>
    <w:rsid w:val="7AA8B193"/>
    <w:rsid w:val="7ACB8AC5"/>
    <w:rsid w:val="7B1C736A"/>
    <w:rsid w:val="7D7FA0B4"/>
    <w:rsid w:val="7D8EA840"/>
    <w:rsid w:val="7DF9B481"/>
    <w:rsid w:val="7EFDF719"/>
    <w:rsid w:val="7F2A9C37"/>
    <w:rsid w:val="7FD70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2313D0C"/>
  <w15:chartTrackingRefBased/>
  <w15:docId w15:val="{C6AB6EEA-2E39-47EE-8620-FDF0A7B00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A61"/>
    <w:pPr>
      <w:spacing w:after="240" w:line="240" w:lineRule="auto"/>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4A61"/>
    <w:rPr>
      <w:color w:val="0563C1" w:themeColor="hyperlink"/>
      <w:u w:val="single"/>
    </w:rPr>
  </w:style>
  <w:style w:type="paragraph" w:styleId="ListParagraph">
    <w:name w:val="List Paragraph"/>
    <w:basedOn w:val="Normal"/>
    <w:link w:val="ListParagraphChar"/>
    <w:uiPriority w:val="34"/>
    <w:qFormat/>
    <w:rsid w:val="00844A61"/>
    <w:pPr>
      <w:ind w:left="720"/>
      <w:contextualSpacing/>
    </w:pPr>
  </w:style>
  <w:style w:type="character" w:customStyle="1" w:styleId="ListParagraphChar">
    <w:name w:val="List Paragraph Char"/>
    <w:link w:val="ListParagraph"/>
    <w:uiPriority w:val="34"/>
    <w:qFormat/>
    <w:locked/>
    <w:rsid w:val="00844A61"/>
    <w:rPr>
      <w:rFonts w:ascii="Arial" w:eastAsia="Times New Roman" w:hAnsi="Arial" w:cs="Times New Roman"/>
    </w:rPr>
  </w:style>
  <w:style w:type="paragraph" w:styleId="FootnoteText">
    <w:name w:val="footnote text"/>
    <w:basedOn w:val="Normal"/>
    <w:link w:val="FootnoteTextChar"/>
    <w:uiPriority w:val="99"/>
    <w:unhideWhenUsed/>
    <w:rsid w:val="00844A61"/>
    <w:pPr>
      <w:spacing w:after="0"/>
    </w:pPr>
    <w:rPr>
      <w:sz w:val="20"/>
    </w:rPr>
  </w:style>
  <w:style w:type="character" w:customStyle="1" w:styleId="FootnoteTextChar">
    <w:name w:val="Footnote Text Char"/>
    <w:basedOn w:val="DefaultParagraphFont"/>
    <w:link w:val="FootnoteText"/>
    <w:uiPriority w:val="99"/>
    <w:rsid w:val="00844A61"/>
    <w:rPr>
      <w:rFonts w:ascii="Arial" w:eastAsia="Times New Roman" w:hAnsi="Arial" w:cs="Times New Roman"/>
      <w:sz w:val="20"/>
    </w:rPr>
  </w:style>
  <w:style w:type="character" w:styleId="Strong">
    <w:name w:val="Strong"/>
    <w:basedOn w:val="DefaultParagraphFont"/>
    <w:uiPriority w:val="22"/>
    <w:qFormat/>
    <w:rsid w:val="00844A61"/>
    <w:rPr>
      <w:b/>
    </w:rPr>
  </w:style>
  <w:style w:type="paragraph" w:customStyle="1" w:styleId="LTTBullet">
    <w:name w:val="LTT Bullet"/>
    <w:basedOn w:val="Normal"/>
    <w:qFormat/>
    <w:rsid w:val="00944E8C"/>
    <w:pPr>
      <w:numPr>
        <w:numId w:val="5"/>
      </w:numPr>
      <w:spacing w:after="0"/>
    </w:pPr>
    <w:rPr>
      <w:rFonts w:ascii="Calibri" w:hAnsi="Calibri" w:cs="Calibri"/>
      <w:sz w:val="28"/>
    </w:rPr>
  </w:style>
  <w:style w:type="paragraph" w:customStyle="1" w:styleId="LTTBullet2">
    <w:name w:val="LTT Bullet 2"/>
    <w:basedOn w:val="LTTBullet"/>
    <w:qFormat/>
    <w:rsid w:val="00944E8C"/>
    <w:pPr>
      <w:numPr>
        <w:ilvl w:val="1"/>
      </w:numPr>
    </w:pPr>
  </w:style>
  <w:style w:type="character" w:styleId="FootnoteReference">
    <w:name w:val="footnote reference"/>
    <w:basedOn w:val="DefaultParagraphFont"/>
    <w:uiPriority w:val="99"/>
    <w:semiHidden/>
    <w:unhideWhenUsed/>
    <w:rsid w:val="00944E8C"/>
    <w:rPr>
      <w:vertAlign w:val="superscript"/>
    </w:rPr>
  </w:style>
  <w:style w:type="character" w:styleId="CommentReference">
    <w:name w:val="annotation reference"/>
    <w:basedOn w:val="DefaultParagraphFont"/>
    <w:uiPriority w:val="99"/>
    <w:semiHidden/>
    <w:unhideWhenUsed/>
    <w:rsid w:val="00D236DE"/>
    <w:rPr>
      <w:sz w:val="16"/>
    </w:rPr>
  </w:style>
  <w:style w:type="paragraph" w:styleId="CommentText">
    <w:name w:val="annotation text"/>
    <w:basedOn w:val="Normal"/>
    <w:link w:val="CommentTextChar"/>
    <w:uiPriority w:val="99"/>
    <w:semiHidden/>
    <w:unhideWhenUsed/>
    <w:rsid w:val="00D236DE"/>
    <w:rPr>
      <w:sz w:val="20"/>
    </w:rPr>
  </w:style>
  <w:style w:type="character" w:customStyle="1" w:styleId="CommentTextChar">
    <w:name w:val="Comment Text Char"/>
    <w:basedOn w:val="DefaultParagraphFont"/>
    <w:link w:val="CommentText"/>
    <w:uiPriority w:val="99"/>
    <w:semiHidden/>
    <w:rsid w:val="00D236DE"/>
    <w:rPr>
      <w:rFonts w:ascii="Arial" w:eastAsia="Times New Roman" w:hAnsi="Arial" w:cs="Times New Roman"/>
      <w:sz w:val="20"/>
    </w:rPr>
  </w:style>
  <w:style w:type="paragraph" w:styleId="CommentSubject">
    <w:name w:val="annotation subject"/>
    <w:basedOn w:val="CommentText"/>
    <w:next w:val="CommentText"/>
    <w:link w:val="CommentSubjectChar"/>
    <w:uiPriority w:val="99"/>
    <w:semiHidden/>
    <w:unhideWhenUsed/>
    <w:rsid w:val="00D236DE"/>
    <w:rPr>
      <w:b/>
    </w:rPr>
  </w:style>
  <w:style w:type="character" w:customStyle="1" w:styleId="CommentSubjectChar">
    <w:name w:val="Comment Subject Char"/>
    <w:basedOn w:val="CommentTextChar"/>
    <w:link w:val="CommentSubject"/>
    <w:uiPriority w:val="99"/>
    <w:semiHidden/>
    <w:rsid w:val="00D236DE"/>
    <w:rPr>
      <w:rFonts w:ascii="Arial" w:eastAsia="Times New Roman" w:hAnsi="Arial" w:cs="Times New Roman"/>
      <w:b/>
      <w:sz w:val="20"/>
    </w:rPr>
  </w:style>
  <w:style w:type="paragraph" w:styleId="BalloonText">
    <w:name w:val="Balloon Text"/>
    <w:basedOn w:val="Normal"/>
    <w:link w:val="BalloonTextChar"/>
    <w:uiPriority w:val="99"/>
    <w:semiHidden/>
    <w:unhideWhenUsed/>
    <w:rsid w:val="00D236DE"/>
    <w:pPr>
      <w:spacing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236DE"/>
    <w:rPr>
      <w:rFonts w:ascii="Segoe UI" w:eastAsia="Times New Roman" w:hAnsi="Segoe UI" w:cs="Segoe UI"/>
      <w:sz w:val="18"/>
    </w:rPr>
  </w:style>
  <w:style w:type="paragraph" w:styleId="Header">
    <w:name w:val="header"/>
    <w:basedOn w:val="Normal"/>
    <w:link w:val="HeaderChar"/>
    <w:uiPriority w:val="99"/>
    <w:unhideWhenUsed/>
    <w:rsid w:val="00F379E5"/>
    <w:pPr>
      <w:tabs>
        <w:tab w:val="center" w:pos="4680"/>
        <w:tab w:val="right" w:pos="9360"/>
      </w:tabs>
      <w:spacing w:after="0"/>
    </w:pPr>
  </w:style>
  <w:style w:type="character" w:customStyle="1" w:styleId="HeaderChar">
    <w:name w:val="Header Char"/>
    <w:basedOn w:val="DefaultParagraphFont"/>
    <w:link w:val="Header"/>
    <w:uiPriority w:val="99"/>
    <w:rsid w:val="00F379E5"/>
    <w:rPr>
      <w:rFonts w:ascii="Arial" w:eastAsia="Times New Roman" w:hAnsi="Arial" w:cs="Times New Roman"/>
    </w:rPr>
  </w:style>
  <w:style w:type="paragraph" w:styleId="Footer">
    <w:name w:val="footer"/>
    <w:basedOn w:val="Normal"/>
    <w:link w:val="FooterChar"/>
    <w:uiPriority w:val="99"/>
    <w:unhideWhenUsed/>
    <w:rsid w:val="00F379E5"/>
    <w:pPr>
      <w:tabs>
        <w:tab w:val="center" w:pos="4680"/>
        <w:tab w:val="right" w:pos="9360"/>
      </w:tabs>
      <w:spacing w:after="0"/>
    </w:pPr>
  </w:style>
  <w:style w:type="character" w:customStyle="1" w:styleId="FooterChar">
    <w:name w:val="Footer Char"/>
    <w:basedOn w:val="DefaultParagraphFont"/>
    <w:link w:val="Footer"/>
    <w:uiPriority w:val="99"/>
    <w:rsid w:val="00F379E5"/>
    <w:rPr>
      <w:rFonts w:ascii="Arial" w:eastAsia="Times New Roman" w:hAnsi="Arial" w:cs="Times New Roman"/>
    </w:rPr>
  </w:style>
  <w:style w:type="character" w:styleId="FollowedHyperlink">
    <w:name w:val="FollowedHyperlink"/>
    <w:basedOn w:val="DefaultParagraphFont"/>
    <w:uiPriority w:val="99"/>
    <w:semiHidden/>
    <w:unhideWhenUsed/>
    <w:rsid w:val="00F379E5"/>
    <w:rPr>
      <w:color w:val="954F72" w:themeColor="followedHyperlink"/>
      <w:u w:val="single"/>
    </w:rPr>
  </w:style>
  <w:style w:type="paragraph" w:styleId="Revision">
    <w:name w:val="Revision"/>
    <w:hidden/>
    <w:uiPriority w:val="99"/>
    <w:semiHidden/>
    <w:rsid w:val="00F379E5"/>
    <w:pPr>
      <w:spacing w:after="0" w:line="240" w:lineRule="auto"/>
    </w:pPr>
    <w:rPr>
      <w:rFonts w:ascii="Arial" w:eastAsia="Times New Roman" w:hAnsi="Arial" w:cs="Times New Roman"/>
    </w:rPr>
  </w:style>
  <w:style w:type="paragraph" w:styleId="NormalWeb">
    <w:name w:val="Normal (Web)"/>
    <w:basedOn w:val="Normal"/>
    <w:uiPriority w:val="99"/>
    <w:unhideWhenUsed/>
    <w:rsid w:val="00F90E56"/>
    <w:pPr>
      <w:spacing w:before="100" w:beforeAutospacing="1" w:after="100" w:afterAutospacing="1"/>
    </w:pPr>
    <w:rPr>
      <w:rFonts w:ascii="Times New Roman" w:hAnsi="Times New Roman"/>
      <w:sz w:val="24"/>
    </w:rPr>
  </w:style>
  <w:style w:type="paragraph" w:customStyle="1" w:styleId="Default">
    <w:name w:val="Default"/>
    <w:rsid w:val="00F90E56"/>
    <w:pPr>
      <w:autoSpaceDE w:val="0"/>
      <w:autoSpaceDN w:val="0"/>
      <w:adjustRightInd w:val="0"/>
      <w:spacing w:after="0" w:line="240" w:lineRule="auto"/>
    </w:pPr>
    <w:rPr>
      <w:rFonts w:ascii="Candara" w:hAnsi="Candara" w:cs="Candara"/>
      <w:sz w:val="24"/>
    </w:rPr>
  </w:style>
  <w:style w:type="character" w:customStyle="1" w:styleId="Mention1">
    <w:name w:val="Mention1"/>
    <w:basedOn w:val="DefaultParagraphFont"/>
    <w:uiPriority w:val="99"/>
    <w:unhideWhenUsed/>
    <w:rPr>
      <w:color w:val="2B579A"/>
      <w:shd w:val="clear" w:color="auto" w:fill="E6E6E6"/>
    </w:rPr>
  </w:style>
  <w:style w:type="paragraph" w:styleId="EndnoteText">
    <w:name w:val="endnote text"/>
    <w:basedOn w:val="Normal"/>
    <w:link w:val="EndnoteTextChar"/>
    <w:uiPriority w:val="99"/>
    <w:semiHidden/>
    <w:unhideWhenUsed/>
    <w:rsid w:val="00E92AB1"/>
    <w:pPr>
      <w:spacing w:after="0"/>
    </w:pPr>
    <w:rPr>
      <w:sz w:val="20"/>
    </w:rPr>
  </w:style>
  <w:style w:type="character" w:customStyle="1" w:styleId="EndnoteTextChar">
    <w:name w:val="Endnote Text Char"/>
    <w:basedOn w:val="DefaultParagraphFont"/>
    <w:link w:val="EndnoteText"/>
    <w:uiPriority w:val="99"/>
    <w:semiHidden/>
    <w:rsid w:val="00E92AB1"/>
    <w:rPr>
      <w:rFonts w:ascii="Arial" w:eastAsia="Times New Roman" w:hAnsi="Arial" w:cs="Times New Roman"/>
      <w:sz w:val="20"/>
    </w:rPr>
  </w:style>
  <w:style w:type="character" w:styleId="EndnoteReference">
    <w:name w:val="endnote reference"/>
    <w:basedOn w:val="DefaultParagraphFont"/>
    <w:uiPriority w:val="99"/>
    <w:semiHidden/>
    <w:unhideWhenUsed/>
    <w:rsid w:val="00E92AB1"/>
    <w:rPr>
      <w:vertAlign w:val="superscript"/>
    </w:rPr>
  </w:style>
  <w:style w:type="table" w:styleId="TableGrid">
    <w:name w:val="Table Grid"/>
    <w:basedOn w:val="TableNormal"/>
    <w:uiPriority w:val="39"/>
    <w:rsid w:val="00E94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sid w:val="00C142EB"/>
    <w:rPr>
      <w:color w:val="0000FF"/>
      <w:shd w:val="clear" w:color="auto" w:fill="auto"/>
    </w:rPr>
  </w:style>
  <w:style w:type="paragraph" w:customStyle="1" w:styleId="Pagedecouverture">
    <w:name w:val="Page de couverture"/>
    <w:basedOn w:val="Normal"/>
    <w:next w:val="Normal"/>
    <w:rsid w:val="00C142EB"/>
    <w:pPr>
      <w:spacing w:after="0"/>
      <w:jc w:val="both"/>
    </w:pPr>
    <w:rPr>
      <w:rFonts w:ascii="Times New Roman" w:eastAsiaTheme="minorHAnsi" w:hAnsi="Times New Roman"/>
      <w:sz w:val="24"/>
    </w:rPr>
  </w:style>
  <w:style w:type="paragraph" w:customStyle="1" w:styleId="FooterCoverPage">
    <w:name w:val="Footer Cover Page"/>
    <w:basedOn w:val="Normal"/>
    <w:link w:val="FooterCoverPageChar"/>
    <w:rsid w:val="00C142EB"/>
    <w:pPr>
      <w:tabs>
        <w:tab w:val="center" w:pos="4535"/>
        <w:tab w:val="right" w:pos="9071"/>
        <w:tab w:val="right" w:pos="9921"/>
      </w:tabs>
      <w:spacing w:before="360" w:after="0"/>
      <w:ind w:left="-850" w:right="-850"/>
    </w:pPr>
    <w:rPr>
      <w:rFonts w:ascii="Times New Roman" w:hAnsi="Times New Roman"/>
      <w:sz w:val="24"/>
    </w:rPr>
  </w:style>
  <w:style w:type="character" w:customStyle="1" w:styleId="FooterCoverPageChar">
    <w:name w:val="Footer Cover Page Char"/>
    <w:basedOn w:val="DefaultParagraphFont"/>
    <w:link w:val="FooterCoverPage"/>
    <w:rsid w:val="00C142EB"/>
    <w:rPr>
      <w:rFonts w:ascii="Times New Roman" w:eastAsia="Times New Roman" w:hAnsi="Times New Roman" w:cs="Times New Roman"/>
      <w:sz w:val="24"/>
    </w:rPr>
  </w:style>
  <w:style w:type="paragraph" w:customStyle="1" w:styleId="FooterSensitivity">
    <w:name w:val="Footer Sensitivity"/>
    <w:basedOn w:val="Normal"/>
    <w:link w:val="FooterSensitivityChar"/>
    <w:rsid w:val="00C142EB"/>
    <w:pPr>
      <w:pBdr>
        <w:top w:val="single" w:sz="4" w:space="1" w:color="auto"/>
        <w:left w:val="single" w:sz="4" w:space="4" w:color="auto"/>
        <w:bottom w:val="single" w:sz="4" w:space="1" w:color="auto"/>
        <w:right w:val="single" w:sz="4" w:space="4" w:color="auto"/>
      </w:pBdr>
      <w:spacing w:before="360" w:after="0"/>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sid w:val="00C142EB"/>
    <w:rPr>
      <w:rFonts w:ascii="Times New Roman" w:eastAsia="Times New Roman" w:hAnsi="Times New Roman" w:cs="Times New Roman"/>
      <w:b/>
      <w:sz w:val="32"/>
    </w:rPr>
  </w:style>
  <w:style w:type="paragraph" w:customStyle="1" w:styleId="HeaderCoverPage">
    <w:name w:val="Header Cover Page"/>
    <w:basedOn w:val="Normal"/>
    <w:link w:val="HeaderCoverPageChar"/>
    <w:rsid w:val="00C142EB"/>
    <w:pPr>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DefaultParagraphFont"/>
    <w:link w:val="HeaderCoverPage"/>
    <w:rsid w:val="00C142EB"/>
    <w:rPr>
      <w:rFonts w:ascii="Times New Roman" w:eastAsia="Times New Roman" w:hAnsi="Times New Roman" w:cs="Times New Roman"/>
      <w:sz w:val="24"/>
    </w:rPr>
  </w:style>
  <w:style w:type="paragraph" w:customStyle="1" w:styleId="HeaderSensitivity">
    <w:name w:val="Header Sensitivity"/>
    <w:basedOn w:val="Normal"/>
    <w:link w:val="HeaderSensitivityChar"/>
    <w:rsid w:val="00C142EB"/>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sid w:val="00C142EB"/>
    <w:rPr>
      <w:rFonts w:ascii="Times New Roman" w:eastAsia="Times New Roman" w:hAnsi="Times New Roman" w:cs="Times New Roman"/>
      <w:b/>
      <w:sz w:val="32"/>
    </w:rPr>
  </w:style>
  <w:style w:type="paragraph" w:customStyle="1" w:styleId="HeaderSensitivityRight">
    <w:name w:val="Header Sensitivity Right"/>
    <w:basedOn w:val="Normal"/>
    <w:link w:val="HeaderSensitivityRightChar"/>
    <w:rsid w:val="00C142EB"/>
    <w:pPr>
      <w:spacing w:after="120"/>
      <w:jc w:val="right"/>
    </w:pPr>
    <w:rPr>
      <w:rFonts w:ascii="Times New Roman" w:hAnsi="Times New Roman"/>
      <w:sz w:val="28"/>
    </w:rPr>
  </w:style>
  <w:style w:type="character" w:customStyle="1" w:styleId="HeaderSensitivityRightChar">
    <w:name w:val="Header Sensitivity Right Char"/>
    <w:basedOn w:val="DefaultParagraphFont"/>
    <w:link w:val="HeaderSensitivityRight"/>
    <w:rsid w:val="00C142EB"/>
    <w:rPr>
      <w:rFonts w:ascii="Times New Roman" w:eastAsia="Times New Roman" w:hAnsi="Times New Roman" w:cs="Times New Roman"/>
      <w:sz w:val="28"/>
    </w:rPr>
  </w:style>
  <w:style w:type="character" w:customStyle="1" w:styleId="Mention10">
    <w:name w:val="Mention1"/>
    <w:basedOn w:val="DefaultParagraphFont"/>
    <w:uiPriority w:val="99"/>
    <w:unhideWhenUsed/>
    <w:rsid w:val="002439D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853500">
      <w:bodyDiv w:val="1"/>
      <w:marLeft w:val="0"/>
      <w:marRight w:val="0"/>
      <w:marTop w:val="0"/>
      <w:marBottom w:val="0"/>
      <w:divBdr>
        <w:top w:val="none" w:sz="0" w:space="0" w:color="auto"/>
        <w:left w:val="none" w:sz="0" w:space="0" w:color="auto"/>
        <w:bottom w:val="none" w:sz="0" w:space="0" w:color="auto"/>
        <w:right w:val="none" w:sz="0" w:space="0" w:color="auto"/>
      </w:divBdr>
    </w:div>
    <w:div w:id="996424417">
      <w:bodyDiv w:val="1"/>
      <w:marLeft w:val="0"/>
      <w:marRight w:val="0"/>
      <w:marTop w:val="0"/>
      <w:marBottom w:val="0"/>
      <w:divBdr>
        <w:top w:val="none" w:sz="0" w:space="0" w:color="auto"/>
        <w:left w:val="none" w:sz="0" w:space="0" w:color="auto"/>
        <w:bottom w:val="none" w:sz="0" w:space="0" w:color="auto"/>
        <w:right w:val="none" w:sz="0" w:space="0" w:color="auto"/>
      </w:divBdr>
      <w:divsChild>
        <w:div w:id="1422411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image" Target="media/image1.emf"/><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1.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yperlink" Target="https://ec.europa.eu/commission/presscorner/detail/de/IP_22_2288"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customXml" Target="../customXml/item10.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eader" Target="header3.xml"/><Relationship Id="rId27" Type="http://schemas.openxmlformats.org/officeDocument/2006/relationships/footer" Target="footer4.xml"/><Relationship Id="rId30"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worth-partnership.ec.europa.eu/index_en" TargetMode="External"/><Relationship Id="rId13" Type="http://schemas.openxmlformats.org/officeDocument/2006/relationships/hyperlink" Target="https://clustercollaboration.eu/" TargetMode="External"/><Relationship Id="rId3" Type="http://schemas.openxmlformats.org/officeDocument/2006/relationships/hyperlink" Target="https://c.ramboll.com/local-support-new-european-bauhaus?utm_source=twitter&amp;utm_medium=social&amp;utm_campaign=twit1" TargetMode="External"/><Relationship Id="rId7" Type="http://schemas.openxmlformats.org/officeDocument/2006/relationships/hyperlink" Target="https://eit.europa.eu/news-events/news/multi-million-euro-partnership-culture-and-creativity-launched-eit-culture" TargetMode="External"/><Relationship Id="rId12" Type="http://schemas.openxmlformats.org/officeDocument/2006/relationships/hyperlink" Target="https://een.ec.europa.eu/" TargetMode="External"/><Relationship Id="rId17" Type="http://schemas.openxmlformats.org/officeDocument/2006/relationships/hyperlink" Target="https://innovative-teaching-award.ec.europa.eu/european-innovative-teaching-award-2022_en" TargetMode="External"/><Relationship Id="rId2" Type="http://schemas.openxmlformats.org/officeDocument/2006/relationships/hyperlink" Target="https://shape-affordablehousing.eu/" TargetMode="External"/><Relationship Id="rId16" Type="http://schemas.openxmlformats.org/officeDocument/2006/relationships/hyperlink" Target="https://europa.eu/youth/sites/default/files/european_solidarity_corps_guide_2022.pdf" TargetMode="External"/><Relationship Id="rId1" Type="http://schemas.openxmlformats.org/officeDocument/2006/relationships/hyperlink" Target="https://research-and-innovation.ec.europa.eu/funding/funding-opportunities/funding-programmes-and-open-calls/horizon-europe/eu-missions-horizon-europe/climate-neutral-and-smart-cities_en" TargetMode="External"/><Relationship Id="rId6" Type="http://schemas.openxmlformats.org/officeDocument/2006/relationships/hyperlink" Target="https://new-european-bauhaus.europa.eu/get-involved/2022-prizes_en" TargetMode="External"/><Relationship Id="rId11" Type="http://schemas.openxmlformats.org/officeDocument/2006/relationships/hyperlink" Target="https://www.intelligentcitieschallenge.eu/" TargetMode="External"/><Relationship Id="rId5" Type="http://schemas.openxmlformats.org/officeDocument/2006/relationships/hyperlink" Target="https://www.urban-initiative.eu/new-european-bauhaus-topic-first-call" TargetMode="External"/><Relationship Id="rId15" Type="http://schemas.openxmlformats.org/officeDocument/2006/relationships/hyperlink" Target="https://www.solidaritaetskorps.at/wp-content/uploads/2021/11/2022-annual-work-programme_esk.pdf" TargetMode="External"/><Relationship Id="rId10" Type="http://schemas.openxmlformats.org/officeDocument/2006/relationships/hyperlink" Target="https://ec.europa.eu/info/funding-tenders/opportunities/portal/screen/opportunities/projects-details/43252476/101074123/SMP" TargetMode="External"/><Relationship Id="rId4" Type="http://schemas.openxmlformats.org/officeDocument/2006/relationships/hyperlink" Target="https://ec.europa.eu/regional_policy/en/information/publications/communications/2022/new-european-bauhaus-territorial-development-model-neb-tdm-financial-instrument" TargetMode="External"/><Relationship Id="rId9" Type="http://schemas.openxmlformats.org/officeDocument/2006/relationships/hyperlink" Target="https://ec.europa.eu/info/funding-tenders/opportunities/portal/screen/opportunities/projects-details/43252476/101074116/SMP" TargetMode="External"/><Relationship Id="rId14" Type="http://schemas.openxmlformats.org/officeDocument/2006/relationships/hyperlink" Target="https://ec.europa.eu/commission/presscorner/detail/de/IP_21_46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p:properties xmlns:p="http://schemas.microsoft.com/office/2006/metadata/properties" xmlns:xsi="http://www.w3.org/2001/XMLSchema-instance" xmlns:pc="http://schemas.microsoft.com/office/infopath/2007/PartnerControls">
  <documentManagement>
    <TaxCatchAll xmlns="faa54b14-608b-44ba-8621-4287d9574b27" xsi:nil="true"/>
    <lcf76f155ced4ddcb4097134ff3c332f xmlns="33e07890-6196-4e26-9dd2-53178dae8e4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CFDF3D715AA394A9B15E0E0FAA07E37" ma:contentTypeVersion="15" ma:contentTypeDescription="Create a new document." ma:contentTypeScope="" ma:versionID="b2eac2bc73fab5b69e08420a57721e18">
  <xsd:schema xmlns:xsd="http://www.w3.org/2001/XMLSchema" xmlns:xs="http://www.w3.org/2001/XMLSchema" xmlns:p="http://schemas.microsoft.com/office/2006/metadata/properties" xmlns:ns2="33e07890-6196-4e26-9dd2-53178dae8e48" xmlns:ns3="faa54b14-608b-44ba-8621-4287d9574b27" targetNamespace="http://schemas.microsoft.com/office/2006/metadata/properties" ma:root="true" ma:fieldsID="a5135b4ce92fa579f24900cd725f3a0a" ns2:_="" ns3:_="">
    <xsd:import namespace="33e07890-6196-4e26-9dd2-53178dae8e48"/>
    <xsd:import namespace="faa54b14-608b-44ba-8621-4287d9574b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07890-6196-4e26-9dd2-53178dae8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a54b14-608b-44ba-8621-4287d9574b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3e5d92d-406f-4f68-bd7a-bf3cfdd8a2aa}" ma:internalName="TaxCatchAll" ma:showField="CatchAllData" ma:web="faa54b14-608b-44ba-8621-4287d9574b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ECFDF3D715AA394A9B15E0E0FAA07E37" ma:contentTypeVersion="15" ma:contentTypeDescription="Create a new document." ma:contentTypeScope="" ma:versionID="b2eac2bc73fab5b69e08420a57721e18">
  <xsd:schema xmlns:xsd="http://www.w3.org/2001/XMLSchema" xmlns:xs="http://www.w3.org/2001/XMLSchema" xmlns:p="http://schemas.microsoft.com/office/2006/metadata/properties" xmlns:ns2="33e07890-6196-4e26-9dd2-53178dae8e48" xmlns:ns3="faa54b14-608b-44ba-8621-4287d9574b27" targetNamespace="http://schemas.microsoft.com/office/2006/metadata/properties" ma:root="true" ma:fieldsID="a5135b4ce92fa579f24900cd725f3a0a" ns2:_="" ns3:_="">
    <xsd:import namespace="33e07890-6196-4e26-9dd2-53178dae8e48"/>
    <xsd:import namespace="faa54b14-608b-44ba-8621-4287d9574b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07890-6196-4e26-9dd2-53178dae8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a54b14-608b-44ba-8621-4287d9574b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3e5d92d-406f-4f68-bd7a-bf3cfdd8a2aa}" ma:internalName="TaxCatchAll" ma:showField="CatchAllData" ma:web="faa54b14-608b-44ba-8621-4287d9574b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TaxCatchAll xmlns="faa54b14-608b-44ba-8621-4287d9574b27" xsi:nil="true"/>
    <lcf76f155ced4ddcb4097134ff3c332f xmlns="33e07890-6196-4e26-9dd2-53178dae8e4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8.xml><?xml version="1.0" encoding="utf-8"?>
<ct:contentTypeSchema xmlns:ct="http://schemas.microsoft.com/office/2006/metadata/contentType" xmlns:ma="http://schemas.microsoft.com/office/2006/metadata/properties/metaAttributes" ct:_="" ma:_="" ma:contentTypeName="Document" ma:contentTypeID="0x010100ECFDF3D715AA394A9B15E0E0FAA07E37" ma:contentTypeVersion="15" ma:contentTypeDescription="Create a new document." ma:contentTypeScope="" ma:versionID="b2eac2bc73fab5b69e08420a57721e18">
  <xsd:schema xmlns:xsd="http://www.w3.org/2001/XMLSchema" xmlns:xs="http://www.w3.org/2001/XMLSchema" xmlns:p="http://schemas.microsoft.com/office/2006/metadata/properties" xmlns:ns2="33e07890-6196-4e26-9dd2-53178dae8e48" xmlns:ns3="faa54b14-608b-44ba-8621-4287d9574b27" targetNamespace="http://schemas.microsoft.com/office/2006/metadata/properties" ma:root="true" ma:fieldsID="a5135b4ce92fa579f24900cd725f3a0a" ns2:_="" ns3:_="">
    <xsd:import namespace="33e07890-6196-4e26-9dd2-53178dae8e48"/>
    <xsd:import namespace="faa54b14-608b-44ba-8621-4287d9574b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07890-6196-4e26-9dd2-53178dae8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a54b14-608b-44ba-8621-4287d9574b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3e5d92d-406f-4f68-bd7a-bf3cfdd8a2aa}" ma:internalName="TaxCatchAll" ma:showField="CatchAllData" ma:web="faa54b14-608b-44ba-8621-4287d9574b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p:properties xmlns:p="http://schemas.microsoft.com/office/2006/metadata/properties" xmlns:xsi="http://www.w3.org/2001/XMLSchema-instance" xmlns:pc="http://schemas.microsoft.com/office/infopath/2007/PartnerControls">
  <documentManagement>
    <TaxCatchAll xmlns="faa54b14-608b-44ba-8621-4287d9574b27" xsi:nil="true"/>
    <lcf76f155ced4ddcb4097134ff3c332f xmlns="33e07890-6196-4e26-9dd2-53178dae8e4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Props1.xml><?xml version="1.0" encoding="utf-8"?>
<ds:datastoreItem xmlns:ds="http://schemas.openxmlformats.org/officeDocument/2006/customXml" ds:itemID="{10735FCB-FF32-4570-9603-9AEB73E19DB0}">
  <ds:schemaRefs>
    <ds:schemaRef ds:uri="http://schemas.microsoft.com/sharepoint/v3/contenttype/forms"/>
  </ds:schemaRefs>
</ds:datastoreItem>
</file>

<file path=customXml/itemProps10.xml><?xml version="1.0" encoding="utf-8"?>
<ds:datastoreItem xmlns:ds="http://schemas.openxmlformats.org/officeDocument/2006/customXml" ds:itemID="{25878122-D472-4384-BC4D-33CEBDD5EC7B}">
  <ds:schemaRefs>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elements/1.1/"/>
    <ds:schemaRef ds:uri="http://purl.org/dc/terms/"/>
    <ds:schemaRef ds:uri="faa54b14-608b-44ba-8621-4287d9574b27"/>
    <ds:schemaRef ds:uri="http://schemas.openxmlformats.org/package/2006/metadata/core-properties"/>
    <ds:schemaRef ds:uri="33e07890-6196-4e26-9dd2-53178dae8e48"/>
    <ds:schemaRef ds:uri="http://purl.org/dc/dcmitype/"/>
  </ds:schemaRefs>
</ds:datastoreItem>
</file>

<file path=customXml/itemProps2.xml><?xml version="1.0" encoding="utf-8"?>
<ds:datastoreItem xmlns:ds="http://schemas.openxmlformats.org/officeDocument/2006/customXml" ds:itemID="{361A4D76-1C66-4C3C-9850-E7EFEDDB836A}">
  <ds:schemaRefs>
    <ds:schemaRef ds:uri="http://schemas.microsoft.com/sharepoint/v3/contenttype/forms"/>
  </ds:schemaRefs>
</ds:datastoreItem>
</file>

<file path=customXml/itemProps3.xml><?xml version="1.0" encoding="utf-8"?>
<ds:datastoreItem xmlns:ds="http://schemas.openxmlformats.org/officeDocument/2006/customXml" ds:itemID="{38DBEE28-7577-4CCF-8F32-73653BAD55F7}">
  <ds:schemaRefs>
    <ds:schemaRef ds:uri="http://schemas.microsoft.com/sharepoint/v3/contenttype/forms"/>
  </ds:schemaRefs>
</ds:datastoreItem>
</file>

<file path=customXml/itemProps4.xml><?xml version="1.0" encoding="utf-8"?>
<ds:datastoreItem xmlns:ds="http://schemas.openxmlformats.org/officeDocument/2006/customXml" ds:itemID="{D42C7098-CB71-421A-B007-7438F9104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07890-6196-4e26-9dd2-53178dae8e48"/>
    <ds:schemaRef ds:uri="faa54b14-608b-44ba-8621-4287d9574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862DD8-146A-48F6-A12D-3E990202613A}">
  <ds:schemaRefs>
    <ds:schemaRef ds:uri="http://schemas.openxmlformats.org/officeDocument/2006/bibliography"/>
  </ds:schemaRefs>
</ds:datastoreItem>
</file>

<file path=customXml/itemProps6.xml><?xml version="1.0" encoding="utf-8"?>
<ds:datastoreItem xmlns:ds="http://schemas.openxmlformats.org/officeDocument/2006/customXml" ds:itemID="{07397493-3557-4D49-9471-0FD44F65C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07890-6196-4e26-9dd2-53178dae8e48"/>
    <ds:schemaRef ds:uri="faa54b14-608b-44ba-8621-4287d9574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E759F44-E847-47C1-B316-BBA1ABA74659}">
  <ds:schemaRefs>
    <ds:schemaRef ds:uri="http://schemas.microsoft.com/office/infopath/2007/PartnerControls"/>
    <ds:schemaRef ds:uri="33e07890-6196-4e26-9dd2-53178dae8e48"/>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faa54b14-608b-44ba-8621-4287d9574b27"/>
    <ds:schemaRef ds:uri="http://www.w3.org/XML/1998/namespace"/>
    <ds:schemaRef ds:uri="http://purl.org/dc/dcmitype/"/>
  </ds:schemaRefs>
</ds:datastoreItem>
</file>

<file path=customXml/itemProps8.xml><?xml version="1.0" encoding="utf-8"?>
<ds:datastoreItem xmlns:ds="http://schemas.openxmlformats.org/officeDocument/2006/customXml" ds:itemID="{C0364909-CEB0-47FE-ACDE-5E8F6AC5B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07890-6196-4e26-9dd2-53178dae8e48"/>
    <ds:schemaRef ds:uri="faa54b14-608b-44ba-8621-4287d9574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9FBAF121-A2B3-4032-BA99-1C826F4034AE}">
  <ds:schemaRefs>
    <ds:schemaRef ds:uri="http://purl.org/dc/elements/1.1/"/>
    <ds:schemaRef ds:uri="http://schemas.microsoft.com/office/2006/metadata/properties"/>
    <ds:schemaRef ds:uri="http://schemas.microsoft.com/office/2006/documentManagement/types"/>
    <ds:schemaRef ds:uri="http://purl.org/dc/terms/"/>
    <ds:schemaRef ds:uri="33e07890-6196-4e26-9dd2-53178dae8e48"/>
    <ds:schemaRef ds:uri="http://purl.org/dc/dcmitype/"/>
    <ds:schemaRef ds:uri="http://schemas.microsoft.com/office/infopath/2007/PartnerControls"/>
    <ds:schemaRef ds:uri="http://schemas.openxmlformats.org/package/2006/metadata/core-properties"/>
    <ds:schemaRef ds:uri="faa54b14-608b-44ba-8621-4287d9574b2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16</Pages>
  <Words>4723</Words>
  <Characters>28717</Characters>
  <Application>Microsoft Office Word</Application>
  <DocSecurity>0</DocSecurity>
  <Lines>522</Lines>
  <Paragraphs>155</Paragraphs>
  <ScaleCrop>false</ScaleCrop>
  <HeadingPairs>
    <vt:vector size="2" baseType="variant">
      <vt:variant>
        <vt:lpstr>Title</vt:lpstr>
      </vt:variant>
      <vt:variant>
        <vt:i4>1</vt:i4>
      </vt:variant>
    </vt:vector>
  </HeadingPairs>
  <TitlesOfParts>
    <vt:vector size="1" baseType="lpstr">
      <vt:lpstr/>
    </vt:vector>
  </TitlesOfParts>
  <Company>XXXXXXX</Company>
  <LinksUpToDate>false</LinksUpToDate>
  <CharactersWithSpaces>33285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dc:creator>
  <cp:keywords/>
  <dc:description/>
  <cp:lastModifiedBy>VANROY Anne (SG)</cp:lastModifiedBy>
  <cp:revision>24</cp:revision>
  <dcterms:created xsi:type="dcterms:W3CDTF">2022-12-21T08:48:00Z</dcterms:created>
  <dcterms:modified xsi:type="dcterms:W3CDTF">2023-03-01T12:22:00Z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0x010100ECFDF3D715AA394A9B15E0E0FAA07E37</vt:lpwstr>
  </property>
  <property fmtid="{D5CDD505-2E9C-101B-9397-08002B2CF9AE}" pid="3" name="MSIP_Label_6bd9ddd1-4d20-43f6-abfa-fc3c07406f94_Enabled">
    <vt:lpwstr>true</vt:lpwstr>
  </property>
  <property fmtid="{D5CDD505-2E9C-101B-9397-08002B2CF9AE}" pid="4" name="MSIP_Label_6bd9ddd1-4d20-43f6-abfa-fc3c07406f94_SetDate">
    <vt:lpwstr>2022-10-26T08:46:23Z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7cb179a5-91e4-4d62-8f48-6c983af54baf</vt:lpwstr>
  </property>
  <property fmtid="{D5CDD505-2E9C-101B-9397-08002B2CF9AE}" pid="9" name="MSIP_Label_6bd9ddd1-4d20-43f6-abfa-fc3c07406f94_ContentBits">
    <vt:lpwstr>0</vt:lpwstr>
  </property>
  <property fmtid="{D5CDD505-2E9C-101B-9397-08002B2CF9AE}" pid="10" name="MediaServiceImageTags">
    <vt:lpwstr/>
  </property>
  <property fmtid="{D5CDD505-2E9C-101B-9397-08002B2CF9AE}" pid="11" name="Level of sensitivity">
    <vt:lpwstr>Standard treatment</vt:lpwstr>
  </property>
  <property fmtid="{D5CDD505-2E9C-101B-9397-08002B2CF9AE}" pid="12" name="First annex">
    <vt:lpwstr>1</vt:lpwstr>
  </property>
  <property fmtid="{D5CDD505-2E9C-101B-9397-08002B2CF9AE}" pid="13" name="Last annex">
    <vt:lpwstr>1</vt:lpwstr>
  </property>
  <property fmtid="{D5CDD505-2E9C-101B-9397-08002B2CF9AE}" pid="14" name="Unique annex">
    <vt:lpwstr>0</vt:lpwstr>
  </property>
  <property fmtid="{D5CDD505-2E9C-101B-9397-08002B2CF9AE}" pid="15" name="Part">
    <vt:lpwstr>1</vt:lpwstr>
  </property>
  <property fmtid="{D5CDD505-2E9C-101B-9397-08002B2CF9AE}" pid="16" name="Total parts">
    <vt:lpwstr>1</vt:lpwstr>
  </property>
  <property fmtid="{D5CDD505-2E9C-101B-9397-08002B2CF9AE}" pid="17" name="DocStatus">
    <vt:lpwstr>Green</vt:lpwstr>
  </property>
  <property fmtid="{D5CDD505-2E9C-101B-9397-08002B2CF9AE}" pid="18" name="CPTemplateID">
    <vt:lpwstr>CP-039</vt:lpwstr>
  </property>
  <property fmtid="{D5CDD505-2E9C-101B-9397-08002B2CF9AE}" pid="19" name="Last edited using">
    <vt:lpwstr>LW 8.1, Build 20230124</vt:lpwstr>
  </property>
  <property fmtid="{D5CDD505-2E9C-101B-9397-08002B2CF9AE}" pid="20" name="Created using">
    <vt:lpwstr>LW 8.0.1, Build 20220429</vt:lpwstr>
  </property>
</Properties>
</file>