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B2E" w:rsidRPr="00707C99" w:rsidRDefault="000A7691" w:rsidP="000A7691">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AB44398-FD27-44DE-8D2F-5C9252F38849" style="width:455.25pt;height:369.75pt">
            <v:imagedata r:id="rId8" o:title=""/>
          </v:shape>
        </w:pict>
      </w:r>
    </w:p>
    <w:p w:rsidR="009F6B2E" w:rsidRPr="00707C99" w:rsidRDefault="009F6B2E" w:rsidP="009F6B2E">
      <w:pPr>
        <w:rPr>
          <w:noProof/>
          <w:szCs w:val="24"/>
        </w:rPr>
        <w:sectPr w:rsidR="009F6B2E" w:rsidRPr="00707C99" w:rsidSect="000A7691">
          <w:footerReference w:type="default" r:id="rId9"/>
          <w:pgSz w:w="11907" w:h="16839"/>
          <w:pgMar w:top="1134" w:right="1417" w:bottom="1134" w:left="1417" w:header="709" w:footer="709" w:gutter="0"/>
          <w:pgNumType w:start="0"/>
          <w:cols w:space="720"/>
          <w:docGrid w:linePitch="360"/>
        </w:sectPr>
      </w:pPr>
    </w:p>
    <w:p w:rsidR="009F6B2E" w:rsidRPr="00707C99" w:rsidRDefault="009F6B2E" w:rsidP="00BB6B30">
      <w:pPr>
        <w:pStyle w:val="Exposdesmotifstitre"/>
        <w:rPr>
          <w:noProof/>
          <w:szCs w:val="24"/>
        </w:rPr>
      </w:pPr>
      <w:bookmarkStart w:id="0" w:name="_GoBack"/>
      <w:bookmarkEnd w:id="0"/>
      <w:r w:rsidRPr="00707C99">
        <w:rPr>
          <w:noProof/>
        </w:rPr>
        <w:lastRenderedPageBreak/>
        <w:t>RELAZIONE</w:t>
      </w:r>
    </w:p>
    <w:p w:rsidR="00DD619F" w:rsidRPr="00707C99" w:rsidRDefault="009F6B2E" w:rsidP="00DD619F">
      <w:pPr>
        <w:pStyle w:val="ManualHeading1"/>
        <w:ind w:left="0" w:firstLine="0"/>
        <w:rPr>
          <w:noProof/>
          <w:szCs w:val="24"/>
        </w:rPr>
      </w:pPr>
      <w:r w:rsidRPr="00707C99">
        <w:rPr>
          <w:noProof/>
        </w:rPr>
        <w:t>1.</w:t>
      </w:r>
      <w:r w:rsidRPr="00707C99">
        <w:rPr>
          <w:noProof/>
        </w:rPr>
        <w:tab/>
        <w:t>SCOPO</w:t>
      </w:r>
    </w:p>
    <w:p w:rsidR="00DD619F" w:rsidRPr="00707C99" w:rsidRDefault="00EB7381" w:rsidP="00DD619F">
      <w:pPr>
        <w:pBdr>
          <w:top w:val="nil"/>
          <w:left w:val="nil"/>
          <w:bottom w:val="nil"/>
          <w:right w:val="nil"/>
          <w:between w:val="nil"/>
          <w:bar w:val="nil"/>
        </w:pBdr>
        <w:spacing w:before="0" w:after="240"/>
        <w:rPr>
          <w:noProof/>
          <w:szCs w:val="24"/>
        </w:rPr>
      </w:pPr>
      <w:r w:rsidRPr="00707C99">
        <w:rPr>
          <w:noProof/>
        </w:rPr>
        <w:t>L</w:t>
      </w:r>
      <w:r w:rsidR="00BB6517" w:rsidRPr="00707C99">
        <w:rPr>
          <w:noProof/>
        </w:rPr>
        <w:t>'</w:t>
      </w:r>
      <w:r w:rsidRPr="00707C99">
        <w:rPr>
          <w:noProof/>
        </w:rPr>
        <w:t>UE dovrebbe avviare negoziati con gli Stati Uniti messicani allo scopo di firmare e concludere un accordo che consenta lo scambio di dati personali tra Europol e le autorità messicane competenti per la lotta contro le forme gravi di criminalità e il terrorismo.</w:t>
      </w:r>
    </w:p>
    <w:p w:rsidR="009F6B2E" w:rsidRPr="00707C99" w:rsidRDefault="00DD619F" w:rsidP="00BB6B30">
      <w:pPr>
        <w:pStyle w:val="ManualHeading1"/>
        <w:rPr>
          <w:noProof/>
          <w:szCs w:val="24"/>
        </w:rPr>
      </w:pPr>
      <w:r w:rsidRPr="00707C99">
        <w:rPr>
          <w:noProof/>
        </w:rPr>
        <w:t>2.</w:t>
      </w:r>
      <w:r w:rsidRPr="00707C99">
        <w:rPr>
          <w:noProof/>
        </w:rPr>
        <w:tab/>
        <w:t>CONTESTO DELLA RACCOMANDAZIONE</w:t>
      </w:r>
    </w:p>
    <w:p w:rsidR="009F6B2E" w:rsidRPr="00707C99" w:rsidRDefault="009F6B2E" w:rsidP="00DE533F">
      <w:pPr>
        <w:autoSpaceDE w:val="0"/>
        <w:autoSpaceDN w:val="0"/>
        <w:adjustRightInd w:val="0"/>
        <w:rPr>
          <w:noProof/>
          <w:szCs w:val="24"/>
        </w:rPr>
      </w:pPr>
      <w:r w:rsidRPr="00707C99">
        <w:rPr>
          <w:noProof/>
        </w:rPr>
        <w:t>In un mondo globalizzato in cui la criminalità grave e il terrorismo sono sempre più transnazionali e polivalenti, le autorità di contrasto dovrebbero essere pienamente attrezzate per cooperare con i partner esterni al fine di garantire la sicurezza dei loro cittadini. In linea con la strategia dell</w:t>
      </w:r>
      <w:r w:rsidR="00BB6517" w:rsidRPr="00707C99">
        <w:rPr>
          <w:noProof/>
        </w:rPr>
        <w:t>'</w:t>
      </w:r>
      <w:r w:rsidRPr="00707C99">
        <w:rPr>
          <w:noProof/>
        </w:rPr>
        <w:t>UE per l</w:t>
      </w:r>
      <w:r w:rsidR="00BB6517" w:rsidRPr="00707C99">
        <w:rPr>
          <w:noProof/>
        </w:rPr>
        <w:t>'</w:t>
      </w:r>
      <w:r w:rsidRPr="00707C99">
        <w:rPr>
          <w:noProof/>
        </w:rPr>
        <w:t>Unione della sicurezza</w:t>
      </w:r>
      <w:r w:rsidRPr="00707C99">
        <w:rPr>
          <w:rStyle w:val="FootnoteReference"/>
          <w:noProof/>
          <w:szCs w:val="24"/>
        </w:rPr>
        <w:footnoteReference w:id="1"/>
      </w:r>
      <w:r w:rsidRPr="00707C99">
        <w:rPr>
          <w:noProof/>
        </w:rPr>
        <w:t>, Europol può svolgere un ruolo chiave nell</w:t>
      </w:r>
      <w:r w:rsidR="00BB6517" w:rsidRPr="00707C99">
        <w:rPr>
          <w:noProof/>
        </w:rPr>
        <w:t>'</w:t>
      </w:r>
      <w:r w:rsidRPr="00707C99">
        <w:rPr>
          <w:noProof/>
        </w:rPr>
        <w:t>ampliare la cooperazione con i paesi terzi per contrastare la criminalità e il terrorismo, coerentemente con altre politiche e strumenti esterni dell</w:t>
      </w:r>
      <w:r w:rsidR="00BB6517" w:rsidRPr="00707C99">
        <w:rPr>
          <w:noProof/>
        </w:rPr>
        <w:t>'</w:t>
      </w:r>
      <w:r w:rsidRPr="00707C99">
        <w:rPr>
          <w:noProof/>
        </w:rPr>
        <w:t>UE. La strategia dell</w:t>
      </w:r>
      <w:r w:rsidR="00BB6517" w:rsidRPr="00707C99">
        <w:rPr>
          <w:noProof/>
        </w:rPr>
        <w:t>'</w:t>
      </w:r>
      <w:r w:rsidRPr="00707C99">
        <w:rPr>
          <w:noProof/>
        </w:rPr>
        <w:t>UE per la lotta alla criminalità organizzata dell</w:t>
      </w:r>
      <w:r w:rsidR="00BB6517" w:rsidRPr="00707C99">
        <w:rPr>
          <w:noProof/>
        </w:rPr>
        <w:t>'</w:t>
      </w:r>
      <w:r w:rsidRPr="00707C99">
        <w:rPr>
          <w:noProof/>
        </w:rPr>
        <w:t>aprile</w:t>
      </w:r>
      <w:r w:rsidR="00BB6517" w:rsidRPr="00707C99">
        <w:rPr>
          <w:noProof/>
        </w:rPr>
        <w:t> </w:t>
      </w:r>
      <w:r w:rsidRPr="00707C99">
        <w:rPr>
          <w:noProof/>
        </w:rPr>
        <w:t>2021 sottolinea l</w:t>
      </w:r>
      <w:r w:rsidR="00BB6517" w:rsidRPr="00707C99">
        <w:rPr>
          <w:noProof/>
        </w:rPr>
        <w:t>'</w:t>
      </w:r>
      <w:r w:rsidRPr="00707C99">
        <w:rPr>
          <w:noProof/>
        </w:rPr>
        <w:t>urgenza di sviluppare ulteriormente l</w:t>
      </w:r>
      <w:r w:rsidR="00BB6517" w:rsidRPr="00707C99">
        <w:rPr>
          <w:noProof/>
        </w:rPr>
        <w:t>'</w:t>
      </w:r>
      <w:r w:rsidRPr="00707C99">
        <w:rPr>
          <w:noProof/>
        </w:rPr>
        <w:t>intelligence di Europol sulla criminalità organizzata e sulle forme gravi di criminalità e di rafforzare lo scambio di informazioni e le indagini con paesi terzi e regioni (aggiuntivi) che costituiscono i principali centri per la criminalità organizzata ad alto rischio che interessa gli Stati membri dell</w:t>
      </w:r>
      <w:r w:rsidR="00BB6517" w:rsidRPr="00707C99">
        <w:rPr>
          <w:noProof/>
        </w:rPr>
        <w:t>'</w:t>
      </w:r>
      <w:r w:rsidRPr="00707C99">
        <w:rPr>
          <w:noProof/>
        </w:rPr>
        <w:t>UE</w:t>
      </w:r>
      <w:r w:rsidRPr="00707C99">
        <w:rPr>
          <w:rStyle w:val="FootnoteReference"/>
          <w:noProof/>
          <w:szCs w:val="24"/>
        </w:rPr>
        <w:footnoteReference w:id="2"/>
      </w:r>
      <w:r w:rsidRPr="00707C99">
        <w:rPr>
          <w:noProof/>
        </w:rPr>
        <w:t xml:space="preserve">. </w:t>
      </w:r>
    </w:p>
    <w:p w:rsidR="00B74235" w:rsidRPr="00707C99" w:rsidRDefault="00DB0B63" w:rsidP="00DB0B63">
      <w:pPr>
        <w:rPr>
          <w:noProof/>
          <w:szCs w:val="24"/>
        </w:rPr>
      </w:pPr>
      <w:r w:rsidRPr="00707C99">
        <w:rPr>
          <w:noProof/>
        </w:rPr>
        <w:t xml:space="preserve">Per Europol, la cooperazione con i paesi terzi e le organizzazioni internazionali è fondamentale per sostenere gli Stati membri nella lotta contro le forme gravi di criminalità e il terrorismo. La necessità di rafforzare la cooperazione con i paesi terzi risulta tanto più importante alla luce del documento di Europol </w:t>
      </w:r>
      <w:r w:rsidRPr="00707C99">
        <w:rPr>
          <w:i/>
          <w:iCs/>
          <w:noProof/>
        </w:rPr>
        <w:t>Serious and Organised Crime Threat Assessment</w:t>
      </w:r>
      <w:r w:rsidRPr="00707C99">
        <w:rPr>
          <w:noProof/>
        </w:rPr>
        <w:t xml:space="preserve"> (</w:t>
      </w:r>
      <w:r w:rsidR="00BB6517" w:rsidRPr="00707C99">
        <w:rPr>
          <w:noProof/>
        </w:rPr>
        <w:t>"</w:t>
      </w:r>
      <w:r w:rsidRPr="00707C99">
        <w:rPr>
          <w:noProof/>
        </w:rPr>
        <w:t>Valutazione della minaccia rappresentata dalla criminalità organizzata e dalle forme gravi di criminalità</w:t>
      </w:r>
      <w:r w:rsidR="00BB6517" w:rsidRPr="00707C99">
        <w:rPr>
          <w:noProof/>
        </w:rPr>
        <w:t>"</w:t>
      </w:r>
      <w:r w:rsidRPr="00707C99">
        <w:rPr>
          <w:noProof/>
        </w:rPr>
        <w:t>) del 2021. Secondo le principali conclusioni di questa valutazione della minaccia, ad esempio, per il traffico di stupefacenti le reti criminali dell</w:t>
      </w:r>
      <w:r w:rsidR="00BB6517" w:rsidRPr="00707C99">
        <w:rPr>
          <w:noProof/>
        </w:rPr>
        <w:t>'</w:t>
      </w:r>
      <w:r w:rsidRPr="00707C99">
        <w:rPr>
          <w:noProof/>
        </w:rPr>
        <w:t>America Latina continueranno a cooperare con i gruppi della criminalità organizzata con base nell</w:t>
      </w:r>
      <w:r w:rsidR="00BB6517" w:rsidRPr="00707C99">
        <w:rPr>
          <w:noProof/>
        </w:rPr>
        <w:t>'</w:t>
      </w:r>
      <w:r w:rsidRPr="00707C99">
        <w:rPr>
          <w:noProof/>
        </w:rPr>
        <w:t xml:space="preserve">Unione europea. </w:t>
      </w:r>
    </w:p>
    <w:p w:rsidR="00DB0B63" w:rsidRPr="00707C99" w:rsidRDefault="00DB0B63" w:rsidP="00DB0B63">
      <w:pPr>
        <w:rPr>
          <w:noProof/>
          <w:szCs w:val="24"/>
        </w:rPr>
      </w:pPr>
      <w:r w:rsidRPr="00707C99">
        <w:rPr>
          <w:noProof/>
        </w:rPr>
        <w:t>Nella misura in cui ciò sia necessario allo svolgimento dei suoi compiti, Europol può instaurare e mantenere relazioni di cooperazione con partner internazionali tramite accordi di lavoro e intese amministrative, che tuttavia non costituiscono di per sé una base giuridica per lo scambio di dati personali. Diversamente da un accordo internazionale, tali accordi sono conclusi da Europol e non vincolano l</w:t>
      </w:r>
      <w:r w:rsidR="00BB6517" w:rsidRPr="00707C99">
        <w:rPr>
          <w:noProof/>
        </w:rPr>
        <w:t>'</w:t>
      </w:r>
      <w:r w:rsidRPr="00707C99">
        <w:rPr>
          <w:noProof/>
        </w:rPr>
        <w:t>UE o i suoi Stati membri</w:t>
      </w:r>
      <w:r w:rsidRPr="00707C99">
        <w:rPr>
          <w:rStyle w:val="FootnoteReference"/>
          <w:noProof/>
          <w:szCs w:val="24"/>
        </w:rPr>
        <w:footnoteReference w:id="3"/>
      </w:r>
      <w:r w:rsidRPr="00707C99">
        <w:rPr>
          <w:noProof/>
        </w:rPr>
        <w:t>.</w:t>
      </w:r>
    </w:p>
    <w:p w:rsidR="00DB0B63" w:rsidRPr="00707C99" w:rsidRDefault="00DB0B63" w:rsidP="00DB0B63">
      <w:pPr>
        <w:rPr>
          <w:noProof/>
          <w:szCs w:val="24"/>
        </w:rPr>
      </w:pPr>
      <w:r w:rsidRPr="00707C99">
        <w:rPr>
          <w:noProof/>
        </w:rPr>
        <w:t>Il regolamento (UE) 2016/794 del Parlamento europeo e del Consiglio</w:t>
      </w:r>
      <w:r w:rsidR="00E91093" w:rsidRPr="00707C99">
        <w:rPr>
          <w:rStyle w:val="FootnoteReference"/>
          <w:noProof/>
          <w:szCs w:val="24"/>
        </w:rPr>
        <w:footnoteReference w:id="4"/>
      </w:r>
      <w:r w:rsidRPr="00707C99">
        <w:rPr>
          <w:noProof/>
        </w:rPr>
        <w:t xml:space="preserve"> dell</w:t>
      </w:r>
      <w:r w:rsidR="00BB6517" w:rsidRPr="00707C99">
        <w:rPr>
          <w:noProof/>
        </w:rPr>
        <w:t>'</w:t>
      </w:r>
      <w:r w:rsidRPr="00707C99">
        <w:rPr>
          <w:noProof/>
        </w:rPr>
        <w:t>11 maggio 2016 ha modificato il quadro giuridico per lo scambio di dati personali tra Europol e i paesi terzi. Dall</w:t>
      </w:r>
      <w:r w:rsidR="00BB6517" w:rsidRPr="00707C99">
        <w:rPr>
          <w:noProof/>
        </w:rPr>
        <w:t>'</w:t>
      </w:r>
      <w:r w:rsidRPr="00707C99">
        <w:rPr>
          <w:noProof/>
        </w:rPr>
        <w:t>entrata in vigore di tale regolamento, il 1º maggio 2017, la competenza a concludere accordi internazionali tra Europol e paesi terzi è stata trasferita all</w:t>
      </w:r>
      <w:r w:rsidR="00BB6517" w:rsidRPr="00707C99">
        <w:rPr>
          <w:noProof/>
        </w:rPr>
        <w:t>'</w:t>
      </w:r>
      <w:r w:rsidRPr="00707C99">
        <w:rPr>
          <w:noProof/>
        </w:rPr>
        <w:t>Unione ai sensi dell</w:t>
      </w:r>
      <w:r w:rsidR="00BB6517" w:rsidRPr="00707C99">
        <w:rPr>
          <w:noProof/>
        </w:rPr>
        <w:t>'</w:t>
      </w:r>
      <w:r w:rsidRPr="00707C99">
        <w:rPr>
          <w:noProof/>
        </w:rPr>
        <w:t>articolo 218 del trattato sul funzionamento dell</w:t>
      </w:r>
      <w:r w:rsidR="00BB6517" w:rsidRPr="00707C99">
        <w:rPr>
          <w:noProof/>
        </w:rPr>
        <w:t>'</w:t>
      </w:r>
      <w:r w:rsidRPr="00707C99">
        <w:rPr>
          <w:noProof/>
        </w:rPr>
        <w:t>Unione europea (TFUE)</w:t>
      </w:r>
      <w:r w:rsidRPr="00707C99">
        <w:rPr>
          <w:rStyle w:val="FootnoteReference"/>
          <w:noProof/>
          <w:szCs w:val="24"/>
        </w:rPr>
        <w:footnoteReference w:id="5"/>
      </w:r>
      <w:r w:rsidRPr="00707C99">
        <w:rPr>
          <w:noProof/>
        </w:rPr>
        <w:t>. A seguito di una proposta della Commissione, il Consiglio ha già adottato nove autorizzazioni a negoziare con paesi terzi</w:t>
      </w:r>
      <w:r w:rsidRPr="00707C99">
        <w:rPr>
          <w:rStyle w:val="FootnoteReference"/>
          <w:noProof/>
          <w:szCs w:val="24"/>
        </w:rPr>
        <w:footnoteReference w:id="6"/>
      </w:r>
      <w:r w:rsidRPr="00707C99">
        <w:rPr>
          <w:noProof/>
        </w:rPr>
        <w:t xml:space="preserve"> e un</w:t>
      </w:r>
      <w:r w:rsidR="00BB6517" w:rsidRPr="00707C99">
        <w:rPr>
          <w:noProof/>
        </w:rPr>
        <w:t>'</w:t>
      </w:r>
      <w:r w:rsidRPr="00707C99">
        <w:rPr>
          <w:noProof/>
        </w:rPr>
        <w:t>autorizzazione a negoziare un vasto accordo con Interpol che contempli anche lo scambio di dati personali con Europol</w:t>
      </w:r>
      <w:r w:rsidRPr="00707C99">
        <w:rPr>
          <w:rStyle w:val="FootnoteReference"/>
          <w:noProof/>
          <w:szCs w:val="24"/>
        </w:rPr>
        <w:footnoteReference w:id="7"/>
      </w:r>
      <w:r w:rsidRPr="00707C99">
        <w:rPr>
          <w:noProof/>
        </w:rPr>
        <w:t>. Il primo accordo è stato recentemente firmato con la Nuova Zelanda</w:t>
      </w:r>
      <w:r w:rsidRPr="00707C99">
        <w:rPr>
          <w:rStyle w:val="FootnoteReference"/>
          <w:noProof/>
          <w:szCs w:val="24"/>
        </w:rPr>
        <w:footnoteReference w:id="8"/>
      </w:r>
      <w:r w:rsidRPr="00707C99">
        <w:rPr>
          <w:noProof/>
        </w:rPr>
        <w:t>.</w:t>
      </w:r>
      <w:r w:rsidRPr="00707C99">
        <w:rPr>
          <w:rStyle w:val="FootnoteReference"/>
          <w:noProof/>
        </w:rPr>
        <w:t xml:space="preserve"> </w:t>
      </w:r>
    </w:p>
    <w:p w:rsidR="00CC5557" w:rsidRPr="00707C99" w:rsidRDefault="007E64A9" w:rsidP="00CC5557">
      <w:pPr>
        <w:rPr>
          <w:noProof/>
          <w:szCs w:val="24"/>
        </w:rPr>
      </w:pPr>
      <w:r w:rsidRPr="00707C99">
        <w:rPr>
          <w:noProof/>
        </w:rPr>
        <w:t>Pur riguardando specificamente i negoziati con il Messico, la presente raccomandazione dovrebbe essere considerata parte di un ampio impegno volto a rafforzare la cooperazione nell</w:t>
      </w:r>
      <w:r w:rsidR="00BB6517" w:rsidRPr="00707C99">
        <w:rPr>
          <w:noProof/>
        </w:rPr>
        <w:t>'</w:t>
      </w:r>
      <w:r w:rsidRPr="00707C99">
        <w:rPr>
          <w:noProof/>
        </w:rPr>
        <w:t>attività di contrasto tra l</w:t>
      </w:r>
      <w:r w:rsidR="00BB6517" w:rsidRPr="00707C99">
        <w:rPr>
          <w:noProof/>
        </w:rPr>
        <w:t>'</w:t>
      </w:r>
      <w:r w:rsidRPr="00707C99">
        <w:rPr>
          <w:noProof/>
        </w:rPr>
        <w:t>UE e i paesi dell</w:t>
      </w:r>
      <w:r w:rsidR="00BB6517" w:rsidRPr="00707C99">
        <w:rPr>
          <w:noProof/>
        </w:rPr>
        <w:t>'</w:t>
      </w:r>
      <w:r w:rsidRPr="00707C99">
        <w:rPr>
          <w:noProof/>
        </w:rPr>
        <w:t>America Latina interessati. A tale riguardo, la Commissione europea raccomanda parallelamente di avviare negoziati per accordi internazionali simili con la Bolivia, il Brasile, l</w:t>
      </w:r>
      <w:r w:rsidR="00BB6517" w:rsidRPr="00707C99">
        <w:rPr>
          <w:noProof/>
        </w:rPr>
        <w:t>'</w:t>
      </w:r>
      <w:r w:rsidRPr="00707C99">
        <w:rPr>
          <w:noProof/>
        </w:rPr>
        <w:t>Ecuador e il Perù, con il fine ultimo di rafforzare la lotta contro il terrorismo e le forme gravi di criminalità.</w:t>
      </w:r>
    </w:p>
    <w:p w:rsidR="00947B99" w:rsidRPr="00707C99" w:rsidRDefault="00DD619F" w:rsidP="000D736E">
      <w:pPr>
        <w:pStyle w:val="ManualHeading1"/>
        <w:rPr>
          <w:noProof/>
          <w:szCs w:val="24"/>
        </w:rPr>
      </w:pPr>
      <w:r w:rsidRPr="00707C99">
        <w:rPr>
          <w:noProof/>
        </w:rPr>
        <w:t>3.</w:t>
      </w:r>
      <w:r w:rsidRPr="00707C99">
        <w:rPr>
          <w:noProof/>
        </w:rPr>
        <w:tab/>
        <w:t>OBIETTIVI DELLA RACCOMANDAZIONE</w:t>
      </w:r>
    </w:p>
    <w:p w:rsidR="0037743B" w:rsidRPr="00707C99" w:rsidRDefault="0037743B" w:rsidP="0037743B">
      <w:pPr>
        <w:pStyle w:val="Bodytext10"/>
        <w:spacing w:after="100"/>
        <w:jc w:val="both"/>
        <w:rPr>
          <w:rFonts w:ascii="Times New Roman" w:hAnsi="Times New Roman" w:cs="Times New Roman"/>
          <w:noProof/>
          <w:sz w:val="24"/>
          <w:szCs w:val="24"/>
        </w:rPr>
      </w:pPr>
      <w:r w:rsidRPr="00707C99">
        <w:rPr>
          <w:rFonts w:ascii="Times New Roman" w:hAnsi="Times New Roman"/>
          <w:noProof/>
          <w:sz w:val="24"/>
        </w:rPr>
        <w:t>I gruppi della criminalità organizzata latino-americani rappresentano una grave minaccia per la sicurezza interna dell</w:t>
      </w:r>
      <w:r w:rsidR="00BB6517" w:rsidRPr="00707C99">
        <w:rPr>
          <w:rFonts w:ascii="Times New Roman" w:hAnsi="Times New Roman"/>
          <w:noProof/>
          <w:sz w:val="24"/>
        </w:rPr>
        <w:t>'</w:t>
      </w:r>
      <w:r w:rsidRPr="00707C99">
        <w:rPr>
          <w:rFonts w:ascii="Times New Roman" w:hAnsi="Times New Roman"/>
          <w:noProof/>
          <w:sz w:val="24"/>
        </w:rPr>
        <w:t>UE, poiché le loro azioni sono sempre più legate a una serie di reati all</w:t>
      </w:r>
      <w:r w:rsidR="00BB6517" w:rsidRPr="00707C99">
        <w:rPr>
          <w:rFonts w:ascii="Times New Roman" w:hAnsi="Times New Roman"/>
          <w:noProof/>
          <w:sz w:val="24"/>
        </w:rPr>
        <w:t>'</w:t>
      </w:r>
      <w:r w:rsidRPr="00707C99">
        <w:rPr>
          <w:rFonts w:ascii="Times New Roman" w:hAnsi="Times New Roman"/>
          <w:noProof/>
          <w:sz w:val="24"/>
        </w:rPr>
        <w:t>interno dell</w:t>
      </w:r>
      <w:r w:rsidR="00BB6517" w:rsidRPr="00707C99">
        <w:rPr>
          <w:rFonts w:ascii="Times New Roman" w:hAnsi="Times New Roman"/>
          <w:noProof/>
          <w:sz w:val="24"/>
        </w:rPr>
        <w:t>'</w:t>
      </w:r>
      <w:r w:rsidRPr="00707C99">
        <w:rPr>
          <w:rFonts w:ascii="Times New Roman" w:hAnsi="Times New Roman"/>
          <w:noProof/>
          <w:sz w:val="24"/>
        </w:rPr>
        <w:t>Unione, soprattutto nell</w:t>
      </w:r>
      <w:r w:rsidR="00BB6517" w:rsidRPr="00707C99">
        <w:rPr>
          <w:rFonts w:ascii="Times New Roman" w:hAnsi="Times New Roman"/>
          <w:noProof/>
          <w:sz w:val="24"/>
        </w:rPr>
        <w:t>'</w:t>
      </w:r>
      <w:r w:rsidRPr="00707C99">
        <w:rPr>
          <w:rFonts w:ascii="Times New Roman" w:hAnsi="Times New Roman"/>
          <w:noProof/>
          <w:sz w:val="24"/>
        </w:rPr>
        <w:t xml:space="preserve">ambito del traffico di stupefacenti. Il documento </w:t>
      </w:r>
      <w:r w:rsidRPr="00707C99">
        <w:rPr>
          <w:rFonts w:ascii="Times New Roman" w:hAnsi="Times New Roman"/>
          <w:i/>
          <w:iCs/>
          <w:noProof/>
          <w:sz w:val="24"/>
        </w:rPr>
        <w:t>EU Serious and Organised Crime Threat Assessment</w:t>
      </w:r>
      <w:r w:rsidRPr="00707C99">
        <w:rPr>
          <w:rFonts w:ascii="Times New Roman" w:hAnsi="Times New Roman"/>
          <w:noProof/>
          <w:sz w:val="24"/>
        </w:rPr>
        <w:t xml:space="preserve"> (SOCTA) del 2021 evidenzia il traffico, dall</w:t>
      </w:r>
      <w:r w:rsidR="00BB6517" w:rsidRPr="00707C99">
        <w:rPr>
          <w:rFonts w:ascii="Times New Roman" w:hAnsi="Times New Roman"/>
          <w:noProof/>
          <w:sz w:val="24"/>
        </w:rPr>
        <w:t>'</w:t>
      </w:r>
      <w:r w:rsidRPr="00707C99">
        <w:rPr>
          <w:rFonts w:ascii="Times New Roman" w:hAnsi="Times New Roman"/>
          <w:noProof/>
          <w:sz w:val="24"/>
        </w:rPr>
        <w:t>America Latina verso l</w:t>
      </w:r>
      <w:r w:rsidR="00BB6517" w:rsidRPr="00707C99">
        <w:rPr>
          <w:rFonts w:ascii="Times New Roman" w:hAnsi="Times New Roman"/>
          <w:noProof/>
          <w:sz w:val="24"/>
        </w:rPr>
        <w:t>'</w:t>
      </w:r>
      <w:r w:rsidRPr="00707C99">
        <w:rPr>
          <w:rFonts w:ascii="Times New Roman" w:hAnsi="Times New Roman"/>
          <w:noProof/>
          <w:sz w:val="24"/>
        </w:rPr>
        <w:t>UE, di quantità senza precedenti di droghe illegali, che genera profitti di diversi miliardi di euro utilizzati a loro volta per finanziare un</w:t>
      </w:r>
      <w:r w:rsidR="00BB6517" w:rsidRPr="00707C99">
        <w:rPr>
          <w:rFonts w:ascii="Times New Roman" w:hAnsi="Times New Roman"/>
          <w:noProof/>
          <w:sz w:val="24"/>
        </w:rPr>
        <w:t>'</w:t>
      </w:r>
      <w:r w:rsidRPr="00707C99">
        <w:rPr>
          <w:rFonts w:ascii="Times New Roman" w:hAnsi="Times New Roman"/>
          <w:noProof/>
          <w:sz w:val="24"/>
        </w:rPr>
        <w:t>ampia gamma di organizzazioni criminali (con sede internazionale o nell</w:t>
      </w:r>
      <w:r w:rsidR="00BB6517" w:rsidRPr="00707C99">
        <w:rPr>
          <w:rFonts w:ascii="Times New Roman" w:hAnsi="Times New Roman"/>
          <w:noProof/>
          <w:sz w:val="24"/>
        </w:rPr>
        <w:t>'</w:t>
      </w:r>
      <w:r w:rsidRPr="00707C99">
        <w:rPr>
          <w:rFonts w:ascii="Times New Roman" w:hAnsi="Times New Roman"/>
          <w:noProof/>
          <w:sz w:val="24"/>
        </w:rPr>
        <w:t>UE) e per indebolire lo Stato di diritto nell</w:t>
      </w:r>
      <w:r w:rsidR="00BB6517" w:rsidRPr="00707C99">
        <w:rPr>
          <w:rFonts w:ascii="Times New Roman" w:hAnsi="Times New Roman"/>
          <w:noProof/>
          <w:sz w:val="24"/>
        </w:rPr>
        <w:t>'</w:t>
      </w:r>
      <w:r w:rsidRPr="00707C99">
        <w:rPr>
          <w:rFonts w:ascii="Times New Roman" w:hAnsi="Times New Roman"/>
          <w:noProof/>
          <w:sz w:val="24"/>
        </w:rPr>
        <w:t>Unione</w:t>
      </w:r>
      <w:r w:rsidRPr="00707C99">
        <w:rPr>
          <w:rStyle w:val="FootnoteReference"/>
          <w:rFonts w:ascii="Times New Roman" w:hAnsi="Times New Roman" w:cs="Times New Roman"/>
          <w:noProof/>
          <w:sz w:val="24"/>
          <w:szCs w:val="24"/>
        </w:rPr>
        <w:footnoteReference w:id="9"/>
      </w:r>
      <w:r w:rsidRPr="00707C99">
        <w:rPr>
          <w:rFonts w:ascii="Times New Roman" w:hAnsi="Times New Roman"/>
          <w:noProof/>
          <w:sz w:val="24"/>
        </w:rPr>
        <w:t>.</w:t>
      </w:r>
    </w:p>
    <w:p w:rsidR="00182656" w:rsidRPr="00707C99" w:rsidRDefault="007704E0" w:rsidP="0037743B">
      <w:pPr>
        <w:pStyle w:val="Bodytext10"/>
        <w:spacing w:after="100"/>
        <w:jc w:val="both"/>
        <w:rPr>
          <w:rFonts w:ascii="Times New Roman" w:hAnsi="Times New Roman" w:cs="Times New Roman"/>
          <w:noProof/>
          <w:sz w:val="24"/>
          <w:szCs w:val="24"/>
        </w:rPr>
      </w:pPr>
      <w:r w:rsidRPr="00707C99">
        <w:rPr>
          <w:rFonts w:ascii="Times New Roman" w:hAnsi="Times New Roman"/>
          <w:noProof/>
          <w:sz w:val="24"/>
        </w:rPr>
        <w:t>Relazioni recenti confermano che la disponibilità di cocaina in Europa è ai massimi storici e che rispetto al passato la droga è più accessibile ai consumatori e a prezzi minori</w:t>
      </w:r>
      <w:r w:rsidRPr="00707C99">
        <w:rPr>
          <w:rStyle w:val="FootnoteReference"/>
          <w:rFonts w:ascii="Times New Roman" w:hAnsi="Times New Roman" w:cs="Times New Roman"/>
          <w:noProof/>
          <w:sz w:val="24"/>
          <w:szCs w:val="24"/>
        </w:rPr>
        <w:footnoteReference w:id="10"/>
      </w:r>
      <w:r w:rsidRPr="00707C99">
        <w:rPr>
          <w:rFonts w:ascii="Times New Roman" w:hAnsi="Times New Roman"/>
          <w:noProof/>
          <w:sz w:val="24"/>
        </w:rPr>
        <w:t>. La maggior parte del prodotto sequestrato nell</w:t>
      </w:r>
      <w:r w:rsidR="00BB6517" w:rsidRPr="00707C99">
        <w:rPr>
          <w:rFonts w:ascii="Times New Roman" w:hAnsi="Times New Roman"/>
          <w:noProof/>
          <w:sz w:val="24"/>
        </w:rPr>
        <w:t>'</w:t>
      </w:r>
      <w:r w:rsidRPr="00707C99">
        <w:rPr>
          <w:rFonts w:ascii="Times New Roman" w:hAnsi="Times New Roman"/>
          <w:noProof/>
          <w:sz w:val="24"/>
        </w:rPr>
        <w:t>UE è trasportato via mare, principalmente in container marittimi</w:t>
      </w:r>
      <w:r w:rsidRPr="00707C99">
        <w:rPr>
          <w:rStyle w:val="FootnoteReference"/>
          <w:rFonts w:ascii="Times New Roman" w:hAnsi="Times New Roman" w:cs="Times New Roman"/>
          <w:noProof/>
          <w:sz w:val="24"/>
          <w:szCs w:val="24"/>
        </w:rPr>
        <w:footnoteReference w:id="11"/>
      </w:r>
      <w:r w:rsidRPr="00707C99">
        <w:rPr>
          <w:rFonts w:ascii="Times New Roman" w:hAnsi="Times New Roman"/>
          <w:noProof/>
          <w:sz w:val="24"/>
        </w:rPr>
        <w:t>, e spedito nell</w:t>
      </w:r>
      <w:r w:rsidR="00BB6517" w:rsidRPr="00707C99">
        <w:rPr>
          <w:rFonts w:ascii="Times New Roman" w:hAnsi="Times New Roman"/>
          <w:noProof/>
          <w:sz w:val="24"/>
        </w:rPr>
        <w:t>'</w:t>
      </w:r>
      <w:r w:rsidRPr="00707C99">
        <w:rPr>
          <w:rFonts w:ascii="Times New Roman" w:hAnsi="Times New Roman"/>
          <w:noProof/>
          <w:sz w:val="24"/>
        </w:rPr>
        <w:t>Unione direttamente dai paesi di produzione, compresi gli Stati Uniti messicani, come pure dai paesi vicini di partenza in America Latina</w:t>
      </w:r>
      <w:r w:rsidRPr="00707C99">
        <w:rPr>
          <w:rStyle w:val="FootnoteReference"/>
          <w:rFonts w:ascii="Times New Roman" w:hAnsi="Times New Roman" w:cs="Times New Roman"/>
          <w:noProof/>
          <w:sz w:val="24"/>
          <w:szCs w:val="24"/>
        </w:rPr>
        <w:footnoteReference w:id="12"/>
      </w:r>
      <w:r w:rsidRPr="00707C99">
        <w:rPr>
          <w:rFonts w:ascii="Times New Roman" w:hAnsi="Times New Roman"/>
          <w:noProof/>
          <w:sz w:val="24"/>
        </w:rPr>
        <w:t>. Le organizzazioni della criminalità organizzata con base in America Latina sono solidamente insediate e sono attive anche in altre sfere di criminalità che rientrano nel mandato di Europol, come la criminalità informatica, il riciclaggio di denaro e la criminalità ambientale.</w:t>
      </w:r>
    </w:p>
    <w:p w:rsidR="00784099" w:rsidRPr="00707C99" w:rsidRDefault="008D1D32" w:rsidP="0037743B">
      <w:pPr>
        <w:pStyle w:val="Bodytext10"/>
        <w:spacing w:after="100"/>
        <w:jc w:val="both"/>
        <w:rPr>
          <w:rFonts w:ascii="Times New Roman" w:hAnsi="Times New Roman" w:cs="Times New Roman"/>
          <w:noProof/>
          <w:sz w:val="24"/>
          <w:szCs w:val="24"/>
        </w:rPr>
      </w:pPr>
      <w:r w:rsidRPr="00707C99">
        <w:rPr>
          <w:rFonts w:ascii="Times New Roman" w:hAnsi="Times New Roman"/>
          <w:noProof/>
          <w:sz w:val="24"/>
        </w:rPr>
        <w:t>I cartelli messicani, organizzazioni policriminali multinazionali, hanno intensificato la loro azione nell</w:t>
      </w:r>
      <w:r w:rsidR="00BB6517" w:rsidRPr="00707C99">
        <w:rPr>
          <w:rFonts w:ascii="Times New Roman" w:hAnsi="Times New Roman"/>
          <w:noProof/>
          <w:sz w:val="24"/>
        </w:rPr>
        <w:t>'</w:t>
      </w:r>
      <w:r w:rsidRPr="00707C99">
        <w:rPr>
          <w:rFonts w:ascii="Times New Roman" w:hAnsi="Times New Roman"/>
          <w:noProof/>
          <w:sz w:val="24"/>
        </w:rPr>
        <w:t>UE sviluppando un</w:t>
      </w:r>
      <w:r w:rsidR="00BB6517" w:rsidRPr="00707C99">
        <w:rPr>
          <w:rFonts w:ascii="Times New Roman" w:hAnsi="Times New Roman"/>
          <w:noProof/>
          <w:sz w:val="24"/>
        </w:rPr>
        <w:t>'</w:t>
      </w:r>
      <w:r w:rsidRPr="00707C99">
        <w:rPr>
          <w:rFonts w:ascii="Times New Roman" w:hAnsi="Times New Roman"/>
          <w:noProof/>
          <w:sz w:val="24"/>
        </w:rPr>
        <w:t xml:space="preserve">attività criminale su misura che si avvale di numerose strutture commerciali legali per favorire altri reati, come il traffico di droga (comprese le droghe sintetiche). Secondo la relazione di analisi del 2022 di Europol e della </w:t>
      </w:r>
      <w:r w:rsidRPr="00707C99">
        <w:rPr>
          <w:rFonts w:ascii="Times New Roman" w:hAnsi="Times New Roman"/>
          <w:i/>
          <w:iCs/>
          <w:noProof/>
          <w:sz w:val="24"/>
        </w:rPr>
        <w:t>Drug Enforcement Administration</w:t>
      </w:r>
      <w:r w:rsidRPr="00707C99">
        <w:rPr>
          <w:rFonts w:ascii="Times New Roman" w:hAnsi="Times New Roman"/>
          <w:noProof/>
          <w:sz w:val="24"/>
        </w:rPr>
        <w:t xml:space="preserve"> (DEA) statunitense, cartelli e reti criminali basati nell</w:t>
      </w:r>
      <w:r w:rsidR="00BB6517" w:rsidRPr="00707C99">
        <w:rPr>
          <w:rFonts w:ascii="Times New Roman" w:hAnsi="Times New Roman"/>
          <w:noProof/>
          <w:sz w:val="24"/>
        </w:rPr>
        <w:t>'</w:t>
      </w:r>
      <w:r w:rsidRPr="00707C99">
        <w:rPr>
          <w:rFonts w:ascii="Times New Roman" w:hAnsi="Times New Roman"/>
          <w:noProof/>
          <w:sz w:val="24"/>
        </w:rPr>
        <w:t>UE collaborano tra loro per il traffico di metamfetamina e cocaina dall</w:t>
      </w:r>
      <w:r w:rsidR="00BB6517" w:rsidRPr="00707C99">
        <w:rPr>
          <w:rFonts w:ascii="Times New Roman" w:hAnsi="Times New Roman"/>
          <w:noProof/>
          <w:sz w:val="24"/>
        </w:rPr>
        <w:t>'</w:t>
      </w:r>
      <w:r w:rsidRPr="00707C99">
        <w:rPr>
          <w:rFonts w:ascii="Times New Roman" w:hAnsi="Times New Roman"/>
          <w:noProof/>
          <w:sz w:val="24"/>
        </w:rPr>
        <w:t>America Latina verso l</w:t>
      </w:r>
      <w:r w:rsidR="00BB6517" w:rsidRPr="00707C99">
        <w:rPr>
          <w:rFonts w:ascii="Times New Roman" w:hAnsi="Times New Roman"/>
          <w:noProof/>
          <w:sz w:val="24"/>
        </w:rPr>
        <w:t>'</w:t>
      </w:r>
      <w:r w:rsidRPr="00707C99">
        <w:rPr>
          <w:rFonts w:ascii="Times New Roman" w:hAnsi="Times New Roman"/>
          <w:noProof/>
          <w:sz w:val="24"/>
        </w:rPr>
        <w:t>UE. Questa nuova forma di collaborazione criminale si estende anche alla produzione di tali sostanze illegali nel territorio di alcuni Stati membri dell</w:t>
      </w:r>
      <w:r w:rsidR="00BB6517" w:rsidRPr="00707C99">
        <w:rPr>
          <w:rFonts w:ascii="Times New Roman" w:hAnsi="Times New Roman"/>
          <w:noProof/>
          <w:sz w:val="24"/>
        </w:rPr>
        <w:t>'</w:t>
      </w:r>
      <w:r w:rsidRPr="00707C99">
        <w:rPr>
          <w:rFonts w:ascii="Times New Roman" w:hAnsi="Times New Roman"/>
          <w:noProof/>
          <w:sz w:val="24"/>
        </w:rPr>
        <w:t>UE</w:t>
      </w:r>
      <w:r w:rsidRPr="00707C99">
        <w:rPr>
          <w:rStyle w:val="FootnoteReference"/>
          <w:rFonts w:ascii="Times New Roman" w:hAnsi="Times New Roman" w:cs="Times New Roman"/>
          <w:noProof/>
          <w:sz w:val="24"/>
          <w:szCs w:val="24"/>
        </w:rPr>
        <w:footnoteReference w:id="13"/>
      </w:r>
      <w:r w:rsidRPr="00707C99">
        <w:rPr>
          <w:rFonts w:ascii="Times New Roman" w:hAnsi="Times New Roman"/>
          <w:noProof/>
          <w:sz w:val="24"/>
        </w:rPr>
        <w:t>.</w:t>
      </w:r>
    </w:p>
    <w:p w:rsidR="00794382" w:rsidRPr="00707C99" w:rsidRDefault="00784099" w:rsidP="0037743B">
      <w:pPr>
        <w:pStyle w:val="Bodytext10"/>
        <w:spacing w:after="100"/>
        <w:jc w:val="both"/>
        <w:rPr>
          <w:rFonts w:ascii="Times New Roman" w:hAnsi="Times New Roman" w:cs="Times New Roman"/>
          <w:noProof/>
          <w:sz w:val="24"/>
          <w:szCs w:val="24"/>
        </w:rPr>
      </w:pPr>
      <w:r w:rsidRPr="00707C99">
        <w:rPr>
          <w:rFonts w:ascii="Times New Roman" w:hAnsi="Times New Roman"/>
          <w:noProof/>
          <w:sz w:val="24"/>
        </w:rPr>
        <w:t>Ulteriori informazioni sulla partecipazione di criminali messicani alla produzione e al traffico di metamfetamina in Europa sono ottenute grazie ai sequestri di tali sostanze (molto probabilmente in transito verso mercati esterni all</w:t>
      </w:r>
      <w:r w:rsidR="00BB6517" w:rsidRPr="00707C99">
        <w:rPr>
          <w:rFonts w:ascii="Times New Roman" w:hAnsi="Times New Roman"/>
          <w:noProof/>
          <w:sz w:val="24"/>
        </w:rPr>
        <w:t>'</w:t>
      </w:r>
      <w:r w:rsidRPr="00707C99">
        <w:rPr>
          <w:rFonts w:ascii="Times New Roman" w:hAnsi="Times New Roman"/>
          <w:noProof/>
          <w:sz w:val="24"/>
        </w:rPr>
        <w:t>UE) nell</w:t>
      </w:r>
      <w:r w:rsidR="00BB6517" w:rsidRPr="00707C99">
        <w:rPr>
          <w:rFonts w:ascii="Times New Roman" w:hAnsi="Times New Roman"/>
          <w:noProof/>
          <w:sz w:val="24"/>
        </w:rPr>
        <w:t>'</w:t>
      </w:r>
      <w:r w:rsidRPr="00707C99">
        <w:rPr>
          <w:rFonts w:ascii="Times New Roman" w:hAnsi="Times New Roman"/>
          <w:noProof/>
          <w:sz w:val="24"/>
        </w:rPr>
        <w:t>Unione. Ad esempio, quantitativi di 1,6</w:t>
      </w:r>
      <w:r w:rsidR="00BB6517" w:rsidRPr="00707C99">
        <w:rPr>
          <w:rFonts w:ascii="Times New Roman" w:hAnsi="Times New Roman"/>
          <w:noProof/>
          <w:sz w:val="24"/>
        </w:rPr>
        <w:t> </w:t>
      </w:r>
      <w:r w:rsidRPr="00707C99">
        <w:rPr>
          <w:rFonts w:ascii="Times New Roman" w:hAnsi="Times New Roman"/>
          <w:noProof/>
          <w:sz w:val="24"/>
        </w:rPr>
        <w:t>tonnellate e 1,5</w:t>
      </w:r>
      <w:r w:rsidR="00BB6517" w:rsidRPr="00707C99">
        <w:rPr>
          <w:rFonts w:ascii="Times New Roman" w:hAnsi="Times New Roman"/>
          <w:noProof/>
          <w:sz w:val="24"/>
        </w:rPr>
        <w:t> </w:t>
      </w:r>
      <w:r w:rsidRPr="00707C99">
        <w:rPr>
          <w:rFonts w:ascii="Times New Roman" w:hAnsi="Times New Roman"/>
          <w:noProof/>
          <w:sz w:val="24"/>
        </w:rPr>
        <w:t>tonnellate di metamfetamina originaria del Messico sono stati sequestrati rispettivamente nel 2019 in Spagna e nel 2020 in Slovacchia</w:t>
      </w:r>
      <w:r w:rsidRPr="00707C99">
        <w:rPr>
          <w:rStyle w:val="FootnoteReference"/>
          <w:rFonts w:ascii="Times New Roman" w:hAnsi="Times New Roman" w:cs="Times New Roman"/>
          <w:noProof/>
          <w:sz w:val="24"/>
          <w:szCs w:val="24"/>
        </w:rPr>
        <w:footnoteReference w:id="14"/>
      </w:r>
      <w:r w:rsidRPr="00707C99">
        <w:rPr>
          <w:rFonts w:ascii="Times New Roman" w:hAnsi="Times New Roman"/>
          <w:noProof/>
          <w:sz w:val="24"/>
        </w:rPr>
        <w:t xml:space="preserve">. </w:t>
      </w:r>
    </w:p>
    <w:p w:rsidR="00794382" w:rsidRPr="00707C99" w:rsidRDefault="00182656" w:rsidP="0037743B">
      <w:pPr>
        <w:pStyle w:val="Bodytext10"/>
        <w:spacing w:after="100"/>
        <w:jc w:val="both"/>
        <w:rPr>
          <w:rFonts w:ascii="Times New Roman" w:hAnsi="Times New Roman" w:cs="Times New Roman"/>
          <w:noProof/>
          <w:sz w:val="24"/>
          <w:szCs w:val="24"/>
        </w:rPr>
      </w:pPr>
      <w:r w:rsidRPr="00707C99">
        <w:rPr>
          <w:rFonts w:ascii="Times New Roman" w:hAnsi="Times New Roman"/>
          <w:noProof/>
          <w:sz w:val="24"/>
        </w:rPr>
        <w:t>Nel documento di programmazione 2022-2024 Europol ha evidenziato che, fra le altre cose, la crescente domanda di droga e l</w:t>
      </w:r>
      <w:r w:rsidR="00BB6517" w:rsidRPr="00707C99">
        <w:rPr>
          <w:rFonts w:ascii="Times New Roman" w:hAnsi="Times New Roman"/>
          <w:noProof/>
          <w:sz w:val="24"/>
        </w:rPr>
        <w:t>'</w:t>
      </w:r>
      <w:r w:rsidRPr="00707C99">
        <w:rPr>
          <w:rFonts w:ascii="Times New Roman" w:hAnsi="Times New Roman"/>
          <w:noProof/>
          <w:sz w:val="24"/>
        </w:rPr>
        <w:t>aumento delle rotte del traffico di stupefacenti verso l</w:t>
      </w:r>
      <w:r w:rsidR="00BB6517" w:rsidRPr="00707C99">
        <w:rPr>
          <w:rFonts w:ascii="Times New Roman" w:hAnsi="Times New Roman"/>
          <w:noProof/>
          <w:sz w:val="24"/>
        </w:rPr>
        <w:t>'</w:t>
      </w:r>
      <w:r w:rsidRPr="00707C99">
        <w:rPr>
          <w:rFonts w:ascii="Times New Roman" w:hAnsi="Times New Roman"/>
          <w:noProof/>
          <w:sz w:val="24"/>
        </w:rPr>
        <w:t>UE giustificano la necessità di una cooperazione rafforzata con i paesi dell</w:t>
      </w:r>
      <w:r w:rsidR="00BB6517" w:rsidRPr="00707C99">
        <w:rPr>
          <w:rFonts w:ascii="Times New Roman" w:hAnsi="Times New Roman"/>
          <w:noProof/>
          <w:sz w:val="24"/>
        </w:rPr>
        <w:t>'</w:t>
      </w:r>
      <w:r w:rsidRPr="00707C99">
        <w:rPr>
          <w:rFonts w:ascii="Times New Roman" w:hAnsi="Times New Roman"/>
          <w:noProof/>
          <w:sz w:val="24"/>
        </w:rPr>
        <w:t>America Latina</w:t>
      </w:r>
      <w:r w:rsidRPr="00707C99">
        <w:rPr>
          <w:rStyle w:val="FootnoteReference"/>
          <w:rFonts w:ascii="Times New Roman" w:hAnsi="Times New Roman" w:cs="Times New Roman"/>
          <w:noProof/>
          <w:sz w:val="24"/>
          <w:szCs w:val="24"/>
        </w:rPr>
        <w:footnoteReference w:id="15"/>
      </w:r>
      <w:r w:rsidRPr="00707C99">
        <w:rPr>
          <w:rFonts w:ascii="Times New Roman" w:hAnsi="Times New Roman"/>
          <w:noProof/>
          <w:sz w:val="24"/>
        </w:rPr>
        <w:t>. Inoltre, essendo da lungo tempo in grado di procurarsi grandi quantitativi di cocaina direttamente dai produttori dell</w:t>
      </w:r>
      <w:r w:rsidR="00BB6517" w:rsidRPr="00707C99">
        <w:rPr>
          <w:rFonts w:ascii="Times New Roman" w:hAnsi="Times New Roman"/>
          <w:noProof/>
          <w:sz w:val="24"/>
        </w:rPr>
        <w:t>'</w:t>
      </w:r>
      <w:r w:rsidRPr="00707C99">
        <w:rPr>
          <w:rFonts w:ascii="Times New Roman" w:hAnsi="Times New Roman"/>
          <w:noProof/>
          <w:sz w:val="24"/>
        </w:rPr>
        <w:t>America Latina, le reti criminali messicane sono state segnalate come una minaccia per l</w:t>
      </w:r>
      <w:r w:rsidR="00BB6517" w:rsidRPr="00707C99">
        <w:rPr>
          <w:rFonts w:ascii="Times New Roman" w:hAnsi="Times New Roman"/>
          <w:noProof/>
          <w:sz w:val="24"/>
        </w:rPr>
        <w:t>'</w:t>
      </w:r>
      <w:r w:rsidRPr="00707C99">
        <w:rPr>
          <w:rFonts w:ascii="Times New Roman" w:hAnsi="Times New Roman"/>
          <w:noProof/>
          <w:sz w:val="24"/>
        </w:rPr>
        <w:t>Europa dall</w:t>
      </w:r>
      <w:r w:rsidR="00BB6517" w:rsidRPr="00707C99">
        <w:rPr>
          <w:rFonts w:ascii="Times New Roman" w:hAnsi="Times New Roman"/>
          <w:noProof/>
          <w:sz w:val="24"/>
        </w:rPr>
        <w:t>'</w:t>
      </w:r>
      <w:r w:rsidRPr="00707C99">
        <w:rPr>
          <w:rFonts w:ascii="Times New Roman" w:hAnsi="Times New Roman"/>
          <w:noProof/>
          <w:sz w:val="24"/>
        </w:rPr>
        <w:t>Osservatorio europeo delle droghe e delle tossicodipendenze (OEDT) e da Europol</w:t>
      </w:r>
      <w:r w:rsidRPr="00707C99">
        <w:rPr>
          <w:rStyle w:val="FootnoteReference"/>
          <w:rFonts w:ascii="Times New Roman" w:hAnsi="Times New Roman" w:cs="Times New Roman"/>
          <w:noProof/>
          <w:sz w:val="24"/>
          <w:szCs w:val="24"/>
        </w:rPr>
        <w:footnoteReference w:id="16"/>
      </w:r>
      <w:r w:rsidRPr="00707C99">
        <w:rPr>
          <w:rFonts w:ascii="Times New Roman" w:hAnsi="Times New Roman"/>
          <w:noProof/>
          <w:sz w:val="24"/>
        </w:rPr>
        <w:t>.</w:t>
      </w:r>
    </w:p>
    <w:p w:rsidR="00CE1712" w:rsidRPr="00707C99" w:rsidRDefault="008D1D32" w:rsidP="00A02AD9">
      <w:pPr>
        <w:pStyle w:val="Bodytext10"/>
        <w:spacing w:after="100"/>
        <w:jc w:val="both"/>
        <w:rPr>
          <w:rFonts w:ascii="Times New Roman" w:hAnsi="Times New Roman" w:cs="Times New Roman"/>
          <w:noProof/>
          <w:sz w:val="24"/>
          <w:szCs w:val="24"/>
        </w:rPr>
      </w:pPr>
      <w:r w:rsidRPr="00707C99">
        <w:rPr>
          <w:rFonts w:ascii="Times New Roman" w:hAnsi="Times New Roman"/>
          <w:noProof/>
          <w:sz w:val="24"/>
        </w:rPr>
        <w:t>Il Messico partecipa al meccanismo di coordinamento e cooperazione sulle droghe della Comunità degli Stati latinoamericani e caraibici (CELAC). Gli Stati Uniti messicani fanno inoltre parte della Comunità di polizia delle Americhe (Ameripol) e del Comitato latino-americano per la sicurezza interna (CLASI)</w:t>
      </w:r>
      <w:r w:rsidRPr="00707C99">
        <w:rPr>
          <w:rStyle w:val="FootnoteReference"/>
          <w:rFonts w:ascii="Times New Roman" w:hAnsi="Times New Roman" w:cs="Times New Roman"/>
          <w:noProof/>
          <w:sz w:val="24"/>
          <w:szCs w:val="24"/>
        </w:rPr>
        <w:footnoteReference w:id="17"/>
      </w:r>
      <w:r w:rsidRPr="00707C99">
        <w:rPr>
          <w:rFonts w:ascii="Times New Roman" w:hAnsi="Times New Roman"/>
          <w:noProof/>
          <w:sz w:val="24"/>
        </w:rPr>
        <w:t>, istituito nel 2022 e guidato dal programma di assistenza Europa-America Latina contro la criminalità organizzata transnazionale (El PAcCTO)</w:t>
      </w:r>
      <w:r w:rsidRPr="00707C99">
        <w:rPr>
          <w:rStyle w:val="FootnoteReference"/>
          <w:rFonts w:ascii="Times New Roman" w:hAnsi="Times New Roman" w:cs="Times New Roman"/>
          <w:noProof/>
          <w:sz w:val="24"/>
          <w:szCs w:val="24"/>
        </w:rPr>
        <w:footnoteReference w:id="18"/>
      </w:r>
      <w:r w:rsidRPr="00707C99">
        <w:rPr>
          <w:rFonts w:ascii="Times New Roman" w:hAnsi="Times New Roman"/>
          <w:noProof/>
          <w:sz w:val="24"/>
        </w:rPr>
        <w:t>. Il paese si è pertanto impegnato a contribuire a smantellare i gruppi della criminalità organizzata coinvolti nella produzione e nel traffico di droga. L</w:t>
      </w:r>
      <w:r w:rsidR="00BB6517" w:rsidRPr="00707C99">
        <w:rPr>
          <w:rFonts w:ascii="Times New Roman" w:hAnsi="Times New Roman"/>
          <w:noProof/>
          <w:sz w:val="24"/>
        </w:rPr>
        <w:t>'</w:t>
      </w:r>
      <w:r w:rsidRPr="00707C99">
        <w:rPr>
          <w:rFonts w:ascii="Times New Roman" w:hAnsi="Times New Roman"/>
          <w:noProof/>
          <w:sz w:val="24"/>
        </w:rPr>
        <w:t>OEDT ha difatti segnalato il Messico come partner internazionale fondamentale per ridurre l</w:t>
      </w:r>
      <w:r w:rsidR="00BB6517" w:rsidRPr="00707C99">
        <w:rPr>
          <w:rFonts w:ascii="Times New Roman" w:hAnsi="Times New Roman"/>
          <w:noProof/>
          <w:sz w:val="24"/>
        </w:rPr>
        <w:t>'</w:t>
      </w:r>
      <w:r w:rsidRPr="00707C99">
        <w:rPr>
          <w:rFonts w:ascii="Times New Roman" w:hAnsi="Times New Roman"/>
          <w:noProof/>
          <w:sz w:val="24"/>
        </w:rPr>
        <w:t>offerta globale di cocaina</w:t>
      </w:r>
      <w:r w:rsidRPr="00707C99">
        <w:rPr>
          <w:rStyle w:val="FootnoteReference"/>
          <w:rFonts w:ascii="Times New Roman" w:hAnsi="Times New Roman" w:cs="Times New Roman"/>
          <w:noProof/>
          <w:sz w:val="24"/>
          <w:szCs w:val="24"/>
        </w:rPr>
        <w:footnoteReference w:id="19"/>
      </w:r>
      <w:r w:rsidRPr="00707C99">
        <w:rPr>
          <w:rFonts w:ascii="Times New Roman" w:hAnsi="Times New Roman"/>
          <w:noProof/>
          <w:sz w:val="24"/>
        </w:rPr>
        <w:t>.</w:t>
      </w:r>
    </w:p>
    <w:p w:rsidR="00AF05A4" w:rsidRPr="00707C99" w:rsidRDefault="00582C25" w:rsidP="005D5914">
      <w:pPr>
        <w:pStyle w:val="Bodytext10"/>
        <w:spacing w:after="100"/>
        <w:jc w:val="both"/>
        <w:rPr>
          <w:rFonts w:ascii="Times New Roman" w:hAnsi="Times New Roman" w:cs="Times New Roman"/>
          <w:noProof/>
          <w:sz w:val="24"/>
          <w:szCs w:val="24"/>
        </w:rPr>
      </w:pPr>
      <w:r w:rsidRPr="00707C99">
        <w:rPr>
          <w:rFonts w:ascii="Times New Roman" w:hAnsi="Times New Roman"/>
          <w:noProof/>
          <w:sz w:val="24"/>
        </w:rPr>
        <w:t>Una maggiore cooperazione operativa e la condivisione di informazioni pertinenti tra Europol e gli Stati Uniti messicani sarebbero importanti per contrastare i reati gravi in molti settori di interesse comune, come il traffico di droga e la criminalità ambientale. Tuttavia, a causa della mancanza di una base giuridica valida ai sensi del diritto dell</w:t>
      </w:r>
      <w:r w:rsidR="00BB6517" w:rsidRPr="00707C99">
        <w:rPr>
          <w:rFonts w:ascii="Times New Roman" w:hAnsi="Times New Roman"/>
          <w:noProof/>
          <w:sz w:val="24"/>
        </w:rPr>
        <w:t>'</w:t>
      </w:r>
      <w:r w:rsidRPr="00707C99">
        <w:rPr>
          <w:rFonts w:ascii="Times New Roman" w:hAnsi="Times New Roman"/>
          <w:noProof/>
          <w:sz w:val="24"/>
        </w:rPr>
        <w:t>Unione, le autorità di contrasto messicane competenti per la lotta contro le forme gravi di criminalità e il terrorismo non possono ricevere dati personali da Europol. Ciò ostacola l</w:t>
      </w:r>
      <w:r w:rsidR="00BB6517" w:rsidRPr="00707C99">
        <w:rPr>
          <w:rFonts w:ascii="Times New Roman" w:hAnsi="Times New Roman"/>
          <w:noProof/>
          <w:sz w:val="24"/>
        </w:rPr>
        <w:t>'</w:t>
      </w:r>
      <w:r w:rsidRPr="00707C99">
        <w:rPr>
          <w:rFonts w:ascii="Times New Roman" w:hAnsi="Times New Roman"/>
          <w:noProof/>
          <w:sz w:val="24"/>
        </w:rPr>
        <w:t>ulteriore sviluppo della cooperazione tra le due parti.</w:t>
      </w:r>
    </w:p>
    <w:p w:rsidR="009F6B2E" w:rsidRPr="00707C99" w:rsidRDefault="00AF05A4" w:rsidP="009F6B2E">
      <w:pPr>
        <w:pStyle w:val="Bodytext10"/>
        <w:spacing w:after="100"/>
        <w:jc w:val="both"/>
        <w:rPr>
          <w:rFonts w:ascii="Times New Roman" w:hAnsi="Times New Roman" w:cs="Times New Roman"/>
          <w:noProof/>
          <w:sz w:val="24"/>
          <w:szCs w:val="24"/>
        </w:rPr>
      </w:pPr>
      <w:r w:rsidRPr="00707C99">
        <w:rPr>
          <w:rFonts w:ascii="Times New Roman" w:hAnsi="Times New Roman"/>
          <w:noProof/>
          <w:sz w:val="24"/>
        </w:rPr>
        <w:t>Per questi motivi, e tenendo conto della strategia politica dell</w:t>
      </w:r>
      <w:r w:rsidR="00BB6517" w:rsidRPr="00707C99">
        <w:rPr>
          <w:rFonts w:ascii="Times New Roman" w:hAnsi="Times New Roman"/>
          <w:noProof/>
          <w:sz w:val="24"/>
        </w:rPr>
        <w:t>'</w:t>
      </w:r>
      <w:r w:rsidRPr="00707C99">
        <w:rPr>
          <w:rFonts w:ascii="Times New Roman" w:hAnsi="Times New Roman"/>
          <w:noProof/>
          <w:sz w:val="24"/>
        </w:rPr>
        <w:t>UE delineata nella strategia dell</w:t>
      </w:r>
      <w:r w:rsidR="00BB6517" w:rsidRPr="00707C99">
        <w:rPr>
          <w:rFonts w:ascii="Times New Roman" w:hAnsi="Times New Roman"/>
          <w:noProof/>
          <w:sz w:val="24"/>
        </w:rPr>
        <w:t>'</w:t>
      </w:r>
      <w:r w:rsidRPr="00707C99">
        <w:rPr>
          <w:rFonts w:ascii="Times New Roman" w:hAnsi="Times New Roman"/>
          <w:noProof/>
          <w:sz w:val="24"/>
        </w:rPr>
        <w:t>UE per l</w:t>
      </w:r>
      <w:r w:rsidR="00BB6517" w:rsidRPr="00707C99">
        <w:rPr>
          <w:rFonts w:ascii="Times New Roman" w:hAnsi="Times New Roman"/>
          <w:noProof/>
          <w:sz w:val="24"/>
        </w:rPr>
        <w:t>'</w:t>
      </w:r>
      <w:r w:rsidRPr="00707C99">
        <w:rPr>
          <w:rFonts w:ascii="Times New Roman" w:hAnsi="Times New Roman"/>
          <w:noProof/>
          <w:sz w:val="24"/>
        </w:rPr>
        <w:t>Unione della sicurezza</w:t>
      </w:r>
      <w:r w:rsidRPr="00707C99">
        <w:rPr>
          <w:rStyle w:val="FootnoteReference"/>
          <w:rFonts w:ascii="Times New Roman" w:hAnsi="Times New Roman" w:cs="Times New Roman"/>
          <w:noProof/>
          <w:sz w:val="24"/>
          <w:szCs w:val="24"/>
        </w:rPr>
        <w:footnoteReference w:id="20"/>
      </w:r>
      <w:r w:rsidRPr="00707C99">
        <w:rPr>
          <w:rFonts w:ascii="Times New Roman" w:hAnsi="Times New Roman"/>
          <w:noProof/>
          <w:sz w:val="24"/>
        </w:rPr>
        <w:t>, nella strategia dell</w:t>
      </w:r>
      <w:r w:rsidR="00BB6517" w:rsidRPr="00707C99">
        <w:rPr>
          <w:rFonts w:ascii="Times New Roman" w:hAnsi="Times New Roman"/>
          <w:noProof/>
          <w:sz w:val="24"/>
        </w:rPr>
        <w:t>'</w:t>
      </w:r>
      <w:r w:rsidRPr="00707C99">
        <w:rPr>
          <w:rFonts w:ascii="Times New Roman" w:hAnsi="Times New Roman"/>
          <w:noProof/>
          <w:sz w:val="24"/>
        </w:rPr>
        <w:t>UE in materia di droghe per il periodo 2021-2025</w:t>
      </w:r>
      <w:r w:rsidRPr="00707C99">
        <w:rPr>
          <w:rStyle w:val="FootnoteReference"/>
          <w:rFonts w:ascii="Times New Roman" w:hAnsi="Times New Roman" w:cs="Times New Roman"/>
          <w:noProof/>
          <w:sz w:val="24"/>
          <w:szCs w:val="24"/>
        </w:rPr>
        <w:footnoteReference w:id="21"/>
      </w:r>
      <w:r w:rsidRPr="00707C99">
        <w:rPr>
          <w:rFonts w:ascii="Times New Roman" w:hAnsi="Times New Roman"/>
          <w:noProof/>
          <w:sz w:val="24"/>
        </w:rPr>
        <w:t xml:space="preserve"> e nel piano d</w:t>
      </w:r>
      <w:r w:rsidR="00BB6517" w:rsidRPr="00707C99">
        <w:rPr>
          <w:rFonts w:ascii="Times New Roman" w:hAnsi="Times New Roman"/>
          <w:noProof/>
          <w:sz w:val="24"/>
        </w:rPr>
        <w:t>'</w:t>
      </w:r>
      <w:r w:rsidRPr="00707C99">
        <w:rPr>
          <w:rFonts w:ascii="Times New Roman" w:hAnsi="Times New Roman"/>
          <w:noProof/>
          <w:sz w:val="24"/>
        </w:rPr>
        <w:t>azione dell</w:t>
      </w:r>
      <w:r w:rsidR="00BB6517" w:rsidRPr="00707C99">
        <w:rPr>
          <w:rFonts w:ascii="Times New Roman" w:hAnsi="Times New Roman"/>
          <w:noProof/>
          <w:sz w:val="24"/>
        </w:rPr>
        <w:t>'</w:t>
      </w:r>
      <w:r w:rsidRPr="00707C99">
        <w:rPr>
          <w:rFonts w:ascii="Times New Roman" w:hAnsi="Times New Roman"/>
          <w:noProof/>
          <w:sz w:val="24"/>
        </w:rPr>
        <w:t>UE in materia di droghe per il periodo 2021</w:t>
      </w:r>
      <w:r w:rsidR="00BB6517" w:rsidRPr="00707C99">
        <w:rPr>
          <w:rFonts w:ascii="Times New Roman" w:hAnsi="Times New Roman"/>
          <w:noProof/>
          <w:sz w:val="24"/>
        </w:rPr>
        <w:noBreakHyphen/>
      </w:r>
      <w:r w:rsidRPr="00707C99">
        <w:rPr>
          <w:rFonts w:ascii="Times New Roman" w:hAnsi="Times New Roman"/>
          <w:noProof/>
          <w:sz w:val="24"/>
        </w:rPr>
        <w:t>2025</w:t>
      </w:r>
      <w:r w:rsidRPr="00707C99">
        <w:rPr>
          <w:rStyle w:val="FootnoteReference"/>
          <w:rFonts w:ascii="Times New Roman" w:hAnsi="Times New Roman" w:cs="Times New Roman"/>
          <w:noProof/>
          <w:sz w:val="24"/>
          <w:szCs w:val="24"/>
        </w:rPr>
        <w:footnoteReference w:id="22"/>
      </w:r>
      <w:r w:rsidRPr="00707C99">
        <w:rPr>
          <w:rFonts w:ascii="Times New Roman" w:hAnsi="Times New Roman"/>
          <w:noProof/>
          <w:sz w:val="24"/>
        </w:rPr>
        <w:t>, la Commissione ritiene necessario inserire il Messico nell</w:t>
      </w:r>
      <w:r w:rsidR="00BB6517" w:rsidRPr="00707C99">
        <w:rPr>
          <w:rFonts w:ascii="Times New Roman" w:hAnsi="Times New Roman"/>
          <w:noProof/>
          <w:sz w:val="24"/>
        </w:rPr>
        <w:t>'</w:t>
      </w:r>
      <w:r w:rsidRPr="00707C99">
        <w:rPr>
          <w:rFonts w:ascii="Times New Roman" w:hAnsi="Times New Roman"/>
          <w:noProof/>
          <w:sz w:val="24"/>
        </w:rPr>
        <w:t>elenco dei paesi prioritari per avviare negoziati su un accordo che consenta lo scambio di dati personali tra Europol e le autorità messicane competenti a breve termine.</w:t>
      </w:r>
    </w:p>
    <w:p w:rsidR="009F6B2E" w:rsidRPr="00707C99" w:rsidRDefault="00DD619F" w:rsidP="00550536">
      <w:pPr>
        <w:pStyle w:val="ManualHeading1"/>
        <w:rPr>
          <w:noProof/>
          <w:szCs w:val="24"/>
        </w:rPr>
      </w:pPr>
      <w:r w:rsidRPr="00707C99">
        <w:rPr>
          <w:noProof/>
        </w:rPr>
        <w:t>4.</w:t>
      </w:r>
      <w:r w:rsidRPr="00707C99">
        <w:rPr>
          <w:noProof/>
        </w:rPr>
        <w:tab/>
        <w:t>ELEMENTI GIURIDICI</w:t>
      </w:r>
    </w:p>
    <w:p w:rsidR="00947B99" w:rsidRPr="00707C99" w:rsidRDefault="00947B99" w:rsidP="00BB6517">
      <w:pPr>
        <w:keepLines/>
        <w:autoSpaceDE w:val="0"/>
        <w:autoSpaceDN w:val="0"/>
        <w:adjustRightInd w:val="0"/>
        <w:spacing w:before="0" w:after="0"/>
        <w:rPr>
          <w:noProof/>
          <w:color w:val="000000"/>
          <w:szCs w:val="24"/>
        </w:rPr>
      </w:pPr>
      <w:r w:rsidRPr="00707C99">
        <w:rPr>
          <w:noProof/>
          <w:color w:val="000000"/>
        </w:rPr>
        <w:t>Il regolamento (UE) 2016/794 che istituisce l</w:t>
      </w:r>
      <w:r w:rsidR="00BB6517" w:rsidRPr="00707C99">
        <w:rPr>
          <w:noProof/>
          <w:color w:val="000000"/>
        </w:rPr>
        <w:t>'</w:t>
      </w:r>
      <w:r w:rsidRPr="00707C99">
        <w:rPr>
          <w:noProof/>
          <w:color w:val="000000"/>
        </w:rPr>
        <w:t>Agenzia dell</w:t>
      </w:r>
      <w:r w:rsidR="00BB6517" w:rsidRPr="00707C99">
        <w:rPr>
          <w:noProof/>
          <w:color w:val="000000"/>
        </w:rPr>
        <w:t>'</w:t>
      </w:r>
      <w:r w:rsidRPr="00707C99">
        <w:rPr>
          <w:noProof/>
          <w:color w:val="000000"/>
        </w:rPr>
        <w:t>Unione europea per la cooperazione nell</w:t>
      </w:r>
      <w:r w:rsidR="00BB6517" w:rsidRPr="00707C99">
        <w:rPr>
          <w:noProof/>
          <w:color w:val="000000"/>
        </w:rPr>
        <w:t>'</w:t>
      </w:r>
      <w:r w:rsidRPr="00707C99">
        <w:rPr>
          <w:noProof/>
          <w:color w:val="000000"/>
        </w:rPr>
        <w:t>attività di contrasto (Europol) stabilisce il quadro giuridico di Europol, in particolare gli obiettivi, i compiti, l</w:t>
      </w:r>
      <w:r w:rsidR="00BB6517" w:rsidRPr="00707C99">
        <w:rPr>
          <w:noProof/>
          <w:color w:val="000000"/>
        </w:rPr>
        <w:t>'</w:t>
      </w:r>
      <w:r w:rsidRPr="00707C99">
        <w:rPr>
          <w:noProof/>
          <w:color w:val="000000"/>
        </w:rPr>
        <w:t xml:space="preserve">ambito di competenze, le salvaguardie in materia di protezione dei dati e le modalità di cooperazione con i partner esterni. </w:t>
      </w:r>
    </w:p>
    <w:p w:rsidR="00947B99" w:rsidRPr="00707C99" w:rsidRDefault="00947B99" w:rsidP="00947B99">
      <w:pPr>
        <w:autoSpaceDE w:val="0"/>
        <w:autoSpaceDN w:val="0"/>
        <w:adjustRightInd w:val="0"/>
        <w:spacing w:before="0" w:after="0"/>
        <w:jc w:val="left"/>
        <w:rPr>
          <w:noProof/>
          <w:color w:val="000000"/>
          <w:szCs w:val="24"/>
        </w:rPr>
      </w:pPr>
    </w:p>
    <w:p w:rsidR="00947B99" w:rsidRPr="00707C99" w:rsidRDefault="00947B99" w:rsidP="00947B99">
      <w:pPr>
        <w:pBdr>
          <w:top w:val="nil"/>
          <w:left w:val="nil"/>
          <w:bottom w:val="nil"/>
          <w:right w:val="nil"/>
          <w:between w:val="nil"/>
          <w:bar w:val="nil"/>
        </w:pBdr>
        <w:spacing w:before="0" w:after="240"/>
        <w:rPr>
          <w:noProof/>
          <w:color w:val="000000"/>
          <w:szCs w:val="24"/>
        </w:rPr>
      </w:pPr>
      <w:r w:rsidRPr="00707C99">
        <w:rPr>
          <w:noProof/>
          <w:color w:val="000000"/>
        </w:rPr>
        <w:t>La presente raccomandazione è coerente con le disposizioni del regolamento Europol.</w:t>
      </w:r>
    </w:p>
    <w:p w:rsidR="00947B99" w:rsidRPr="00707C99" w:rsidRDefault="00947B99" w:rsidP="00947B99">
      <w:pPr>
        <w:pBdr>
          <w:top w:val="nil"/>
          <w:left w:val="nil"/>
          <w:bottom w:val="nil"/>
          <w:right w:val="nil"/>
          <w:between w:val="nil"/>
          <w:bar w:val="nil"/>
        </w:pBdr>
        <w:spacing w:before="0" w:after="240"/>
        <w:rPr>
          <w:noProof/>
          <w:color w:val="000000"/>
          <w:szCs w:val="24"/>
        </w:rPr>
      </w:pPr>
      <w:r w:rsidRPr="00707C99">
        <w:rPr>
          <w:noProof/>
          <w:color w:val="000000"/>
        </w:rPr>
        <w:t>L</w:t>
      </w:r>
      <w:r w:rsidR="00BB6517" w:rsidRPr="00707C99">
        <w:rPr>
          <w:noProof/>
          <w:color w:val="000000"/>
        </w:rPr>
        <w:t>'</w:t>
      </w:r>
      <w:r w:rsidRPr="00707C99">
        <w:rPr>
          <w:noProof/>
          <w:color w:val="000000"/>
        </w:rPr>
        <w:t>obiettivo della presente raccomandazione è ottenere dal Consiglio l</w:t>
      </w:r>
      <w:r w:rsidR="00BB6517" w:rsidRPr="00707C99">
        <w:rPr>
          <w:noProof/>
          <w:color w:val="000000"/>
        </w:rPr>
        <w:t>'</w:t>
      </w:r>
      <w:r w:rsidRPr="00707C99">
        <w:rPr>
          <w:noProof/>
          <w:color w:val="000000"/>
        </w:rPr>
        <w:t>autorizzazione per la Commissione a negoziare un accordo internazionale a nome dell</w:t>
      </w:r>
      <w:r w:rsidR="00BB6517" w:rsidRPr="00707C99">
        <w:rPr>
          <w:noProof/>
          <w:color w:val="000000"/>
        </w:rPr>
        <w:t>'</w:t>
      </w:r>
      <w:r w:rsidRPr="00707C99">
        <w:rPr>
          <w:noProof/>
          <w:color w:val="000000"/>
        </w:rPr>
        <w:t xml:space="preserve">UE. </w:t>
      </w:r>
      <w:r w:rsidRPr="00707C99">
        <w:rPr>
          <w:noProof/>
        </w:rPr>
        <w:t>La base giuridica che permette al Consiglio di autorizzare l</w:t>
      </w:r>
      <w:r w:rsidR="00BB6517" w:rsidRPr="00707C99">
        <w:rPr>
          <w:noProof/>
        </w:rPr>
        <w:t>'</w:t>
      </w:r>
      <w:r w:rsidRPr="00707C99">
        <w:rPr>
          <w:noProof/>
        </w:rPr>
        <w:t>avvio di negoziati è l</w:t>
      </w:r>
      <w:r w:rsidR="00BB6517" w:rsidRPr="00707C99">
        <w:rPr>
          <w:noProof/>
        </w:rPr>
        <w:t>'</w:t>
      </w:r>
      <w:r w:rsidRPr="00707C99">
        <w:rPr>
          <w:noProof/>
        </w:rPr>
        <w:t>articolo</w:t>
      </w:r>
      <w:r w:rsidR="00BB6517" w:rsidRPr="00707C99">
        <w:rPr>
          <w:noProof/>
        </w:rPr>
        <w:t> </w:t>
      </w:r>
      <w:r w:rsidRPr="00707C99">
        <w:rPr>
          <w:noProof/>
        </w:rPr>
        <w:t>218, paragrafi 3 e 4, TFUE.</w:t>
      </w:r>
    </w:p>
    <w:p w:rsidR="009F6B2E" w:rsidRPr="00707C99" w:rsidRDefault="0098281C" w:rsidP="000D736E">
      <w:pPr>
        <w:pBdr>
          <w:top w:val="nil"/>
          <w:left w:val="nil"/>
          <w:bottom w:val="nil"/>
          <w:right w:val="nil"/>
          <w:between w:val="nil"/>
          <w:bar w:val="nil"/>
        </w:pBdr>
        <w:spacing w:before="0" w:after="240"/>
        <w:rPr>
          <w:noProof/>
          <w:color w:val="000000"/>
          <w:szCs w:val="24"/>
        </w:rPr>
      </w:pPr>
      <w:r w:rsidRPr="00707C99">
        <w:rPr>
          <w:noProof/>
          <w:color w:val="000000"/>
        </w:rPr>
        <w:t>In linea con l</w:t>
      </w:r>
      <w:r w:rsidR="00BB6517" w:rsidRPr="00707C99">
        <w:rPr>
          <w:noProof/>
          <w:color w:val="000000"/>
        </w:rPr>
        <w:t>'</w:t>
      </w:r>
      <w:r w:rsidRPr="00707C99">
        <w:rPr>
          <w:noProof/>
          <w:color w:val="000000"/>
        </w:rPr>
        <w:t>articolo 218 TFUE, la Commissione è autorizzata a negoziare, a nome dell</w:t>
      </w:r>
      <w:r w:rsidR="00BB6517" w:rsidRPr="00707C99">
        <w:rPr>
          <w:noProof/>
          <w:color w:val="000000"/>
        </w:rPr>
        <w:t>'</w:t>
      </w:r>
      <w:r w:rsidRPr="00707C99">
        <w:rPr>
          <w:noProof/>
          <w:color w:val="000000"/>
        </w:rPr>
        <w:t>UE, un accordo con gli Stati Uniti messicani sullo scambio di dati personali tra Europol e le autorità messicane competenti per la lotta contro le forme gravi di criminalità e il terrorismo.</w:t>
      </w:r>
    </w:p>
    <w:p w:rsidR="009924FC" w:rsidRPr="00707C99" w:rsidRDefault="00CF2BB0" w:rsidP="00550536">
      <w:pPr>
        <w:pBdr>
          <w:top w:val="nil"/>
          <w:left w:val="nil"/>
          <w:bottom w:val="nil"/>
          <w:right w:val="nil"/>
          <w:between w:val="nil"/>
          <w:bar w:val="nil"/>
        </w:pBdr>
        <w:spacing w:before="0" w:after="240"/>
        <w:rPr>
          <w:noProof/>
          <w:color w:val="000000"/>
          <w:szCs w:val="24"/>
        </w:rPr>
      </w:pPr>
      <w:r w:rsidRPr="00707C99">
        <w:rPr>
          <w:noProof/>
          <w:color w:val="000000"/>
        </w:rPr>
        <w:t>L</w:t>
      </w:r>
      <w:r w:rsidR="00BB6517" w:rsidRPr="00707C99">
        <w:rPr>
          <w:noProof/>
          <w:color w:val="000000"/>
        </w:rPr>
        <w:t>'</w:t>
      </w:r>
      <w:r w:rsidRPr="00707C99">
        <w:rPr>
          <w:noProof/>
          <w:color w:val="000000"/>
        </w:rPr>
        <w:t>Unione ha già esercitato la sua competenza in questo settore e ha stabilito norme al riguardo, adottando un quadro che disciplina le attività di Europol, anche per quanto concerne il trattamento dei dati personali.</w:t>
      </w:r>
    </w:p>
    <w:p w:rsidR="00CF2BB0" w:rsidRPr="00707C99" w:rsidRDefault="00CF2BB0" w:rsidP="0045291B">
      <w:pPr>
        <w:pStyle w:val="ManualHeading1"/>
        <w:rPr>
          <w:rFonts w:eastAsia="Arial Unicode MS"/>
          <w:noProof/>
          <w:szCs w:val="24"/>
        </w:rPr>
      </w:pPr>
    </w:p>
    <w:p w:rsidR="009F6B2E" w:rsidRPr="00707C99" w:rsidRDefault="009F6B2E" w:rsidP="003C1863">
      <w:pPr>
        <w:pStyle w:val="ManualHeading1"/>
        <w:rPr>
          <w:rFonts w:eastAsia="Arial Unicode MS"/>
          <w:noProof/>
          <w:szCs w:val="24"/>
        </w:rPr>
      </w:pPr>
    </w:p>
    <w:p w:rsidR="006A4804" w:rsidRPr="00707C99" w:rsidRDefault="006A4804">
      <w:pPr>
        <w:spacing w:before="0" w:after="200" w:line="276" w:lineRule="auto"/>
        <w:jc w:val="left"/>
        <w:rPr>
          <w:noProof/>
          <w:szCs w:val="24"/>
        </w:rPr>
      </w:pPr>
      <w:r w:rsidRPr="00707C99">
        <w:rPr>
          <w:noProof/>
        </w:rPr>
        <w:br w:type="page"/>
      </w:r>
    </w:p>
    <w:p w:rsidR="009F6B2E" w:rsidRPr="00707C99" w:rsidRDefault="00C46480" w:rsidP="00C46480">
      <w:pPr>
        <w:pStyle w:val="Statut"/>
        <w:rPr>
          <w:noProof/>
        </w:rPr>
      </w:pPr>
      <w:r w:rsidRPr="00707C99">
        <w:rPr>
          <w:noProof/>
        </w:rPr>
        <w:t>Raccomandazione di</w:t>
      </w:r>
    </w:p>
    <w:p w:rsidR="009F6B2E" w:rsidRPr="00707C99" w:rsidRDefault="00C46480" w:rsidP="00C46480">
      <w:pPr>
        <w:pStyle w:val="Typedudocument"/>
        <w:rPr>
          <w:noProof/>
        </w:rPr>
      </w:pPr>
      <w:r w:rsidRPr="00707C99">
        <w:rPr>
          <w:noProof/>
        </w:rPr>
        <w:t>DECISIONE DEL CONSIGLIO</w:t>
      </w:r>
    </w:p>
    <w:p w:rsidR="009F6B2E" w:rsidRPr="00707C99" w:rsidRDefault="00C46480" w:rsidP="00C46480">
      <w:pPr>
        <w:pStyle w:val="Titreobjet"/>
        <w:rPr>
          <w:noProof/>
        </w:rPr>
      </w:pPr>
      <w:r w:rsidRPr="00707C99">
        <w:rPr>
          <w:noProof/>
        </w:rPr>
        <w:t>che autorizza l</w:t>
      </w:r>
      <w:r w:rsidR="00BB6517" w:rsidRPr="00707C99">
        <w:rPr>
          <w:noProof/>
        </w:rPr>
        <w:t>'</w:t>
      </w:r>
      <w:r w:rsidRPr="00707C99">
        <w:rPr>
          <w:noProof/>
        </w:rPr>
        <w:t>avvio di negoziati per un accordo tra l</w:t>
      </w:r>
      <w:r w:rsidR="00BB6517" w:rsidRPr="00707C99">
        <w:rPr>
          <w:noProof/>
        </w:rPr>
        <w:t>'</w:t>
      </w:r>
      <w:r w:rsidRPr="00707C99">
        <w:rPr>
          <w:noProof/>
        </w:rPr>
        <w:t>Unione europea e gli Stati Uniti messicani sullo scambio di dati personali tra l</w:t>
      </w:r>
      <w:r w:rsidR="00BB6517" w:rsidRPr="00707C99">
        <w:rPr>
          <w:noProof/>
        </w:rPr>
        <w:t>'</w:t>
      </w:r>
      <w:r w:rsidRPr="00707C99">
        <w:rPr>
          <w:noProof/>
        </w:rPr>
        <w:t>Agenzia dell</w:t>
      </w:r>
      <w:r w:rsidR="00BB6517" w:rsidRPr="00707C99">
        <w:rPr>
          <w:noProof/>
        </w:rPr>
        <w:t>'</w:t>
      </w:r>
      <w:r w:rsidRPr="00707C99">
        <w:rPr>
          <w:noProof/>
        </w:rPr>
        <w:t>Unione europea per la cooperazione nell</w:t>
      </w:r>
      <w:r w:rsidR="00BB6517" w:rsidRPr="00707C99">
        <w:rPr>
          <w:noProof/>
        </w:rPr>
        <w:t>'</w:t>
      </w:r>
      <w:r w:rsidRPr="00707C99">
        <w:rPr>
          <w:noProof/>
        </w:rPr>
        <w:t>attività di contrasto (Europol) e le autorità messicane competenti per la lotta contro le forme gravi di criminalità e il terrorismo</w:t>
      </w:r>
    </w:p>
    <w:p w:rsidR="009F6B2E" w:rsidRPr="00707C99" w:rsidRDefault="009F6B2E" w:rsidP="00750C38">
      <w:pPr>
        <w:pStyle w:val="Institutionquiagit"/>
        <w:rPr>
          <w:noProof/>
          <w:szCs w:val="24"/>
        </w:rPr>
      </w:pPr>
      <w:r w:rsidRPr="00707C99">
        <w:rPr>
          <w:noProof/>
        </w:rPr>
        <w:t>IL CONSIGLIO DELL</w:t>
      </w:r>
      <w:r w:rsidR="00BB6517" w:rsidRPr="00707C99">
        <w:rPr>
          <w:noProof/>
        </w:rPr>
        <w:t>'</w:t>
      </w:r>
      <w:r w:rsidRPr="00707C99">
        <w:rPr>
          <w:noProof/>
        </w:rPr>
        <w:t>UNIONE EUROPEA,</w:t>
      </w:r>
    </w:p>
    <w:p w:rsidR="00DF5F85" w:rsidRPr="00707C99" w:rsidRDefault="00DF5F85" w:rsidP="000B3CCE">
      <w:pPr>
        <w:rPr>
          <w:noProof/>
          <w:szCs w:val="24"/>
        </w:rPr>
      </w:pPr>
      <w:r w:rsidRPr="00707C99">
        <w:rPr>
          <w:rStyle w:val="Bodytext1"/>
          <w:noProof/>
        </w:rPr>
        <w:t>visto il trattato sul funzionamento dell</w:t>
      </w:r>
      <w:r w:rsidR="00BB6517" w:rsidRPr="00707C99">
        <w:rPr>
          <w:rStyle w:val="Bodytext1"/>
          <w:noProof/>
        </w:rPr>
        <w:t>'</w:t>
      </w:r>
      <w:r w:rsidRPr="00707C99">
        <w:rPr>
          <w:rStyle w:val="Bodytext1"/>
          <w:noProof/>
        </w:rPr>
        <w:t>Unione europea (TFUE), in particolare l</w:t>
      </w:r>
      <w:r w:rsidR="00BB6517" w:rsidRPr="00707C99">
        <w:rPr>
          <w:rStyle w:val="Bodytext1"/>
          <w:noProof/>
        </w:rPr>
        <w:t>'</w:t>
      </w:r>
      <w:r w:rsidRPr="00707C99">
        <w:rPr>
          <w:rStyle w:val="Bodytext1"/>
          <w:noProof/>
        </w:rPr>
        <w:t>articolo</w:t>
      </w:r>
      <w:r w:rsidR="00BB6517" w:rsidRPr="00707C99">
        <w:rPr>
          <w:rStyle w:val="Bodytext1"/>
          <w:noProof/>
        </w:rPr>
        <w:t> </w:t>
      </w:r>
      <w:r w:rsidRPr="00707C99">
        <w:rPr>
          <w:rStyle w:val="Bodytext1"/>
          <w:noProof/>
        </w:rPr>
        <w:t>218, paragrafi 3 e 4,</w:t>
      </w:r>
    </w:p>
    <w:p w:rsidR="00DF5F85" w:rsidRPr="00707C99" w:rsidRDefault="00DF5F85" w:rsidP="000B3CCE">
      <w:pPr>
        <w:rPr>
          <w:noProof/>
          <w:szCs w:val="24"/>
        </w:rPr>
      </w:pPr>
      <w:r w:rsidRPr="00707C99">
        <w:rPr>
          <w:rStyle w:val="Bodytext1"/>
          <w:noProof/>
        </w:rPr>
        <w:t>vista la raccomandazione della Commissione europea,</w:t>
      </w:r>
    </w:p>
    <w:p w:rsidR="00DF5F85" w:rsidRPr="00707C99" w:rsidRDefault="00DF5F85" w:rsidP="000B3CCE">
      <w:pPr>
        <w:rPr>
          <w:rStyle w:val="Bodytext1"/>
          <w:noProof/>
          <w:szCs w:val="24"/>
        </w:rPr>
      </w:pPr>
      <w:r w:rsidRPr="00707C99">
        <w:rPr>
          <w:rStyle w:val="Bodytext1"/>
          <w:noProof/>
        </w:rPr>
        <w:t>considerando quanto segue:</w:t>
      </w:r>
    </w:p>
    <w:p w:rsidR="00DF5F85" w:rsidRPr="00707C99" w:rsidRDefault="009C4AC6" w:rsidP="009C4AC6">
      <w:pPr>
        <w:pStyle w:val="Point0"/>
        <w:rPr>
          <w:noProof/>
          <w:szCs w:val="24"/>
        </w:rPr>
      </w:pPr>
      <w:r w:rsidRPr="009C4AC6">
        <w:t>(1)</w:t>
      </w:r>
      <w:r w:rsidRPr="009C4AC6">
        <w:tab/>
      </w:r>
      <w:r w:rsidR="00DF5F85" w:rsidRPr="00707C99">
        <w:rPr>
          <w:rStyle w:val="Bodytext1"/>
          <w:noProof/>
        </w:rPr>
        <w:t>Il regolamento (UE) 2016/794 del Parlamento europeo e del Consiglio</w:t>
      </w:r>
      <w:r w:rsidR="00E91093" w:rsidRPr="00707C99">
        <w:rPr>
          <w:rStyle w:val="FootnoteReference"/>
          <w:noProof/>
          <w:szCs w:val="24"/>
        </w:rPr>
        <w:footnoteReference w:id="23"/>
      </w:r>
      <w:r w:rsidR="00DF5F85" w:rsidRPr="00707C99">
        <w:rPr>
          <w:rStyle w:val="Bodytext1"/>
          <w:noProof/>
        </w:rPr>
        <w:t xml:space="preserve"> è stato adottato l</w:t>
      </w:r>
      <w:r w:rsidR="00BB6517" w:rsidRPr="00707C99">
        <w:rPr>
          <w:rStyle w:val="Bodytext1"/>
          <w:noProof/>
        </w:rPr>
        <w:t>'</w:t>
      </w:r>
      <w:r w:rsidR="00DF5F85" w:rsidRPr="00707C99">
        <w:rPr>
          <w:rStyle w:val="Bodytext1"/>
          <w:noProof/>
        </w:rPr>
        <w:t>11 maggio 2016 ed è applicabile dal 1° maggio 2017. È stato modificato dal regolamento (UE) 2022/991 del 27 giugno 2022</w:t>
      </w:r>
      <w:r w:rsidR="00DF5F85" w:rsidRPr="00707C99">
        <w:rPr>
          <w:rStyle w:val="FootnoteReference"/>
          <w:noProof/>
          <w:szCs w:val="24"/>
        </w:rPr>
        <w:footnoteReference w:id="24"/>
      </w:r>
      <w:r w:rsidR="00DF5F85" w:rsidRPr="00707C99">
        <w:rPr>
          <w:rStyle w:val="Bodytext1"/>
          <w:noProof/>
        </w:rPr>
        <w:t>.</w:t>
      </w:r>
    </w:p>
    <w:p w:rsidR="00DF5F85" w:rsidRPr="00707C99" w:rsidRDefault="009C4AC6" w:rsidP="009C4AC6">
      <w:pPr>
        <w:pStyle w:val="Point0"/>
        <w:rPr>
          <w:noProof/>
          <w:szCs w:val="24"/>
        </w:rPr>
      </w:pPr>
      <w:r w:rsidRPr="009C4AC6">
        <w:t>(2)</w:t>
      </w:r>
      <w:r w:rsidRPr="009C4AC6">
        <w:tab/>
      </w:r>
      <w:r w:rsidR="00DF5F85" w:rsidRPr="00707C99">
        <w:rPr>
          <w:rStyle w:val="Bodytext1"/>
          <w:noProof/>
        </w:rPr>
        <w:t>Le disposizioni del regolamento (UE) 2016/794, in particolare quelle concernenti il trasferimento dei dati personali dall</w:t>
      </w:r>
      <w:r w:rsidR="00BB6517" w:rsidRPr="00707C99">
        <w:rPr>
          <w:rStyle w:val="Bodytext1"/>
          <w:noProof/>
        </w:rPr>
        <w:t>'</w:t>
      </w:r>
      <w:r w:rsidR="00DF5F85" w:rsidRPr="00707C99">
        <w:rPr>
          <w:rStyle w:val="Bodytext1"/>
          <w:noProof/>
        </w:rPr>
        <w:t>Agenzia dell</w:t>
      </w:r>
      <w:r w:rsidR="00BB6517" w:rsidRPr="00707C99">
        <w:rPr>
          <w:rStyle w:val="Bodytext1"/>
          <w:noProof/>
        </w:rPr>
        <w:t>'</w:t>
      </w:r>
      <w:r w:rsidR="00DF5F85" w:rsidRPr="00707C99">
        <w:rPr>
          <w:rStyle w:val="Bodytext1"/>
          <w:noProof/>
        </w:rPr>
        <w:t>Unione europea per la cooperazione nell</w:t>
      </w:r>
      <w:r w:rsidR="00BB6517" w:rsidRPr="00707C99">
        <w:rPr>
          <w:rStyle w:val="Bodytext1"/>
          <w:noProof/>
        </w:rPr>
        <w:t>'</w:t>
      </w:r>
      <w:r w:rsidR="00DF5F85" w:rsidRPr="00707C99">
        <w:rPr>
          <w:rStyle w:val="Bodytext1"/>
          <w:noProof/>
        </w:rPr>
        <w:t>attività di contrasto (Europol) a paesi terzi e ad organizzazioni internazionali, prevedono che Europol possa trasferire i dati personali a un</w:t>
      </w:r>
      <w:r w:rsidR="00BB6517" w:rsidRPr="00707C99">
        <w:rPr>
          <w:rStyle w:val="Bodytext1"/>
          <w:noProof/>
        </w:rPr>
        <w:t>'</w:t>
      </w:r>
      <w:r w:rsidR="00DF5F85" w:rsidRPr="00707C99">
        <w:rPr>
          <w:rStyle w:val="Bodytext1"/>
          <w:noProof/>
        </w:rPr>
        <w:t>autorità di un paese terzo sulla base di un accordo internazionale concluso tra l</w:t>
      </w:r>
      <w:r w:rsidR="00BB6517" w:rsidRPr="00707C99">
        <w:rPr>
          <w:rStyle w:val="Bodytext1"/>
          <w:noProof/>
        </w:rPr>
        <w:t>'</w:t>
      </w:r>
      <w:r w:rsidR="00DF5F85" w:rsidRPr="00707C99">
        <w:rPr>
          <w:rStyle w:val="Bodytext1"/>
          <w:noProof/>
        </w:rPr>
        <w:t>Unione e tale paese terzo ai sensi dell</w:t>
      </w:r>
      <w:r w:rsidR="00BB6517" w:rsidRPr="00707C99">
        <w:rPr>
          <w:rStyle w:val="Bodytext1"/>
          <w:noProof/>
        </w:rPr>
        <w:t>'</w:t>
      </w:r>
      <w:r w:rsidR="00DF5F85" w:rsidRPr="00707C99">
        <w:rPr>
          <w:rStyle w:val="Bodytext1"/>
          <w:noProof/>
        </w:rPr>
        <w:t>articolo</w:t>
      </w:r>
      <w:r w:rsidR="00BB6517" w:rsidRPr="00707C99">
        <w:rPr>
          <w:rStyle w:val="Bodytext1"/>
          <w:noProof/>
        </w:rPr>
        <w:t> </w:t>
      </w:r>
      <w:r w:rsidR="00DF5F85" w:rsidRPr="00707C99">
        <w:rPr>
          <w:rStyle w:val="Bodytext1"/>
          <w:noProof/>
        </w:rPr>
        <w:t>218 TFUE, che presti garanzie sufficienti con riguardo alla tutela della vita privata e dei diritti e delle libertà fondamentali delle persone.</w:t>
      </w:r>
    </w:p>
    <w:p w:rsidR="00DF5F85" w:rsidRPr="00707C99" w:rsidRDefault="009C4AC6" w:rsidP="009C4AC6">
      <w:pPr>
        <w:pStyle w:val="Point0"/>
        <w:rPr>
          <w:noProof/>
          <w:szCs w:val="24"/>
        </w:rPr>
      </w:pPr>
      <w:r w:rsidRPr="009C4AC6">
        <w:t>(3)</w:t>
      </w:r>
      <w:r w:rsidRPr="009C4AC6">
        <w:tab/>
      </w:r>
      <w:r w:rsidR="00DF5F85" w:rsidRPr="00707C99">
        <w:rPr>
          <w:rStyle w:val="Bodytext1"/>
          <w:noProof/>
        </w:rPr>
        <w:t>È opportuno avviare negoziati in vista della conclusione di un accordo tra l</w:t>
      </w:r>
      <w:r w:rsidR="00BB6517" w:rsidRPr="00707C99">
        <w:rPr>
          <w:rStyle w:val="Bodytext1"/>
          <w:noProof/>
        </w:rPr>
        <w:t>'</w:t>
      </w:r>
      <w:r w:rsidR="00DF5F85" w:rsidRPr="00707C99">
        <w:rPr>
          <w:rStyle w:val="Bodytext1"/>
          <w:noProof/>
        </w:rPr>
        <w:t>Unione europea e gli Stati Uniti messicani sullo scambio di dati personali tra l</w:t>
      </w:r>
      <w:r w:rsidR="00BB6517" w:rsidRPr="00707C99">
        <w:rPr>
          <w:rStyle w:val="Bodytext1"/>
          <w:noProof/>
        </w:rPr>
        <w:t>'</w:t>
      </w:r>
      <w:r w:rsidR="00DF5F85" w:rsidRPr="00707C99">
        <w:rPr>
          <w:rStyle w:val="Bodytext1"/>
          <w:noProof/>
        </w:rPr>
        <w:t>Agenzia dell</w:t>
      </w:r>
      <w:r w:rsidR="00BB6517" w:rsidRPr="00707C99">
        <w:rPr>
          <w:rStyle w:val="Bodytext1"/>
          <w:noProof/>
        </w:rPr>
        <w:t>'</w:t>
      </w:r>
      <w:r w:rsidR="00DF5F85" w:rsidRPr="00707C99">
        <w:rPr>
          <w:rStyle w:val="Bodytext1"/>
          <w:noProof/>
        </w:rPr>
        <w:t>Unione europea per la cooperazione nell</w:t>
      </w:r>
      <w:r w:rsidR="00BB6517" w:rsidRPr="00707C99">
        <w:rPr>
          <w:rStyle w:val="Bodytext1"/>
          <w:noProof/>
        </w:rPr>
        <w:t>'</w:t>
      </w:r>
      <w:r w:rsidR="00DF5F85" w:rsidRPr="00707C99">
        <w:rPr>
          <w:rStyle w:val="Bodytext1"/>
          <w:noProof/>
        </w:rPr>
        <w:t>attività di contrasto (Europol) e le autorità messicane competenti per la lotta contro le forme gravi di criminalità e il terrorismo (</w:t>
      </w:r>
      <w:r w:rsidR="00BB6517" w:rsidRPr="00707C99">
        <w:rPr>
          <w:rStyle w:val="Bodytext1"/>
          <w:noProof/>
        </w:rPr>
        <w:t>"</w:t>
      </w:r>
      <w:r w:rsidR="00DF5F85" w:rsidRPr="00707C99">
        <w:rPr>
          <w:rStyle w:val="Bodytext1"/>
          <w:noProof/>
        </w:rPr>
        <w:t>l</w:t>
      </w:r>
      <w:r w:rsidR="00BB6517" w:rsidRPr="00707C99">
        <w:rPr>
          <w:rStyle w:val="Bodytext1"/>
          <w:noProof/>
        </w:rPr>
        <w:t>'</w:t>
      </w:r>
      <w:r w:rsidR="00DF5F85" w:rsidRPr="00707C99">
        <w:rPr>
          <w:rStyle w:val="Bodytext1"/>
          <w:noProof/>
        </w:rPr>
        <w:t>accordo</w:t>
      </w:r>
      <w:r w:rsidR="00BB6517" w:rsidRPr="00707C99">
        <w:rPr>
          <w:rStyle w:val="Bodytext1"/>
          <w:noProof/>
        </w:rPr>
        <w:t>"</w:t>
      </w:r>
      <w:r w:rsidR="00DF5F85" w:rsidRPr="00707C99">
        <w:rPr>
          <w:rStyle w:val="Bodytext1"/>
          <w:noProof/>
        </w:rPr>
        <w:t>).</w:t>
      </w:r>
    </w:p>
    <w:p w:rsidR="00DF5F85" w:rsidRPr="00707C99" w:rsidRDefault="009C4AC6" w:rsidP="009C4AC6">
      <w:pPr>
        <w:pStyle w:val="Point0"/>
        <w:rPr>
          <w:noProof/>
          <w:szCs w:val="24"/>
        </w:rPr>
      </w:pPr>
      <w:r w:rsidRPr="009C4AC6">
        <w:t>(4)</w:t>
      </w:r>
      <w:r w:rsidRPr="009C4AC6">
        <w:tab/>
      </w:r>
      <w:r w:rsidR="00DF5F85" w:rsidRPr="00707C99">
        <w:rPr>
          <w:rStyle w:val="Bodytext1"/>
          <w:noProof/>
        </w:rPr>
        <w:t>Come ricordato nel considerando</w:t>
      </w:r>
      <w:r w:rsidR="00BB6517" w:rsidRPr="00707C99">
        <w:rPr>
          <w:rStyle w:val="Bodytext1"/>
          <w:noProof/>
        </w:rPr>
        <w:t> </w:t>
      </w:r>
      <w:r w:rsidR="00DF5F85" w:rsidRPr="00707C99">
        <w:rPr>
          <w:rStyle w:val="Bodytext1"/>
          <w:noProof/>
        </w:rPr>
        <w:t>35 del regolamento (UE) 2016/794, la Commissione dovrebbe poter consultare il Garante europeo della protezione dei dati (GEPD) anche durante la negoziazione dell</w:t>
      </w:r>
      <w:r w:rsidR="00BB6517" w:rsidRPr="00707C99">
        <w:rPr>
          <w:rStyle w:val="Bodytext1"/>
          <w:noProof/>
        </w:rPr>
        <w:t>'</w:t>
      </w:r>
      <w:r w:rsidR="00DF5F85" w:rsidRPr="00707C99">
        <w:rPr>
          <w:rStyle w:val="Bodytext1"/>
          <w:noProof/>
        </w:rPr>
        <w:t>accordo e, in ogni caso, prima della conclusione dello stesso.</w:t>
      </w:r>
    </w:p>
    <w:p w:rsidR="00DF5F85" w:rsidRPr="00707C99" w:rsidRDefault="009C4AC6" w:rsidP="009C4AC6">
      <w:pPr>
        <w:pStyle w:val="Point0"/>
        <w:rPr>
          <w:noProof/>
          <w:szCs w:val="24"/>
        </w:rPr>
      </w:pPr>
      <w:r w:rsidRPr="009C4AC6">
        <w:t>(5)</w:t>
      </w:r>
      <w:r w:rsidRPr="009C4AC6">
        <w:tab/>
      </w:r>
      <w:r w:rsidR="00DF5F85" w:rsidRPr="00707C99">
        <w:rPr>
          <w:rStyle w:val="Bodytext1"/>
          <w:noProof/>
        </w:rPr>
        <w:t>L</w:t>
      </w:r>
      <w:r w:rsidR="00BB6517" w:rsidRPr="00707C99">
        <w:rPr>
          <w:rStyle w:val="Bodytext1"/>
          <w:noProof/>
        </w:rPr>
        <w:t>'</w:t>
      </w:r>
      <w:r w:rsidR="00DF5F85" w:rsidRPr="00707C99">
        <w:rPr>
          <w:rStyle w:val="Bodytext1"/>
          <w:noProof/>
        </w:rPr>
        <w:t>accordo dovrebbe rispettare i diritti fondamentali e osservare i principi riconosciuti dalla Carta dei diritti fondamentali dell</w:t>
      </w:r>
      <w:r w:rsidR="00BB6517" w:rsidRPr="00707C99">
        <w:rPr>
          <w:rStyle w:val="Bodytext1"/>
          <w:noProof/>
        </w:rPr>
        <w:t>'</w:t>
      </w:r>
      <w:r w:rsidR="00DF5F85" w:rsidRPr="00707C99">
        <w:rPr>
          <w:rStyle w:val="Bodytext1"/>
          <w:noProof/>
        </w:rPr>
        <w:t>Unione europea, segnatamente il diritto al rispetto della vita privata e della vita familiare di cui all</w:t>
      </w:r>
      <w:r w:rsidR="00BB6517" w:rsidRPr="00707C99">
        <w:rPr>
          <w:rStyle w:val="Bodytext1"/>
          <w:noProof/>
        </w:rPr>
        <w:t>'</w:t>
      </w:r>
      <w:r w:rsidR="00DF5F85" w:rsidRPr="00707C99">
        <w:rPr>
          <w:rStyle w:val="Bodytext1"/>
          <w:noProof/>
        </w:rPr>
        <w:t>articolo 7, il diritto alla protezione dei dati di carattere personale di cui all</w:t>
      </w:r>
      <w:r w:rsidR="00BB6517" w:rsidRPr="00707C99">
        <w:rPr>
          <w:rStyle w:val="Bodytext1"/>
          <w:noProof/>
        </w:rPr>
        <w:t>'</w:t>
      </w:r>
      <w:r w:rsidR="00DF5F85" w:rsidRPr="00707C99">
        <w:rPr>
          <w:rStyle w:val="Bodytext1"/>
          <w:noProof/>
        </w:rPr>
        <w:t>articolo 8 e il diritto a un ricorso effettivo e a un giudice imparziale di cui all</w:t>
      </w:r>
      <w:r w:rsidR="00BB6517" w:rsidRPr="00707C99">
        <w:rPr>
          <w:rStyle w:val="Bodytext1"/>
          <w:noProof/>
        </w:rPr>
        <w:t>'</w:t>
      </w:r>
      <w:r w:rsidR="00DF5F85" w:rsidRPr="00707C99">
        <w:rPr>
          <w:rStyle w:val="Bodytext1"/>
          <w:noProof/>
        </w:rPr>
        <w:t>articolo 47. È opportuno che l</w:t>
      </w:r>
      <w:r w:rsidR="00BB6517" w:rsidRPr="00707C99">
        <w:rPr>
          <w:rStyle w:val="Bodytext1"/>
          <w:noProof/>
        </w:rPr>
        <w:t>'</w:t>
      </w:r>
      <w:r w:rsidR="00DF5F85" w:rsidRPr="00707C99">
        <w:rPr>
          <w:rStyle w:val="Bodytext1"/>
          <w:noProof/>
        </w:rPr>
        <w:t>accordo sia applicato in conformità di tali diritti e principi.</w:t>
      </w:r>
    </w:p>
    <w:p w:rsidR="00DF5F85" w:rsidRPr="00707C99" w:rsidRDefault="009C4AC6" w:rsidP="009C4AC6">
      <w:pPr>
        <w:pStyle w:val="Point0"/>
        <w:rPr>
          <w:rStyle w:val="Bodytext1"/>
          <w:noProof/>
          <w:szCs w:val="24"/>
        </w:rPr>
      </w:pPr>
      <w:r w:rsidRPr="009C4AC6">
        <w:rPr>
          <w:rStyle w:val="Bodytext1"/>
        </w:rPr>
        <w:t>(6)</w:t>
      </w:r>
      <w:r w:rsidRPr="009C4AC6">
        <w:rPr>
          <w:rStyle w:val="Bodytext1"/>
        </w:rPr>
        <w:tab/>
      </w:r>
      <w:r w:rsidR="00DF5F85" w:rsidRPr="00707C99">
        <w:rPr>
          <w:rStyle w:val="Bodytext1"/>
          <w:noProof/>
        </w:rPr>
        <w:t>L</w:t>
      </w:r>
      <w:r w:rsidR="00BB6517" w:rsidRPr="00707C99">
        <w:rPr>
          <w:rStyle w:val="Bodytext1"/>
          <w:noProof/>
        </w:rPr>
        <w:t>'</w:t>
      </w:r>
      <w:r w:rsidR="00DF5F85" w:rsidRPr="00707C99">
        <w:rPr>
          <w:rStyle w:val="Bodytext1"/>
          <w:noProof/>
        </w:rPr>
        <w:t>accordo non dovrebbe interessare né pregiudicare il trasferimento di dati personali o altre forme di cooperazione tra le autorità responsabili della salvaguardia della sicurezza nazionale,</w:t>
      </w:r>
    </w:p>
    <w:p w:rsidR="00DF5F85" w:rsidRPr="00707C99" w:rsidRDefault="00DF5F85" w:rsidP="003C1863">
      <w:pPr>
        <w:pStyle w:val="Bodytext10"/>
        <w:spacing w:after="100"/>
        <w:jc w:val="both"/>
        <w:rPr>
          <w:rFonts w:ascii="Times New Roman" w:hAnsi="Times New Roman" w:cs="Times New Roman"/>
          <w:noProof/>
          <w:sz w:val="24"/>
          <w:szCs w:val="24"/>
        </w:rPr>
      </w:pPr>
    </w:p>
    <w:p w:rsidR="009F6B2E" w:rsidRPr="00707C99" w:rsidRDefault="009F6B2E" w:rsidP="00750C38">
      <w:pPr>
        <w:pStyle w:val="Formuledadoption"/>
        <w:rPr>
          <w:noProof/>
          <w:szCs w:val="24"/>
        </w:rPr>
      </w:pPr>
      <w:r w:rsidRPr="00707C99">
        <w:rPr>
          <w:noProof/>
        </w:rPr>
        <w:t xml:space="preserve">HA ADOTTATO LA PRESENTE DECISIONE: </w:t>
      </w:r>
    </w:p>
    <w:p w:rsidR="009F6B2E" w:rsidRPr="00707C99" w:rsidRDefault="009F6B2E" w:rsidP="00750C38">
      <w:pPr>
        <w:pStyle w:val="Titrearticle"/>
        <w:rPr>
          <w:noProof/>
          <w:szCs w:val="24"/>
        </w:rPr>
      </w:pPr>
      <w:r w:rsidRPr="00707C99">
        <w:rPr>
          <w:noProof/>
        </w:rPr>
        <w:t>Articolo 1</w:t>
      </w:r>
    </w:p>
    <w:p w:rsidR="00DF5F85" w:rsidRPr="00707C99" w:rsidRDefault="00DF5F85" w:rsidP="00DF5F85">
      <w:pPr>
        <w:pStyle w:val="Bodytext10"/>
        <w:spacing w:after="100"/>
        <w:jc w:val="both"/>
        <w:rPr>
          <w:rFonts w:ascii="Times New Roman" w:hAnsi="Times New Roman" w:cs="Times New Roman"/>
          <w:noProof/>
          <w:sz w:val="24"/>
          <w:szCs w:val="24"/>
        </w:rPr>
      </w:pPr>
      <w:bookmarkStart w:id="1" w:name="_CopyToNewDocument_"/>
      <w:bookmarkEnd w:id="1"/>
      <w:r w:rsidRPr="00707C99">
        <w:rPr>
          <w:rStyle w:val="Bodytext1"/>
          <w:rFonts w:ascii="Times New Roman" w:hAnsi="Times New Roman"/>
          <w:noProof/>
          <w:sz w:val="24"/>
        </w:rPr>
        <w:t>La Commissione è autorizzata a negoziare, a nome dell</w:t>
      </w:r>
      <w:r w:rsidR="00BB6517" w:rsidRPr="00707C99">
        <w:rPr>
          <w:rStyle w:val="Bodytext1"/>
          <w:rFonts w:ascii="Times New Roman" w:hAnsi="Times New Roman"/>
          <w:noProof/>
          <w:sz w:val="24"/>
        </w:rPr>
        <w:t>'</w:t>
      </w:r>
      <w:r w:rsidRPr="00707C99">
        <w:rPr>
          <w:rStyle w:val="Bodytext1"/>
          <w:rFonts w:ascii="Times New Roman" w:hAnsi="Times New Roman"/>
          <w:noProof/>
          <w:sz w:val="24"/>
        </w:rPr>
        <w:t>Unione, un accordo tra l</w:t>
      </w:r>
      <w:r w:rsidR="00BB6517" w:rsidRPr="00707C99">
        <w:rPr>
          <w:rStyle w:val="Bodytext1"/>
          <w:rFonts w:ascii="Times New Roman" w:hAnsi="Times New Roman"/>
          <w:noProof/>
          <w:sz w:val="24"/>
        </w:rPr>
        <w:t>'</w:t>
      </w:r>
      <w:r w:rsidRPr="00707C99">
        <w:rPr>
          <w:rStyle w:val="Bodytext1"/>
          <w:rFonts w:ascii="Times New Roman" w:hAnsi="Times New Roman"/>
          <w:noProof/>
          <w:sz w:val="24"/>
        </w:rPr>
        <w:t>Unione europea e gli Stati Uniti messicani sullo scambio di dati personali tra l</w:t>
      </w:r>
      <w:r w:rsidR="00BB6517" w:rsidRPr="00707C99">
        <w:rPr>
          <w:rStyle w:val="Bodytext1"/>
          <w:rFonts w:ascii="Times New Roman" w:hAnsi="Times New Roman"/>
          <w:noProof/>
          <w:sz w:val="24"/>
        </w:rPr>
        <w:t>'</w:t>
      </w:r>
      <w:r w:rsidRPr="00707C99">
        <w:rPr>
          <w:rStyle w:val="Bodytext1"/>
          <w:rFonts w:ascii="Times New Roman" w:hAnsi="Times New Roman"/>
          <w:noProof/>
          <w:sz w:val="24"/>
        </w:rPr>
        <w:t>Agenzia dell</w:t>
      </w:r>
      <w:r w:rsidR="00BB6517" w:rsidRPr="00707C99">
        <w:rPr>
          <w:rStyle w:val="Bodytext1"/>
          <w:rFonts w:ascii="Times New Roman" w:hAnsi="Times New Roman"/>
          <w:noProof/>
          <w:sz w:val="24"/>
        </w:rPr>
        <w:t>'</w:t>
      </w:r>
      <w:r w:rsidRPr="00707C99">
        <w:rPr>
          <w:rStyle w:val="Bodytext1"/>
          <w:rFonts w:ascii="Times New Roman" w:hAnsi="Times New Roman"/>
          <w:noProof/>
          <w:sz w:val="24"/>
        </w:rPr>
        <w:t>Unione europea per la cooperazione nell</w:t>
      </w:r>
      <w:r w:rsidR="00BB6517" w:rsidRPr="00707C99">
        <w:rPr>
          <w:rStyle w:val="Bodytext1"/>
          <w:rFonts w:ascii="Times New Roman" w:hAnsi="Times New Roman"/>
          <w:noProof/>
          <w:sz w:val="24"/>
        </w:rPr>
        <w:t>'</w:t>
      </w:r>
      <w:r w:rsidRPr="00707C99">
        <w:rPr>
          <w:rStyle w:val="Bodytext1"/>
          <w:rFonts w:ascii="Times New Roman" w:hAnsi="Times New Roman"/>
          <w:noProof/>
          <w:sz w:val="24"/>
        </w:rPr>
        <w:t>attività di contrasto (Europol) e le autorità messicane competenti per la lotta contro le forme gravi di criminalità e il terrorismo.</w:t>
      </w:r>
    </w:p>
    <w:p w:rsidR="00DF5F85" w:rsidRPr="00707C99" w:rsidRDefault="00DF5F85" w:rsidP="00DF5F85">
      <w:pPr>
        <w:pStyle w:val="Bodytext10"/>
        <w:spacing w:after="340"/>
        <w:jc w:val="both"/>
        <w:rPr>
          <w:rStyle w:val="Bodytext1"/>
          <w:rFonts w:ascii="Times New Roman" w:hAnsi="Times New Roman" w:cs="Times New Roman"/>
          <w:noProof/>
          <w:sz w:val="24"/>
          <w:szCs w:val="24"/>
        </w:rPr>
      </w:pPr>
      <w:r w:rsidRPr="00707C99">
        <w:rPr>
          <w:rStyle w:val="Bodytext1"/>
          <w:rFonts w:ascii="Times New Roman" w:hAnsi="Times New Roman"/>
          <w:noProof/>
          <w:sz w:val="24"/>
        </w:rPr>
        <w:t>Le direttive di negoziato figurano nell</w:t>
      </w:r>
      <w:r w:rsidR="00BB6517" w:rsidRPr="00707C99">
        <w:rPr>
          <w:rStyle w:val="Bodytext1"/>
          <w:rFonts w:ascii="Times New Roman" w:hAnsi="Times New Roman"/>
          <w:noProof/>
          <w:sz w:val="24"/>
        </w:rPr>
        <w:t>'</w:t>
      </w:r>
      <w:r w:rsidRPr="00707C99">
        <w:rPr>
          <w:rStyle w:val="Bodytext1"/>
          <w:rFonts w:ascii="Times New Roman" w:hAnsi="Times New Roman"/>
          <w:noProof/>
          <w:sz w:val="24"/>
        </w:rPr>
        <w:t>allegato.</w:t>
      </w:r>
    </w:p>
    <w:p w:rsidR="00DF5F85" w:rsidRPr="00707C99" w:rsidRDefault="00DF5F85" w:rsidP="00DF5F85">
      <w:pPr>
        <w:pStyle w:val="Bodytext10"/>
        <w:spacing w:after="100"/>
        <w:jc w:val="center"/>
        <w:rPr>
          <w:rFonts w:ascii="Times New Roman" w:hAnsi="Times New Roman" w:cs="Times New Roman"/>
          <w:i/>
          <w:noProof/>
          <w:sz w:val="24"/>
          <w:szCs w:val="24"/>
        </w:rPr>
      </w:pPr>
      <w:r w:rsidRPr="00707C99">
        <w:rPr>
          <w:rFonts w:ascii="Times New Roman" w:hAnsi="Times New Roman"/>
          <w:i/>
          <w:noProof/>
          <w:sz w:val="24"/>
        </w:rPr>
        <w:t>Articolo 2</w:t>
      </w:r>
    </w:p>
    <w:p w:rsidR="00DF5F85" w:rsidRPr="00707C99" w:rsidRDefault="00DF5F85" w:rsidP="00DF5F85">
      <w:pPr>
        <w:pStyle w:val="Bodytext10"/>
        <w:spacing w:after="340"/>
        <w:jc w:val="both"/>
        <w:rPr>
          <w:rFonts w:ascii="Times New Roman" w:hAnsi="Times New Roman" w:cs="Times New Roman"/>
          <w:noProof/>
          <w:sz w:val="24"/>
          <w:szCs w:val="24"/>
        </w:rPr>
      </w:pPr>
      <w:r w:rsidRPr="00707C99">
        <w:rPr>
          <w:rStyle w:val="Bodytext1"/>
          <w:rFonts w:ascii="Times New Roman" w:hAnsi="Times New Roman"/>
          <w:noProof/>
          <w:sz w:val="24"/>
        </w:rPr>
        <w:t>I negoziati sono condotti in consultazione con il pertinente [nome del comitato speciale da inserire a cura del Consiglio].</w:t>
      </w:r>
    </w:p>
    <w:p w:rsidR="00DF5F85" w:rsidRPr="00707C99" w:rsidRDefault="00DF5F85" w:rsidP="00DF5F85">
      <w:pPr>
        <w:pStyle w:val="Bodytext10"/>
        <w:spacing w:after="100"/>
        <w:jc w:val="center"/>
        <w:rPr>
          <w:rFonts w:ascii="Times New Roman" w:hAnsi="Times New Roman" w:cs="Times New Roman"/>
          <w:i/>
          <w:noProof/>
          <w:sz w:val="24"/>
          <w:szCs w:val="24"/>
        </w:rPr>
      </w:pPr>
      <w:r w:rsidRPr="00707C99">
        <w:rPr>
          <w:rFonts w:ascii="Times New Roman" w:hAnsi="Times New Roman"/>
          <w:i/>
          <w:noProof/>
          <w:sz w:val="24"/>
        </w:rPr>
        <w:t>Articolo 3</w:t>
      </w:r>
    </w:p>
    <w:p w:rsidR="00DF5F85" w:rsidRPr="00707C99" w:rsidRDefault="00DF5F85" w:rsidP="00DF5F85">
      <w:pPr>
        <w:pStyle w:val="Bodytext10"/>
        <w:spacing w:after="100"/>
        <w:jc w:val="both"/>
        <w:rPr>
          <w:rStyle w:val="Bodytext1"/>
          <w:rFonts w:ascii="Times New Roman" w:hAnsi="Times New Roman" w:cs="Times New Roman"/>
          <w:noProof/>
          <w:sz w:val="24"/>
          <w:szCs w:val="24"/>
        </w:rPr>
      </w:pPr>
      <w:r w:rsidRPr="00707C99">
        <w:rPr>
          <w:rStyle w:val="Bodytext1"/>
          <w:rFonts w:ascii="Times New Roman" w:hAnsi="Times New Roman"/>
          <w:noProof/>
          <w:sz w:val="24"/>
        </w:rPr>
        <w:t>La Commissione è destinataria della presente decisione.</w:t>
      </w:r>
    </w:p>
    <w:p w:rsidR="00DF5F85" w:rsidRPr="00707C99" w:rsidRDefault="00DF5F85" w:rsidP="00DF5F85">
      <w:pPr>
        <w:pStyle w:val="Bodytext10"/>
        <w:spacing w:after="100"/>
        <w:jc w:val="both"/>
        <w:rPr>
          <w:rFonts w:ascii="Times New Roman" w:hAnsi="Times New Roman" w:cs="Times New Roman"/>
          <w:noProof/>
          <w:sz w:val="24"/>
          <w:szCs w:val="24"/>
        </w:rPr>
      </w:pPr>
    </w:p>
    <w:p w:rsidR="00961997" w:rsidRPr="00707C99" w:rsidRDefault="008F3E70" w:rsidP="00B33F0C">
      <w:pPr>
        <w:pStyle w:val="Fait"/>
        <w:rPr>
          <w:noProof/>
        </w:rPr>
      </w:pPr>
      <w:r w:rsidRPr="008F3E70">
        <w:t>Fatto a Bruxelles, il</w:t>
      </w:r>
    </w:p>
    <w:p w:rsidR="00961997" w:rsidRPr="00707C99" w:rsidRDefault="00961997" w:rsidP="00B33F0C">
      <w:pPr>
        <w:pStyle w:val="Institutionquisigne"/>
        <w:ind w:firstLine="3600"/>
        <w:rPr>
          <w:noProof/>
          <w:szCs w:val="24"/>
        </w:rPr>
      </w:pPr>
      <w:r w:rsidRPr="00707C99">
        <w:rPr>
          <w:noProof/>
        </w:rPr>
        <w:t>Per il Consiglio</w:t>
      </w:r>
    </w:p>
    <w:p w:rsidR="009F6B2E" w:rsidRPr="00BB6517" w:rsidRDefault="009F6B2E" w:rsidP="00C84382">
      <w:pPr>
        <w:pStyle w:val="Personnequisigne"/>
        <w:ind w:firstLine="3600"/>
        <w:rPr>
          <w:noProof/>
          <w:szCs w:val="24"/>
        </w:rPr>
      </w:pPr>
      <w:r w:rsidRPr="00707C99">
        <w:rPr>
          <w:noProof/>
        </w:rPr>
        <w:t>Il presidente</w:t>
      </w:r>
    </w:p>
    <w:sectPr w:rsidR="009F6B2E" w:rsidRPr="00BB6517" w:rsidSect="000A7691">
      <w:footerReference w:type="default" r:id="rId10"/>
      <w:footerReference w:type="first" r:id="rId11"/>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C13E31" w16cid:durableId="27973137"/>
  <w16cid:commentId w16cid:paraId="7A1A05AB" w16cid:durableId="27973138"/>
  <w16cid:commentId w16cid:paraId="16A04951" w16cid:durableId="2797313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944" w:rsidRDefault="00D35944" w:rsidP="009F6B2E">
      <w:pPr>
        <w:spacing w:before="0" w:after="0"/>
      </w:pPr>
      <w:r>
        <w:separator/>
      </w:r>
    </w:p>
  </w:endnote>
  <w:endnote w:type="continuationSeparator" w:id="0">
    <w:p w:rsidR="00D35944" w:rsidRDefault="00D35944" w:rsidP="009F6B2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480" w:rsidRPr="000A7691" w:rsidRDefault="000A7691" w:rsidP="000A7691">
    <w:pPr>
      <w:pStyle w:val="Footer"/>
      <w:rPr>
        <w:rFonts w:ascii="Arial" w:hAnsi="Arial" w:cs="Arial"/>
        <w:b/>
        <w:sz w:val="48"/>
      </w:rPr>
    </w:pPr>
    <w:r w:rsidRPr="000A7691">
      <w:rPr>
        <w:rFonts w:ascii="Arial" w:hAnsi="Arial" w:cs="Arial"/>
        <w:b/>
        <w:sz w:val="48"/>
      </w:rPr>
      <w:t>IT</w:t>
    </w:r>
    <w:r w:rsidRPr="000A7691">
      <w:rPr>
        <w:rFonts w:ascii="Arial" w:hAnsi="Arial" w:cs="Arial"/>
        <w:b/>
        <w:sz w:val="48"/>
      </w:rPr>
      <w:tab/>
    </w:r>
    <w:r w:rsidRPr="000A7691">
      <w:rPr>
        <w:rFonts w:ascii="Arial" w:hAnsi="Arial" w:cs="Arial"/>
        <w:b/>
        <w:sz w:val="48"/>
      </w:rPr>
      <w:tab/>
    </w:r>
    <w:r w:rsidRPr="000A7691">
      <w:tab/>
    </w:r>
    <w:r w:rsidRPr="000A7691">
      <w:rPr>
        <w:rFonts w:ascii="Arial" w:hAnsi="Arial" w:cs="Arial"/>
        <w:b/>
        <w:sz w:val="48"/>
      </w:rPr>
      <w:t>IT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691" w:rsidRPr="000A7691" w:rsidRDefault="000A7691" w:rsidP="000A7691">
    <w:pPr>
      <w:pStyle w:val="Footer"/>
      <w:rPr>
        <w:rFonts w:ascii="Arial" w:hAnsi="Arial" w:cs="Arial"/>
        <w:b/>
        <w:sz w:val="48"/>
      </w:rPr>
    </w:pPr>
    <w:r w:rsidRPr="000A7691">
      <w:rPr>
        <w:rFonts w:ascii="Arial" w:hAnsi="Arial" w:cs="Arial"/>
        <w:b/>
        <w:sz w:val="48"/>
      </w:rPr>
      <w:t>IT</w:t>
    </w:r>
    <w:r w:rsidRPr="000A7691">
      <w:rPr>
        <w:rFonts w:ascii="Arial" w:hAnsi="Arial" w:cs="Arial"/>
        <w:b/>
        <w:sz w:val="48"/>
      </w:rPr>
      <w:tab/>
    </w:r>
    <w:r>
      <w:fldChar w:fldCharType="begin"/>
    </w:r>
    <w:r>
      <w:instrText xml:space="preserve"> PAGE  \* MERGEFORMAT </w:instrText>
    </w:r>
    <w:r>
      <w:fldChar w:fldCharType="separate"/>
    </w:r>
    <w:r w:rsidR="00B33F0C">
      <w:rPr>
        <w:noProof/>
      </w:rPr>
      <w:t>6</w:t>
    </w:r>
    <w:r>
      <w:fldChar w:fldCharType="end"/>
    </w:r>
    <w:r>
      <w:tab/>
    </w:r>
    <w:r w:rsidRPr="000A7691">
      <w:tab/>
    </w:r>
    <w:r w:rsidRPr="000A7691">
      <w:rPr>
        <w:rFonts w:ascii="Arial" w:hAnsi="Arial" w:cs="Arial"/>
        <w:b/>
        <w:sz w:val="48"/>
      </w:rPr>
      <w:t>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691" w:rsidRPr="000A7691" w:rsidRDefault="000A7691" w:rsidP="000A7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944" w:rsidRDefault="00D35944" w:rsidP="009F6B2E">
      <w:pPr>
        <w:spacing w:before="0" w:after="0"/>
      </w:pPr>
      <w:r>
        <w:separator/>
      </w:r>
    </w:p>
  </w:footnote>
  <w:footnote w:type="continuationSeparator" w:id="0">
    <w:p w:rsidR="00D35944" w:rsidRDefault="00D35944" w:rsidP="009F6B2E">
      <w:pPr>
        <w:spacing w:before="0" w:after="0"/>
      </w:pPr>
      <w:r>
        <w:continuationSeparator/>
      </w:r>
    </w:p>
  </w:footnote>
  <w:footnote w:id="1">
    <w:p w:rsidR="00B759EF" w:rsidRPr="00707C99" w:rsidRDefault="00B759EF" w:rsidP="00B759EF">
      <w:pPr>
        <w:pStyle w:val="FootnoteText"/>
        <w:ind w:left="425" w:hanging="425"/>
      </w:pPr>
      <w:r w:rsidRPr="00707C99">
        <w:rPr>
          <w:rStyle w:val="FootnoteReference"/>
        </w:rPr>
        <w:footnoteRef/>
      </w:r>
      <w:r w:rsidRPr="00707C99">
        <w:tab/>
        <w:t>COM(2020) 605 final del 24.7.2020, pag. 21.</w:t>
      </w:r>
    </w:p>
  </w:footnote>
  <w:footnote w:id="2">
    <w:p w:rsidR="00DB0B63" w:rsidRPr="00707C99" w:rsidRDefault="00DB0B63" w:rsidP="00DB0B63">
      <w:pPr>
        <w:pStyle w:val="FootnoteText"/>
        <w:ind w:left="425" w:hanging="425"/>
      </w:pPr>
      <w:r w:rsidRPr="00707C99">
        <w:rPr>
          <w:rStyle w:val="FootnoteReference"/>
        </w:rPr>
        <w:footnoteRef/>
      </w:r>
      <w:r w:rsidRPr="00707C99">
        <w:tab/>
        <w:t>COM(2021) 170 final del 14.4.2021, pag. 9.</w:t>
      </w:r>
    </w:p>
  </w:footnote>
  <w:footnote w:id="3">
    <w:p w:rsidR="00DB0B63" w:rsidRPr="00707C99" w:rsidRDefault="00DB0B63" w:rsidP="00DB0B63">
      <w:pPr>
        <w:pStyle w:val="FootnoteText"/>
        <w:ind w:left="425" w:hanging="425"/>
      </w:pPr>
      <w:r w:rsidRPr="00707C99">
        <w:rPr>
          <w:rStyle w:val="FootnoteReference"/>
        </w:rPr>
        <w:footnoteRef/>
      </w:r>
      <w:r w:rsidRPr="00707C99">
        <w:tab/>
        <w:t>Articolo 23, paragrafo 4, del regolamento (UE) 2016/794 del Parlamento europeo e del Consiglio, dell</w:t>
      </w:r>
      <w:r w:rsidR="00BB6517" w:rsidRPr="00707C99">
        <w:t>'</w:t>
      </w:r>
      <w:r w:rsidRPr="00707C99">
        <w:t>11</w:t>
      </w:r>
      <w:r w:rsidR="00BB6517" w:rsidRPr="00707C99">
        <w:t> </w:t>
      </w:r>
      <w:r w:rsidRPr="00707C99">
        <w:t>maggio 2016, che istituisce l</w:t>
      </w:r>
      <w:r w:rsidR="00BB6517" w:rsidRPr="00707C99">
        <w:t>'</w:t>
      </w:r>
      <w:r w:rsidRPr="00707C99">
        <w:t>Agenzia dell</w:t>
      </w:r>
      <w:r w:rsidR="00BB6517" w:rsidRPr="00707C99">
        <w:t>'</w:t>
      </w:r>
      <w:r w:rsidRPr="00707C99">
        <w:t>Unione europea per la cooperazione nell</w:t>
      </w:r>
      <w:r w:rsidR="00BB6517" w:rsidRPr="00707C99">
        <w:t>'</w:t>
      </w:r>
      <w:r w:rsidRPr="00707C99">
        <w:t>attività di contrasto (Europol) e sostituisce e abroga le decisioni del Consiglio 2009/371/GAI, 2009/934/GAI, 2009/935/GAI, 2009/936/GAI e 2009/968/GAI (GU</w:t>
      </w:r>
      <w:r w:rsidR="00BB6517" w:rsidRPr="00707C99">
        <w:t> </w:t>
      </w:r>
      <w:r w:rsidRPr="00707C99">
        <w:t>L</w:t>
      </w:r>
      <w:r w:rsidR="00BB6517" w:rsidRPr="00707C99">
        <w:t> </w:t>
      </w:r>
      <w:r w:rsidRPr="00707C99">
        <w:t xml:space="preserve">135 del 24.5.2016, pag. 53), di seguito </w:t>
      </w:r>
      <w:r w:rsidR="00BB6517" w:rsidRPr="00707C99">
        <w:t>"</w:t>
      </w:r>
      <w:r w:rsidRPr="00707C99">
        <w:t>regolamento (UE) 2016/794</w:t>
      </w:r>
      <w:r w:rsidR="00BB6517" w:rsidRPr="00707C99">
        <w:t>"</w:t>
      </w:r>
      <w:r w:rsidRPr="00707C99">
        <w:t>.</w:t>
      </w:r>
    </w:p>
  </w:footnote>
  <w:footnote w:id="4">
    <w:p w:rsidR="00E91093" w:rsidRPr="00707C99" w:rsidRDefault="00E91093" w:rsidP="00E91093">
      <w:pPr>
        <w:pStyle w:val="FootnoteText"/>
        <w:ind w:left="425" w:hanging="425"/>
      </w:pPr>
      <w:r w:rsidRPr="00707C99">
        <w:rPr>
          <w:rStyle w:val="FootnoteReference"/>
        </w:rPr>
        <w:footnoteRef/>
      </w:r>
      <w:r w:rsidRPr="00707C99">
        <w:tab/>
        <w:t>Articolo 25 del regolamento (UE) 2016/794.</w:t>
      </w:r>
    </w:p>
  </w:footnote>
  <w:footnote w:id="5">
    <w:p w:rsidR="00DB0B63" w:rsidRPr="00707C99" w:rsidRDefault="00DB0B63" w:rsidP="0077199F">
      <w:pPr>
        <w:pStyle w:val="FootnoteText"/>
        <w:ind w:left="425" w:hanging="425"/>
      </w:pPr>
      <w:r w:rsidRPr="00707C99">
        <w:rPr>
          <w:rStyle w:val="FootnoteReference"/>
        </w:rPr>
        <w:footnoteRef/>
      </w:r>
      <w:r w:rsidRPr="00707C99">
        <w:tab/>
        <w:t>L</w:t>
      </w:r>
      <w:r w:rsidR="00BB6517" w:rsidRPr="00707C99">
        <w:t>'</w:t>
      </w:r>
      <w:r w:rsidRPr="00707C99">
        <w:t>articolo 25, paragrafo 1, lettera b), del regolamento (UE) 2016/794 consente il trasferimento di dati personali sulla base di un accordo internazionale concluso tra l</w:t>
      </w:r>
      <w:r w:rsidR="00BB6517" w:rsidRPr="00707C99">
        <w:t>'</w:t>
      </w:r>
      <w:r w:rsidRPr="00707C99">
        <w:t>UE e un paese terzo o un</w:t>
      </w:r>
      <w:r w:rsidR="00BB6517" w:rsidRPr="00707C99">
        <w:t>'</w:t>
      </w:r>
      <w:r w:rsidRPr="00707C99">
        <w:t>organizzazione internazionale.</w:t>
      </w:r>
    </w:p>
  </w:footnote>
  <w:footnote w:id="6">
    <w:p w:rsidR="00D21D11" w:rsidRPr="00707C99" w:rsidRDefault="00D21D11" w:rsidP="00D21D11">
      <w:pPr>
        <w:pStyle w:val="FootnoteText"/>
        <w:ind w:left="425" w:hanging="425"/>
      </w:pPr>
      <w:r w:rsidRPr="00707C99">
        <w:rPr>
          <w:rStyle w:val="FootnoteReference"/>
        </w:rPr>
        <w:footnoteRef/>
      </w:r>
      <w:r w:rsidRPr="00707C99">
        <w:tab/>
        <w:t>Algeria, Egitto, Giordania, Israele, Libano, Marocco, Nuova Zelanda, Tunisia e Turchia.</w:t>
      </w:r>
    </w:p>
  </w:footnote>
  <w:footnote w:id="7">
    <w:p w:rsidR="00DB0B63" w:rsidRPr="00707C99" w:rsidRDefault="00DB0B63" w:rsidP="00DB0B63">
      <w:pPr>
        <w:pStyle w:val="FootnoteText"/>
        <w:ind w:left="425" w:hanging="425"/>
      </w:pPr>
      <w:r w:rsidRPr="00707C99">
        <w:rPr>
          <w:rStyle w:val="FootnoteReference"/>
        </w:rPr>
        <w:footnoteRef/>
      </w:r>
      <w:r w:rsidRPr="00707C99">
        <w:tab/>
        <w:t>Decisione (UE) 2021/1312 del Consiglio, del 19 luglio 2021.</w:t>
      </w:r>
    </w:p>
  </w:footnote>
  <w:footnote w:id="8">
    <w:p w:rsidR="00E6593E" w:rsidRPr="00707C99" w:rsidRDefault="00E6593E" w:rsidP="00453E47">
      <w:pPr>
        <w:pStyle w:val="FootnoteText"/>
        <w:ind w:left="425" w:hanging="425"/>
      </w:pPr>
      <w:r w:rsidRPr="00707C99">
        <w:rPr>
          <w:rStyle w:val="FootnoteReference"/>
        </w:rPr>
        <w:footnoteRef/>
      </w:r>
      <w:r w:rsidRPr="00707C99">
        <w:tab/>
        <w:t>Decisione (UE) 2022/1090 del Consiglio, del 27 giugno 2022.</w:t>
      </w:r>
    </w:p>
  </w:footnote>
  <w:footnote w:id="9">
    <w:p w:rsidR="0037743B" w:rsidRPr="00707C99" w:rsidRDefault="0037743B" w:rsidP="0037743B">
      <w:pPr>
        <w:pStyle w:val="FootnoteText"/>
        <w:ind w:left="425" w:hanging="425"/>
      </w:pPr>
      <w:r w:rsidRPr="00707C99">
        <w:rPr>
          <w:rStyle w:val="FootnoteReference"/>
        </w:rPr>
        <w:footnoteRef/>
      </w:r>
      <w:r w:rsidRPr="00707C99">
        <w:tab/>
      </w:r>
      <w:r w:rsidRPr="00707C99">
        <w:rPr>
          <w:i/>
          <w:iCs/>
        </w:rPr>
        <w:t>European Union Serious and Organised Crime Threat Assessment:</w:t>
      </w:r>
      <w:r w:rsidRPr="00707C99">
        <w:t xml:space="preserve"> </w:t>
      </w:r>
      <w:r w:rsidRPr="00707C99">
        <w:rPr>
          <w:i/>
          <w:iCs/>
        </w:rPr>
        <w:t>A corrupt Influence:</w:t>
      </w:r>
      <w:r w:rsidRPr="00707C99">
        <w:t xml:space="preserve"> </w:t>
      </w:r>
      <w:r w:rsidRPr="00707C99">
        <w:rPr>
          <w:i/>
          <w:iCs/>
        </w:rPr>
        <w:t>The infiltration and undermining of Europe</w:t>
      </w:r>
      <w:r w:rsidR="00BB6517" w:rsidRPr="00707C99">
        <w:rPr>
          <w:i/>
          <w:iCs/>
        </w:rPr>
        <w:t>'</w:t>
      </w:r>
      <w:r w:rsidRPr="00707C99">
        <w:rPr>
          <w:i/>
          <w:iCs/>
        </w:rPr>
        <w:t>s economy and society by organised crime.</w:t>
      </w:r>
    </w:p>
  </w:footnote>
  <w:footnote w:id="10">
    <w:p w:rsidR="00182656" w:rsidRPr="00707C99" w:rsidRDefault="00182656" w:rsidP="00453E47">
      <w:pPr>
        <w:pStyle w:val="FootnoteText"/>
        <w:ind w:left="425" w:hanging="425"/>
        <w:rPr>
          <w:lang w:val="fr-BE"/>
        </w:rPr>
      </w:pPr>
      <w:r w:rsidRPr="00707C99">
        <w:rPr>
          <w:rStyle w:val="FootnoteReference"/>
        </w:rPr>
        <w:footnoteRef/>
      </w:r>
      <w:r w:rsidRPr="00707C99">
        <w:rPr>
          <w:lang w:val="fr-BE"/>
        </w:rPr>
        <w:tab/>
      </w:r>
      <w:r w:rsidRPr="00707C99">
        <w:rPr>
          <w:i/>
          <w:iCs/>
          <w:lang w:val="fr-BE"/>
        </w:rPr>
        <w:t>EU Drug Market:</w:t>
      </w:r>
      <w:r w:rsidRPr="00707C99">
        <w:rPr>
          <w:lang w:val="fr-BE"/>
        </w:rPr>
        <w:t xml:space="preserve"> </w:t>
      </w:r>
      <w:r w:rsidRPr="00707C99">
        <w:rPr>
          <w:i/>
          <w:iCs/>
          <w:lang w:val="fr-BE"/>
        </w:rPr>
        <w:t>Cocaine</w:t>
      </w:r>
      <w:r w:rsidRPr="00707C99">
        <w:rPr>
          <w:lang w:val="fr-BE"/>
        </w:rPr>
        <w:t>, disponibile all</w:t>
      </w:r>
      <w:r w:rsidR="00BB6517" w:rsidRPr="00707C99">
        <w:rPr>
          <w:lang w:val="fr-BE"/>
        </w:rPr>
        <w:t>'</w:t>
      </w:r>
      <w:r w:rsidRPr="00707C99">
        <w:rPr>
          <w:lang w:val="fr-BE"/>
        </w:rPr>
        <w:t xml:space="preserve">indirizzo </w:t>
      </w:r>
      <w:r w:rsidRPr="00707C99">
        <w:rPr>
          <w:i/>
          <w:iCs/>
          <w:lang w:val="fr-BE"/>
        </w:rPr>
        <w:t>EU Drug Market:</w:t>
      </w:r>
      <w:r w:rsidRPr="00707C99">
        <w:rPr>
          <w:lang w:val="fr-BE"/>
        </w:rPr>
        <w:t xml:space="preserve"> </w:t>
      </w:r>
      <w:r w:rsidRPr="00707C99">
        <w:rPr>
          <w:i/>
          <w:iCs/>
          <w:lang w:val="fr-BE"/>
        </w:rPr>
        <w:t>Cocaine</w:t>
      </w:r>
      <w:r w:rsidRPr="00707C99">
        <w:rPr>
          <w:lang w:val="fr-BE"/>
        </w:rPr>
        <w:t xml:space="preserve"> </w:t>
      </w:r>
      <w:hyperlink r:id="rId1" w:history="1">
        <w:r w:rsidRPr="00707C99">
          <w:rPr>
            <w:rStyle w:val="Hyperlink"/>
            <w:lang w:val="fr-BE"/>
          </w:rPr>
          <w:t>www.emcdda.europa.eu</w:t>
        </w:r>
      </w:hyperlink>
      <w:r w:rsidRPr="00707C99">
        <w:rPr>
          <w:lang w:val="fr-BE"/>
        </w:rPr>
        <w:t xml:space="preserve">. </w:t>
      </w:r>
    </w:p>
  </w:footnote>
  <w:footnote w:id="11">
    <w:p w:rsidR="00182656" w:rsidRPr="00707C99" w:rsidRDefault="00182656" w:rsidP="00182656">
      <w:pPr>
        <w:pStyle w:val="FootnoteText"/>
        <w:ind w:left="425" w:hanging="425"/>
      </w:pPr>
      <w:r w:rsidRPr="00707C99">
        <w:rPr>
          <w:rStyle w:val="FootnoteReference"/>
        </w:rPr>
        <w:footnoteRef/>
      </w:r>
      <w:r w:rsidRPr="00707C99">
        <w:tab/>
      </w:r>
      <w:r w:rsidRPr="00707C99">
        <w:rPr>
          <w:i/>
          <w:iCs/>
        </w:rPr>
        <w:t>Europol and the global cocaine trade</w:t>
      </w:r>
      <w:r w:rsidRPr="00707C99">
        <w:t>, disponibile all</w:t>
      </w:r>
      <w:r w:rsidR="00BB6517" w:rsidRPr="00707C99">
        <w:t>'</w:t>
      </w:r>
      <w:r w:rsidRPr="00707C99">
        <w:t xml:space="preserve">indirizzo </w:t>
      </w:r>
      <w:r w:rsidR="00BB6517" w:rsidRPr="00707C99">
        <w:tab/>
      </w:r>
      <w:r w:rsidR="00BB6517" w:rsidRPr="00707C99">
        <w:br/>
      </w:r>
      <w:hyperlink r:id="rId2" w:history="1">
        <w:r w:rsidRPr="00707C99">
          <w:rPr>
            <w:rStyle w:val="Hyperlink"/>
          </w:rPr>
          <w:t>https://www.emcdda.europa.eu/publications/eu-drug-markets/cocaine/europe-and-global-cocaine-trade_en</w:t>
        </w:r>
      </w:hyperlink>
      <w:r w:rsidRPr="00707C99">
        <w:t xml:space="preserve">. </w:t>
      </w:r>
    </w:p>
  </w:footnote>
  <w:footnote w:id="12">
    <w:p w:rsidR="00182656" w:rsidRPr="00707C99" w:rsidRDefault="00182656" w:rsidP="00182656">
      <w:pPr>
        <w:pStyle w:val="FootnoteText"/>
        <w:ind w:left="425" w:hanging="425"/>
      </w:pPr>
      <w:r w:rsidRPr="00707C99">
        <w:rPr>
          <w:rStyle w:val="FootnoteReference"/>
        </w:rPr>
        <w:footnoteRef/>
      </w:r>
      <w:r w:rsidRPr="00707C99">
        <w:tab/>
      </w:r>
      <w:r w:rsidRPr="00707C99">
        <w:rPr>
          <w:i/>
          <w:iCs/>
        </w:rPr>
        <w:t>Europol and the global cocaine trade</w:t>
      </w:r>
      <w:r w:rsidRPr="00707C99">
        <w:t>, disponibile all</w:t>
      </w:r>
      <w:r w:rsidR="00BB6517" w:rsidRPr="00707C99">
        <w:t>'</w:t>
      </w:r>
      <w:r w:rsidRPr="00707C99">
        <w:t xml:space="preserve">indirizzo </w:t>
      </w:r>
      <w:r w:rsidR="00BB6517" w:rsidRPr="00707C99">
        <w:tab/>
      </w:r>
      <w:r w:rsidR="00BB6517" w:rsidRPr="00707C99">
        <w:br/>
      </w:r>
      <w:hyperlink r:id="rId3" w:history="1">
        <w:r w:rsidRPr="00707C99">
          <w:rPr>
            <w:rStyle w:val="Hyperlink"/>
          </w:rPr>
          <w:t>https://www.emcdda.europa.eu/publications/eu-drug-markets/cocaine/europe-and-global-cocaine-trade_en</w:t>
        </w:r>
      </w:hyperlink>
      <w:r w:rsidRPr="00707C99">
        <w:t xml:space="preserve">. </w:t>
      </w:r>
    </w:p>
  </w:footnote>
  <w:footnote w:id="13">
    <w:p w:rsidR="00A01181" w:rsidRPr="00707C99" w:rsidRDefault="00A01181" w:rsidP="00357580">
      <w:pPr>
        <w:pStyle w:val="FootnoteText"/>
        <w:ind w:left="425" w:hanging="425"/>
      </w:pPr>
      <w:r w:rsidRPr="00707C99">
        <w:rPr>
          <w:rStyle w:val="FootnoteReference"/>
        </w:rPr>
        <w:footnoteRef/>
      </w:r>
      <w:r w:rsidRPr="00707C99">
        <w:tab/>
        <w:t xml:space="preserve">Si veda la relazione analitica di Europol e della DEA </w:t>
      </w:r>
      <w:r w:rsidRPr="00707C99">
        <w:rPr>
          <w:i/>
          <w:iCs/>
        </w:rPr>
        <w:t>Complexities and conveniences in the international Drug trade:</w:t>
      </w:r>
      <w:r w:rsidRPr="00707C99">
        <w:t xml:space="preserve"> </w:t>
      </w:r>
      <w:r w:rsidRPr="00707C99">
        <w:rPr>
          <w:i/>
          <w:iCs/>
        </w:rPr>
        <w:t>the involvement of Mexican criminal actors in the EU drug market</w:t>
      </w:r>
      <w:r w:rsidRPr="00707C99">
        <w:t xml:space="preserve"> del 14 dicembre 2022, disponibile all</w:t>
      </w:r>
      <w:r w:rsidR="00BB6517" w:rsidRPr="00707C99">
        <w:t>'</w:t>
      </w:r>
      <w:r w:rsidRPr="00707C99">
        <w:t xml:space="preserve">indirizzo </w:t>
      </w:r>
      <w:hyperlink r:id="rId4" w:anchor="downloads" w:history="1">
        <w:r w:rsidRPr="00707C99">
          <w:rPr>
            <w:rStyle w:val="Hyperlink"/>
          </w:rPr>
          <w:t>Complexities and conveniences in the international drug trade:</w:t>
        </w:r>
      </w:hyperlink>
      <w:hyperlink r:id="rId5" w:anchor="downloads" w:history="1">
        <w:r w:rsidRPr="00707C99">
          <w:rPr>
            <w:rStyle w:val="Hyperlink"/>
          </w:rPr>
          <w:t xml:space="preserve"> the involvement of Mexican criminal actors in the EU drug market |</w:t>
        </w:r>
      </w:hyperlink>
      <w:hyperlink r:id="rId6" w:anchor="downloads" w:history="1">
        <w:r w:rsidRPr="00707C99">
          <w:rPr>
            <w:rStyle w:val="Hyperlink"/>
          </w:rPr>
          <w:t xml:space="preserve"> Europol (europa.eu)</w:t>
        </w:r>
      </w:hyperlink>
      <w:r w:rsidRPr="00707C99">
        <w:t>.</w:t>
      </w:r>
    </w:p>
  </w:footnote>
  <w:footnote w:id="14">
    <w:p w:rsidR="00794382" w:rsidRPr="00707C99" w:rsidRDefault="00794382" w:rsidP="00794382">
      <w:pPr>
        <w:pStyle w:val="FootnoteText"/>
        <w:ind w:left="425" w:hanging="425"/>
      </w:pPr>
      <w:r w:rsidRPr="00707C99">
        <w:rPr>
          <w:rStyle w:val="FootnoteReference"/>
        </w:rPr>
        <w:footnoteRef/>
      </w:r>
      <w:r w:rsidRPr="00707C99">
        <w:tab/>
        <w:t xml:space="preserve">OEDT, </w:t>
      </w:r>
      <w:r w:rsidRPr="00707C99">
        <w:rPr>
          <w:i/>
          <w:iCs/>
        </w:rPr>
        <w:t>EU Drug Market:</w:t>
      </w:r>
      <w:r w:rsidRPr="00707C99">
        <w:t xml:space="preserve"> </w:t>
      </w:r>
      <w:r w:rsidRPr="00707C99">
        <w:rPr>
          <w:i/>
          <w:iCs/>
        </w:rPr>
        <w:t>Methamphetamine</w:t>
      </w:r>
      <w:r w:rsidRPr="00707C99">
        <w:t>, disponibile all</w:t>
      </w:r>
      <w:r w:rsidR="00BB6517" w:rsidRPr="00707C99">
        <w:t>'</w:t>
      </w:r>
      <w:r w:rsidRPr="00707C99">
        <w:t xml:space="preserve">indirizzo </w:t>
      </w:r>
      <w:hyperlink r:id="rId7" w:history="1">
        <w:r w:rsidRPr="00707C99">
          <w:rPr>
            <w:rStyle w:val="Hyperlink"/>
          </w:rPr>
          <w:t>www.emcdda.europa.eu</w:t>
        </w:r>
      </w:hyperlink>
      <w:r w:rsidRPr="00707C99">
        <w:t xml:space="preserve">. </w:t>
      </w:r>
    </w:p>
  </w:footnote>
  <w:footnote w:id="15">
    <w:p w:rsidR="00182656" w:rsidRPr="00707C99" w:rsidRDefault="00182656" w:rsidP="00182656">
      <w:pPr>
        <w:pStyle w:val="FootnoteText"/>
        <w:ind w:left="425" w:hanging="425"/>
      </w:pPr>
      <w:r w:rsidRPr="00707C99">
        <w:rPr>
          <w:rStyle w:val="FootnoteReference"/>
        </w:rPr>
        <w:footnoteRef/>
      </w:r>
      <w:r w:rsidRPr="00707C99">
        <w:tab/>
        <w:t>Documento di programmazione di Europol 2022-2024, pag. 150.</w:t>
      </w:r>
      <w:r w:rsidRPr="00707C99">
        <w:tab/>
      </w:r>
    </w:p>
  </w:footnote>
  <w:footnote w:id="16">
    <w:p w:rsidR="00784099" w:rsidRPr="00707C99" w:rsidRDefault="00784099" w:rsidP="00453E47">
      <w:pPr>
        <w:pStyle w:val="FootnoteText"/>
        <w:ind w:left="425" w:hanging="425"/>
        <w:rPr>
          <w:lang w:val="fr-BE"/>
        </w:rPr>
      </w:pPr>
      <w:r w:rsidRPr="00707C99">
        <w:rPr>
          <w:rStyle w:val="FootnoteReference"/>
        </w:rPr>
        <w:footnoteRef/>
      </w:r>
      <w:r w:rsidRPr="00707C99">
        <w:rPr>
          <w:lang w:val="fr-BE"/>
        </w:rPr>
        <w:tab/>
      </w:r>
      <w:r w:rsidRPr="00707C99">
        <w:rPr>
          <w:i/>
          <w:iCs/>
          <w:lang w:val="fr-BE"/>
        </w:rPr>
        <w:t>EU Drug Market:</w:t>
      </w:r>
      <w:r w:rsidRPr="00707C99">
        <w:rPr>
          <w:lang w:val="fr-BE"/>
        </w:rPr>
        <w:t xml:space="preserve"> </w:t>
      </w:r>
      <w:r w:rsidRPr="00707C99">
        <w:rPr>
          <w:i/>
          <w:iCs/>
          <w:lang w:val="fr-BE"/>
        </w:rPr>
        <w:t>Cocaine</w:t>
      </w:r>
      <w:r w:rsidRPr="00707C99">
        <w:rPr>
          <w:lang w:val="fr-BE"/>
        </w:rPr>
        <w:t>, disponibile all</w:t>
      </w:r>
      <w:r w:rsidR="00BB6517" w:rsidRPr="00707C99">
        <w:rPr>
          <w:lang w:val="fr-BE"/>
        </w:rPr>
        <w:t>'</w:t>
      </w:r>
      <w:r w:rsidRPr="00707C99">
        <w:rPr>
          <w:lang w:val="fr-BE"/>
        </w:rPr>
        <w:t xml:space="preserve">indirizzo </w:t>
      </w:r>
      <w:r w:rsidRPr="00707C99">
        <w:rPr>
          <w:i/>
          <w:iCs/>
          <w:lang w:val="fr-BE"/>
        </w:rPr>
        <w:t>EU Drug Market:</w:t>
      </w:r>
      <w:r w:rsidRPr="00707C99">
        <w:rPr>
          <w:lang w:val="fr-BE"/>
        </w:rPr>
        <w:t xml:space="preserve"> </w:t>
      </w:r>
      <w:r w:rsidRPr="00707C99">
        <w:rPr>
          <w:i/>
          <w:iCs/>
          <w:lang w:val="fr-BE"/>
        </w:rPr>
        <w:t>Cocaine</w:t>
      </w:r>
      <w:r w:rsidRPr="00707C99">
        <w:rPr>
          <w:lang w:val="fr-BE"/>
        </w:rPr>
        <w:t xml:space="preserve"> </w:t>
      </w:r>
      <w:hyperlink r:id="rId8" w:history="1">
        <w:r w:rsidRPr="00707C99">
          <w:rPr>
            <w:rStyle w:val="Hyperlink"/>
            <w:lang w:val="fr-BE"/>
          </w:rPr>
          <w:t>www.emcdda.europa.eu</w:t>
        </w:r>
      </w:hyperlink>
      <w:r w:rsidRPr="00707C99">
        <w:rPr>
          <w:lang w:val="fr-BE"/>
        </w:rPr>
        <w:t>.</w:t>
      </w:r>
    </w:p>
  </w:footnote>
  <w:footnote w:id="17">
    <w:p w:rsidR="009373D2" w:rsidRPr="00707C99" w:rsidRDefault="009373D2" w:rsidP="009373D2">
      <w:pPr>
        <w:pStyle w:val="FootnoteText"/>
        <w:ind w:left="425" w:hanging="425"/>
      </w:pPr>
      <w:r w:rsidRPr="00707C99">
        <w:rPr>
          <w:rStyle w:val="FootnoteReference"/>
        </w:rPr>
        <w:footnoteRef/>
      </w:r>
      <w:r w:rsidRPr="00707C99">
        <w:tab/>
        <w:t>CLASI è un</w:t>
      </w:r>
      <w:r w:rsidR="00BB6517" w:rsidRPr="00707C99">
        <w:t>'</w:t>
      </w:r>
      <w:r w:rsidRPr="00707C99">
        <w:t>agenzia per il dialogo politico e tecnico tra partner fondamentali per le politiche di sicurezza nei paesi dell</w:t>
      </w:r>
      <w:r w:rsidR="00BB6517" w:rsidRPr="00707C99">
        <w:t>'</w:t>
      </w:r>
      <w:r w:rsidRPr="00707C99">
        <w:t>America Latina, con orientamento spiccatamente specifico e operativo.</w:t>
      </w:r>
    </w:p>
  </w:footnote>
  <w:footnote w:id="18">
    <w:p w:rsidR="009373D2" w:rsidRPr="00707C99" w:rsidRDefault="009373D2" w:rsidP="009373D2">
      <w:pPr>
        <w:pStyle w:val="FootnoteText"/>
        <w:ind w:left="425" w:hanging="425"/>
      </w:pPr>
      <w:r w:rsidRPr="00707C99">
        <w:rPr>
          <w:rStyle w:val="FootnoteReference"/>
        </w:rPr>
        <w:footnoteRef/>
      </w:r>
      <w:r w:rsidRPr="00707C99">
        <w:tab/>
        <w:t xml:space="preserve">Si veda il documento del 2 marzo 2022, </w:t>
      </w:r>
      <w:hyperlink r:id="rId9" w:history="1">
        <w:r w:rsidRPr="00707C99">
          <w:rPr>
            <w:rStyle w:val="Hyperlink"/>
          </w:rPr>
          <w:t>The CLASI and its political, strategic and operational implications - EL PAcCTO</w:t>
        </w:r>
      </w:hyperlink>
      <w:r w:rsidRPr="00707C99">
        <w:t>.</w:t>
      </w:r>
    </w:p>
  </w:footnote>
  <w:footnote w:id="19">
    <w:p w:rsidR="00E4000D" w:rsidRPr="00707C99" w:rsidRDefault="00E4000D" w:rsidP="00453E47">
      <w:pPr>
        <w:pStyle w:val="FootnoteText"/>
        <w:ind w:left="425" w:hanging="425"/>
      </w:pPr>
      <w:r w:rsidRPr="00707C99">
        <w:rPr>
          <w:rStyle w:val="FootnoteReference"/>
        </w:rPr>
        <w:footnoteRef/>
      </w:r>
      <w:r w:rsidRPr="00707C99">
        <w:tab/>
      </w:r>
      <w:r w:rsidRPr="00707C99">
        <w:rPr>
          <w:i/>
          <w:iCs/>
        </w:rPr>
        <w:t>EU Drug Market:</w:t>
      </w:r>
      <w:r w:rsidRPr="00707C99">
        <w:t xml:space="preserve"> </w:t>
      </w:r>
      <w:r w:rsidRPr="00707C99">
        <w:rPr>
          <w:i/>
          <w:iCs/>
        </w:rPr>
        <w:t>Cocaine</w:t>
      </w:r>
      <w:r w:rsidRPr="00707C99">
        <w:t>, disponibile all</w:t>
      </w:r>
      <w:r w:rsidR="00BB6517" w:rsidRPr="00707C99">
        <w:t>'</w:t>
      </w:r>
      <w:r w:rsidRPr="00707C99">
        <w:t xml:space="preserve">indirizzo </w:t>
      </w:r>
      <w:r w:rsidRPr="00707C99">
        <w:rPr>
          <w:i/>
          <w:iCs/>
        </w:rPr>
        <w:t>EU Drug Market:</w:t>
      </w:r>
      <w:r w:rsidRPr="00707C99">
        <w:t xml:space="preserve"> </w:t>
      </w:r>
      <w:r w:rsidRPr="00707C99">
        <w:rPr>
          <w:i/>
          <w:iCs/>
        </w:rPr>
        <w:t>Cocaine</w:t>
      </w:r>
      <w:r w:rsidRPr="00707C99">
        <w:t xml:space="preserve"> </w:t>
      </w:r>
      <w:hyperlink r:id="rId10" w:history="1">
        <w:r w:rsidRPr="00707C99">
          <w:rPr>
            <w:rStyle w:val="Hyperlink"/>
          </w:rPr>
          <w:t>www.emcdda.europa.eu</w:t>
        </w:r>
      </w:hyperlink>
      <w:r w:rsidRPr="00707C99">
        <w:t>.</w:t>
      </w:r>
    </w:p>
  </w:footnote>
  <w:footnote w:id="20">
    <w:p w:rsidR="00E717EB" w:rsidRPr="00707C99" w:rsidRDefault="00E717EB" w:rsidP="00453E47">
      <w:pPr>
        <w:pStyle w:val="FootnoteText"/>
        <w:ind w:left="425" w:hanging="425"/>
      </w:pPr>
      <w:r w:rsidRPr="00707C99">
        <w:rPr>
          <w:rStyle w:val="FootnoteReference"/>
        </w:rPr>
        <w:footnoteRef/>
      </w:r>
      <w:r w:rsidRPr="00707C99">
        <w:tab/>
        <w:t>COM(2020) 605 final del 24 luglio 2020.</w:t>
      </w:r>
    </w:p>
  </w:footnote>
  <w:footnote w:id="21">
    <w:p w:rsidR="0037743B" w:rsidRPr="00707C99" w:rsidRDefault="0037743B" w:rsidP="00453E47">
      <w:pPr>
        <w:pStyle w:val="FootnoteText"/>
        <w:ind w:left="425" w:hanging="425"/>
      </w:pPr>
      <w:r w:rsidRPr="00707C99">
        <w:rPr>
          <w:rStyle w:val="FootnoteReference"/>
        </w:rPr>
        <w:footnoteRef/>
      </w:r>
      <w:r w:rsidRPr="00707C99">
        <w:tab/>
        <w:t>Documento del Consiglio 14178/20 del 18 dicembre 2020.</w:t>
      </w:r>
    </w:p>
  </w:footnote>
  <w:footnote w:id="22">
    <w:p w:rsidR="00C80F00" w:rsidRPr="00707C99" w:rsidRDefault="00C80F00" w:rsidP="00453E47">
      <w:pPr>
        <w:pStyle w:val="FootnoteText"/>
        <w:ind w:left="425" w:hanging="425"/>
      </w:pPr>
      <w:r w:rsidRPr="00707C99">
        <w:rPr>
          <w:rStyle w:val="FootnoteReference"/>
        </w:rPr>
        <w:footnoteRef/>
      </w:r>
      <w:r w:rsidRPr="00707C99">
        <w:tab/>
        <w:t>GU C 272 dell</w:t>
      </w:r>
      <w:r w:rsidR="00BB6517" w:rsidRPr="00707C99">
        <w:t>'</w:t>
      </w:r>
      <w:r w:rsidRPr="00707C99">
        <w:t>8.7.2021, pag. 2.</w:t>
      </w:r>
    </w:p>
  </w:footnote>
  <w:footnote w:id="23">
    <w:p w:rsidR="00E91093" w:rsidRPr="00707C99" w:rsidRDefault="00E91093" w:rsidP="00E91093">
      <w:pPr>
        <w:pStyle w:val="FootnoteText"/>
        <w:ind w:left="425" w:hanging="425"/>
      </w:pPr>
      <w:r w:rsidRPr="00707C99">
        <w:rPr>
          <w:rStyle w:val="FootnoteReference"/>
        </w:rPr>
        <w:footnoteRef/>
      </w:r>
      <w:r w:rsidRPr="00707C99">
        <w:tab/>
        <w:t>Regolamento (UE) 2016/794 del Parlamento europeo e del Consiglio, dell</w:t>
      </w:r>
      <w:r w:rsidR="00BB6517" w:rsidRPr="00707C99">
        <w:t>'</w:t>
      </w:r>
      <w:r w:rsidRPr="00707C99">
        <w:t>11 maggio 2016, che istituisce l</w:t>
      </w:r>
      <w:r w:rsidR="00BB6517" w:rsidRPr="00707C99">
        <w:t>'</w:t>
      </w:r>
      <w:r w:rsidRPr="00707C99">
        <w:t>Agenzia dell</w:t>
      </w:r>
      <w:r w:rsidR="00BB6517" w:rsidRPr="00707C99">
        <w:t>'</w:t>
      </w:r>
      <w:r w:rsidRPr="00707C99">
        <w:t>Unione europea per la cooperazione nell</w:t>
      </w:r>
      <w:r w:rsidR="00BB6517" w:rsidRPr="00707C99">
        <w:t>'</w:t>
      </w:r>
      <w:r w:rsidRPr="00707C99">
        <w:t>attività di contrasto (Europol) e sostituisce e abroga le decisioni del Consiglio 2009/371/GAI, 2009/934/GAI, 2009/935/GAI, 2009/936/GAI e 2009/968/GAI (GU L 135 del 24.5.2016, pag. 53).</w:t>
      </w:r>
    </w:p>
  </w:footnote>
  <w:footnote w:id="24">
    <w:p w:rsidR="00746AC0" w:rsidRPr="00C46480" w:rsidRDefault="00746AC0" w:rsidP="00746AC0">
      <w:pPr>
        <w:pStyle w:val="FootnoteText"/>
        <w:ind w:left="425" w:hanging="425"/>
      </w:pPr>
      <w:r w:rsidRPr="00707C99">
        <w:rPr>
          <w:rStyle w:val="FootnoteReference"/>
        </w:rPr>
        <w:footnoteRef/>
      </w:r>
      <w:r w:rsidRPr="00707C99">
        <w:tab/>
        <w:t>Regolamento (UE) 2022/991 del Parlamento europeo e del Consiglio, dell</w:t>
      </w:r>
      <w:r w:rsidR="00BB6517" w:rsidRPr="00707C99">
        <w:t>'</w:t>
      </w:r>
      <w:r w:rsidRPr="00707C99">
        <w:t>8 giugno 2022, che modifica il regolamento (UE) 2016/794 per quanto riguarda la cooperazione di Europol con le parti private, il trattamento dei dati personali da parte di Europol a sostegno di indagini penali, e il ruolo di Europol in materia di ricerca e innovazione (GU L 169 del 27.6.2022, pag.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E7C30F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E652748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FBAA70E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70E4556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324DD5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05ECA8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A62A6F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C9E4CAB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2"/>
  </w:num>
  <w:num w:numId="12">
    <w:abstractNumId w:val="21"/>
  </w:num>
  <w:num w:numId="13">
    <w:abstractNumId w:val="11"/>
  </w:num>
  <w:num w:numId="14">
    <w:abstractNumId w:val="13"/>
  </w:num>
  <w:num w:numId="15">
    <w:abstractNumId w:val="14"/>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pt-PT" w:vendorID="64" w:dllVersion="6" w:nlCheck="1" w:checkStyle="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pt-PT" w:vendorID="64" w:dllVersion="0" w:nlCheck="1" w:checkStyle="0"/>
  <w:activeWritingStyle w:appName="MSWord" w:lang="en-IE" w:vendorID="64" w:dllVersion="0" w:nlCheck="1" w:checkStyle="0"/>
  <w:activeWritingStyle w:appName="MSWord" w:lang="fr-BE" w:vendorID="64" w:dllVersion="6" w:nlCheck="1" w:checkStyle="0"/>
  <w:activeWritingStyle w:appName="MSWord" w:lang="fr-BE" w:vendorID="64" w:dllVersion="0" w:nlCheck="1" w:checkStyle="0"/>
  <w:activeWritingStyle w:appName="MSWord" w:lang="en-GB" w:vendorID="64" w:dllVersion="131078" w:nlCheck="1" w:checkStyle="1"/>
  <w:activeWritingStyle w:appName="MSWord" w:lang="pt-PT" w:vendorID="64" w:dllVersion="131078" w:nlCheck="1" w:checkStyle="0"/>
  <w:activeWritingStyle w:appName="MSWord" w:lang="en-IE"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it-IT" w:vendorID="64" w:dllVersion="131078" w:nlCheck="1" w:checkStyle="0"/>
  <w:attachedTemplate r:id="rId1"/>
  <w:revisionView w:markup="0"/>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3-08 08:46:13"/>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AAB44398-FD27-44DE-8D2F-5C9252F38849"/>
    <w:docVar w:name="LW_COVERPAGE_TYPE" w:val="1"/>
    <w:docVar w:name="LW_CROSSREFERENCE" w:val="&lt;UNUSED&gt;"/>
    <w:docVar w:name="LW_DocType" w:val="COM"/>
    <w:docVar w:name="LW_EMISSION" w:val="9.3.2023"/>
    <w:docVar w:name="LW_EMISSION_ISODATE" w:val="2023-03-09"/>
    <w:docVar w:name="LW_EMISSION_LOCATION" w:val="BRX"/>
    <w:docVar w:name="LW_EMISSION_PREFIX" w:val="Bruxelles, "/>
    <w:docVar w:name="LW_EMISSION_SUFFIX" w:val=" "/>
    <w:docVar w:name="LW_ID_DOCMODEL" w:val="SG-001"/>
    <w:docVar w:name="LW_ID_DOCSIGNATURE" w:val="SG-001"/>
    <w:docVar w:name="LW_ID_DOCSTRUCTURE" w:val="COM/PL/ORG/NOEEA"/>
    <w:docVar w:name="LW_ID_DOCTYPE" w:val="SG-001"/>
    <w:docVar w:name="LW_ID_STATUT" w:val="SG-001"/>
    <w:docVar w:name="LW_INSERT_EXP.MOTIFS.NEW" w:val="1"/>
    <w:docVar w:name="LW_LANGUE" w:val="IT"/>
    <w:docVar w:name="LW_LEVEL_OF_SENSITIVITY" w:val="Standard treatment"/>
    <w:docVar w:name="LW_NOM.INST" w:val="COMMISSIONE EUROPEA"/>
    <w:docVar w:name="LW_NOM.INST_JOINTDOC" w:val="&lt;EMPTY&gt;"/>
    <w:docVar w:name="LW_PART_NBR" w:val="1"/>
    <w:docVar w:name="LW_PART_NBR_TOTAL" w:val="1"/>
    <w:docVar w:name="LW_REF.II.NEW.CP" w:val="&lt;UNUSED&gt;"/>
    <w:docVar w:name="LW_REF.II.NEW.CP_NUMBER" w:val="&lt;UNUSED&gt;"/>
    <w:docVar w:name="LW_REF.II.NEW.CP_YEAR" w:val="2023"/>
    <w:docVar w:name="LW_REF.INST.NEW" w:val="COM"/>
    <w:docVar w:name="LW_REF.INST.NEW_ADOPTED" w:val="final"/>
    <w:docVar w:name="LW_REF.INST.NEW_TEXT" w:val="(2023) 1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Raccomandazione di"/>
    <w:docVar w:name="LW_SUPERTITRE" w:val="&lt;UNUSED&gt;"/>
    <w:docVar w:name="LW_TITRE.OBJ.CP" w:val="che autorizza l'avvio di negoziati per un accordo tra l'Unione europea e gli Stati Uniti messicani sullo scambio di dati personali tra l'Agenzia dell'Unione europea per la cooperazione nell'attività di contrasto (Europol) e le autorità messicane competenti per la lotta contro le forme gravi di criminalità e il terrorismo"/>
    <w:docVar w:name="LW_TYPE.DOC.CP" w:val="DECISIONE DEL CONSIGLIO"/>
    <w:docVar w:name="LwApiVersions" w:val="LW4CoDe 1.23.2.0; LW 8.0, Build 20211117"/>
  </w:docVars>
  <w:rsids>
    <w:rsidRoot w:val="009F6B2E"/>
    <w:rsid w:val="00002F0E"/>
    <w:rsid w:val="0000546C"/>
    <w:rsid w:val="0000778F"/>
    <w:rsid w:val="00024F5A"/>
    <w:rsid w:val="00025346"/>
    <w:rsid w:val="00030D48"/>
    <w:rsid w:val="00045A80"/>
    <w:rsid w:val="000503AD"/>
    <w:rsid w:val="000556DC"/>
    <w:rsid w:val="00061A11"/>
    <w:rsid w:val="000626A9"/>
    <w:rsid w:val="000A7691"/>
    <w:rsid w:val="000B02F7"/>
    <w:rsid w:val="000B10D0"/>
    <w:rsid w:val="000B3CCE"/>
    <w:rsid w:val="000B7808"/>
    <w:rsid w:val="000C2DF2"/>
    <w:rsid w:val="000C4F17"/>
    <w:rsid w:val="000C534E"/>
    <w:rsid w:val="000D736E"/>
    <w:rsid w:val="000F1FAE"/>
    <w:rsid w:val="001065F5"/>
    <w:rsid w:val="001115B9"/>
    <w:rsid w:val="001238EF"/>
    <w:rsid w:val="00131CB6"/>
    <w:rsid w:val="00160F5F"/>
    <w:rsid w:val="00162680"/>
    <w:rsid w:val="00182656"/>
    <w:rsid w:val="00185D6B"/>
    <w:rsid w:val="00197613"/>
    <w:rsid w:val="001976BB"/>
    <w:rsid w:val="001A2EA8"/>
    <w:rsid w:val="001B5B67"/>
    <w:rsid w:val="001D099A"/>
    <w:rsid w:val="00233DC7"/>
    <w:rsid w:val="00247779"/>
    <w:rsid w:val="00273FF1"/>
    <w:rsid w:val="00274801"/>
    <w:rsid w:val="00285BEE"/>
    <w:rsid w:val="0029422A"/>
    <w:rsid w:val="0029533F"/>
    <w:rsid w:val="002B30AF"/>
    <w:rsid w:val="002B4CF2"/>
    <w:rsid w:val="002C7E81"/>
    <w:rsid w:val="0033344A"/>
    <w:rsid w:val="00357580"/>
    <w:rsid w:val="0037743B"/>
    <w:rsid w:val="0038227A"/>
    <w:rsid w:val="003C1863"/>
    <w:rsid w:val="003D00E7"/>
    <w:rsid w:val="003D5A8D"/>
    <w:rsid w:val="003D6B43"/>
    <w:rsid w:val="003E7393"/>
    <w:rsid w:val="003F6176"/>
    <w:rsid w:val="00405711"/>
    <w:rsid w:val="00416477"/>
    <w:rsid w:val="00421398"/>
    <w:rsid w:val="00423B6F"/>
    <w:rsid w:val="00425C93"/>
    <w:rsid w:val="00425FA5"/>
    <w:rsid w:val="0042648E"/>
    <w:rsid w:val="00426F78"/>
    <w:rsid w:val="0045291B"/>
    <w:rsid w:val="00453E47"/>
    <w:rsid w:val="004764D3"/>
    <w:rsid w:val="0048055E"/>
    <w:rsid w:val="00480A5B"/>
    <w:rsid w:val="004936D2"/>
    <w:rsid w:val="004B46BE"/>
    <w:rsid w:val="004C02B9"/>
    <w:rsid w:val="004C7FB6"/>
    <w:rsid w:val="0052206F"/>
    <w:rsid w:val="005230C4"/>
    <w:rsid w:val="00531AC0"/>
    <w:rsid w:val="00554302"/>
    <w:rsid w:val="005637FC"/>
    <w:rsid w:val="0057074E"/>
    <w:rsid w:val="005827B4"/>
    <w:rsid w:val="00582C25"/>
    <w:rsid w:val="005971BC"/>
    <w:rsid w:val="005A2E54"/>
    <w:rsid w:val="005B1EB6"/>
    <w:rsid w:val="005C1250"/>
    <w:rsid w:val="005D5914"/>
    <w:rsid w:val="005D7CE6"/>
    <w:rsid w:val="005E0085"/>
    <w:rsid w:val="005E4087"/>
    <w:rsid w:val="00611BEE"/>
    <w:rsid w:val="0061369C"/>
    <w:rsid w:val="00642414"/>
    <w:rsid w:val="00643BD1"/>
    <w:rsid w:val="00646ECC"/>
    <w:rsid w:val="00650F40"/>
    <w:rsid w:val="00651367"/>
    <w:rsid w:val="00654D9B"/>
    <w:rsid w:val="00656998"/>
    <w:rsid w:val="00665911"/>
    <w:rsid w:val="006A4804"/>
    <w:rsid w:val="006A6F3B"/>
    <w:rsid w:val="006E738A"/>
    <w:rsid w:val="006F769B"/>
    <w:rsid w:val="00707C99"/>
    <w:rsid w:val="007142FB"/>
    <w:rsid w:val="00714567"/>
    <w:rsid w:val="00746AC0"/>
    <w:rsid w:val="0076269F"/>
    <w:rsid w:val="007704E0"/>
    <w:rsid w:val="0077199F"/>
    <w:rsid w:val="00773331"/>
    <w:rsid w:val="007828C0"/>
    <w:rsid w:val="00784099"/>
    <w:rsid w:val="00785B2A"/>
    <w:rsid w:val="00792A6C"/>
    <w:rsid w:val="007932EF"/>
    <w:rsid w:val="00794382"/>
    <w:rsid w:val="007A4271"/>
    <w:rsid w:val="007A7FA8"/>
    <w:rsid w:val="007E05B0"/>
    <w:rsid w:val="007E64A9"/>
    <w:rsid w:val="008060E3"/>
    <w:rsid w:val="0081216F"/>
    <w:rsid w:val="00815FE0"/>
    <w:rsid w:val="00823440"/>
    <w:rsid w:val="00831B13"/>
    <w:rsid w:val="0083200F"/>
    <w:rsid w:val="00852BB2"/>
    <w:rsid w:val="00874D22"/>
    <w:rsid w:val="00891363"/>
    <w:rsid w:val="008A2914"/>
    <w:rsid w:val="008D1D32"/>
    <w:rsid w:val="008E4D8E"/>
    <w:rsid w:val="008F3E70"/>
    <w:rsid w:val="008F688D"/>
    <w:rsid w:val="008F7897"/>
    <w:rsid w:val="00903604"/>
    <w:rsid w:val="00910041"/>
    <w:rsid w:val="009355CC"/>
    <w:rsid w:val="009373D2"/>
    <w:rsid w:val="0094138D"/>
    <w:rsid w:val="009447B2"/>
    <w:rsid w:val="00947B99"/>
    <w:rsid w:val="009532D4"/>
    <w:rsid w:val="00961997"/>
    <w:rsid w:val="009638DD"/>
    <w:rsid w:val="0098281C"/>
    <w:rsid w:val="009924FC"/>
    <w:rsid w:val="009A1D39"/>
    <w:rsid w:val="009A4469"/>
    <w:rsid w:val="009B0C43"/>
    <w:rsid w:val="009B3B6B"/>
    <w:rsid w:val="009B429F"/>
    <w:rsid w:val="009B5AE3"/>
    <w:rsid w:val="009C3A8D"/>
    <w:rsid w:val="009C4144"/>
    <w:rsid w:val="009C4AC6"/>
    <w:rsid w:val="009D0BA5"/>
    <w:rsid w:val="009F6B2E"/>
    <w:rsid w:val="00A01181"/>
    <w:rsid w:val="00A02AD9"/>
    <w:rsid w:val="00A1498A"/>
    <w:rsid w:val="00A16585"/>
    <w:rsid w:val="00A36EBF"/>
    <w:rsid w:val="00A43EB3"/>
    <w:rsid w:val="00A50405"/>
    <w:rsid w:val="00A52093"/>
    <w:rsid w:val="00A91FD1"/>
    <w:rsid w:val="00AE66B0"/>
    <w:rsid w:val="00AF05A4"/>
    <w:rsid w:val="00B02D65"/>
    <w:rsid w:val="00B33F0C"/>
    <w:rsid w:val="00B34B85"/>
    <w:rsid w:val="00B355D9"/>
    <w:rsid w:val="00B6663E"/>
    <w:rsid w:val="00B74235"/>
    <w:rsid w:val="00B759EF"/>
    <w:rsid w:val="00BB6517"/>
    <w:rsid w:val="00BB67F3"/>
    <w:rsid w:val="00BD5455"/>
    <w:rsid w:val="00C07628"/>
    <w:rsid w:val="00C12301"/>
    <w:rsid w:val="00C16E74"/>
    <w:rsid w:val="00C46480"/>
    <w:rsid w:val="00C6378F"/>
    <w:rsid w:val="00C80F00"/>
    <w:rsid w:val="00C84382"/>
    <w:rsid w:val="00C877D8"/>
    <w:rsid w:val="00CA733E"/>
    <w:rsid w:val="00CA7626"/>
    <w:rsid w:val="00CC5557"/>
    <w:rsid w:val="00CE1712"/>
    <w:rsid w:val="00CE322E"/>
    <w:rsid w:val="00CF2BB0"/>
    <w:rsid w:val="00D20381"/>
    <w:rsid w:val="00D21D11"/>
    <w:rsid w:val="00D35944"/>
    <w:rsid w:val="00D55ECD"/>
    <w:rsid w:val="00D56B41"/>
    <w:rsid w:val="00D673B2"/>
    <w:rsid w:val="00D72390"/>
    <w:rsid w:val="00D97B71"/>
    <w:rsid w:val="00DA3AF9"/>
    <w:rsid w:val="00DB0B63"/>
    <w:rsid w:val="00DB2922"/>
    <w:rsid w:val="00DC086E"/>
    <w:rsid w:val="00DC69DA"/>
    <w:rsid w:val="00DD619F"/>
    <w:rsid w:val="00DE533F"/>
    <w:rsid w:val="00DF5F85"/>
    <w:rsid w:val="00E01622"/>
    <w:rsid w:val="00E17AE3"/>
    <w:rsid w:val="00E17E63"/>
    <w:rsid w:val="00E36B75"/>
    <w:rsid w:val="00E4000D"/>
    <w:rsid w:val="00E45DD0"/>
    <w:rsid w:val="00E6593E"/>
    <w:rsid w:val="00E66D70"/>
    <w:rsid w:val="00E717EB"/>
    <w:rsid w:val="00E768A7"/>
    <w:rsid w:val="00E86D31"/>
    <w:rsid w:val="00E91093"/>
    <w:rsid w:val="00E931A0"/>
    <w:rsid w:val="00E94F79"/>
    <w:rsid w:val="00EB7381"/>
    <w:rsid w:val="00EF270E"/>
    <w:rsid w:val="00F26DCD"/>
    <w:rsid w:val="00F50CBE"/>
    <w:rsid w:val="00F6144C"/>
    <w:rsid w:val="00F96C5F"/>
    <w:rsid w:val="00FB2B58"/>
    <w:rsid w:val="00FC38F8"/>
    <w:rsid w:val="00FD742C"/>
    <w:rsid w:val="00FE4BAA"/>
    <w:rsid w:val="00FF3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docId w15:val="{23C64C1A-996F-4AB1-901D-77F72A6E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it-IT"/>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7"/>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7"/>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1">
    <w:name w:val="Footnote|1_"/>
    <w:basedOn w:val="DefaultParagraphFont"/>
    <w:link w:val="Footnote10"/>
    <w:rsid w:val="009F6B2E"/>
    <w:rPr>
      <w:sz w:val="20"/>
      <w:szCs w:val="20"/>
    </w:rPr>
  </w:style>
  <w:style w:type="character" w:customStyle="1" w:styleId="Bodytext1">
    <w:name w:val="Body text|1_"/>
    <w:basedOn w:val="DefaultParagraphFont"/>
    <w:link w:val="Bodytext10"/>
    <w:rsid w:val="009F6B2E"/>
  </w:style>
  <w:style w:type="paragraph" w:customStyle="1" w:styleId="Footnote10">
    <w:name w:val="Footnote|1"/>
    <w:basedOn w:val="Normal"/>
    <w:link w:val="Footnote1"/>
    <w:rsid w:val="009F6B2E"/>
    <w:pPr>
      <w:widowControl w:val="0"/>
      <w:spacing w:before="0" w:after="0"/>
      <w:ind w:firstLine="740"/>
      <w:jc w:val="left"/>
    </w:pPr>
    <w:rPr>
      <w:rFonts w:asciiTheme="minorHAnsi" w:hAnsiTheme="minorHAnsi" w:cstheme="minorBidi"/>
      <w:sz w:val="20"/>
      <w:szCs w:val="20"/>
    </w:rPr>
  </w:style>
  <w:style w:type="paragraph" w:customStyle="1" w:styleId="Bodytext10">
    <w:name w:val="Body text|1"/>
    <w:basedOn w:val="Normal"/>
    <w:link w:val="Bodytext1"/>
    <w:rsid w:val="009F6B2E"/>
    <w:pPr>
      <w:widowControl w:val="0"/>
      <w:spacing w:before="0"/>
      <w:jc w:val="left"/>
    </w:pPr>
    <w:rPr>
      <w:rFonts w:asciiTheme="minorHAnsi" w:hAnsiTheme="minorHAnsi" w:cstheme="minorBidi"/>
      <w:sz w:val="22"/>
    </w:rPr>
  </w:style>
  <w:style w:type="character" w:styleId="CommentReference">
    <w:name w:val="annotation reference"/>
    <w:basedOn w:val="DefaultParagraphFont"/>
    <w:uiPriority w:val="99"/>
    <w:semiHidden/>
    <w:unhideWhenUsed/>
    <w:rsid w:val="009F6B2E"/>
    <w:rPr>
      <w:sz w:val="16"/>
      <w:szCs w:val="16"/>
    </w:rPr>
  </w:style>
  <w:style w:type="paragraph" w:styleId="CommentText">
    <w:name w:val="annotation text"/>
    <w:basedOn w:val="Normal"/>
    <w:link w:val="CommentTextChar"/>
    <w:uiPriority w:val="99"/>
    <w:unhideWhenUsed/>
    <w:rsid w:val="009F6B2E"/>
    <w:pPr>
      <w:widowControl w:val="0"/>
      <w:spacing w:before="0" w:after="0"/>
      <w:jc w:val="left"/>
    </w:pPr>
    <w:rPr>
      <w:rFonts w:eastAsia="Times New Roman"/>
      <w:color w:val="000000"/>
      <w:sz w:val="20"/>
      <w:szCs w:val="20"/>
      <w:lang w:eastAsia="hr-HR" w:bidi="hr-HR"/>
    </w:rPr>
  </w:style>
  <w:style w:type="character" w:customStyle="1" w:styleId="CommentTextChar">
    <w:name w:val="Comment Text Char"/>
    <w:basedOn w:val="DefaultParagraphFont"/>
    <w:link w:val="CommentText"/>
    <w:uiPriority w:val="99"/>
    <w:rsid w:val="009F6B2E"/>
    <w:rPr>
      <w:rFonts w:ascii="Times New Roman" w:eastAsia="Times New Roman" w:hAnsi="Times New Roman" w:cs="Times New Roman"/>
      <w:color w:val="000000"/>
      <w:sz w:val="20"/>
      <w:szCs w:val="20"/>
      <w:lang w:val="it-IT" w:eastAsia="hr-HR" w:bidi="hr-HR"/>
    </w:rPr>
  </w:style>
  <w:style w:type="paragraph" w:customStyle="1" w:styleId="Default">
    <w:name w:val="Default"/>
    <w:rsid w:val="009F6B2E"/>
    <w:pPr>
      <w:autoSpaceDE w:val="0"/>
      <w:autoSpaceDN w:val="0"/>
      <w:adjustRightInd w:val="0"/>
      <w:spacing w:after="0" w:line="240" w:lineRule="auto"/>
    </w:pPr>
    <w:rPr>
      <w:rFonts w:ascii="Verdana" w:eastAsia="Times New Roman" w:hAnsi="Verdana" w:cs="Verdana"/>
      <w:color w:val="000000"/>
      <w:sz w:val="24"/>
      <w:szCs w:val="24"/>
      <w:lang w:eastAsia="hr-HR"/>
    </w:rPr>
  </w:style>
  <w:style w:type="paragraph" w:styleId="BalloonText">
    <w:name w:val="Balloon Text"/>
    <w:basedOn w:val="Normal"/>
    <w:link w:val="BalloonTextChar"/>
    <w:uiPriority w:val="99"/>
    <w:semiHidden/>
    <w:unhideWhenUsed/>
    <w:rsid w:val="009F6B2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B2E"/>
    <w:rPr>
      <w:rFonts w:ascii="Segoe UI" w:hAnsi="Segoe UI" w:cs="Segoe UI"/>
      <w:sz w:val="18"/>
      <w:szCs w:val="18"/>
      <w:lang w:val="it-IT"/>
    </w:rPr>
  </w:style>
  <w:style w:type="paragraph" w:styleId="CommentSubject">
    <w:name w:val="annotation subject"/>
    <w:basedOn w:val="CommentText"/>
    <w:next w:val="CommentText"/>
    <w:link w:val="CommentSubjectChar"/>
    <w:uiPriority w:val="99"/>
    <w:semiHidden/>
    <w:unhideWhenUsed/>
    <w:rsid w:val="009F6B2E"/>
    <w:pPr>
      <w:widowControl/>
      <w:spacing w:before="120" w:after="120"/>
      <w:jc w:val="both"/>
    </w:pPr>
    <w:rPr>
      <w:rFonts w:eastAsiaTheme="minorHAnsi"/>
      <w:b/>
      <w:bCs/>
      <w:color w:val="auto"/>
      <w:lang w:eastAsia="en-US" w:bidi="ar-SA"/>
    </w:rPr>
  </w:style>
  <w:style w:type="character" w:customStyle="1" w:styleId="CommentSubjectChar">
    <w:name w:val="Comment Subject Char"/>
    <w:basedOn w:val="CommentTextChar"/>
    <w:link w:val="CommentSubject"/>
    <w:uiPriority w:val="99"/>
    <w:semiHidden/>
    <w:rsid w:val="009F6B2E"/>
    <w:rPr>
      <w:rFonts w:ascii="Times New Roman" w:eastAsia="Times New Roman" w:hAnsi="Times New Roman" w:cs="Times New Roman"/>
      <w:b/>
      <w:bCs/>
      <w:color w:val="000000"/>
      <w:sz w:val="20"/>
      <w:szCs w:val="20"/>
      <w:lang w:val="it-IT" w:eastAsia="hr-HR" w:bidi="hr-HR"/>
    </w:rPr>
  </w:style>
  <w:style w:type="character" w:styleId="Hyperlink">
    <w:name w:val="Hyperlink"/>
    <w:basedOn w:val="DefaultParagraphFont"/>
    <w:uiPriority w:val="99"/>
    <w:unhideWhenUsed/>
    <w:rsid w:val="00061A11"/>
    <w:rPr>
      <w:color w:val="0000FF" w:themeColor="hyperlink"/>
      <w:u w:val="single"/>
    </w:rPr>
  </w:style>
  <w:style w:type="character" w:customStyle="1" w:styleId="UnresolvedMention1">
    <w:name w:val="Unresolved Mention1"/>
    <w:basedOn w:val="DefaultParagraphFont"/>
    <w:uiPriority w:val="99"/>
    <w:semiHidden/>
    <w:unhideWhenUsed/>
    <w:rsid w:val="00061A11"/>
    <w:rPr>
      <w:color w:val="605E5C"/>
      <w:shd w:val="clear" w:color="auto" w:fill="E1DFDD"/>
    </w:rPr>
  </w:style>
  <w:style w:type="paragraph" w:styleId="ListNumber4">
    <w:name w:val="List Number 4"/>
    <w:basedOn w:val="Normal"/>
    <w:uiPriority w:val="99"/>
    <w:semiHidden/>
    <w:unhideWhenUsed/>
    <w:rsid w:val="00DD619F"/>
    <w:pPr>
      <w:numPr>
        <w:numId w:val="1"/>
      </w:numPr>
      <w:contextualSpacing/>
    </w:pPr>
  </w:style>
  <w:style w:type="paragraph" w:styleId="ListBullet">
    <w:name w:val="List Bullet"/>
    <w:basedOn w:val="Normal"/>
    <w:uiPriority w:val="99"/>
    <w:semiHidden/>
    <w:unhideWhenUsed/>
    <w:rsid w:val="003F6176"/>
    <w:pPr>
      <w:numPr>
        <w:numId w:val="2"/>
      </w:numPr>
      <w:contextualSpacing/>
    </w:pPr>
  </w:style>
  <w:style w:type="paragraph" w:styleId="ListBullet2">
    <w:name w:val="List Bullet 2"/>
    <w:basedOn w:val="Normal"/>
    <w:uiPriority w:val="99"/>
    <w:semiHidden/>
    <w:unhideWhenUsed/>
    <w:rsid w:val="003F6176"/>
    <w:pPr>
      <w:numPr>
        <w:numId w:val="3"/>
      </w:numPr>
      <w:contextualSpacing/>
    </w:pPr>
  </w:style>
  <w:style w:type="paragraph" w:styleId="ListBullet3">
    <w:name w:val="List Bullet 3"/>
    <w:basedOn w:val="Normal"/>
    <w:uiPriority w:val="99"/>
    <w:semiHidden/>
    <w:unhideWhenUsed/>
    <w:rsid w:val="003F6176"/>
    <w:pPr>
      <w:numPr>
        <w:numId w:val="4"/>
      </w:numPr>
      <w:contextualSpacing/>
    </w:pPr>
  </w:style>
  <w:style w:type="paragraph" w:styleId="ListBullet4">
    <w:name w:val="List Bullet 4"/>
    <w:basedOn w:val="Normal"/>
    <w:uiPriority w:val="99"/>
    <w:semiHidden/>
    <w:unhideWhenUsed/>
    <w:rsid w:val="003F6176"/>
    <w:pPr>
      <w:numPr>
        <w:numId w:val="5"/>
      </w:numPr>
      <w:contextualSpacing/>
    </w:pPr>
  </w:style>
  <w:style w:type="paragraph" w:styleId="Revision">
    <w:name w:val="Revision"/>
    <w:hidden/>
    <w:uiPriority w:val="99"/>
    <w:semiHidden/>
    <w:rsid w:val="00A1498A"/>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sid w:val="00E717EB"/>
    <w:rPr>
      <w:color w:val="800080" w:themeColor="followedHyperlink"/>
      <w:u w:val="single"/>
    </w:rPr>
  </w:style>
  <w:style w:type="paragraph" w:styleId="Caption">
    <w:name w:val="caption"/>
    <w:basedOn w:val="Normal"/>
    <w:next w:val="Normal"/>
    <w:uiPriority w:val="35"/>
    <w:semiHidden/>
    <w:unhideWhenUsed/>
    <w:qFormat/>
    <w:rsid w:val="00B355D9"/>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B355D9"/>
    <w:pPr>
      <w:spacing w:after="0"/>
    </w:pPr>
  </w:style>
  <w:style w:type="paragraph" w:styleId="ListNumber">
    <w:name w:val="List Number"/>
    <w:basedOn w:val="Normal"/>
    <w:uiPriority w:val="99"/>
    <w:semiHidden/>
    <w:unhideWhenUsed/>
    <w:rsid w:val="00B355D9"/>
    <w:pPr>
      <w:numPr>
        <w:numId w:val="6"/>
      </w:numPr>
      <w:contextualSpacing/>
    </w:pPr>
  </w:style>
  <w:style w:type="paragraph" w:styleId="ListNumber2">
    <w:name w:val="List Number 2"/>
    <w:basedOn w:val="Normal"/>
    <w:uiPriority w:val="99"/>
    <w:semiHidden/>
    <w:unhideWhenUsed/>
    <w:rsid w:val="00B355D9"/>
    <w:pPr>
      <w:numPr>
        <w:numId w:val="7"/>
      </w:numPr>
      <w:contextualSpacing/>
    </w:pPr>
  </w:style>
  <w:style w:type="paragraph" w:styleId="ListNumber3">
    <w:name w:val="List Number 3"/>
    <w:basedOn w:val="Normal"/>
    <w:uiPriority w:val="99"/>
    <w:semiHidden/>
    <w:unhideWhenUsed/>
    <w:rsid w:val="00B355D9"/>
    <w:pPr>
      <w:numPr>
        <w:numId w:val="8"/>
      </w:numPr>
      <w:contextualSpacing/>
    </w:pPr>
  </w:style>
  <w:style w:type="paragraph" w:styleId="Header">
    <w:name w:val="header"/>
    <w:basedOn w:val="Normal"/>
    <w:link w:val="HeaderChar"/>
    <w:uiPriority w:val="99"/>
    <w:unhideWhenUsed/>
    <w:rsid w:val="000A7691"/>
    <w:pPr>
      <w:tabs>
        <w:tab w:val="center" w:pos="4535"/>
        <w:tab w:val="right" w:pos="9071"/>
      </w:tabs>
      <w:spacing w:before="0"/>
    </w:pPr>
  </w:style>
  <w:style w:type="character" w:customStyle="1" w:styleId="HeaderChar">
    <w:name w:val="Header Char"/>
    <w:basedOn w:val="DefaultParagraphFont"/>
    <w:link w:val="Header"/>
    <w:uiPriority w:val="99"/>
    <w:rsid w:val="000A7691"/>
    <w:rPr>
      <w:rFonts w:ascii="Times New Roman" w:hAnsi="Times New Roman" w:cs="Times New Roman"/>
      <w:sz w:val="24"/>
      <w:lang w:val="it-IT"/>
    </w:rPr>
  </w:style>
  <w:style w:type="paragraph" w:styleId="Footer">
    <w:name w:val="footer"/>
    <w:basedOn w:val="Normal"/>
    <w:link w:val="FooterChar"/>
    <w:uiPriority w:val="99"/>
    <w:unhideWhenUsed/>
    <w:rsid w:val="000A769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A7691"/>
    <w:rPr>
      <w:rFonts w:ascii="Times New Roman" w:hAnsi="Times New Roman" w:cs="Times New Roman"/>
      <w:sz w:val="24"/>
      <w:lang w:val="it-I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it-IT"/>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it-IT"/>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it-IT"/>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it-IT"/>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it-IT"/>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it-IT"/>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it-IT"/>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0A7691"/>
    <w:pPr>
      <w:tabs>
        <w:tab w:val="center" w:pos="7285"/>
        <w:tab w:val="right" w:pos="14003"/>
      </w:tabs>
      <w:spacing w:before="0"/>
    </w:pPr>
  </w:style>
  <w:style w:type="paragraph" w:customStyle="1" w:styleId="FooterLandscape">
    <w:name w:val="FooterLandscape"/>
    <w:basedOn w:val="Normal"/>
    <w:rsid w:val="000A769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0A769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0A7691"/>
    <w:pPr>
      <w:spacing w:before="0"/>
      <w:jc w:val="right"/>
    </w:pPr>
    <w:rPr>
      <w:sz w:val="28"/>
    </w:rPr>
  </w:style>
  <w:style w:type="paragraph" w:customStyle="1" w:styleId="FooterSensitivity">
    <w:name w:val="Footer Sensitivity"/>
    <w:basedOn w:val="Normal"/>
    <w:rsid w:val="000A769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ret5">
    <w:name w:val="Tiret 5"/>
    <w:basedOn w:val="Point5"/>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NumPar5">
    <w:name w:val="NumPar 5"/>
    <w:basedOn w:val="Normal"/>
    <w:next w:val="Text2"/>
    <w:pPr>
      <w:numPr>
        <w:ilvl w:val="4"/>
        <w:numId w:val="16"/>
      </w:numPr>
    </w:pPr>
  </w:style>
  <w:style w:type="paragraph" w:customStyle="1" w:styleId="NumPar6">
    <w:name w:val="NumPar 6"/>
    <w:basedOn w:val="Normal"/>
    <w:next w:val="Text2"/>
    <w:pPr>
      <w:numPr>
        <w:ilvl w:val="5"/>
        <w:numId w:val="16"/>
      </w:numPr>
    </w:pPr>
  </w:style>
  <w:style w:type="paragraph" w:customStyle="1" w:styleId="NumPar7">
    <w:name w:val="NumPar 7"/>
    <w:basedOn w:val="Normal"/>
    <w:next w:val="Text2"/>
    <w:pPr>
      <w:numPr>
        <w:ilvl w:val="6"/>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AE66B0"/>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emcdda.europa.eu" TargetMode="External"/><Relationship Id="rId3" Type="http://schemas.openxmlformats.org/officeDocument/2006/relationships/hyperlink" Target="https://www.emcdda.europa.eu/publications/eu-drug-markets/cocaine/europe-and-global-cocaine-trade_en" TargetMode="External"/><Relationship Id="rId7" Type="http://schemas.openxmlformats.org/officeDocument/2006/relationships/hyperlink" Target="http://www.emcdda.europa.eu" TargetMode="External"/><Relationship Id="rId2" Type="http://schemas.openxmlformats.org/officeDocument/2006/relationships/hyperlink" Target="https://www.emcdda.europa.eu/publications/eu-drug-markets/cocaine/europe-and-global-cocaine-trade_en" TargetMode="External"/><Relationship Id="rId1" Type="http://schemas.openxmlformats.org/officeDocument/2006/relationships/hyperlink" Target="http://www.emcdda.europa.eu" TargetMode="External"/><Relationship Id="rId6" Type="http://schemas.openxmlformats.org/officeDocument/2006/relationships/hyperlink" Target="https://www.europol.europa.eu/publications-events/publications/complexities-and-conveniences-in-international-drug-trade-involvement-of-mexican-criminal-actors-in-eu-drug-market" TargetMode="External"/><Relationship Id="rId5" Type="http://schemas.openxmlformats.org/officeDocument/2006/relationships/hyperlink" Target="https://www.europol.europa.eu/publications-events/publications/complexities-and-conveniences-in-international-drug-trade-involvement-of-mexican-criminal-actors-in-eu-drug-market" TargetMode="External"/><Relationship Id="rId10" Type="http://schemas.openxmlformats.org/officeDocument/2006/relationships/hyperlink" Target="http://www.emcdda.europa.eu" TargetMode="External"/><Relationship Id="rId4" Type="http://schemas.openxmlformats.org/officeDocument/2006/relationships/hyperlink" Target="https://www.europol.europa.eu/publications-events/publications/complexities-and-conveniences-in-international-drug-trade-involvement-of-mexican-criminal-actors-in-eu-drug-market" TargetMode="External"/><Relationship Id="rId9" Type="http://schemas.openxmlformats.org/officeDocument/2006/relationships/hyperlink" Target="https://www.elpaccto.eu/en/espanol-el-clasi-y-sus-implicaciones-a-nivel-politico-estrategico-y-operacion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D8E77-4494-4937-8FC1-C538B4FC3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27</TotalTime>
  <Pages>7</Pages>
  <Words>1962</Words>
  <Characters>11403</Characters>
  <Application>Microsoft Office Word</Application>
  <DocSecurity>0</DocSecurity>
  <Lines>183</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54</cp:revision>
  <dcterms:created xsi:type="dcterms:W3CDTF">2023-02-16T11:19:00Z</dcterms:created>
  <dcterms:modified xsi:type="dcterms:W3CDTF">2023-03-08T07:46:00Z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8.0.25.0</vt:lpwstr>
  </property>
  <property fmtid="{D5CDD505-2E9C-101B-9397-08002B2CF9AE}" pid="4" name="Last edited using">
    <vt:lpwstr>LW 8.1, Build 20230124</vt:lpwstr>
  </property>
  <property fmtid="{D5CDD505-2E9C-101B-9397-08002B2CF9AE}" pid="5" name="Created using">
    <vt:lpwstr>LW 8.1, Build 20220902</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MSIP_Label_6bd9ddd1-4d20-43f6-abfa-fc3c07406f94_Enabled">
    <vt:lpwstr>true</vt:lpwstr>
  </property>
  <property fmtid="{D5CDD505-2E9C-101B-9397-08002B2CF9AE}" pid="11" name="MSIP_Label_6bd9ddd1-4d20-43f6-abfa-fc3c07406f94_SetDate">
    <vt:lpwstr>2023-01-23T13:55:15Z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577d24a5-3b81-4b4f-8dd3-cdeb42c89a5b</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