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3B763" w14:textId="75251B9F" w:rsidR="009F6B2E" w:rsidRPr="004E0679" w:rsidRDefault="00994D09" w:rsidP="00994D09">
      <w:pPr>
        <w:pStyle w:val="Pagedecouverture"/>
        <w:rPr>
          <w:noProof/>
        </w:rPr>
      </w:pPr>
      <w:r>
        <w:rPr>
          <w:noProof/>
        </w:rPr>
        <w:pict w14:anchorId="0BB1D0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alt="4B102C44-D40D-41F2-8B7A-12E80E78C7D7" style="width:455.25pt;height:369.75pt">
            <v:imagedata r:id="rId8" o:title=""/>
          </v:shape>
        </w:pict>
      </w:r>
    </w:p>
    <w:p w14:paraId="00A3B764" w14:textId="77777777" w:rsidR="009F6B2E" w:rsidRPr="004E0679" w:rsidRDefault="009F6B2E" w:rsidP="009F6B2E">
      <w:pPr>
        <w:rPr>
          <w:noProof/>
          <w:szCs w:val="24"/>
        </w:rPr>
        <w:sectPr w:rsidR="009F6B2E" w:rsidRPr="004E0679" w:rsidSect="00994D09">
          <w:footerReference w:type="default" r:id="rId9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14:paraId="00A3B765" w14:textId="77777777" w:rsidR="009F6B2E" w:rsidRPr="004E0679" w:rsidRDefault="009F6B2E" w:rsidP="00BB6B30">
      <w:pPr>
        <w:pStyle w:val="Exposdesmotifstitre"/>
        <w:rPr>
          <w:noProof/>
          <w:szCs w:val="24"/>
        </w:rPr>
      </w:pPr>
      <w:bookmarkStart w:id="0" w:name="_GoBack"/>
      <w:bookmarkEnd w:id="0"/>
      <w:r w:rsidRPr="004E0679">
        <w:rPr>
          <w:noProof/>
        </w:rPr>
        <w:lastRenderedPageBreak/>
        <w:t>UZASADNIENIE</w:t>
      </w:r>
    </w:p>
    <w:p w14:paraId="00A3B766" w14:textId="77777777" w:rsidR="00DD619F" w:rsidRPr="004E0679" w:rsidRDefault="009F6B2E" w:rsidP="00DD619F">
      <w:pPr>
        <w:pStyle w:val="ManualHeading1"/>
        <w:ind w:left="0" w:firstLine="0"/>
        <w:rPr>
          <w:noProof/>
          <w:szCs w:val="24"/>
        </w:rPr>
      </w:pPr>
      <w:r w:rsidRPr="004E0679">
        <w:rPr>
          <w:noProof/>
        </w:rPr>
        <w:t>1.</w:t>
      </w:r>
      <w:r w:rsidRPr="004E0679">
        <w:rPr>
          <w:noProof/>
        </w:rPr>
        <w:tab/>
        <w:t>CEL</w:t>
      </w:r>
    </w:p>
    <w:p w14:paraId="00A3B767" w14:textId="6615BE7D" w:rsidR="00DD619F" w:rsidRPr="004E0679" w:rsidRDefault="00EB7381" w:rsidP="00DD619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  <w:szCs w:val="24"/>
        </w:rPr>
      </w:pPr>
      <w:r w:rsidRPr="004E0679">
        <w:rPr>
          <w:noProof/>
        </w:rPr>
        <w:t>UE powinna rozpocząć rokowania</w:t>
      </w:r>
      <w:r w:rsidR="004E0679" w:rsidRPr="004E0679">
        <w:rPr>
          <w:noProof/>
        </w:rPr>
        <w:t xml:space="preserve"> z</w:t>
      </w:r>
      <w:r w:rsidR="004E0679">
        <w:rPr>
          <w:noProof/>
        </w:rPr>
        <w:t> </w:t>
      </w:r>
      <w:r w:rsidR="004E0679" w:rsidRPr="004E0679">
        <w:rPr>
          <w:noProof/>
        </w:rPr>
        <w:t>Rep</w:t>
      </w:r>
      <w:r w:rsidRPr="004E0679">
        <w:rPr>
          <w:noProof/>
        </w:rPr>
        <w:t>ubliką Peru</w:t>
      </w:r>
      <w:r w:rsidR="004E0679" w:rsidRPr="004E0679">
        <w:rPr>
          <w:noProof/>
        </w:rPr>
        <w:t xml:space="preserve"> w</w:t>
      </w:r>
      <w:r w:rsidR="004E0679">
        <w:rPr>
          <w:noProof/>
        </w:rPr>
        <w:t> </w:t>
      </w:r>
      <w:r w:rsidR="004E0679" w:rsidRPr="004E0679">
        <w:rPr>
          <w:noProof/>
        </w:rPr>
        <w:t>cel</w:t>
      </w:r>
      <w:r w:rsidRPr="004E0679">
        <w:rPr>
          <w:noProof/>
        </w:rPr>
        <w:t>u podpisania</w:t>
      </w:r>
      <w:r w:rsidR="004E0679" w:rsidRPr="004E0679">
        <w:rPr>
          <w:noProof/>
        </w:rPr>
        <w:t xml:space="preserve"> i</w:t>
      </w:r>
      <w:r w:rsidR="004E0679">
        <w:rPr>
          <w:noProof/>
        </w:rPr>
        <w:t> </w:t>
      </w:r>
      <w:r w:rsidR="004E0679" w:rsidRPr="004E0679">
        <w:rPr>
          <w:noProof/>
        </w:rPr>
        <w:t>zaw</w:t>
      </w:r>
      <w:r w:rsidRPr="004E0679">
        <w:rPr>
          <w:noProof/>
        </w:rPr>
        <w:t>arcia umowy umożliwiającej wymianę danych osobowych między Europolem</w:t>
      </w:r>
      <w:r w:rsidR="004E0679" w:rsidRPr="004E0679">
        <w:rPr>
          <w:noProof/>
        </w:rPr>
        <w:t xml:space="preserve"> a</w:t>
      </w:r>
      <w:r w:rsidR="004E0679">
        <w:rPr>
          <w:noProof/>
        </w:rPr>
        <w:t> </w:t>
      </w:r>
      <w:r w:rsidR="004E0679" w:rsidRPr="004E0679">
        <w:rPr>
          <w:noProof/>
        </w:rPr>
        <w:t>org</w:t>
      </w:r>
      <w:r w:rsidRPr="004E0679">
        <w:rPr>
          <w:noProof/>
        </w:rPr>
        <w:t>anami Peru właściwymi do zwalczania poważnej przestępczości</w:t>
      </w:r>
      <w:r w:rsidR="004E0679" w:rsidRPr="004E0679">
        <w:rPr>
          <w:noProof/>
        </w:rPr>
        <w:t xml:space="preserve"> i</w:t>
      </w:r>
      <w:r w:rsidR="004E0679">
        <w:rPr>
          <w:noProof/>
        </w:rPr>
        <w:t> </w:t>
      </w:r>
      <w:r w:rsidR="004E0679" w:rsidRPr="004E0679">
        <w:rPr>
          <w:noProof/>
        </w:rPr>
        <w:t>ter</w:t>
      </w:r>
      <w:r w:rsidRPr="004E0679">
        <w:rPr>
          <w:noProof/>
        </w:rPr>
        <w:t>roryzmu.</w:t>
      </w:r>
    </w:p>
    <w:p w14:paraId="00A3B768" w14:textId="77777777" w:rsidR="009F6B2E" w:rsidRPr="004E0679" w:rsidRDefault="00DD619F" w:rsidP="00BB6B30">
      <w:pPr>
        <w:pStyle w:val="ManualHeading1"/>
        <w:rPr>
          <w:noProof/>
          <w:szCs w:val="24"/>
        </w:rPr>
      </w:pPr>
      <w:r w:rsidRPr="004E0679">
        <w:rPr>
          <w:noProof/>
        </w:rPr>
        <w:t>2.</w:t>
      </w:r>
      <w:r w:rsidRPr="004E0679">
        <w:rPr>
          <w:noProof/>
        </w:rPr>
        <w:tab/>
        <w:t>KONTEKST ZALECENIA</w:t>
      </w:r>
    </w:p>
    <w:p w14:paraId="00A3B769" w14:textId="77777777" w:rsidR="009F6B2E" w:rsidRPr="004E0679" w:rsidRDefault="009F6B2E" w:rsidP="00044058">
      <w:pPr>
        <w:pStyle w:val="ManualHeading2"/>
        <w:rPr>
          <w:rFonts w:eastAsia="Arial Unicode MS"/>
          <w:noProof/>
          <w:szCs w:val="24"/>
        </w:rPr>
      </w:pPr>
      <w:r w:rsidRPr="004E0679">
        <w:rPr>
          <w:noProof/>
        </w:rPr>
        <w:tab/>
      </w:r>
    </w:p>
    <w:p w14:paraId="00A3B76A" w14:textId="51BFA26D" w:rsidR="009F6B2E" w:rsidRPr="004E0679" w:rsidRDefault="009F6B2E" w:rsidP="00DE533F">
      <w:pPr>
        <w:autoSpaceDE w:val="0"/>
        <w:autoSpaceDN w:val="0"/>
        <w:adjustRightInd w:val="0"/>
        <w:rPr>
          <w:noProof/>
          <w:szCs w:val="24"/>
        </w:rPr>
      </w:pPr>
      <w:r w:rsidRPr="004E0679">
        <w:rPr>
          <w:noProof/>
        </w:rPr>
        <w:t>W zglobalizowanym świecie,</w:t>
      </w:r>
      <w:r w:rsidR="004E0679" w:rsidRPr="004E0679">
        <w:rPr>
          <w:noProof/>
        </w:rPr>
        <w:t xml:space="preserve"> w</w:t>
      </w:r>
      <w:r w:rsidR="004E0679">
        <w:rPr>
          <w:noProof/>
        </w:rPr>
        <w:t> </w:t>
      </w:r>
      <w:r w:rsidR="004E0679" w:rsidRPr="004E0679">
        <w:rPr>
          <w:noProof/>
        </w:rPr>
        <w:t>któ</w:t>
      </w:r>
      <w:r w:rsidRPr="004E0679">
        <w:rPr>
          <w:noProof/>
        </w:rPr>
        <w:t>rym poważna przestępczość</w:t>
      </w:r>
      <w:r w:rsidR="004E0679" w:rsidRPr="004E0679">
        <w:rPr>
          <w:noProof/>
        </w:rPr>
        <w:t xml:space="preserve"> i</w:t>
      </w:r>
      <w:r w:rsidR="004E0679">
        <w:rPr>
          <w:noProof/>
        </w:rPr>
        <w:t> </w:t>
      </w:r>
      <w:r w:rsidR="004E0679" w:rsidRPr="004E0679">
        <w:rPr>
          <w:noProof/>
        </w:rPr>
        <w:t>ter</w:t>
      </w:r>
      <w:r w:rsidRPr="004E0679">
        <w:rPr>
          <w:noProof/>
        </w:rPr>
        <w:t>roryzm mają coraz bardziej międzynarodowy</w:t>
      </w:r>
      <w:r w:rsidR="004E0679" w:rsidRPr="004E0679">
        <w:rPr>
          <w:noProof/>
        </w:rPr>
        <w:t xml:space="preserve"> i</w:t>
      </w:r>
      <w:r w:rsidR="004E0679">
        <w:rPr>
          <w:noProof/>
        </w:rPr>
        <w:t> </w:t>
      </w:r>
      <w:r w:rsidR="004E0679" w:rsidRPr="004E0679">
        <w:rPr>
          <w:noProof/>
        </w:rPr>
        <w:t>zło</w:t>
      </w:r>
      <w:r w:rsidRPr="004E0679">
        <w:rPr>
          <w:noProof/>
        </w:rPr>
        <w:t>żony charakter, organy ścigania powinny być</w:t>
      </w:r>
      <w:r w:rsidR="004E0679" w:rsidRPr="004E0679">
        <w:rPr>
          <w:noProof/>
        </w:rPr>
        <w:t xml:space="preserve"> w</w:t>
      </w:r>
      <w:r w:rsidR="004E0679">
        <w:rPr>
          <w:noProof/>
        </w:rPr>
        <w:t> </w:t>
      </w:r>
      <w:r w:rsidR="004E0679" w:rsidRPr="004E0679">
        <w:rPr>
          <w:noProof/>
        </w:rPr>
        <w:t>peł</w:t>
      </w:r>
      <w:r w:rsidRPr="004E0679">
        <w:rPr>
          <w:noProof/>
        </w:rPr>
        <w:t>ni przygotowane do współpracy</w:t>
      </w:r>
      <w:r w:rsidR="004E0679" w:rsidRPr="004E0679">
        <w:rPr>
          <w:noProof/>
        </w:rPr>
        <w:t xml:space="preserve"> z</w:t>
      </w:r>
      <w:r w:rsidR="004E0679">
        <w:rPr>
          <w:noProof/>
        </w:rPr>
        <w:t> </w:t>
      </w:r>
      <w:r w:rsidR="004E0679" w:rsidRPr="004E0679">
        <w:rPr>
          <w:noProof/>
        </w:rPr>
        <w:t>par</w:t>
      </w:r>
      <w:r w:rsidRPr="004E0679">
        <w:rPr>
          <w:noProof/>
        </w:rPr>
        <w:t>tnerami zewnętrznymi, aby móc zapewnić bezpieczeństwo swoich obywateli. Zgodnie ze strategią UE</w:t>
      </w:r>
      <w:r w:rsidR="004E0679" w:rsidRPr="004E0679">
        <w:rPr>
          <w:noProof/>
        </w:rPr>
        <w:t xml:space="preserve"> w</w:t>
      </w:r>
      <w:r w:rsidR="004E0679">
        <w:rPr>
          <w:noProof/>
        </w:rPr>
        <w:t> </w:t>
      </w:r>
      <w:r w:rsidR="004E0679" w:rsidRPr="004E0679">
        <w:rPr>
          <w:noProof/>
        </w:rPr>
        <w:t>zak</w:t>
      </w:r>
      <w:r w:rsidRPr="004E0679">
        <w:rPr>
          <w:noProof/>
        </w:rPr>
        <w:t>resie unii bezpieczeństwa</w:t>
      </w:r>
      <w:r w:rsidRPr="004E0679">
        <w:rPr>
          <w:rStyle w:val="FootnoteReference"/>
          <w:noProof/>
          <w:szCs w:val="24"/>
        </w:rPr>
        <w:footnoteReference w:id="1"/>
      </w:r>
      <w:r w:rsidRPr="004E0679">
        <w:rPr>
          <w:noProof/>
        </w:rPr>
        <w:t xml:space="preserve"> Europol może odgrywać kluczową rolę</w:t>
      </w:r>
      <w:r w:rsidR="004E0679" w:rsidRPr="004E0679">
        <w:rPr>
          <w:noProof/>
        </w:rPr>
        <w:t xml:space="preserve"> w</w:t>
      </w:r>
      <w:r w:rsidR="004E0679">
        <w:rPr>
          <w:noProof/>
        </w:rPr>
        <w:t> </w:t>
      </w:r>
      <w:r w:rsidR="004E0679" w:rsidRPr="004E0679">
        <w:rPr>
          <w:noProof/>
        </w:rPr>
        <w:t>roz</w:t>
      </w:r>
      <w:r w:rsidRPr="004E0679">
        <w:rPr>
          <w:noProof/>
        </w:rPr>
        <w:t>szerzaniu współpracy</w:t>
      </w:r>
      <w:r w:rsidR="004E0679" w:rsidRPr="004E0679">
        <w:rPr>
          <w:noProof/>
        </w:rPr>
        <w:t xml:space="preserve"> z</w:t>
      </w:r>
      <w:r w:rsidR="004E0679">
        <w:rPr>
          <w:noProof/>
        </w:rPr>
        <w:t> </w:t>
      </w:r>
      <w:r w:rsidR="004E0679" w:rsidRPr="004E0679">
        <w:rPr>
          <w:noProof/>
        </w:rPr>
        <w:t>pań</w:t>
      </w:r>
      <w:r w:rsidRPr="004E0679">
        <w:rPr>
          <w:noProof/>
        </w:rPr>
        <w:t>stwami trzecimi</w:t>
      </w:r>
      <w:r w:rsidR="004E0679" w:rsidRPr="004E0679">
        <w:rPr>
          <w:noProof/>
        </w:rPr>
        <w:t xml:space="preserve"> w</w:t>
      </w:r>
      <w:r w:rsidR="004E0679">
        <w:rPr>
          <w:noProof/>
        </w:rPr>
        <w:t> </w:t>
      </w:r>
      <w:r w:rsidR="004E0679" w:rsidRPr="004E0679">
        <w:rPr>
          <w:noProof/>
        </w:rPr>
        <w:t>cel</w:t>
      </w:r>
      <w:r w:rsidRPr="004E0679">
        <w:rPr>
          <w:noProof/>
        </w:rPr>
        <w:t>u zwalczania przestępczości</w:t>
      </w:r>
      <w:r w:rsidR="004E0679" w:rsidRPr="004E0679">
        <w:rPr>
          <w:noProof/>
        </w:rPr>
        <w:t xml:space="preserve"> i</w:t>
      </w:r>
      <w:r w:rsidR="004E0679">
        <w:rPr>
          <w:noProof/>
        </w:rPr>
        <w:t> </w:t>
      </w:r>
      <w:r w:rsidR="004E0679" w:rsidRPr="004E0679">
        <w:rPr>
          <w:noProof/>
        </w:rPr>
        <w:t>ter</w:t>
      </w:r>
      <w:r w:rsidRPr="004E0679">
        <w:rPr>
          <w:noProof/>
        </w:rPr>
        <w:t>roryzmu zgodnie</w:t>
      </w:r>
      <w:r w:rsidR="004E0679" w:rsidRPr="004E0679">
        <w:rPr>
          <w:noProof/>
        </w:rPr>
        <w:t xml:space="preserve"> z</w:t>
      </w:r>
      <w:r w:rsidR="004E0679">
        <w:rPr>
          <w:noProof/>
        </w:rPr>
        <w:t> </w:t>
      </w:r>
      <w:r w:rsidR="004E0679" w:rsidRPr="004E0679">
        <w:rPr>
          <w:noProof/>
        </w:rPr>
        <w:t>inn</w:t>
      </w:r>
      <w:r w:rsidRPr="004E0679">
        <w:rPr>
          <w:noProof/>
        </w:rPr>
        <w:t>ymi strategiami</w:t>
      </w:r>
      <w:r w:rsidR="004E0679" w:rsidRPr="004E0679">
        <w:rPr>
          <w:noProof/>
        </w:rPr>
        <w:t xml:space="preserve"> i</w:t>
      </w:r>
      <w:r w:rsidR="004E0679">
        <w:rPr>
          <w:noProof/>
        </w:rPr>
        <w:t> </w:t>
      </w:r>
      <w:r w:rsidR="004E0679" w:rsidRPr="004E0679">
        <w:rPr>
          <w:noProof/>
        </w:rPr>
        <w:t>nar</w:t>
      </w:r>
      <w:r w:rsidRPr="004E0679">
        <w:rPr>
          <w:noProof/>
        </w:rPr>
        <w:t>zędziami polityki zewnętrznej UE</w:t>
      </w:r>
      <w:r w:rsidR="004E0679" w:rsidRPr="004E0679">
        <w:rPr>
          <w:noProof/>
        </w:rPr>
        <w:t>. W</w:t>
      </w:r>
      <w:r w:rsidR="004E0679">
        <w:rPr>
          <w:noProof/>
        </w:rPr>
        <w:t> </w:t>
      </w:r>
      <w:r w:rsidR="004E0679" w:rsidRPr="004E0679">
        <w:rPr>
          <w:noProof/>
        </w:rPr>
        <w:t>str</w:t>
      </w:r>
      <w:r w:rsidRPr="004E0679">
        <w:rPr>
          <w:noProof/>
        </w:rPr>
        <w:t>ategii UE na rzecz zwalczania przestępczości zorganizowanej</w:t>
      </w:r>
      <w:r w:rsidR="004E0679" w:rsidRPr="004E0679">
        <w:rPr>
          <w:noProof/>
        </w:rPr>
        <w:t xml:space="preserve"> z</w:t>
      </w:r>
      <w:r w:rsidR="004E0679">
        <w:rPr>
          <w:noProof/>
        </w:rPr>
        <w:t> </w:t>
      </w:r>
      <w:r w:rsidR="004E0679" w:rsidRPr="004E0679">
        <w:rPr>
          <w:noProof/>
        </w:rPr>
        <w:t>kwi</w:t>
      </w:r>
      <w:r w:rsidRPr="004E0679">
        <w:rPr>
          <w:noProof/>
        </w:rPr>
        <w:t>etnia 2021</w:t>
      </w:r>
      <w:r w:rsidR="004E0679" w:rsidRPr="004E0679">
        <w:rPr>
          <w:noProof/>
        </w:rPr>
        <w:t> </w:t>
      </w:r>
      <w:r w:rsidRPr="004E0679">
        <w:rPr>
          <w:noProof/>
        </w:rPr>
        <w:t>r. podkreślono pilną potrzebę dalszego rozwoju wywiadu Europolu</w:t>
      </w:r>
      <w:r w:rsidR="004E0679" w:rsidRPr="004E0679">
        <w:rPr>
          <w:noProof/>
        </w:rPr>
        <w:t xml:space="preserve"> w</w:t>
      </w:r>
      <w:r w:rsidR="004E0679">
        <w:rPr>
          <w:noProof/>
        </w:rPr>
        <w:t> </w:t>
      </w:r>
      <w:r w:rsidR="004E0679" w:rsidRPr="004E0679">
        <w:rPr>
          <w:noProof/>
        </w:rPr>
        <w:t>zak</w:t>
      </w:r>
      <w:r w:rsidRPr="004E0679">
        <w:rPr>
          <w:noProof/>
        </w:rPr>
        <w:t>resie poważnej</w:t>
      </w:r>
      <w:r w:rsidR="004E0679" w:rsidRPr="004E0679">
        <w:rPr>
          <w:noProof/>
        </w:rPr>
        <w:t xml:space="preserve"> i</w:t>
      </w:r>
      <w:r w:rsidR="004E0679">
        <w:rPr>
          <w:noProof/>
        </w:rPr>
        <w:t> </w:t>
      </w:r>
      <w:r w:rsidR="004E0679" w:rsidRPr="004E0679">
        <w:rPr>
          <w:noProof/>
        </w:rPr>
        <w:t>zor</w:t>
      </w:r>
      <w:r w:rsidRPr="004E0679">
        <w:rPr>
          <w:noProof/>
        </w:rPr>
        <w:t>ganizowanej przestępczości oraz usprawnienia wymiany informacji</w:t>
      </w:r>
      <w:r w:rsidR="004E0679" w:rsidRPr="004E0679">
        <w:rPr>
          <w:noProof/>
        </w:rPr>
        <w:t xml:space="preserve"> i</w:t>
      </w:r>
      <w:r w:rsidR="004E0679">
        <w:rPr>
          <w:noProof/>
        </w:rPr>
        <w:t> </w:t>
      </w:r>
      <w:r w:rsidR="004E0679" w:rsidRPr="004E0679">
        <w:rPr>
          <w:noProof/>
        </w:rPr>
        <w:t>dzi</w:t>
      </w:r>
      <w:r w:rsidRPr="004E0679">
        <w:rPr>
          <w:noProof/>
        </w:rPr>
        <w:t>ałań</w:t>
      </w:r>
      <w:r w:rsidR="004E0679" w:rsidRPr="004E0679">
        <w:rPr>
          <w:noProof/>
        </w:rPr>
        <w:t xml:space="preserve"> w</w:t>
      </w:r>
      <w:r w:rsidR="004E0679">
        <w:rPr>
          <w:noProof/>
        </w:rPr>
        <w:t> </w:t>
      </w:r>
      <w:r w:rsidR="004E0679" w:rsidRPr="004E0679">
        <w:rPr>
          <w:noProof/>
        </w:rPr>
        <w:t>ram</w:t>
      </w:r>
      <w:r w:rsidRPr="004E0679">
        <w:rPr>
          <w:noProof/>
        </w:rPr>
        <w:t>ach postępowań przygotowawczych z (kolejnymi) państwami trzecimi</w:t>
      </w:r>
      <w:r w:rsidR="004E0679" w:rsidRPr="004E0679">
        <w:rPr>
          <w:noProof/>
        </w:rPr>
        <w:t xml:space="preserve"> i</w:t>
      </w:r>
      <w:r w:rsidR="004E0679">
        <w:rPr>
          <w:noProof/>
        </w:rPr>
        <w:t> </w:t>
      </w:r>
      <w:r w:rsidR="004E0679" w:rsidRPr="004E0679">
        <w:rPr>
          <w:noProof/>
        </w:rPr>
        <w:t>reg</w:t>
      </w:r>
      <w:r w:rsidRPr="004E0679">
        <w:rPr>
          <w:noProof/>
        </w:rPr>
        <w:t>ionami stanowiącymi główne węzły komunikacyjne dla przestępczości zorganizowanej wysokiego ryzyka, mającej wpływ na państwa członkowskie UE</w:t>
      </w:r>
      <w:r w:rsidRPr="004E0679">
        <w:rPr>
          <w:rStyle w:val="FootnoteReference"/>
          <w:noProof/>
          <w:szCs w:val="24"/>
        </w:rPr>
        <w:footnoteReference w:id="2"/>
      </w:r>
      <w:r w:rsidRPr="004E0679">
        <w:rPr>
          <w:noProof/>
        </w:rPr>
        <w:t xml:space="preserve">. </w:t>
      </w:r>
    </w:p>
    <w:p w14:paraId="00A3B76B" w14:textId="59761A78" w:rsidR="00B74235" w:rsidRPr="004E0679" w:rsidRDefault="00DB0B63" w:rsidP="00DB0B63">
      <w:pPr>
        <w:rPr>
          <w:noProof/>
          <w:szCs w:val="24"/>
        </w:rPr>
      </w:pPr>
      <w:r w:rsidRPr="004E0679">
        <w:rPr>
          <w:noProof/>
        </w:rPr>
        <w:t>Dla Europolu współpraca</w:t>
      </w:r>
      <w:r w:rsidR="004E0679" w:rsidRPr="004E0679">
        <w:rPr>
          <w:noProof/>
        </w:rPr>
        <w:t xml:space="preserve"> z</w:t>
      </w:r>
      <w:r w:rsidR="004E0679">
        <w:rPr>
          <w:noProof/>
        </w:rPr>
        <w:t> </w:t>
      </w:r>
      <w:r w:rsidR="004E0679" w:rsidRPr="004E0679">
        <w:rPr>
          <w:noProof/>
        </w:rPr>
        <w:t>pań</w:t>
      </w:r>
      <w:r w:rsidRPr="004E0679">
        <w:rPr>
          <w:noProof/>
        </w:rPr>
        <w:t>stwami trzecimi</w:t>
      </w:r>
      <w:r w:rsidR="004E0679" w:rsidRPr="004E0679">
        <w:rPr>
          <w:noProof/>
        </w:rPr>
        <w:t xml:space="preserve"> i</w:t>
      </w:r>
      <w:r w:rsidR="004E0679">
        <w:rPr>
          <w:noProof/>
        </w:rPr>
        <w:t> </w:t>
      </w:r>
      <w:r w:rsidR="004E0679" w:rsidRPr="004E0679">
        <w:rPr>
          <w:noProof/>
        </w:rPr>
        <w:t>org</w:t>
      </w:r>
      <w:r w:rsidRPr="004E0679">
        <w:rPr>
          <w:noProof/>
        </w:rPr>
        <w:t>anizacjami międzynarodowymi jest niezbędnym warunkiem wsparcia państw członkowskich</w:t>
      </w:r>
      <w:r w:rsidR="004E0679" w:rsidRPr="004E0679">
        <w:rPr>
          <w:noProof/>
        </w:rPr>
        <w:t xml:space="preserve"> w</w:t>
      </w:r>
      <w:r w:rsidR="004E0679">
        <w:rPr>
          <w:noProof/>
        </w:rPr>
        <w:t> </w:t>
      </w:r>
      <w:r w:rsidR="004E0679" w:rsidRPr="004E0679">
        <w:rPr>
          <w:noProof/>
        </w:rPr>
        <w:t>zwa</w:t>
      </w:r>
      <w:r w:rsidRPr="004E0679">
        <w:rPr>
          <w:noProof/>
        </w:rPr>
        <w:t>lczaniu poważnej przestępczości</w:t>
      </w:r>
      <w:r w:rsidR="004E0679" w:rsidRPr="004E0679">
        <w:rPr>
          <w:noProof/>
        </w:rPr>
        <w:t xml:space="preserve"> i</w:t>
      </w:r>
      <w:r w:rsidR="004E0679">
        <w:rPr>
          <w:noProof/>
        </w:rPr>
        <w:t> </w:t>
      </w:r>
      <w:r w:rsidR="004E0679" w:rsidRPr="004E0679">
        <w:rPr>
          <w:noProof/>
        </w:rPr>
        <w:t>ter</w:t>
      </w:r>
      <w:r w:rsidRPr="004E0679">
        <w:rPr>
          <w:noProof/>
        </w:rPr>
        <w:t>roryzmu. Potrzeba zacieśnienia współpracy</w:t>
      </w:r>
      <w:r w:rsidR="004E0679" w:rsidRPr="004E0679">
        <w:rPr>
          <w:noProof/>
        </w:rPr>
        <w:t xml:space="preserve"> z</w:t>
      </w:r>
      <w:r w:rsidR="004E0679">
        <w:rPr>
          <w:noProof/>
        </w:rPr>
        <w:t> </w:t>
      </w:r>
      <w:r w:rsidR="004E0679" w:rsidRPr="004E0679">
        <w:rPr>
          <w:noProof/>
        </w:rPr>
        <w:t>pań</w:t>
      </w:r>
      <w:r w:rsidRPr="004E0679">
        <w:rPr>
          <w:noProof/>
        </w:rPr>
        <w:t>stwami trzecimi jest jeszcze ważniejsza</w:t>
      </w:r>
      <w:r w:rsidR="004E0679" w:rsidRPr="004E0679">
        <w:rPr>
          <w:noProof/>
        </w:rPr>
        <w:t xml:space="preserve"> w</w:t>
      </w:r>
      <w:r w:rsidR="004E0679">
        <w:rPr>
          <w:noProof/>
        </w:rPr>
        <w:t> </w:t>
      </w:r>
      <w:r w:rsidR="004E0679" w:rsidRPr="004E0679">
        <w:rPr>
          <w:noProof/>
        </w:rPr>
        <w:t>świ</w:t>
      </w:r>
      <w:r w:rsidRPr="004E0679">
        <w:rPr>
          <w:noProof/>
        </w:rPr>
        <w:t>etle przygotowanej przez Europol oceny poważnego</w:t>
      </w:r>
      <w:r w:rsidR="004E0679" w:rsidRPr="004E0679">
        <w:rPr>
          <w:noProof/>
        </w:rPr>
        <w:t xml:space="preserve"> i</w:t>
      </w:r>
      <w:r w:rsidR="004E0679">
        <w:rPr>
          <w:noProof/>
        </w:rPr>
        <w:t> </w:t>
      </w:r>
      <w:r w:rsidR="004E0679" w:rsidRPr="004E0679">
        <w:rPr>
          <w:noProof/>
        </w:rPr>
        <w:t>zor</w:t>
      </w:r>
      <w:r w:rsidRPr="004E0679">
        <w:rPr>
          <w:noProof/>
        </w:rPr>
        <w:t>ganizowanego zagrożenia</w:t>
      </w:r>
      <w:r w:rsidR="004E0679" w:rsidRPr="004E0679">
        <w:rPr>
          <w:noProof/>
        </w:rPr>
        <w:t xml:space="preserve"> z</w:t>
      </w:r>
      <w:r w:rsidR="004E0679">
        <w:rPr>
          <w:noProof/>
        </w:rPr>
        <w:t> </w:t>
      </w:r>
      <w:r w:rsidR="004E0679" w:rsidRPr="004E0679">
        <w:rPr>
          <w:noProof/>
        </w:rPr>
        <w:t>2</w:t>
      </w:r>
      <w:r w:rsidRPr="004E0679">
        <w:rPr>
          <w:noProof/>
        </w:rPr>
        <w:t>021</w:t>
      </w:r>
      <w:r w:rsidR="004E0679" w:rsidRPr="004E0679">
        <w:rPr>
          <w:noProof/>
        </w:rPr>
        <w:t> </w:t>
      </w:r>
      <w:r w:rsidRPr="004E0679">
        <w:rPr>
          <w:noProof/>
        </w:rPr>
        <w:t>r. Przykładowo</w:t>
      </w:r>
      <w:r w:rsidR="004E0679" w:rsidRPr="004E0679">
        <w:rPr>
          <w:noProof/>
        </w:rPr>
        <w:t xml:space="preserve"> w</w:t>
      </w:r>
      <w:r w:rsidR="004E0679">
        <w:rPr>
          <w:noProof/>
        </w:rPr>
        <w:t> </w:t>
      </w:r>
      <w:r w:rsidR="004E0679" w:rsidRPr="004E0679">
        <w:rPr>
          <w:noProof/>
        </w:rPr>
        <w:t>oce</w:t>
      </w:r>
      <w:r w:rsidRPr="004E0679">
        <w:rPr>
          <w:noProof/>
        </w:rPr>
        <w:t>nie tej stwierdzono, że siatki przestępcze</w:t>
      </w:r>
      <w:r w:rsidR="004E0679" w:rsidRPr="004E0679">
        <w:rPr>
          <w:noProof/>
        </w:rPr>
        <w:t xml:space="preserve"> z</w:t>
      </w:r>
      <w:r w:rsidR="004E0679">
        <w:rPr>
          <w:noProof/>
        </w:rPr>
        <w:t> </w:t>
      </w:r>
      <w:r w:rsidR="004E0679" w:rsidRPr="004E0679">
        <w:rPr>
          <w:noProof/>
        </w:rPr>
        <w:t>Ame</w:t>
      </w:r>
      <w:r w:rsidRPr="004E0679">
        <w:rPr>
          <w:noProof/>
        </w:rPr>
        <w:t>ryki Łacińskiej będą nadal współpracować ze zorganizowanymi grupami przestępczymi</w:t>
      </w:r>
      <w:r w:rsidR="004E0679" w:rsidRPr="004E0679">
        <w:rPr>
          <w:noProof/>
        </w:rPr>
        <w:t xml:space="preserve"> w</w:t>
      </w:r>
      <w:r w:rsidR="004E0679">
        <w:rPr>
          <w:noProof/>
        </w:rPr>
        <w:t> </w:t>
      </w:r>
      <w:r w:rsidR="004E0679" w:rsidRPr="004E0679">
        <w:rPr>
          <w:noProof/>
        </w:rPr>
        <w:t>Uni</w:t>
      </w:r>
      <w:r w:rsidRPr="004E0679">
        <w:rPr>
          <w:noProof/>
        </w:rPr>
        <w:t>i Europejskiej</w:t>
      </w:r>
      <w:r w:rsidR="004E0679" w:rsidRPr="004E0679">
        <w:rPr>
          <w:noProof/>
        </w:rPr>
        <w:t xml:space="preserve"> w</w:t>
      </w:r>
      <w:r w:rsidR="004E0679">
        <w:rPr>
          <w:noProof/>
        </w:rPr>
        <w:t> </w:t>
      </w:r>
      <w:r w:rsidR="004E0679" w:rsidRPr="004E0679">
        <w:rPr>
          <w:noProof/>
        </w:rPr>
        <w:t>zak</w:t>
      </w:r>
      <w:r w:rsidRPr="004E0679">
        <w:rPr>
          <w:noProof/>
        </w:rPr>
        <w:t xml:space="preserve">resie handlu narkotykami. </w:t>
      </w:r>
    </w:p>
    <w:p w14:paraId="00A3B76C" w14:textId="368854DD" w:rsidR="00DB0B63" w:rsidRPr="004E0679" w:rsidRDefault="00DB0B63" w:rsidP="00DB0B63">
      <w:pPr>
        <w:rPr>
          <w:noProof/>
          <w:szCs w:val="24"/>
        </w:rPr>
      </w:pPr>
      <w:r w:rsidRPr="004E0679">
        <w:rPr>
          <w:noProof/>
        </w:rPr>
        <w:t>O ile jest to konieczne do wykonania jego zadań, Europol może nawiązywać</w:t>
      </w:r>
      <w:r w:rsidR="004E0679" w:rsidRPr="004E0679">
        <w:rPr>
          <w:noProof/>
        </w:rPr>
        <w:t xml:space="preserve"> i</w:t>
      </w:r>
      <w:r w:rsidR="004E0679">
        <w:rPr>
          <w:noProof/>
        </w:rPr>
        <w:t> </w:t>
      </w:r>
      <w:r w:rsidR="004E0679" w:rsidRPr="004E0679">
        <w:rPr>
          <w:noProof/>
        </w:rPr>
        <w:t>utr</w:t>
      </w:r>
      <w:r w:rsidRPr="004E0679">
        <w:rPr>
          <w:noProof/>
        </w:rPr>
        <w:t>zymywać współpracę</w:t>
      </w:r>
      <w:r w:rsidR="004E0679" w:rsidRPr="004E0679">
        <w:rPr>
          <w:noProof/>
        </w:rPr>
        <w:t xml:space="preserve"> z</w:t>
      </w:r>
      <w:r w:rsidR="004E0679">
        <w:rPr>
          <w:noProof/>
        </w:rPr>
        <w:t> </w:t>
      </w:r>
      <w:r w:rsidR="004E0679" w:rsidRPr="004E0679">
        <w:rPr>
          <w:noProof/>
        </w:rPr>
        <w:t>par</w:t>
      </w:r>
      <w:r w:rsidRPr="004E0679">
        <w:rPr>
          <w:noProof/>
        </w:rPr>
        <w:t>tnerami międzynarodowymi na podstawie uzgodnień roboczych</w:t>
      </w:r>
      <w:r w:rsidR="004E0679" w:rsidRPr="004E0679">
        <w:rPr>
          <w:noProof/>
        </w:rPr>
        <w:t xml:space="preserve"> i</w:t>
      </w:r>
      <w:r w:rsidR="004E0679">
        <w:rPr>
          <w:noProof/>
        </w:rPr>
        <w:t> </w:t>
      </w:r>
      <w:r w:rsidR="004E0679" w:rsidRPr="004E0679">
        <w:rPr>
          <w:noProof/>
        </w:rPr>
        <w:t>adm</w:t>
      </w:r>
      <w:r w:rsidRPr="004E0679">
        <w:rPr>
          <w:noProof/>
        </w:rPr>
        <w:t>inistracyjnych, które same</w:t>
      </w:r>
      <w:r w:rsidR="004E0679" w:rsidRPr="004E0679">
        <w:rPr>
          <w:noProof/>
        </w:rPr>
        <w:t xml:space="preserve"> w</w:t>
      </w:r>
      <w:r w:rsidR="004E0679">
        <w:rPr>
          <w:noProof/>
        </w:rPr>
        <w:t> </w:t>
      </w:r>
      <w:r w:rsidR="004E0679" w:rsidRPr="004E0679">
        <w:rPr>
          <w:noProof/>
        </w:rPr>
        <w:t>sob</w:t>
      </w:r>
      <w:r w:rsidRPr="004E0679">
        <w:rPr>
          <w:noProof/>
        </w:rPr>
        <w:t>ie nie stanowią podstawy prawnej do wymiany danych osobowych</w:t>
      </w:r>
      <w:r w:rsidR="004E0679" w:rsidRPr="004E0679">
        <w:rPr>
          <w:noProof/>
        </w:rPr>
        <w:t>. W</w:t>
      </w:r>
      <w:r w:rsidR="004E0679">
        <w:rPr>
          <w:noProof/>
        </w:rPr>
        <w:t> </w:t>
      </w:r>
      <w:r w:rsidR="004E0679" w:rsidRPr="004E0679">
        <w:rPr>
          <w:noProof/>
        </w:rPr>
        <w:t>prz</w:t>
      </w:r>
      <w:r w:rsidRPr="004E0679">
        <w:rPr>
          <w:noProof/>
        </w:rPr>
        <w:t>eciwieństwie do umowy międzynarodowej ustalenia takie są czynione przez Europol</w:t>
      </w:r>
      <w:r w:rsidR="004E0679" w:rsidRPr="004E0679">
        <w:rPr>
          <w:noProof/>
        </w:rPr>
        <w:t xml:space="preserve"> i</w:t>
      </w:r>
      <w:r w:rsidR="004E0679">
        <w:rPr>
          <w:noProof/>
        </w:rPr>
        <w:t> </w:t>
      </w:r>
      <w:r w:rsidR="004E0679" w:rsidRPr="004E0679">
        <w:rPr>
          <w:noProof/>
        </w:rPr>
        <w:t>nie</w:t>
      </w:r>
      <w:r w:rsidRPr="004E0679">
        <w:rPr>
          <w:noProof/>
        </w:rPr>
        <w:t xml:space="preserve"> są wiążące dla UE ani jej państw członkowskich</w:t>
      </w:r>
      <w:r w:rsidRPr="004E0679">
        <w:rPr>
          <w:rStyle w:val="FootnoteReference"/>
          <w:noProof/>
          <w:szCs w:val="24"/>
        </w:rPr>
        <w:footnoteReference w:id="3"/>
      </w:r>
      <w:r w:rsidRPr="004E0679">
        <w:rPr>
          <w:noProof/>
        </w:rPr>
        <w:t>.</w:t>
      </w:r>
    </w:p>
    <w:p w14:paraId="00A3B76D" w14:textId="15EC9A8B" w:rsidR="00DB0B63" w:rsidRPr="004E0679" w:rsidRDefault="00DB0B63" w:rsidP="00DB0B63">
      <w:pPr>
        <w:rPr>
          <w:noProof/>
          <w:szCs w:val="24"/>
        </w:rPr>
      </w:pPr>
      <w:r w:rsidRPr="004E0679">
        <w:rPr>
          <w:noProof/>
        </w:rPr>
        <w:t>Rozporządzenie Parlamentu Europejskiego</w:t>
      </w:r>
      <w:r w:rsidR="004E0679" w:rsidRPr="004E0679">
        <w:rPr>
          <w:noProof/>
        </w:rPr>
        <w:t xml:space="preserve"> i</w:t>
      </w:r>
      <w:r w:rsidR="004E0679">
        <w:rPr>
          <w:noProof/>
        </w:rPr>
        <w:t> </w:t>
      </w:r>
      <w:r w:rsidR="004E0679" w:rsidRPr="004E0679">
        <w:rPr>
          <w:noProof/>
        </w:rPr>
        <w:t>Rad</w:t>
      </w:r>
      <w:r w:rsidRPr="004E0679">
        <w:rPr>
          <w:noProof/>
        </w:rPr>
        <w:t>y 2016/794</w:t>
      </w:r>
      <w:r w:rsidRPr="004E0679">
        <w:rPr>
          <w:rStyle w:val="FootnoteReference"/>
          <w:noProof/>
          <w:szCs w:val="24"/>
        </w:rPr>
        <w:footnoteReference w:id="4"/>
      </w:r>
      <w:r w:rsidR="004E0679" w:rsidRPr="004E0679">
        <w:rPr>
          <w:noProof/>
        </w:rPr>
        <w:t xml:space="preserve"> z</w:t>
      </w:r>
      <w:r w:rsidR="004E0679">
        <w:rPr>
          <w:noProof/>
        </w:rPr>
        <w:t> </w:t>
      </w:r>
      <w:r w:rsidR="004E0679" w:rsidRPr="004E0679">
        <w:rPr>
          <w:noProof/>
        </w:rPr>
        <w:t>dni</w:t>
      </w:r>
      <w:r w:rsidRPr="004E0679">
        <w:rPr>
          <w:noProof/>
        </w:rPr>
        <w:t>a 11 maja 2016</w:t>
      </w:r>
      <w:r w:rsidR="004E0679" w:rsidRPr="004E0679">
        <w:rPr>
          <w:noProof/>
        </w:rPr>
        <w:t> </w:t>
      </w:r>
      <w:r w:rsidRPr="004E0679">
        <w:rPr>
          <w:noProof/>
        </w:rPr>
        <w:t>r. zmieniło ramy prawne wymiany danych osobowych między Europolem</w:t>
      </w:r>
      <w:r w:rsidR="004E0679" w:rsidRPr="004E0679">
        <w:rPr>
          <w:noProof/>
        </w:rPr>
        <w:t xml:space="preserve"> a</w:t>
      </w:r>
      <w:r w:rsidR="004E0679">
        <w:rPr>
          <w:noProof/>
        </w:rPr>
        <w:t> </w:t>
      </w:r>
      <w:r w:rsidR="004E0679" w:rsidRPr="004E0679">
        <w:rPr>
          <w:noProof/>
        </w:rPr>
        <w:t>pań</w:t>
      </w:r>
      <w:r w:rsidRPr="004E0679">
        <w:rPr>
          <w:noProof/>
        </w:rPr>
        <w:t>stwami trzecimi. Od czasu wejścia</w:t>
      </w:r>
      <w:r w:rsidR="004E0679" w:rsidRPr="004E0679">
        <w:rPr>
          <w:noProof/>
        </w:rPr>
        <w:t xml:space="preserve"> w</w:t>
      </w:r>
      <w:r w:rsidR="004E0679">
        <w:rPr>
          <w:noProof/>
        </w:rPr>
        <w:t> </w:t>
      </w:r>
      <w:r w:rsidR="004E0679" w:rsidRPr="004E0679">
        <w:rPr>
          <w:noProof/>
        </w:rPr>
        <w:t>życ</w:t>
      </w:r>
      <w:r w:rsidRPr="004E0679">
        <w:rPr>
          <w:noProof/>
        </w:rPr>
        <w:t>ie tego rozporządzenia 1 maja 2017</w:t>
      </w:r>
      <w:r w:rsidR="004E0679" w:rsidRPr="004E0679">
        <w:rPr>
          <w:noProof/>
        </w:rPr>
        <w:t> </w:t>
      </w:r>
      <w:r w:rsidRPr="004E0679">
        <w:rPr>
          <w:noProof/>
        </w:rPr>
        <w:t>r. kompetencje do zawierania umów międzynarodowych między Europolem</w:t>
      </w:r>
      <w:r w:rsidR="004E0679" w:rsidRPr="004E0679">
        <w:rPr>
          <w:noProof/>
        </w:rPr>
        <w:t xml:space="preserve"> a</w:t>
      </w:r>
      <w:r w:rsidR="004E0679">
        <w:rPr>
          <w:noProof/>
        </w:rPr>
        <w:t> </w:t>
      </w:r>
      <w:r w:rsidR="004E0679" w:rsidRPr="004E0679">
        <w:rPr>
          <w:noProof/>
        </w:rPr>
        <w:t>pań</w:t>
      </w:r>
      <w:r w:rsidRPr="004E0679">
        <w:rPr>
          <w:noProof/>
        </w:rPr>
        <w:t>stwami trzecimi zostały przekazane Unii działającej na mocy art.</w:t>
      </w:r>
      <w:r w:rsidR="004E0679" w:rsidRPr="004E0679">
        <w:rPr>
          <w:noProof/>
        </w:rPr>
        <w:t> </w:t>
      </w:r>
      <w:r w:rsidRPr="004E0679">
        <w:rPr>
          <w:noProof/>
        </w:rPr>
        <w:t>218 Traktatu</w:t>
      </w:r>
      <w:r w:rsidR="004E0679" w:rsidRPr="004E0679">
        <w:rPr>
          <w:noProof/>
        </w:rPr>
        <w:t xml:space="preserve"> o</w:t>
      </w:r>
      <w:r w:rsidR="004E0679">
        <w:rPr>
          <w:noProof/>
        </w:rPr>
        <w:t> </w:t>
      </w:r>
      <w:r w:rsidR="004E0679" w:rsidRPr="004E0679">
        <w:rPr>
          <w:noProof/>
        </w:rPr>
        <w:t>fun</w:t>
      </w:r>
      <w:r w:rsidRPr="004E0679">
        <w:rPr>
          <w:noProof/>
        </w:rPr>
        <w:t>kcjonowaniu Unii Europejskiej (TFUE)</w:t>
      </w:r>
      <w:r w:rsidRPr="004E0679">
        <w:rPr>
          <w:rStyle w:val="FootnoteReference"/>
          <w:noProof/>
          <w:szCs w:val="24"/>
        </w:rPr>
        <w:footnoteReference w:id="5"/>
      </w:r>
      <w:r w:rsidRPr="004E0679">
        <w:rPr>
          <w:noProof/>
        </w:rPr>
        <w:t>. Na wniosek Komisji Rada przyjęła już dziewięć upoważnień do prowadzenia rokowań</w:t>
      </w:r>
      <w:r w:rsidR="004E0679" w:rsidRPr="004E0679">
        <w:rPr>
          <w:noProof/>
        </w:rPr>
        <w:t xml:space="preserve"> z</w:t>
      </w:r>
      <w:r w:rsidR="004E0679">
        <w:rPr>
          <w:noProof/>
        </w:rPr>
        <w:t> </w:t>
      </w:r>
      <w:r w:rsidR="004E0679" w:rsidRPr="004E0679">
        <w:rPr>
          <w:noProof/>
        </w:rPr>
        <w:t>pań</w:t>
      </w:r>
      <w:r w:rsidRPr="004E0679">
        <w:rPr>
          <w:noProof/>
        </w:rPr>
        <w:t>stwami trzecimi</w:t>
      </w:r>
      <w:r w:rsidRPr="004E0679">
        <w:rPr>
          <w:rStyle w:val="FootnoteReference"/>
          <w:noProof/>
          <w:szCs w:val="24"/>
        </w:rPr>
        <w:footnoteReference w:id="6"/>
      </w:r>
      <w:r w:rsidRPr="004E0679">
        <w:rPr>
          <w:noProof/>
        </w:rPr>
        <w:t xml:space="preserve"> oraz upoważnienie do rokowań</w:t>
      </w:r>
      <w:r w:rsidR="004E0679" w:rsidRPr="004E0679">
        <w:rPr>
          <w:noProof/>
        </w:rPr>
        <w:t xml:space="preserve"> w</w:t>
      </w:r>
      <w:r w:rsidR="004E0679">
        <w:rPr>
          <w:noProof/>
        </w:rPr>
        <w:t> </w:t>
      </w:r>
      <w:r w:rsidR="004E0679" w:rsidRPr="004E0679">
        <w:rPr>
          <w:noProof/>
        </w:rPr>
        <w:t>spr</w:t>
      </w:r>
      <w:r w:rsidRPr="004E0679">
        <w:rPr>
          <w:noProof/>
        </w:rPr>
        <w:t>awie kompleksowej umowy</w:t>
      </w:r>
      <w:r w:rsidR="004E0679" w:rsidRPr="004E0679">
        <w:rPr>
          <w:noProof/>
        </w:rPr>
        <w:t xml:space="preserve"> z</w:t>
      </w:r>
      <w:r w:rsidR="004E0679">
        <w:rPr>
          <w:noProof/>
        </w:rPr>
        <w:t> </w:t>
      </w:r>
      <w:r w:rsidR="004E0679" w:rsidRPr="004E0679">
        <w:rPr>
          <w:noProof/>
        </w:rPr>
        <w:t>Int</w:t>
      </w:r>
      <w:r w:rsidRPr="004E0679">
        <w:rPr>
          <w:noProof/>
        </w:rPr>
        <w:t>erpolem, która obejmuje również wymianę danych osobowych</w:t>
      </w:r>
      <w:r w:rsidR="004E0679" w:rsidRPr="004E0679">
        <w:rPr>
          <w:noProof/>
        </w:rPr>
        <w:t xml:space="preserve"> z</w:t>
      </w:r>
      <w:r w:rsidR="004E0679">
        <w:rPr>
          <w:noProof/>
        </w:rPr>
        <w:t> </w:t>
      </w:r>
      <w:r w:rsidR="004E0679" w:rsidRPr="004E0679">
        <w:rPr>
          <w:noProof/>
        </w:rPr>
        <w:t>Eur</w:t>
      </w:r>
      <w:r w:rsidRPr="004E0679">
        <w:rPr>
          <w:noProof/>
        </w:rPr>
        <w:t>opolem</w:t>
      </w:r>
      <w:r w:rsidRPr="004E0679">
        <w:rPr>
          <w:rStyle w:val="FootnoteReference"/>
          <w:noProof/>
          <w:szCs w:val="24"/>
        </w:rPr>
        <w:footnoteReference w:id="7"/>
      </w:r>
      <w:r w:rsidRPr="004E0679">
        <w:rPr>
          <w:noProof/>
        </w:rPr>
        <w:t>. Pierwsza umowa została niedawno podpisana</w:t>
      </w:r>
      <w:r w:rsidR="004E0679" w:rsidRPr="004E0679">
        <w:rPr>
          <w:noProof/>
        </w:rPr>
        <w:t xml:space="preserve"> z</w:t>
      </w:r>
      <w:r w:rsidR="004E0679">
        <w:rPr>
          <w:noProof/>
        </w:rPr>
        <w:t> </w:t>
      </w:r>
      <w:r w:rsidR="004E0679" w:rsidRPr="004E0679">
        <w:rPr>
          <w:noProof/>
        </w:rPr>
        <w:t>Now</w:t>
      </w:r>
      <w:r w:rsidRPr="004E0679">
        <w:rPr>
          <w:noProof/>
        </w:rPr>
        <w:t>ą Zelandią</w:t>
      </w:r>
      <w:r w:rsidRPr="004E0679">
        <w:rPr>
          <w:rStyle w:val="FootnoteReference"/>
          <w:noProof/>
          <w:szCs w:val="24"/>
        </w:rPr>
        <w:footnoteReference w:id="8"/>
      </w:r>
      <w:r w:rsidRPr="004E0679">
        <w:rPr>
          <w:noProof/>
        </w:rPr>
        <w:t>.</w:t>
      </w:r>
      <w:r w:rsidRPr="004E0679">
        <w:rPr>
          <w:rStyle w:val="FootnoteReference"/>
          <w:noProof/>
        </w:rPr>
        <w:t xml:space="preserve"> </w:t>
      </w:r>
    </w:p>
    <w:p w14:paraId="00A3B76E" w14:textId="1DB32936" w:rsidR="00813AD8" w:rsidRPr="004E0679" w:rsidRDefault="00F83DAA" w:rsidP="00813AD8">
      <w:pPr>
        <w:rPr>
          <w:noProof/>
          <w:szCs w:val="24"/>
        </w:rPr>
      </w:pPr>
      <w:r w:rsidRPr="004E0679">
        <w:rPr>
          <w:noProof/>
        </w:rPr>
        <w:t>Chociaż niniejsze zalecenie dotyczy konkretnie rokowań</w:t>
      </w:r>
      <w:r w:rsidR="004E0679" w:rsidRPr="004E0679">
        <w:rPr>
          <w:noProof/>
        </w:rPr>
        <w:t xml:space="preserve"> z</w:t>
      </w:r>
      <w:r w:rsidR="004E0679">
        <w:rPr>
          <w:noProof/>
        </w:rPr>
        <w:t> </w:t>
      </w:r>
      <w:r w:rsidR="004E0679" w:rsidRPr="004E0679">
        <w:rPr>
          <w:noProof/>
        </w:rPr>
        <w:t>Per</w:t>
      </w:r>
      <w:r w:rsidRPr="004E0679">
        <w:rPr>
          <w:noProof/>
        </w:rPr>
        <w:t>u, należy je traktować jako element ogólnych starań na rzecz zacieśnienia współpracy</w:t>
      </w:r>
      <w:r w:rsidR="004E0679" w:rsidRPr="004E0679">
        <w:rPr>
          <w:noProof/>
        </w:rPr>
        <w:t xml:space="preserve"> w</w:t>
      </w:r>
      <w:r w:rsidR="004E0679">
        <w:rPr>
          <w:noProof/>
        </w:rPr>
        <w:t> </w:t>
      </w:r>
      <w:r w:rsidR="004E0679" w:rsidRPr="004E0679">
        <w:rPr>
          <w:noProof/>
        </w:rPr>
        <w:t>zak</w:t>
      </w:r>
      <w:r w:rsidRPr="004E0679">
        <w:rPr>
          <w:noProof/>
        </w:rPr>
        <w:t>resie egzekwowania prawa między UE</w:t>
      </w:r>
      <w:r w:rsidR="004E0679" w:rsidRPr="004E0679">
        <w:rPr>
          <w:noProof/>
        </w:rPr>
        <w:t xml:space="preserve"> a</w:t>
      </w:r>
      <w:r w:rsidR="004E0679">
        <w:rPr>
          <w:noProof/>
        </w:rPr>
        <w:t> </w:t>
      </w:r>
      <w:r w:rsidR="004E0679" w:rsidRPr="004E0679">
        <w:rPr>
          <w:noProof/>
        </w:rPr>
        <w:t>wyb</w:t>
      </w:r>
      <w:r w:rsidRPr="004E0679">
        <w:rPr>
          <w:noProof/>
        </w:rPr>
        <w:t>ranymi państwami Ameryki Łacińskiej</w:t>
      </w:r>
      <w:r w:rsidR="004E0679" w:rsidRPr="004E0679">
        <w:rPr>
          <w:noProof/>
        </w:rPr>
        <w:t>. W</w:t>
      </w:r>
      <w:r w:rsidR="004E0679">
        <w:rPr>
          <w:noProof/>
        </w:rPr>
        <w:t> </w:t>
      </w:r>
      <w:r w:rsidR="004E0679" w:rsidRPr="004E0679">
        <w:rPr>
          <w:noProof/>
        </w:rPr>
        <w:t>zwi</w:t>
      </w:r>
      <w:r w:rsidRPr="004E0679">
        <w:rPr>
          <w:noProof/>
        </w:rPr>
        <w:t>ązku</w:t>
      </w:r>
      <w:r w:rsidR="004E0679" w:rsidRPr="004E0679">
        <w:rPr>
          <w:noProof/>
        </w:rPr>
        <w:t xml:space="preserve"> z</w:t>
      </w:r>
      <w:r w:rsidR="004E0679">
        <w:rPr>
          <w:noProof/>
        </w:rPr>
        <w:t> </w:t>
      </w:r>
      <w:r w:rsidR="004E0679" w:rsidRPr="004E0679">
        <w:rPr>
          <w:noProof/>
        </w:rPr>
        <w:t>tym</w:t>
      </w:r>
      <w:r w:rsidRPr="004E0679">
        <w:rPr>
          <w:noProof/>
        </w:rPr>
        <w:t xml:space="preserve"> Komisja Europejska zaleca równolegle rozpoczęcie rokowań</w:t>
      </w:r>
      <w:r w:rsidR="004E0679" w:rsidRPr="004E0679">
        <w:rPr>
          <w:noProof/>
        </w:rPr>
        <w:t xml:space="preserve"> w</w:t>
      </w:r>
      <w:r w:rsidR="004E0679">
        <w:rPr>
          <w:noProof/>
        </w:rPr>
        <w:t> </w:t>
      </w:r>
      <w:r w:rsidR="004E0679" w:rsidRPr="004E0679">
        <w:rPr>
          <w:noProof/>
        </w:rPr>
        <w:t>spr</w:t>
      </w:r>
      <w:r w:rsidRPr="004E0679">
        <w:rPr>
          <w:noProof/>
        </w:rPr>
        <w:t>awie podobnych umów międzynarodowych</w:t>
      </w:r>
      <w:r w:rsidR="004E0679" w:rsidRPr="004E0679">
        <w:rPr>
          <w:noProof/>
        </w:rPr>
        <w:t xml:space="preserve"> z</w:t>
      </w:r>
      <w:r w:rsidR="004E0679">
        <w:rPr>
          <w:noProof/>
        </w:rPr>
        <w:t> </w:t>
      </w:r>
      <w:r w:rsidR="004E0679" w:rsidRPr="004E0679">
        <w:rPr>
          <w:noProof/>
        </w:rPr>
        <w:t>Bol</w:t>
      </w:r>
      <w:r w:rsidRPr="004E0679">
        <w:rPr>
          <w:noProof/>
        </w:rPr>
        <w:t>iwią, Brazylią, Ekwadorem</w:t>
      </w:r>
      <w:r w:rsidR="004E0679" w:rsidRPr="004E0679">
        <w:rPr>
          <w:noProof/>
        </w:rPr>
        <w:t xml:space="preserve"> i</w:t>
      </w:r>
      <w:r w:rsidR="004E0679">
        <w:rPr>
          <w:noProof/>
        </w:rPr>
        <w:t> </w:t>
      </w:r>
      <w:r w:rsidR="004E0679" w:rsidRPr="004E0679">
        <w:rPr>
          <w:noProof/>
        </w:rPr>
        <w:t>Mek</w:t>
      </w:r>
      <w:r w:rsidRPr="004E0679">
        <w:rPr>
          <w:noProof/>
        </w:rPr>
        <w:t>sykiem, których ostatecznym celem jest nasilenie walki</w:t>
      </w:r>
      <w:r w:rsidR="004E0679" w:rsidRPr="004E0679">
        <w:rPr>
          <w:noProof/>
        </w:rPr>
        <w:t xml:space="preserve"> z</w:t>
      </w:r>
      <w:r w:rsidR="004E0679">
        <w:rPr>
          <w:noProof/>
        </w:rPr>
        <w:t> </w:t>
      </w:r>
      <w:r w:rsidR="004E0679" w:rsidRPr="004E0679">
        <w:rPr>
          <w:noProof/>
        </w:rPr>
        <w:t>ter</w:t>
      </w:r>
      <w:r w:rsidRPr="004E0679">
        <w:rPr>
          <w:noProof/>
        </w:rPr>
        <w:t>roryzmem</w:t>
      </w:r>
      <w:r w:rsidR="004E0679" w:rsidRPr="004E0679">
        <w:rPr>
          <w:noProof/>
        </w:rPr>
        <w:t xml:space="preserve"> i</w:t>
      </w:r>
      <w:r w:rsidR="004E0679">
        <w:rPr>
          <w:noProof/>
        </w:rPr>
        <w:t> </w:t>
      </w:r>
      <w:r w:rsidR="004E0679" w:rsidRPr="004E0679">
        <w:rPr>
          <w:noProof/>
        </w:rPr>
        <w:t>pow</w:t>
      </w:r>
      <w:r w:rsidRPr="004E0679">
        <w:rPr>
          <w:noProof/>
        </w:rPr>
        <w:t>ażną przestępczością.</w:t>
      </w:r>
    </w:p>
    <w:p w14:paraId="00A3B76F" w14:textId="77777777" w:rsidR="00947B99" w:rsidRPr="004E0679" w:rsidRDefault="00DD619F" w:rsidP="000D736E">
      <w:pPr>
        <w:pStyle w:val="ManualHeading1"/>
        <w:rPr>
          <w:noProof/>
          <w:szCs w:val="24"/>
        </w:rPr>
      </w:pPr>
      <w:r w:rsidRPr="004E0679">
        <w:rPr>
          <w:noProof/>
        </w:rPr>
        <w:t>3.</w:t>
      </w:r>
      <w:r w:rsidRPr="004E0679">
        <w:rPr>
          <w:noProof/>
        </w:rPr>
        <w:tab/>
        <w:t>CELE ZALECENIA</w:t>
      </w:r>
    </w:p>
    <w:p w14:paraId="00A3B770" w14:textId="77777777" w:rsidR="00A02AD9" w:rsidRPr="004E0679" w:rsidRDefault="00A02AD9" w:rsidP="009F6B2E">
      <w:pPr>
        <w:pStyle w:val="Bodytext10"/>
        <w:spacing w:after="10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0A3B771" w14:textId="6C0F8162" w:rsidR="0037743B" w:rsidRPr="004E0679" w:rsidRDefault="0037743B" w:rsidP="0037743B">
      <w:pPr>
        <w:pStyle w:val="Bodytext10"/>
        <w:spacing w:after="10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E0679">
        <w:rPr>
          <w:rFonts w:ascii="Times New Roman" w:hAnsi="Times New Roman"/>
          <w:noProof/>
          <w:sz w:val="24"/>
        </w:rPr>
        <w:t>Zorganizowane grupy przestępcze</w:t>
      </w:r>
      <w:r w:rsidR="004E0679" w:rsidRPr="004E0679">
        <w:rPr>
          <w:rFonts w:ascii="Times New Roman" w:hAnsi="Times New Roman"/>
          <w:noProof/>
          <w:sz w:val="24"/>
        </w:rPr>
        <w:t xml:space="preserve"> w</w:t>
      </w:r>
      <w:r w:rsidR="004E0679">
        <w:rPr>
          <w:rFonts w:ascii="Times New Roman" w:hAnsi="Times New Roman"/>
          <w:noProof/>
          <w:sz w:val="24"/>
        </w:rPr>
        <w:t> </w:t>
      </w:r>
      <w:r w:rsidR="004E0679" w:rsidRPr="004E0679">
        <w:rPr>
          <w:rFonts w:ascii="Times New Roman" w:hAnsi="Times New Roman"/>
          <w:noProof/>
          <w:sz w:val="24"/>
        </w:rPr>
        <w:t>Ame</w:t>
      </w:r>
      <w:r w:rsidRPr="004E0679">
        <w:rPr>
          <w:rFonts w:ascii="Times New Roman" w:hAnsi="Times New Roman"/>
          <w:noProof/>
          <w:sz w:val="24"/>
        </w:rPr>
        <w:t>ryce Łacińskiej stanowią poważne zagrożenie dla bezpieczeństwa wewnętrznego UE, ponieważ ich działania są</w:t>
      </w:r>
      <w:r w:rsidR="004E0679" w:rsidRPr="004E0679">
        <w:rPr>
          <w:rFonts w:ascii="Times New Roman" w:hAnsi="Times New Roman"/>
          <w:noProof/>
          <w:sz w:val="24"/>
        </w:rPr>
        <w:t xml:space="preserve"> w</w:t>
      </w:r>
      <w:r w:rsidR="004E0679">
        <w:rPr>
          <w:rFonts w:ascii="Times New Roman" w:hAnsi="Times New Roman"/>
          <w:noProof/>
          <w:sz w:val="24"/>
        </w:rPr>
        <w:t> </w:t>
      </w:r>
      <w:r w:rsidR="004E0679" w:rsidRPr="004E0679">
        <w:rPr>
          <w:rFonts w:ascii="Times New Roman" w:hAnsi="Times New Roman"/>
          <w:noProof/>
          <w:sz w:val="24"/>
        </w:rPr>
        <w:t>cor</w:t>
      </w:r>
      <w:r w:rsidRPr="004E0679">
        <w:rPr>
          <w:rFonts w:ascii="Times New Roman" w:hAnsi="Times New Roman"/>
          <w:noProof/>
          <w:sz w:val="24"/>
        </w:rPr>
        <w:t>az większym stopniu powiązane</w:t>
      </w:r>
      <w:r w:rsidR="004E0679" w:rsidRPr="004E0679">
        <w:rPr>
          <w:rFonts w:ascii="Times New Roman" w:hAnsi="Times New Roman"/>
          <w:noProof/>
          <w:sz w:val="24"/>
        </w:rPr>
        <w:t xml:space="preserve"> z</w:t>
      </w:r>
      <w:r w:rsidR="004E0679">
        <w:rPr>
          <w:rFonts w:ascii="Times New Roman" w:hAnsi="Times New Roman"/>
          <w:noProof/>
          <w:sz w:val="24"/>
        </w:rPr>
        <w:t> </w:t>
      </w:r>
      <w:r w:rsidR="004E0679" w:rsidRPr="004E0679">
        <w:rPr>
          <w:rFonts w:ascii="Times New Roman" w:hAnsi="Times New Roman"/>
          <w:noProof/>
          <w:sz w:val="24"/>
        </w:rPr>
        <w:t>sze</w:t>
      </w:r>
      <w:r w:rsidRPr="004E0679">
        <w:rPr>
          <w:rFonts w:ascii="Times New Roman" w:hAnsi="Times New Roman"/>
          <w:noProof/>
          <w:sz w:val="24"/>
        </w:rPr>
        <w:t>regiem przestępstw</w:t>
      </w:r>
      <w:r w:rsidR="004E0679" w:rsidRPr="004E0679">
        <w:rPr>
          <w:rFonts w:ascii="Times New Roman" w:hAnsi="Times New Roman"/>
          <w:noProof/>
          <w:sz w:val="24"/>
        </w:rPr>
        <w:t xml:space="preserve"> w</w:t>
      </w:r>
      <w:r w:rsidR="004E0679">
        <w:rPr>
          <w:rFonts w:ascii="Times New Roman" w:hAnsi="Times New Roman"/>
          <w:noProof/>
          <w:sz w:val="24"/>
        </w:rPr>
        <w:t> </w:t>
      </w:r>
      <w:r w:rsidR="004E0679" w:rsidRPr="004E0679">
        <w:rPr>
          <w:rFonts w:ascii="Times New Roman" w:hAnsi="Times New Roman"/>
          <w:noProof/>
          <w:sz w:val="24"/>
        </w:rPr>
        <w:t>Uni</w:t>
      </w:r>
      <w:r w:rsidRPr="004E0679">
        <w:rPr>
          <w:rFonts w:ascii="Times New Roman" w:hAnsi="Times New Roman"/>
          <w:noProof/>
          <w:sz w:val="24"/>
        </w:rPr>
        <w:t>i, zwłaszcza</w:t>
      </w:r>
      <w:r w:rsidR="004E0679" w:rsidRPr="004E0679">
        <w:rPr>
          <w:rFonts w:ascii="Times New Roman" w:hAnsi="Times New Roman"/>
          <w:noProof/>
          <w:sz w:val="24"/>
        </w:rPr>
        <w:t xml:space="preserve"> w</w:t>
      </w:r>
      <w:r w:rsidR="004E0679">
        <w:rPr>
          <w:rFonts w:ascii="Times New Roman" w:hAnsi="Times New Roman"/>
          <w:noProof/>
          <w:sz w:val="24"/>
        </w:rPr>
        <w:t> </w:t>
      </w:r>
      <w:r w:rsidR="004E0679" w:rsidRPr="004E0679">
        <w:rPr>
          <w:rFonts w:ascii="Times New Roman" w:hAnsi="Times New Roman"/>
          <w:noProof/>
          <w:sz w:val="24"/>
        </w:rPr>
        <w:t>dzi</w:t>
      </w:r>
      <w:r w:rsidRPr="004E0679">
        <w:rPr>
          <w:rFonts w:ascii="Times New Roman" w:hAnsi="Times New Roman"/>
          <w:noProof/>
          <w:sz w:val="24"/>
        </w:rPr>
        <w:t>edzinie handlu narkotykami</w:t>
      </w:r>
      <w:r w:rsidR="004E0679" w:rsidRPr="004E0679">
        <w:rPr>
          <w:rFonts w:ascii="Times New Roman" w:hAnsi="Times New Roman"/>
          <w:noProof/>
          <w:sz w:val="24"/>
        </w:rPr>
        <w:t>. W</w:t>
      </w:r>
      <w:r w:rsidR="004E0679">
        <w:rPr>
          <w:rFonts w:ascii="Times New Roman" w:hAnsi="Times New Roman"/>
          <w:noProof/>
          <w:sz w:val="24"/>
        </w:rPr>
        <w:t> </w:t>
      </w:r>
      <w:r w:rsidR="004E0679" w:rsidRPr="004E0679">
        <w:rPr>
          <w:rFonts w:ascii="Times New Roman" w:hAnsi="Times New Roman"/>
          <w:noProof/>
          <w:sz w:val="24"/>
        </w:rPr>
        <w:t>uni</w:t>
      </w:r>
      <w:r w:rsidRPr="004E0679">
        <w:rPr>
          <w:rFonts w:ascii="Times New Roman" w:hAnsi="Times New Roman"/>
          <w:noProof/>
          <w:sz w:val="24"/>
        </w:rPr>
        <w:t>jnej ocenie zagrożenia poważną</w:t>
      </w:r>
      <w:r w:rsidR="004E0679" w:rsidRPr="004E0679">
        <w:rPr>
          <w:rFonts w:ascii="Times New Roman" w:hAnsi="Times New Roman"/>
          <w:noProof/>
          <w:sz w:val="24"/>
        </w:rPr>
        <w:t xml:space="preserve"> i</w:t>
      </w:r>
      <w:r w:rsidR="004E0679">
        <w:rPr>
          <w:rFonts w:ascii="Times New Roman" w:hAnsi="Times New Roman"/>
          <w:noProof/>
          <w:sz w:val="24"/>
        </w:rPr>
        <w:t> </w:t>
      </w:r>
      <w:r w:rsidR="004E0679" w:rsidRPr="004E0679">
        <w:rPr>
          <w:rFonts w:ascii="Times New Roman" w:hAnsi="Times New Roman"/>
          <w:noProof/>
          <w:sz w:val="24"/>
        </w:rPr>
        <w:t>zor</w:t>
      </w:r>
      <w:r w:rsidRPr="004E0679">
        <w:rPr>
          <w:rFonts w:ascii="Times New Roman" w:hAnsi="Times New Roman"/>
          <w:noProof/>
          <w:sz w:val="24"/>
        </w:rPr>
        <w:t>ganizowaną przestępczością (SOCTA)</w:t>
      </w:r>
      <w:r w:rsidR="004E0679" w:rsidRPr="004E0679">
        <w:rPr>
          <w:rFonts w:ascii="Times New Roman" w:hAnsi="Times New Roman"/>
          <w:noProof/>
          <w:sz w:val="24"/>
        </w:rPr>
        <w:t xml:space="preserve"> z</w:t>
      </w:r>
      <w:r w:rsidR="004E0679">
        <w:rPr>
          <w:rFonts w:ascii="Times New Roman" w:hAnsi="Times New Roman"/>
          <w:noProof/>
          <w:sz w:val="24"/>
        </w:rPr>
        <w:t> </w:t>
      </w:r>
      <w:r w:rsidR="004E0679" w:rsidRPr="004E0679">
        <w:rPr>
          <w:rFonts w:ascii="Times New Roman" w:hAnsi="Times New Roman"/>
          <w:noProof/>
          <w:sz w:val="24"/>
        </w:rPr>
        <w:t>2</w:t>
      </w:r>
      <w:r w:rsidRPr="004E0679">
        <w:rPr>
          <w:rFonts w:ascii="Times New Roman" w:hAnsi="Times New Roman"/>
          <w:noProof/>
          <w:sz w:val="24"/>
        </w:rPr>
        <w:t>021</w:t>
      </w:r>
      <w:r w:rsidR="004E0679" w:rsidRPr="004E0679">
        <w:rPr>
          <w:rFonts w:ascii="Times New Roman" w:hAnsi="Times New Roman"/>
          <w:noProof/>
          <w:sz w:val="24"/>
        </w:rPr>
        <w:t> </w:t>
      </w:r>
      <w:r w:rsidRPr="004E0679">
        <w:rPr>
          <w:rFonts w:ascii="Times New Roman" w:hAnsi="Times New Roman"/>
          <w:noProof/>
          <w:sz w:val="24"/>
        </w:rPr>
        <w:t>r. podkreślono, że do UE</w:t>
      </w:r>
      <w:r w:rsidR="004E0679" w:rsidRPr="004E0679">
        <w:rPr>
          <w:rFonts w:ascii="Times New Roman" w:hAnsi="Times New Roman"/>
          <w:noProof/>
          <w:sz w:val="24"/>
        </w:rPr>
        <w:t xml:space="preserve"> z</w:t>
      </w:r>
      <w:r w:rsidR="004E0679">
        <w:rPr>
          <w:rFonts w:ascii="Times New Roman" w:hAnsi="Times New Roman"/>
          <w:noProof/>
          <w:sz w:val="24"/>
        </w:rPr>
        <w:t> </w:t>
      </w:r>
      <w:r w:rsidR="004E0679" w:rsidRPr="004E0679">
        <w:rPr>
          <w:rFonts w:ascii="Times New Roman" w:hAnsi="Times New Roman"/>
          <w:noProof/>
          <w:sz w:val="24"/>
        </w:rPr>
        <w:t>Ame</w:t>
      </w:r>
      <w:r w:rsidRPr="004E0679">
        <w:rPr>
          <w:rFonts w:ascii="Times New Roman" w:hAnsi="Times New Roman"/>
          <w:noProof/>
          <w:sz w:val="24"/>
        </w:rPr>
        <w:t>ryki Łacińskiej trafiają bezprecedensowe ilości nielegalnych narkotyków, co generuje miliardy euro zysków, które są wykorzystywane do finansowania różnych organizacji przestępczych (międzynarodowych</w:t>
      </w:r>
      <w:r w:rsidR="004E0679" w:rsidRPr="004E0679">
        <w:rPr>
          <w:rFonts w:ascii="Times New Roman" w:hAnsi="Times New Roman"/>
          <w:noProof/>
          <w:sz w:val="24"/>
        </w:rPr>
        <w:t xml:space="preserve"> i</w:t>
      </w:r>
      <w:r w:rsidR="004E0679">
        <w:rPr>
          <w:rFonts w:ascii="Times New Roman" w:hAnsi="Times New Roman"/>
          <w:noProof/>
          <w:sz w:val="24"/>
        </w:rPr>
        <w:t> </w:t>
      </w:r>
      <w:r w:rsidR="004E0679" w:rsidRPr="004E0679">
        <w:rPr>
          <w:rFonts w:ascii="Times New Roman" w:hAnsi="Times New Roman"/>
          <w:noProof/>
          <w:sz w:val="24"/>
        </w:rPr>
        <w:t>uni</w:t>
      </w:r>
      <w:r w:rsidRPr="004E0679">
        <w:rPr>
          <w:rFonts w:ascii="Times New Roman" w:hAnsi="Times New Roman"/>
          <w:noProof/>
          <w:sz w:val="24"/>
        </w:rPr>
        <w:t>jnych) oraz do osłabienia praworządności w UE</w:t>
      </w:r>
      <w:r w:rsidRPr="004E0679"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9"/>
      </w:r>
      <w:r w:rsidRPr="004E0679">
        <w:rPr>
          <w:rFonts w:ascii="Times New Roman" w:hAnsi="Times New Roman"/>
          <w:noProof/>
          <w:sz w:val="24"/>
        </w:rPr>
        <w:t>.</w:t>
      </w:r>
    </w:p>
    <w:p w14:paraId="00A3B772" w14:textId="61560807" w:rsidR="00182656" w:rsidRPr="004E0679" w:rsidRDefault="007704E0" w:rsidP="0037743B">
      <w:pPr>
        <w:pStyle w:val="Bodytext10"/>
        <w:spacing w:after="10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E0679">
        <w:rPr>
          <w:rFonts w:ascii="Times New Roman" w:hAnsi="Times New Roman"/>
          <w:noProof/>
          <w:sz w:val="24"/>
        </w:rPr>
        <w:t>Ostatnie sprawozdania potwierdzają, że dostępność kokainy</w:t>
      </w:r>
      <w:r w:rsidR="004E0679" w:rsidRPr="004E0679">
        <w:rPr>
          <w:rFonts w:ascii="Times New Roman" w:hAnsi="Times New Roman"/>
          <w:noProof/>
          <w:sz w:val="24"/>
        </w:rPr>
        <w:t xml:space="preserve"> w</w:t>
      </w:r>
      <w:r w:rsidR="004E0679">
        <w:rPr>
          <w:rFonts w:ascii="Times New Roman" w:hAnsi="Times New Roman"/>
          <w:noProof/>
          <w:sz w:val="24"/>
        </w:rPr>
        <w:t> </w:t>
      </w:r>
      <w:r w:rsidR="004E0679" w:rsidRPr="004E0679">
        <w:rPr>
          <w:rFonts w:ascii="Times New Roman" w:hAnsi="Times New Roman"/>
          <w:noProof/>
          <w:sz w:val="24"/>
        </w:rPr>
        <w:t>Eur</w:t>
      </w:r>
      <w:r w:rsidRPr="004E0679">
        <w:rPr>
          <w:rFonts w:ascii="Times New Roman" w:hAnsi="Times New Roman"/>
          <w:noProof/>
          <w:sz w:val="24"/>
        </w:rPr>
        <w:t>opie jest rekordowo wysoka</w:t>
      </w:r>
      <w:r w:rsidR="004E0679" w:rsidRPr="004E0679">
        <w:rPr>
          <w:rFonts w:ascii="Times New Roman" w:hAnsi="Times New Roman"/>
          <w:noProof/>
          <w:sz w:val="24"/>
        </w:rPr>
        <w:t xml:space="preserve"> i</w:t>
      </w:r>
      <w:r w:rsidR="004E0679">
        <w:rPr>
          <w:rFonts w:ascii="Times New Roman" w:hAnsi="Times New Roman"/>
          <w:noProof/>
          <w:sz w:val="24"/>
        </w:rPr>
        <w:t> </w:t>
      </w:r>
      <w:r w:rsidR="004E0679" w:rsidRPr="004E0679">
        <w:rPr>
          <w:rFonts w:ascii="Times New Roman" w:hAnsi="Times New Roman"/>
          <w:noProof/>
          <w:sz w:val="24"/>
        </w:rPr>
        <w:t>nar</w:t>
      </w:r>
      <w:r w:rsidRPr="004E0679">
        <w:rPr>
          <w:rFonts w:ascii="Times New Roman" w:hAnsi="Times New Roman"/>
          <w:noProof/>
          <w:sz w:val="24"/>
        </w:rPr>
        <w:t>kotyk ten jest tańszy</w:t>
      </w:r>
      <w:r w:rsidR="004E0679" w:rsidRPr="004E0679">
        <w:rPr>
          <w:rFonts w:ascii="Times New Roman" w:hAnsi="Times New Roman"/>
          <w:noProof/>
          <w:sz w:val="24"/>
        </w:rPr>
        <w:t xml:space="preserve"> i</w:t>
      </w:r>
      <w:r w:rsidR="004E0679">
        <w:rPr>
          <w:rFonts w:ascii="Times New Roman" w:hAnsi="Times New Roman"/>
          <w:noProof/>
          <w:sz w:val="24"/>
        </w:rPr>
        <w:t> </w:t>
      </w:r>
      <w:r w:rsidR="004E0679" w:rsidRPr="004E0679">
        <w:rPr>
          <w:rFonts w:ascii="Times New Roman" w:hAnsi="Times New Roman"/>
          <w:noProof/>
          <w:sz w:val="24"/>
        </w:rPr>
        <w:t>bar</w:t>
      </w:r>
      <w:r w:rsidRPr="004E0679">
        <w:rPr>
          <w:rFonts w:ascii="Times New Roman" w:hAnsi="Times New Roman"/>
          <w:noProof/>
          <w:sz w:val="24"/>
        </w:rPr>
        <w:t>dziej dostępny dla konsumentów niż</w:t>
      </w:r>
      <w:r w:rsidR="004E0679" w:rsidRPr="004E0679">
        <w:rPr>
          <w:rFonts w:ascii="Times New Roman" w:hAnsi="Times New Roman"/>
          <w:noProof/>
          <w:sz w:val="24"/>
        </w:rPr>
        <w:t xml:space="preserve"> w</w:t>
      </w:r>
      <w:r w:rsidR="004E0679">
        <w:rPr>
          <w:rFonts w:ascii="Times New Roman" w:hAnsi="Times New Roman"/>
          <w:noProof/>
          <w:sz w:val="24"/>
        </w:rPr>
        <w:t> </w:t>
      </w:r>
      <w:r w:rsidR="004E0679" w:rsidRPr="004E0679">
        <w:rPr>
          <w:rFonts w:ascii="Times New Roman" w:hAnsi="Times New Roman"/>
          <w:noProof/>
          <w:sz w:val="24"/>
        </w:rPr>
        <w:t>prz</w:t>
      </w:r>
      <w:r w:rsidRPr="004E0679">
        <w:rPr>
          <w:rFonts w:ascii="Times New Roman" w:hAnsi="Times New Roman"/>
          <w:noProof/>
          <w:sz w:val="24"/>
        </w:rPr>
        <w:t>eszłości</w:t>
      </w:r>
      <w:r w:rsidRPr="004E0679"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10"/>
      </w:r>
      <w:r w:rsidRPr="004E0679">
        <w:rPr>
          <w:rFonts w:ascii="Times New Roman" w:hAnsi="Times New Roman"/>
          <w:noProof/>
          <w:sz w:val="24"/>
        </w:rPr>
        <w:t>. Zgodnie</w:t>
      </w:r>
      <w:r w:rsidR="004E0679" w:rsidRPr="004E0679">
        <w:rPr>
          <w:rFonts w:ascii="Times New Roman" w:hAnsi="Times New Roman"/>
          <w:noProof/>
          <w:sz w:val="24"/>
        </w:rPr>
        <w:t xml:space="preserve"> z</w:t>
      </w:r>
      <w:r w:rsidR="004E0679">
        <w:rPr>
          <w:rFonts w:ascii="Times New Roman" w:hAnsi="Times New Roman"/>
          <w:noProof/>
          <w:sz w:val="24"/>
        </w:rPr>
        <w:t> </w:t>
      </w:r>
      <w:r w:rsidR="004E0679" w:rsidRPr="004E0679">
        <w:rPr>
          <w:rFonts w:ascii="Times New Roman" w:hAnsi="Times New Roman"/>
          <w:noProof/>
          <w:sz w:val="24"/>
        </w:rPr>
        <w:t>dan</w:t>
      </w:r>
      <w:r w:rsidRPr="004E0679">
        <w:rPr>
          <w:rFonts w:ascii="Times New Roman" w:hAnsi="Times New Roman"/>
          <w:noProof/>
          <w:sz w:val="24"/>
        </w:rPr>
        <w:t>ymi Biura Narodów Zjednoczonych ds. Narkotyków</w:t>
      </w:r>
      <w:r w:rsidR="004E0679" w:rsidRPr="004E0679">
        <w:rPr>
          <w:rFonts w:ascii="Times New Roman" w:hAnsi="Times New Roman"/>
          <w:noProof/>
          <w:sz w:val="24"/>
        </w:rPr>
        <w:t xml:space="preserve"> i</w:t>
      </w:r>
      <w:r w:rsidR="004E0679">
        <w:rPr>
          <w:rFonts w:ascii="Times New Roman" w:hAnsi="Times New Roman"/>
          <w:noProof/>
          <w:sz w:val="24"/>
        </w:rPr>
        <w:t> </w:t>
      </w:r>
      <w:r w:rsidR="004E0679" w:rsidRPr="004E0679">
        <w:rPr>
          <w:rFonts w:ascii="Times New Roman" w:hAnsi="Times New Roman"/>
          <w:noProof/>
          <w:sz w:val="24"/>
        </w:rPr>
        <w:t>Prz</w:t>
      </w:r>
      <w:r w:rsidRPr="004E0679">
        <w:rPr>
          <w:rFonts w:ascii="Times New Roman" w:hAnsi="Times New Roman"/>
          <w:noProof/>
          <w:sz w:val="24"/>
        </w:rPr>
        <w:t>estępczości Republika Peru jest drugim co do wielkości krajem uprawy krzewu kokainowego na świecie – jej udział</w:t>
      </w:r>
      <w:r w:rsidR="004E0679" w:rsidRPr="004E0679">
        <w:rPr>
          <w:rFonts w:ascii="Times New Roman" w:hAnsi="Times New Roman"/>
          <w:noProof/>
          <w:sz w:val="24"/>
        </w:rPr>
        <w:t xml:space="preserve"> w</w:t>
      </w:r>
      <w:r w:rsidR="004E0679">
        <w:rPr>
          <w:rFonts w:ascii="Times New Roman" w:hAnsi="Times New Roman"/>
          <w:noProof/>
          <w:sz w:val="24"/>
        </w:rPr>
        <w:t> </w:t>
      </w:r>
      <w:r w:rsidR="004E0679" w:rsidRPr="004E0679">
        <w:rPr>
          <w:rFonts w:ascii="Times New Roman" w:hAnsi="Times New Roman"/>
          <w:noProof/>
          <w:sz w:val="24"/>
        </w:rPr>
        <w:t>upr</w:t>
      </w:r>
      <w:r w:rsidRPr="004E0679">
        <w:rPr>
          <w:rFonts w:ascii="Times New Roman" w:hAnsi="Times New Roman"/>
          <w:noProof/>
          <w:sz w:val="24"/>
        </w:rPr>
        <w:t>awach globalnych stanowi 26</w:t>
      </w:r>
      <w:r w:rsidR="004E0679" w:rsidRPr="004E0679">
        <w:rPr>
          <w:rFonts w:ascii="Times New Roman" w:hAnsi="Times New Roman"/>
          <w:noProof/>
          <w:sz w:val="24"/>
        </w:rPr>
        <w:t> </w:t>
      </w:r>
      <w:r w:rsidRPr="004E0679">
        <w:rPr>
          <w:rFonts w:ascii="Times New Roman" w:hAnsi="Times New Roman"/>
          <w:noProof/>
          <w:sz w:val="24"/>
        </w:rPr>
        <w:t>%</w:t>
      </w:r>
      <w:r w:rsidRPr="004E0679"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11"/>
      </w:r>
      <w:r w:rsidRPr="004E0679">
        <w:rPr>
          <w:rFonts w:ascii="Times New Roman" w:hAnsi="Times New Roman"/>
          <w:noProof/>
          <w:sz w:val="24"/>
        </w:rPr>
        <w:t>. Ma to konkretne konsekwencje dla UE – jedna trzecia (32 %) łącznej liczby próbek kokainy w UE pochodziła</w:t>
      </w:r>
      <w:r w:rsidR="004E0679" w:rsidRPr="004E0679">
        <w:rPr>
          <w:rFonts w:ascii="Times New Roman" w:hAnsi="Times New Roman"/>
          <w:noProof/>
          <w:sz w:val="24"/>
        </w:rPr>
        <w:t xml:space="preserve"> z</w:t>
      </w:r>
      <w:r w:rsidR="004E0679">
        <w:rPr>
          <w:rFonts w:ascii="Times New Roman" w:hAnsi="Times New Roman"/>
          <w:noProof/>
          <w:sz w:val="24"/>
        </w:rPr>
        <w:t> </w:t>
      </w:r>
      <w:r w:rsidR="004E0679" w:rsidRPr="004E0679">
        <w:rPr>
          <w:rFonts w:ascii="Times New Roman" w:hAnsi="Times New Roman"/>
          <w:noProof/>
          <w:sz w:val="24"/>
        </w:rPr>
        <w:t>Per</w:t>
      </w:r>
      <w:r w:rsidRPr="004E0679">
        <w:rPr>
          <w:rFonts w:ascii="Times New Roman" w:hAnsi="Times New Roman"/>
          <w:noProof/>
          <w:sz w:val="24"/>
        </w:rPr>
        <w:t>u, co stanowi wzrost</w:t>
      </w:r>
      <w:r w:rsidR="004E0679" w:rsidRPr="004E0679">
        <w:rPr>
          <w:rFonts w:ascii="Times New Roman" w:hAnsi="Times New Roman"/>
          <w:noProof/>
          <w:sz w:val="24"/>
        </w:rPr>
        <w:t xml:space="preserve"> w</w:t>
      </w:r>
      <w:r w:rsidR="004E0679">
        <w:rPr>
          <w:rFonts w:ascii="Times New Roman" w:hAnsi="Times New Roman"/>
          <w:noProof/>
          <w:sz w:val="24"/>
        </w:rPr>
        <w:t> </w:t>
      </w:r>
      <w:r w:rsidR="004E0679" w:rsidRPr="004E0679">
        <w:rPr>
          <w:rFonts w:ascii="Times New Roman" w:hAnsi="Times New Roman"/>
          <w:noProof/>
          <w:sz w:val="24"/>
        </w:rPr>
        <w:t>por</w:t>
      </w:r>
      <w:r w:rsidRPr="004E0679">
        <w:rPr>
          <w:rFonts w:ascii="Times New Roman" w:hAnsi="Times New Roman"/>
          <w:noProof/>
          <w:sz w:val="24"/>
        </w:rPr>
        <w:t>ównaniu</w:t>
      </w:r>
      <w:r w:rsidR="004E0679" w:rsidRPr="004E0679">
        <w:rPr>
          <w:rFonts w:ascii="Times New Roman" w:hAnsi="Times New Roman"/>
          <w:noProof/>
          <w:sz w:val="24"/>
        </w:rPr>
        <w:t xml:space="preserve"> z</w:t>
      </w:r>
      <w:r w:rsidR="004E0679">
        <w:rPr>
          <w:rFonts w:ascii="Times New Roman" w:hAnsi="Times New Roman"/>
          <w:noProof/>
          <w:sz w:val="24"/>
        </w:rPr>
        <w:t> </w:t>
      </w:r>
      <w:r w:rsidR="004E0679" w:rsidRPr="004E0679">
        <w:rPr>
          <w:rFonts w:ascii="Times New Roman" w:hAnsi="Times New Roman"/>
          <w:noProof/>
          <w:sz w:val="24"/>
        </w:rPr>
        <w:t>pop</w:t>
      </w:r>
      <w:r w:rsidRPr="004E0679">
        <w:rPr>
          <w:rFonts w:ascii="Times New Roman" w:hAnsi="Times New Roman"/>
          <w:noProof/>
          <w:sz w:val="24"/>
        </w:rPr>
        <w:t>rzednimi latami</w:t>
      </w:r>
      <w:r w:rsidRPr="004E0679"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12"/>
      </w:r>
      <w:r w:rsidRPr="004E0679">
        <w:rPr>
          <w:rFonts w:ascii="Times New Roman" w:hAnsi="Times New Roman"/>
          <w:noProof/>
          <w:sz w:val="24"/>
        </w:rPr>
        <w:t>. Większość produktów konfiskowanych w UE jest transportowana drogą morską, przede wszystkim</w:t>
      </w:r>
      <w:r w:rsidR="004E0679" w:rsidRPr="004E0679">
        <w:rPr>
          <w:rFonts w:ascii="Times New Roman" w:hAnsi="Times New Roman"/>
          <w:noProof/>
          <w:sz w:val="24"/>
        </w:rPr>
        <w:t xml:space="preserve"> w</w:t>
      </w:r>
      <w:r w:rsidR="004E0679">
        <w:rPr>
          <w:rFonts w:ascii="Times New Roman" w:hAnsi="Times New Roman"/>
          <w:noProof/>
          <w:sz w:val="24"/>
        </w:rPr>
        <w:t> </w:t>
      </w:r>
      <w:r w:rsidR="004E0679" w:rsidRPr="004E0679">
        <w:rPr>
          <w:rFonts w:ascii="Times New Roman" w:hAnsi="Times New Roman"/>
          <w:noProof/>
          <w:sz w:val="24"/>
        </w:rPr>
        <w:t>kon</w:t>
      </w:r>
      <w:r w:rsidRPr="004E0679">
        <w:rPr>
          <w:rFonts w:ascii="Times New Roman" w:hAnsi="Times New Roman"/>
          <w:noProof/>
          <w:sz w:val="24"/>
        </w:rPr>
        <w:t>tenerach do transportu morskiego</w:t>
      </w:r>
      <w:r w:rsidRPr="004E0679"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13"/>
      </w:r>
      <w:r w:rsidRPr="004E0679">
        <w:rPr>
          <w:rFonts w:ascii="Times New Roman" w:hAnsi="Times New Roman"/>
          <w:noProof/>
          <w:sz w:val="24"/>
        </w:rPr>
        <w:t>,</w:t>
      </w:r>
      <w:r w:rsidR="004E0679" w:rsidRPr="004E0679">
        <w:rPr>
          <w:rFonts w:ascii="Times New Roman" w:hAnsi="Times New Roman"/>
          <w:noProof/>
          <w:sz w:val="24"/>
        </w:rPr>
        <w:t xml:space="preserve"> i</w:t>
      </w:r>
      <w:r w:rsidR="004E0679">
        <w:rPr>
          <w:rFonts w:ascii="Times New Roman" w:hAnsi="Times New Roman"/>
          <w:noProof/>
          <w:sz w:val="24"/>
        </w:rPr>
        <w:t> </w:t>
      </w:r>
      <w:r w:rsidR="004E0679" w:rsidRPr="004E0679">
        <w:rPr>
          <w:rFonts w:ascii="Times New Roman" w:hAnsi="Times New Roman"/>
          <w:noProof/>
          <w:sz w:val="24"/>
        </w:rPr>
        <w:t>wys</w:t>
      </w:r>
      <w:r w:rsidRPr="004E0679">
        <w:rPr>
          <w:rFonts w:ascii="Times New Roman" w:hAnsi="Times New Roman"/>
          <w:noProof/>
          <w:sz w:val="24"/>
        </w:rPr>
        <w:t>yłana do UE bezpośrednio</w:t>
      </w:r>
      <w:r w:rsidR="004E0679" w:rsidRPr="004E0679">
        <w:rPr>
          <w:rFonts w:ascii="Times New Roman" w:hAnsi="Times New Roman"/>
          <w:noProof/>
          <w:sz w:val="24"/>
        </w:rPr>
        <w:t xml:space="preserve"> z</w:t>
      </w:r>
      <w:r w:rsidR="004E0679">
        <w:rPr>
          <w:rFonts w:ascii="Times New Roman" w:hAnsi="Times New Roman"/>
          <w:noProof/>
          <w:sz w:val="24"/>
        </w:rPr>
        <w:t> </w:t>
      </w:r>
      <w:r w:rsidR="004E0679" w:rsidRPr="004E0679">
        <w:rPr>
          <w:rFonts w:ascii="Times New Roman" w:hAnsi="Times New Roman"/>
          <w:noProof/>
          <w:sz w:val="24"/>
        </w:rPr>
        <w:t>kra</w:t>
      </w:r>
      <w:r w:rsidRPr="004E0679">
        <w:rPr>
          <w:rFonts w:ascii="Times New Roman" w:hAnsi="Times New Roman"/>
          <w:noProof/>
          <w:sz w:val="24"/>
        </w:rPr>
        <w:t>jów produkcji,</w:t>
      </w:r>
      <w:r w:rsidR="004E0679" w:rsidRPr="004E0679">
        <w:rPr>
          <w:rFonts w:ascii="Times New Roman" w:hAnsi="Times New Roman"/>
          <w:noProof/>
          <w:sz w:val="24"/>
        </w:rPr>
        <w:t xml:space="preserve"> w</w:t>
      </w:r>
      <w:r w:rsidR="004E0679">
        <w:rPr>
          <w:rFonts w:ascii="Times New Roman" w:hAnsi="Times New Roman"/>
          <w:noProof/>
          <w:sz w:val="24"/>
        </w:rPr>
        <w:t> </w:t>
      </w:r>
      <w:r w:rsidR="004E0679" w:rsidRPr="004E0679">
        <w:rPr>
          <w:rFonts w:ascii="Times New Roman" w:hAnsi="Times New Roman"/>
          <w:noProof/>
          <w:sz w:val="24"/>
        </w:rPr>
        <w:t>tym z</w:t>
      </w:r>
      <w:r w:rsidR="004E0679">
        <w:rPr>
          <w:rFonts w:ascii="Times New Roman" w:hAnsi="Times New Roman"/>
          <w:noProof/>
          <w:sz w:val="24"/>
        </w:rPr>
        <w:t> </w:t>
      </w:r>
      <w:r w:rsidR="004E0679" w:rsidRPr="004E0679">
        <w:rPr>
          <w:rFonts w:ascii="Times New Roman" w:hAnsi="Times New Roman"/>
          <w:noProof/>
          <w:sz w:val="24"/>
        </w:rPr>
        <w:t>Rep</w:t>
      </w:r>
      <w:r w:rsidRPr="004E0679">
        <w:rPr>
          <w:rFonts w:ascii="Times New Roman" w:hAnsi="Times New Roman"/>
          <w:noProof/>
          <w:sz w:val="24"/>
        </w:rPr>
        <w:t>ubliki Peru, jak również</w:t>
      </w:r>
      <w:r w:rsidR="004E0679" w:rsidRPr="004E0679">
        <w:rPr>
          <w:rFonts w:ascii="Times New Roman" w:hAnsi="Times New Roman"/>
          <w:noProof/>
          <w:sz w:val="24"/>
        </w:rPr>
        <w:t xml:space="preserve"> z</w:t>
      </w:r>
      <w:r w:rsidR="004E0679">
        <w:rPr>
          <w:rFonts w:ascii="Times New Roman" w:hAnsi="Times New Roman"/>
          <w:noProof/>
          <w:sz w:val="24"/>
        </w:rPr>
        <w:t> </w:t>
      </w:r>
      <w:r w:rsidR="004E0679" w:rsidRPr="004E0679">
        <w:rPr>
          <w:rFonts w:ascii="Times New Roman" w:hAnsi="Times New Roman"/>
          <w:noProof/>
          <w:sz w:val="24"/>
        </w:rPr>
        <w:t>sąs</w:t>
      </w:r>
      <w:r w:rsidRPr="004E0679">
        <w:rPr>
          <w:rFonts w:ascii="Times New Roman" w:hAnsi="Times New Roman"/>
          <w:noProof/>
          <w:sz w:val="24"/>
        </w:rPr>
        <w:t>iednich krajów</w:t>
      </w:r>
      <w:r w:rsidR="004E0679" w:rsidRPr="004E0679">
        <w:rPr>
          <w:rFonts w:ascii="Times New Roman" w:hAnsi="Times New Roman"/>
          <w:noProof/>
          <w:sz w:val="24"/>
        </w:rPr>
        <w:t xml:space="preserve"> w</w:t>
      </w:r>
      <w:r w:rsidR="004E0679">
        <w:rPr>
          <w:rFonts w:ascii="Times New Roman" w:hAnsi="Times New Roman"/>
          <w:noProof/>
          <w:sz w:val="24"/>
        </w:rPr>
        <w:t> </w:t>
      </w:r>
      <w:r w:rsidR="004E0679" w:rsidRPr="004E0679">
        <w:rPr>
          <w:rFonts w:ascii="Times New Roman" w:hAnsi="Times New Roman"/>
          <w:noProof/>
          <w:sz w:val="24"/>
        </w:rPr>
        <w:t>Ame</w:t>
      </w:r>
      <w:r w:rsidRPr="004E0679">
        <w:rPr>
          <w:rFonts w:ascii="Times New Roman" w:hAnsi="Times New Roman"/>
          <w:noProof/>
          <w:sz w:val="24"/>
        </w:rPr>
        <w:t>ryce Łacińskiej</w:t>
      </w:r>
      <w:r w:rsidRPr="004E0679"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14"/>
      </w:r>
      <w:r w:rsidRPr="004E0679">
        <w:rPr>
          <w:rFonts w:ascii="Times New Roman" w:hAnsi="Times New Roman"/>
          <w:noProof/>
          <w:sz w:val="24"/>
        </w:rPr>
        <w:t>. Zorganizowane organizacje przestępcze</w:t>
      </w:r>
      <w:r w:rsidR="004E0679" w:rsidRPr="004E0679">
        <w:rPr>
          <w:rFonts w:ascii="Times New Roman" w:hAnsi="Times New Roman"/>
          <w:noProof/>
          <w:sz w:val="24"/>
        </w:rPr>
        <w:t xml:space="preserve"> z</w:t>
      </w:r>
      <w:r w:rsidR="004E0679">
        <w:rPr>
          <w:rFonts w:ascii="Times New Roman" w:hAnsi="Times New Roman"/>
          <w:noProof/>
          <w:sz w:val="24"/>
        </w:rPr>
        <w:t> </w:t>
      </w:r>
      <w:r w:rsidR="004E0679" w:rsidRPr="004E0679">
        <w:rPr>
          <w:rFonts w:ascii="Times New Roman" w:hAnsi="Times New Roman"/>
          <w:noProof/>
          <w:sz w:val="24"/>
        </w:rPr>
        <w:t>sie</w:t>
      </w:r>
      <w:r w:rsidRPr="004E0679">
        <w:rPr>
          <w:rFonts w:ascii="Times New Roman" w:hAnsi="Times New Roman"/>
          <w:noProof/>
          <w:sz w:val="24"/>
        </w:rPr>
        <w:t>dzibą na tym kontynencie mają ugruntowaną pozycję</w:t>
      </w:r>
      <w:r w:rsidR="004E0679" w:rsidRPr="004E0679">
        <w:rPr>
          <w:rFonts w:ascii="Times New Roman" w:hAnsi="Times New Roman"/>
          <w:noProof/>
          <w:sz w:val="24"/>
        </w:rPr>
        <w:t xml:space="preserve"> i</w:t>
      </w:r>
      <w:r w:rsidR="004E0679">
        <w:rPr>
          <w:rFonts w:ascii="Times New Roman" w:hAnsi="Times New Roman"/>
          <w:noProof/>
          <w:sz w:val="24"/>
        </w:rPr>
        <w:t> </w:t>
      </w:r>
      <w:r w:rsidR="004E0679" w:rsidRPr="004E0679">
        <w:rPr>
          <w:rFonts w:ascii="Times New Roman" w:hAnsi="Times New Roman"/>
          <w:noProof/>
          <w:sz w:val="24"/>
        </w:rPr>
        <w:t>dzi</w:t>
      </w:r>
      <w:r w:rsidRPr="004E0679">
        <w:rPr>
          <w:rFonts w:ascii="Times New Roman" w:hAnsi="Times New Roman"/>
          <w:noProof/>
          <w:sz w:val="24"/>
        </w:rPr>
        <w:t>ałają również</w:t>
      </w:r>
      <w:r w:rsidR="004E0679" w:rsidRPr="004E0679">
        <w:rPr>
          <w:rFonts w:ascii="Times New Roman" w:hAnsi="Times New Roman"/>
          <w:noProof/>
          <w:sz w:val="24"/>
        </w:rPr>
        <w:t xml:space="preserve"> w</w:t>
      </w:r>
      <w:r w:rsidR="004E0679">
        <w:rPr>
          <w:rFonts w:ascii="Times New Roman" w:hAnsi="Times New Roman"/>
          <w:noProof/>
          <w:sz w:val="24"/>
        </w:rPr>
        <w:t> </w:t>
      </w:r>
      <w:r w:rsidR="004E0679" w:rsidRPr="004E0679">
        <w:rPr>
          <w:rFonts w:ascii="Times New Roman" w:hAnsi="Times New Roman"/>
          <w:noProof/>
          <w:sz w:val="24"/>
        </w:rPr>
        <w:t>inn</w:t>
      </w:r>
      <w:r w:rsidRPr="004E0679">
        <w:rPr>
          <w:rFonts w:ascii="Times New Roman" w:hAnsi="Times New Roman"/>
          <w:noProof/>
          <w:sz w:val="24"/>
        </w:rPr>
        <w:t>ych obszarach przestępczości wchodzących</w:t>
      </w:r>
      <w:r w:rsidR="004E0679" w:rsidRPr="004E0679">
        <w:rPr>
          <w:rFonts w:ascii="Times New Roman" w:hAnsi="Times New Roman"/>
          <w:noProof/>
          <w:sz w:val="24"/>
        </w:rPr>
        <w:t xml:space="preserve"> w</w:t>
      </w:r>
      <w:r w:rsidR="004E0679">
        <w:rPr>
          <w:rFonts w:ascii="Times New Roman" w:hAnsi="Times New Roman"/>
          <w:noProof/>
          <w:sz w:val="24"/>
        </w:rPr>
        <w:t> </w:t>
      </w:r>
      <w:r w:rsidR="004E0679" w:rsidRPr="004E0679">
        <w:rPr>
          <w:rFonts w:ascii="Times New Roman" w:hAnsi="Times New Roman"/>
          <w:noProof/>
          <w:sz w:val="24"/>
        </w:rPr>
        <w:t>zak</w:t>
      </w:r>
      <w:r w:rsidRPr="004E0679">
        <w:rPr>
          <w:rFonts w:ascii="Times New Roman" w:hAnsi="Times New Roman"/>
          <w:noProof/>
          <w:sz w:val="24"/>
        </w:rPr>
        <w:t>res kompetencji Europolu, takich jak cyberprzestępczość, pranie pieniędzy</w:t>
      </w:r>
      <w:r w:rsidR="004E0679" w:rsidRPr="004E0679">
        <w:rPr>
          <w:rFonts w:ascii="Times New Roman" w:hAnsi="Times New Roman"/>
          <w:noProof/>
          <w:sz w:val="24"/>
        </w:rPr>
        <w:t xml:space="preserve"> i</w:t>
      </w:r>
      <w:r w:rsidR="004E0679">
        <w:rPr>
          <w:rFonts w:ascii="Times New Roman" w:hAnsi="Times New Roman"/>
          <w:noProof/>
          <w:sz w:val="24"/>
        </w:rPr>
        <w:t> </w:t>
      </w:r>
      <w:r w:rsidR="004E0679" w:rsidRPr="004E0679">
        <w:rPr>
          <w:rFonts w:ascii="Times New Roman" w:hAnsi="Times New Roman"/>
          <w:noProof/>
          <w:sz w:val="24"/>
        </w:rPr>
        <w:t>prz</w:t>
      </w:r>
      <w:r w:rsidRPr="004E0679">
        <w:rPr>
          <w:rFonts w:ascii="Times New Roman" w:hAnsi="Times New Roman"/>
          <w:noProof/>
          <w:sz w:val="24"/>
        </w:rPr>
        <w:t>estępstwa przeciwko środowisku.</w:t>
      </w:r>
    </w:p>
    <w:p w14:paraId="00A3B773" w14:textId="5FB29EC1" w:rsidR="0037743B" w:rsidRPr="004E0679" w:rsidRDefault="00182656" w:rsidP="0037743B">
      <w:pPr>
        <w:pStyle w:val="Bodytext10"/>
        <w:spacing w:after="10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E0679">
        <w:rPr>
          <w:rFonts w:ascii="Times New Roman" w:hAnsi="Times New Roman"/>
          <w:noProof/>
          <w:sz w:val="24"/>
        </w:rPr>
        <w:t>W dokumencie programowym na lata 2022–2024 Europol zwrócił uwagę, że m.in. rosnący popyt na narkotyki</w:t>
      </w:r>
      <w:r w:rsidR="004E0679" w:rsidRPr="004E0679">
        <w:rPr>
          <w:rFonts w:ascii="Times New Roman" w:hAnsi="Times New Roman"/>
          <w:noProof/>
          <w:sz w:val="24"/>
        </w:rPr>
        <w:t xml:space="preserve"> i</w:t>
      </w:r>
      <w:r w:rsidR="004E0679">
        <w:rPr>
          <w:rFonts w:ascii="Times New Roman" w:hAnsi="Times New Roman"/>
          <w:noProof/>
          <w:sz w:val="24"/>
        </w:rPr>
        <w:t> </w:t>
      </w:r>
      <w:r w:rsidR="004E0679" w:rsidRPr="004E0679">
        <w:rPr>
          <w:rFonts w:ascii="Times New Roman" w:hAnsi="Times New Roman"/>
          <w:noProof/>
          <w:sz w:val="24"/>
        </w:rPr>
        <w:t>wię</w:t>
      </w:r>
      <w:r w:rsidRPr="004E0679">
        <w:rPr>
          <w:rFonts w:ascii="Times New Roman" w:hAnsi="Times New Roman"/>
          <w:noProof/>
          <w:sz w:val="24"/>
        </w:rPr>
        <w:t>cej szlaków przemytu narkotyków do UE uzasadniają potrzebę ściślejszej współpracy</w:t>
      </w:r>
      <w:r w:rsidR="004E0679" w:rsidRPr="004E0679">
        <w:rPr>
          <w:rFonts w:ascii="Times New Roman" w:hAnsi="Times New Roman"/>
          <w:noProof/>
          <w:sz w:val="24"/>
        </w:rPr>
        <w:t xml:space="preserve"> z</w:t>
      </w:r>
      <w:r w:rsidR="004E0679">
        <w:rPr>
          <w:rFonts w:ascii="Times New Roman" w:hAnsi="Times New Roman"/>
          <w:noProof/>
          <w:sz w:val="24"/>
        </w:rPr>
        <w:t> </w:t>
      </w:r>
      <w:r w:rsidR="004E0679" w:rsidRPr="004E0679">
        <w:rPr>
          <w:rFonts w:ascii="Times New Roman" w:hAnsi="Times New Roman"/>
          <w:noProof/>
          <w:sz w:val="24"/>
        </w:rPr>
        <w:t>pań</w:t>
      </w:r>
      <w:r w:rsidRPr="004E0679">
        <w:rPr>
          <w:rFonts w:ascii="Times New Roman" w:hAnsi="Times New Roman"/>
          <w:noProof/>
          <w:sz w:val="24"/>
        </w:rPr>
        <w:t>stwami Ameryki Łacińskiej</w:t>
      </w:r>
      <w:r w:rsidRPr="004E0679"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15"/>
      </w:r>
      <w:r w:rsidR="004E0679" w:rsidRPr="004E0679">
        <w:rPr>
          <w:rFonts w:ascii="Times New Roman" w:hAnsi="Times New Roman"/>
          <w:noProof/>
          <w:sz w:val="24"/>
        </w:rPr>
        <w:t>. W</w:t>
      </w:r>
      <w:r w:rsidR="004E0679">
        <w:rPr>
          <w:rFonts w:ascii="Times New Roman" w:hAnsi="Times New Roman"/>
          <w:noProof/>
          <w:sz w:val="24"/>
        </w:rPr>
        <w:t> </w:t>
      </w:r>
      <w:r w:rsidR="004E0679" w:rsidRPr="004E0679">
        <w:rPr>
          <w:rFonts w:ascii="Times New Roman" w:hAnsi="Times New Roman"/>
          <w:noProof/>
          <w:sz w:val="24"/>
        </w:rPr>
        <w:t>zwi</w:t>
      </w:r>
      <w:r w:rsidRPr="004E0679">
        <w:rPr>
          <w:rFonts w:ascii="Times New Roman" w:hAnsi="Times New Roman"/>
          <w:noProof/>
          <w:sz w:val="24"/>
        </w:rPr>
        <w:t>ązku</w:t>
      </w:r>
      <w:r w:rsidR="004E0679" w:rsidRPr="004E0679">
        <w:rPr>
          <w:rFonts w:ascii="Times New Roman" w:hAnsi="Times New Roman"/>
          <w:noProof/>
          <w:sz w:val="24"/>
        </w:rPr>
        <w:t xml:space="preserve"> z</w:t>
      </w:r>
      <w:r w:rsidR="004E0679">
        <w:rPr>
          <w:rFonts w:ascii="Times New Roman" w:hAnsi="Times New Roman"/>
          <w:noProof/>
          <w:sz w:val="24"/>
        </w:rPr>
        <w:t> </w:t>
      </w:r>
      <w:r w:rsidR="004E0679" w:rsidRPr="004E0679">
        <w:rPr>
          <w:rFonts w:ascii="Times New Roman" w:hAnsi="Times New Roman"/>
          <w:noProof/>
          <w:sz w:val="24"/>
        </w:rPr>
        <w:t>tym w</w:t>
      </w:r>
      <w:r w:rsidR="004E0679">
        <w:rPr>
          <w:rFonts w:ascii="Times New Roman" w:hAnsi="Times New Roman"/>
          <w:noProof/>
          <w:sz w:val="24"/>
        </w:rPr>
        <w:t> </w:t>
      </w:r>
      <w:r w:rsidR="004E0679" w:rsidRPr="004E0679">
        <w:rPr>
          <w:rFonts w:ascii="Times New Roman" w:hAnsi="Times New Roman"/>
          <w:noProof/>
          <w:sz w:val="24"/>
        </w:rPr>
        <w:t>gru</w:t>
      </w:r>
      <w:r w:rsidRPr="004E0679">
        <w:rPr>
          <w:rFonts w:ascii="Times New Roman" w:hAnsi="Times New Roman"/>
          <w:noProof/>
          <w:sz w:val="24"/>
        </w:rPr>
        <w:t>dniu 2020</w:t>
      </w:r>
      <w:r w:rsidR="004E0679" w:rsidRPr="004E0679">
        <w:rPr>
          <w:rFonts w:ascii="Times New Roman" w:hAnsi="Times New Roman"/>
          <w:noProof/>
          <w:sz w:val="24"/>
        </w:rPr>
        <w:t> </w:t>
      </w:r>
      <w:r w:rsidRPr="004E0679">
        <w:rPr>
          <w:rFonts w:ascii="Times New Roman" w:hAnsi="Times New Roman"/>
          <w:noProof/>
          <w:sz w:val="24"/>
        </w:rPr>
        <w:t>r. Republika Peru została wpisana do wykazu priorytetowych partnerów Europolu,</w:t>
      </w:r>
      <w:r w:rsidR="004E0679" w:rsidRPr="004E0679">
        <w:rPr>
          <w:rFonts w:ascii="Times New Roman" w:hAnsi="Times New Roman"/>
          <w:noProof/>
          <w:sz w:val="24"/>
        </w:rPr>
        <w:t xml:space="preserve"> z</w:t>
      </w:r>
      <w:r w:rsidR="004E0679">
        <w:rPr>
          <w:rFonts w:ascii="Times New Roman" w:hAnsi="Times New Roman"/>
          <w:noProof/>
          <w:sz w:val="24"/>
        </w:rPr>
        <w:t> </w:t>
      </w:r>
      <w:r w:rsidR="004E0679" w:rsidRPr="004E0679">
        <w:rPr>
          <w:rFonts w:ascii="Times New Roman" w:hAnsi="Times New Roman"/>
          <w:noProof/>
          <w:sz w:val="24"/>
        </w:rPr>
        <w:t>któ</w:t>
      </w:r>
      <w:r w:rsidRPr="004E0679">
        <w:rPr>
          <w:rFonts w:ascii="Times New Roman" w:hAnsi="Times New Roman"/>
          <w:noProof/>
          <w:sz w:val="24"/>
        </w:rPr>
        <w:t>rymi agencja może zawierać uzgodnienia robocze.</w:t>
      </w:r>
    </w:p>
    <w:p w14:paraId="00A3B774" w14:textId="0C9053B8" w:rsidR="00CE1712" w:rsidRPr="004E0679" w:rsidRDefault="00A36EBF" w:rsidP="00A02AD9">
      <w:pPr>
        <w:pStyle w:val="Bodytext10"/>
        <w:spacing w:after="10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E0679">
        <w:rPr>
          <w:rFonts w:ascii="Times New Roman" w:hAnsi="Times New Roman"/>
          <w:noProof/>
          <w:sz w:val="24"/>
        </w:rPr>
        <w:t>Peru uczestniczy</w:t>
      </w:r>
      <w:r w:rsidR="004E0679" w:rsidRPr="004E0679">
        <w:rPr>
          <w:rFonts w:ascii="Times New Roman" w:hAnsi="Times New Roman"/>
          <w:noProof/>
          <w:sz w:val="24"/>
        </w:rPr>
        <w:t xml:space="preserve"> w</w:t>
      </w:r>
      <w:r w:rsidR="004E0679">
        <w:rPr>
          <w:rFonts w:ascii="Times New Roman" w:hAnsi="Times New Roman"/>
          <w:noProof/>
          <w:sz w:val="24"/>
        </w:rPr>
        <w:t> </w:t>
      </w:r>
      <w:r w:rsidR="004E0679" w:rsidRPr="004E0679">
        <w:rPr>
          <w:rFonts w:ascii="Times New Roman" w:hAnsi="Times New Roman"/>
          <w:noProof/>
          <w:sz w:val="24"/>
        </w:rPr>
        <w:t>mec</w:t>
      </w:r>
      <w:r w:rsidRPr="004E0679">
        <w:rPr>
          <w:rFonts w:ascii="Times New Roman" w:hAnsi="Times New Roman"/>
          <w:noProof/>
          <w:sz w:val="24"/>
        </w:rPr>
        <w:t>hanizmie koordynacji</w:t>
      </w:r>
      <w:r w:rsidR="004E0679" w:rsidRPr="004E0679">
        <w:rPr>
          <w:rFonts w:ascii="Times New Roman" w:hAnsi="Times New Roman"/>
          <w:noProof/>
          <w:sz w:val="24"/>
        </w:rPr>
        <w:t xml:space="preserve"> i</w:t>
      </w:r>
      <w:r w:rsidR="004E0679">
        <w:rPr>
          <w:rFonts w:ascii="Times New Roman" w:hAnsi="Times New Roman"/>
          <w:noProof/>
          <w:sz w:val="24"/>
        </w:rPr>
        <w:t> </w:t>
      </w:r>
      <w:r w:rsidR="004E0679" w:rsidRPr="004E0679">
        <w:rPr>
          <w:rFonts w:ascii="Times New Roman" w:hAnsi="Times New Roman"/>
          <w:noProof/>
          <w:sz w:val="24"/>
        </w:rPr>
        <w:t>wsp</w:t>
      </w:r>
      <w:r w:rsidRPr="004E0679">
        <w:rPr>
          <w:rFonts w:ascii="Times New Roman" w:hAnsi="Times New Roman"/>
          <w:noProof/>
          <w:sz w:val="24"/>
        </w:rPr>
        <w:t>ółpracy</w:t>
      </w:r>
      <w:r w:rsidR="004E0679" w:rsidRPr="004E0679">
        <w:rPr>
          <w:rFonts w:ascii="Times New Roman" w:hAnsi="Times New Roman"/>
          <w:noProof/>
          <w:sz w:val="24"/>
        </w:rPr>
        <w:t xml:space="preserve"> w</w:t>
      </w:r>
      <w:r w:rsidR="004E0679">
        <w:rPr>
          <w:rFonts w:ascii="Times New Roman" w:hAnsi="Times New Roman"/>
          <w:noProof/>
          <w:sz w:val="24"/>
        </w:rPr>
        <w:t> </w:t>
      </w:r>
      <w:r w:rsidR="004E0679" w:rsidRPr="004E0679">
        <w:rPr>
          <w:rFonts w:ascii="Times New Roman" w:hAnsi="Times New Roman"/>
          <w:noProof/>
          <w:sz w:val="24"/>
        </w:rPr>
        <w:t>zak</w:t>
      </w:r>
      <w:r w:rsidRPr="004E0679">
        <w:rPr>
          <w:rFonts w:ascii="Times New Roman" w:hAnsi="Times New Roman"/>
          <w:noProof/>
          <w:sz w:val="24"/>
        </w:rPr>
        <w:t>resie narkotyków</w:t>
      </w:r>
      <w:r w:rsidR="004E0679" w:rsidRPr="004E0679">
        <w:rPr>
          <w:rFonts w:ascii="Times New Roman" w:hAnsi="Times New Roman"/>
          <w:noProof/>
          <w:sz w:val="24"/>
        </w:rPr>
        <w:t xml:space="preserve"> w</w:t>
      </w:r>
      <w:r w:rsidR="004E0679">
        <w:rPr>
          <w:rFonts w:ascii="Times New Roman" w:hAnsi="Times New Roman"/>
          <w:noProof/>
          <w:sz w:val="24"/>
        </w:rPr>
        <w:t> </w:t>
      </w:r>
      <w:r w:rsidR="004E0679" w:rsidRPr="004E0679">
        <w:rPr>
          <w:rFonts w:ascii="Times New Roman" w:hAnsi="Times New Roman"/>
          <w:noProof/>
          <w:sz w:val="24"/>
        </w:rPr>
        <w:t>ram</w:t>
      </w:r>
      <w:r w:rsidRPr="004E0679">
        <w:rPr>
          <w:rFonts w:ascii="Times New Roman" w:hAnsi="Times New Roman"/>
          <w:noProof/>
          <w:sz w:val="24"/>
        </w:rPr>
        <w:t>ach Wspólnoty Państw Ameryki Łacińskiej</w:t>
      </w:r>
      <w:r w:rsidR="004E0679" w:rsidRPr="004E0679">
        <w:rPr>
          <w:rFonts w:ascii="Times New Roman" w:hAnsi="Times New Roman"/>
          <w:noProof/>
          <w:sz w:val="24"/>
        </w:rPr>
        <w:t xml:space="preserve"> i</w:t>
      </w:r>
      <w:r w:rsidR="004E0679">
        <w:rPr>
          <w:rFonts w:ascii="Times New Roman" w:hAnsi="Times New Roman"/>
          <w:noProof/>
          <w:sz w:val="24"/>
        </w:rPr>
        <w:t> </w:t>
      </w:r>
      <w:r w:rsidR="004E0679" w:rsidRPr="004E0679">
        <w:rPr>
          <w:rFonts w:ascii="Times New Roman" w:hAnsi="Times New Roman"/>
          <w:noProof/>
          <w:sz w:val="24"/>
        </w:rPr>
        <w:t>Kar</w:t>
      </w:r>
      <w:r w:rsidRPr="004E0679">
        <w:rPr>
          <w:rFonts w:ascii="Times New Roman" w:hAnsi="Times New Roman"/>
          <w:noProof/>
          <w:sz w:val="24"/>
        </w:rPr>
        <w:t>aibów (CELAC). Ponadto Republika Peru jest członkiem Wspólnoty Sił Policyjnych Kontynentów Amerykańskich (Ameripol)</w:t>
      </w:r>
      <w:r w:rsidR="004E0679" w:rsidRPr="004E0679">
        <w:rPr>
          <w:rFonts w:ascii="Times New Roman" w:hAnsi="Times New Roman"/>
          <w:noProof/>
          <w:sz w:val="24"/>
        </w:rPr>
        <w:t xml:space="preserve"> i</w:t>
      </w:r>
      <w:r w:rsidR="004E0679">
        <w:rPr>
          <w:rFonts w:ascii="Times New Roman" w:hAnsi="Times New Roman"/>
          <w:noProof/>
          <w:sz w:val="24"/>
        </w:rPr>
        <w:t> </w:t>
      </w:r>
      <w:r w:rsidR="004E0679" w:rsidRPr="004E0679">
        <w:rPr>
          <w:rFonts w:ascii="Times New Roman" w:hAnsi="Times New Roman"/>
          <w:noProof/>
          <w:sz w:val="24"/>
        </w:rPr>
        <w:t>Kom</w:t>
      </w:r>
      <w:r w:rsidRPr="004E0679">
        <w:rPr>
          <w:rFonts w:ascii="Times New Roman" w:hAnsi="Times New Roman"/>
          <w:noProof/>
          <w:sz w:val="24"/>
        </w:rPr>
        <w:t>itetu ds. Bezpieczeństwa Wewnętrznego Ameryki Łacińskiej (CLASI)</w:t>
      </w:r>
      <w:r w:rsidRPr="004E0679"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16"/>
      </w:r>
      <w:r w:rsidRPr="004E0679">
        <w:rPr>
          <w:rFonts w:ascii="Times New Roman" w:hAnsi="Times New Roman"/>
          <w:noProof/>
          <w:sz w:val="24"/>
        </w:rPr>
        <w:t>, który powstał</w:t>
      </w:r>
      <w:r w:rsidR="004E0679" w:rsidRPr="004E0679">
        <w:rPr>
          <w:rFonts w:ascii="Times New Roman" w:hAnsi="Times New Roman"/>
          <w:noProof/>
          <w:sz w:val="24"/>
        </w:rPr>
        <w:t xml:space="preserve"> w</w:t>
      </w:r>
      <w:r w:rsidR="004E0679">
        <w:rPr>
          <w:rFonts w:ascii="Times New Roman" w:hAnsi="Times New Roman"/>
          <w:noProof/>
          <w:sz w:val="24"/>
        </w:rPr>
        <w:t> </w:t>
      </w:r>
      <w:r w:rsidR="004E0679" w:rsidRPr="004E0679">
        <w:rPr>
          <w:rFonts w:ascii="Times New Roman" w:hAnsi="Times New Roman"/>
          <w:noProof/>
          <w:sz w:val="24"/>
        </w:rPr>
        <w:t>2</w:t>
      </w:r>
      <w:r w:rsidRPr="004E0679">
        <w:rPr>
          <w:rFonts w:ascii="Times New Roman" w:hAnsi="Times New Roman"/>
          <w:noProof/>
          <w:sz w:val="24"/>
        </w:rPr>
        <w:t>022</w:t>
      </w:r>
      <w:r w:rsidR="004E0679" w:rsidRPr="004E0679">
        <w:rPr>
          <w:rFonts w:ascii="Times New Roman" w:hAnsi="Times New Roman"/>
          <w:noProof/>
          <w:sz w:val="24"/>
        </w:rPr>
        <w:t> </w:t>
      </w:r>
      <w:r w:rsidRPr="004E0679">
        <w:rPr>
          <w:rFonts w:ascii="Times New Roman" w:hAnsi="Times New Roman"/>
          <w:noProof/>
          <w:sz w:val="24"/>
        </w:rPr>
        <w:t>r.</w:t>
      </w:r>
      <w:r w:rsidR="004E0679" w:rsidRPr="004E0679">
        <w:rPr>
          <w:rFonts w:ascii="Times New Roman" w:hAnsi="Times New Roman"/>
          <w:noProof/>
          <w:sz w:val="24"/>
        </w:rPr>
        <w:t xml:space="preserve"> i</w:t>
      </w:r>
      <w:r w:rsidR="004E0679">
        <w:rPr>
          <w:rFonts w:ascii="Times New Roman" w:hAnsi="Times New Roman"/>
          <w:noProof/>
          <w:sz w:val="24"/>
        </w:rPr>
        <w:t> </w:t>
      </w:r>
      <w:r w:rsidR="004E0679" w:rsidRPr="004E0679">
        <w:rPr>
          <w:rFonts w:ascii="Times New Roman" w:hAnsi="Times New Roman"/>
          <w:noProof/>
          <w:sz w:val="24"/>
        </w:rPr>
        <w:t>dzi</w:t>
      </w:r>
      <w:r w:rsidRPr="004E0679">
        <w:rPr>
          <w:rFonts w:ascii="Times New Roman" w:hAnsi="Times New Roman"/>
          <w:noProof/>
          <w:sz w:val="24"/>
        </w:rPr>
        <w:t>ała</w:t>
      </w:r>
      <w:r w:rsidR="004E0679" w:rsidRPr="004E0679">
        <w:rPr>
          <w:rFonts w:ascii="Times New Roman" w:hAnsi="Times New Roman"/>
          <w:noProof/>
          <w:sz w:val="24"/>
        </w:rPr>
        <w:t xml:space="preserve"> w</w:t>
      </w:r>
      <w:r w:rsidR="004E0679">
        <w:rPr>
          <w:rFonts w:ascii="Times New Roman" w:hAnsi="Times New Roman"/>
          <w:noProof/>
          <w:sz w:val="24"/>
        </w:rPr>
        <w:t> </w:t>
      </w:r>
      <w:r w:rsidR="004E0679" w:rsidRPr="004E0679">
        <w:rPr>
          <w:rFonts w:ascii="Times New Roman" w:hAnsi="Times New Roman"/>
          <w:noProof/>
          <w:sz w:val="24"/>
        </w:rPr>
        <w:t>ram</w:t>
      </w:r>
      <w:r w:rsidRPr="004E0679">
        <w:rPr>
          <w:rFonts w:ascii="Times New Roman" w:hAnsi="Times New Roman"/>
          <w:noProof/>
          <w:sz w:val="24"/>
        </w:rPr>
        <w:t>ach europejsko-latynoskiego programu wsparcia walki</w:t>
      </w:r>
      <w:r w:rsidR="004E0679" w:rsidRPr="004E0679">
        <w:rPr>
          <w:rFonts w:ascii="Times New Roman" w:hAnsi="Times New Roman"/>
          <w:noProof/>
          <w:sz w:val="24"/>
        </w:rPr>
        <w:t xml:space="preserve"> z</w:t>
      </w:r>
      <w:r w:rsidR="004E0679">
        <w:rPr>
          <w:rFonts w:ascii="Times New Roman" w:hAnsi="Times New Roman"/>
          <w:noProof/>
          <w:sz w:val="24"/>
        </w:rPr>
        <w:t> </w:t>
      </w:r>
      <w:r w:rsidR="004E0679" w:rsidRPr="004E0679">
        <w:rPr>
          <w:rFonts w:ascii="Times New Roman" w:hAnsi="Times New Roman"/>
          <w:noProof/>
          <w:sz w:val="24"/>
        </w:rPr>
        <w:t>tra</w:t>
      </w:r>
      <w:r w:rsidRPr="004E0679">
        <w:rPr>
          <w:rFonts w:ascii="Times New Roman" w:hAnsi="Times New Roman"/>
          <w:noProof/>
          <w:sz w:val="24"/>
        </w:rPr>
        <w:t>nsnarodową przestępczością zorganizowaną (El PAcCTO)</w:t>
      </w:r>
      <w:r w:rsidRPr="004E0679"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17"/>
      </w:r>
      <w:r w:rsidRPr="004E0679">
        <w:rPr>
          <w:rFonts w:ascii="Times New Roman" w:hAnsi="Times New Roman"/>
          <w:noProof/>
          <w:sz w:val="24"/>
        </w:rPr>
        <w:t>. Kraj ten zobowiązał się do udziału</w:t>
      </w:r>
      <w:r w:rsidR="004E0679" w:rsidRPr="004E0679">
        <w:rPr>
          <w:rFonts w:ascii="Times New Roman" w:hAnsi="Times New Roman"/>
          <w:noProof/>
          <w:sz w:val="24"/>
        </w:rPr>
        <w:t xml:space="preserve"> w</w:t>
      </w:r>
      <w:r w:rsidR="004E0679">
        <w:rPr>
          <w:rFonts w:ascii="Times New Roman" w:hAnsi="Times New Roman"/>
          <w:noProof/>
          <w:sz w:val="24"/>
        </w:rPr>
        <w:t> </w:t>
      </w:r>
      <w:r w:rsidR="004E0679" w:rsidRPr="004E0679">
        <w:rPr>
          <w:rFonts w:ascii="Times New Roman" w:hAnsi="Times New Roman"/>
          <w:noProof/>
          <w:sz w:val="24"/>
        </w:rPr>
        <w:t>lik</w:t>
      </w:r>
      <w:r w:rsidRPr="004E0679">
        <w:rPr>
          <w:rFonts w:ascii="Times New Roman" w:hAnsi="Times New Roman"/>
          <w:noProof/>
          <w:sz w:val="24"/>
        </w:rPr>
        <w:t>widacji zorganizowanych grup przestępczych zajmujących się produkcją narkotyków</w:t>
      </w:r>
      <w:r w:rsidR="004E0679" w:rsidRPr="004E0679">
        <w:rPr>
          <w:rFonts w:ascii="Times New Roman" w:hAnsi="Times New Roman"/>
          <w:noProof/>
          <w:sz w:val="24"/>
        </w:rPr>
        <w:t xml:space="preserve"> i</w:t>
      </w:r>
      <w:r w:rsidR="004E0679">
        <w:rPr>
          <w:rFonts w:ascii="Times New Roman" w:hAnsi="Times New Roman"/>
          <w:noProof/>
          <w:sz w:val="24"/>
        </w:rPr>
        <w:t> </w:t>
      </w:r>
      <w:r w:rsidR="004E0679" w:rsidRPr="004E0679">
        <w:rPr>
          <w:rFonts w:ascii="Times New Roman" w:hAnsi="Times New Roman"/>
          <w:noProof/>
          <w:sz w:val="24"/>
        </w:rPr>
        <w:t>han</w:t>
      </w:r>
      <w:r w:rsidRPr="004E0679">
        <w:rPr>
          <w:rFonts w:ascii="Times New Roman" w:hAnsi="Times New Roman"/>
          <w:noProof/>
          <w:sz w:val="24"/>
        </w:rPr>
        <w:t>dlem nimi. Europejskie Centrum Monitorowania Narkotyków</w:t>
      </w:r>
      <w:r w:rsidR="004E0679" w:rsidRPr="004E0679">
        <w:rPr>
          <w:rFonts w:ascii="Times New Roman" w:hAnsi="Times New Roman"/>
          <w:noProof/>
          <w:sz w:val="24"/>
        </w:rPr>
        <w:t xml:space="preserve"> i</w:t>
      </w:r>
      <w:r w:rsidR="004E0679">
        <w:rPr>
          <w:rFonts w:ascii="Times New Roman" w:hAnsi="Times New Roman"/>
          <w:noProof/>
          <w:sz w:val="24"/>
        </w:rPr>
        <w:t> </w:t>
      </w:r>
      <w:r w:rsidR="004E0679" w:rsidRPr="004E0679">
        <w:rPr>
          <w:rFonts w:ascii="Times New Roman" w:hAnsi="Times New Roman"/>
          <w:noProof/>
          <w:sz w:val="24"/>
        </w:rPr>
        <w:t>Nar</w:t>
      </w:r>
      <w:r w:rsidRPr="004E0679">
        <w:rPr>
          <w:rFonts w:ascii="Times New Roman" w:hAnsi="Times New Roman"/>
          <w:noProof/>
          <w:sz w:val="24"/>
        </w:rPr>
        <w:t>komanii (EMCDDA) uznało Peru za kluczowego partnera międzynarodowego mogącego przyczynić się do zmniejszenia globalnej podaży kokainy</w:t>
      </w:r>
      <w:r w:rsidRPr="004E0679"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18"/>
      </w:r>
      <w:r w:rsidRPr="004E0679">
        <w:rPr>
          <w:rFonts w:ascii="Times New Roman" w:hAnsi="Times New Roman"/>
          <w:noProof/>
          <w:sz w:val="24"/>
        </w:rPr>
        <w:t>.</w:t>
      </w:r>
    </w:p>
    <w:p w14:paraId="00A3B775" w14:textId="675C6C54" w:rsidR="00AF05A4" w:rsidRPr="004E0679" w:rsidRDefault="00582C25" w:rsidP="005D5914">
      <w:pPr>
        <w:pStyle w:val="Bodytext10"/>
        <w:spacing w:after="10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E0679">
        <w:rPr>
          <w:rFonts w:ascii="Times New Roman" w:hAnsi="Times New Roman"/>
          <w:noProof/>
          <w:sz w:val="24"/>
        </w:rPr>
        <w:t>Zacieśniona współpraca operacyjna</w:t>
      </w:r>
      <w:r w:rsidR="004E0679" w:rsidRPr="004E0679">
        <w:rPr>
          <w:rFonts w:ascii="Times New Roman" w:hAnsi="Times New Roman"/>
          <w:noProof/>
          <w:sz w:val="24"/>
        </w:rPr>
        <w:t xml:space="preserve"> i</w:t>
      </w:r>
      <w:r w:rsidR="004E0679">
        <w:rPr>
          <w:rFonts w:ascii="Times New Roman" w:hAnsi="Times New Roman"/>
          <w:noProof/>
          <w:sz w:val="24"/>
        </w:rPr>
        <w:t> </w:t>
      </w:r>
      <w:r w:rsidR="004E0679" w:rsidRPr="004E0679">
        <w:rPr>
          <w:rFonts w:ascii="Times New Roman" w:hAnsi="Times New Roman"/>
          <w:noProof/>
          <w:sz w:val="24"/>
        </w:rPr>
        <w:t>wym</w:t>
      </w:r>
      <w:r w:rsidRPr="004E0679">
        <w:rPr>
          <w:rFonts w:ascii="Times New Roman" w:hAnsi="Times New Roman"/>
          <w:noProof/>
          <w:sz w:val="24"/>
        </w:rPr>
        <w:t>iana istotnych informacji między Europolem</w:t>
      </w:r>
      <w:r w:rsidR="004E0679" w:rsidRPr="004E0679">
        <w:rPr>
          <w:rFonts w:ascii="Times New Roman" w:hAnsi="Times New Roman"/>
          <w:noProof/>
          <w:sz w:val="24"/>
        </w:rPr>
        <w:t xml:space="preserve"> a</w:t>
      </w:r>
      <w:r w:rsidR="004E0679">
        <w:rPr>
          <w:rFonts w:ascii="Times New Roman" w:hAnsi="Times New Roman"/>
          <w:noProof/>
          <w:sz w:val="24"/>
        </w:rPr>
        <w:t> </w:t>
      </w:r>
      <w:r w:rsidR="004E0679" w:rsidRPr="004E0679">
        <w:rPr>
          <w:rFonts w:ascii="Times New Roman" w:hAnsi="Times New Roman"/>
          <w:noProof/>
          <w:sz w:val="24"/>
        </w:rPr>
        <w:t>Rep</w:t>
      </w:r>
      <w:r w:rsidRPr="004E0679">
        <w:rPr>
          <w:rFonts w:ascii="Times New Roman" w:hAnsi="Times New Roman"/>
          <w:noProof/>
          <w:sz w:val="24"/>
        </w:rPr>
        <w:t>ubliką Peru byłyby ważnym czynnikiem zwalczania poważnych przestępstw</w:t>
      </w:r>
      <w:r w:rsidR="004E0679" w:rsidRPr="004E0679">
        <w:rPr>
          <w:rFonts w:ascii="Times New Roman" w:hAnsi="Times New Roman"/>
          <w:noProof/>
          <w:sz w:val="24"/>
        </w:rPr>
        <w:t xml:space="preserve"> w</w:t>
      </w:r>
      <w:r w:rsidR="004E0679">
        <w:rPr>
          <w:rFonts w:ascii="Times New Roman" w:hAnsi="Times New Roman"/>
          <w:noProof/>
          <w:sz w:val="24"/>
        </w:rPr>
        <w:t> </w:t>
      </w:r>
      <w:r w:rsidR="004E0679" w:rsidRPr="004E0679">
        <w:rPr>
          <w:rFonts w:ascii="Times New Roman" w:hAnsi="Times New Roman"/>
          <w:noProof/>
          <w:sz w:val="24"/>
        </w:rPr>
        <w:t>wie</w:t>
      </w:r>
      <w:r w:rsidRPr="004E0679">
        <w:rPr>
          <w:rFonts w:ascii="Times New Roman" w:hAnsi="Times New Roman"/>
          <w:noProof/>
          <w:sz w:val="24"/>
        </w:rPr>
        <w:t>lu obszarach przestępczości będących przedmiotem wspólnego zainteresowania, takich jak handel narkotykami</w:t>
      </w:r>
      <w:r w:rsidR="004E0679" w:rsidRPr="004E0679">
        <w:rPr>
          <w:rFonts w:ascii="Times New Roman" w:hAnsi="Times New Roman"/>
          <w:noProof/>
          <w:sz w:val="24"/>
        </w:rPr>
        <w:t xml:space="preserve"> i</w:t>
      </w:r>
      <w:r w:rsidR="004E0679">
        <w:rPr>
          <w:rFonts w:ascii="Times New Roman" w:hAnsi="Times New Roman"/>
          <w:noProof/>
          <w:sz w:val="24"/>
        </w:rPr>
        <w:t> </w:t>
      </w:r>
      <w:r w:rsidR="004E0679" w:rsidRPr="004E0679">
        <w:rPr>
          <w:rFonts w:ascii="Times New Roman" w:hAnsi="Times New Roman"/>
          <w:noProof/>
          <w:sz w:val="24"/>
        </w:rPr>
        <w:t>prz</w:t>
      </w:r>
      <w:r w:rsidRPr="004E0679">
        <w:rPr>
          <w:rFonts w:ascii="Times New Roman" w:hAnsi="Times New Roman"/>
          <w:noProof/>
          <w:sz w:val="24"/>
        </w:rPr>
        <w:t>estępstwa przeciwko środowisku. Ze względu na brak ważnej podstawy prawnej na mocy prawa Unii peruwiańskie organy ścigania właściwe do zwalczania poważnej przestępczości</w:t>
      </w:r>
      <w:r w:rsidR="004E0679" w:rsidRPr="004E0679">
        <w:rPr>
          <w:rFonts w:ascii="Times New Roman" w:hAnsi="Times New Roman"/>
          <w:noProof/>
          <w:sz w:val="24"/>
        </w:rPr>
        <w:t xml:space="preserve"> i</w:t>
      </w:r>
      <w:r w:rsidR="004E0679">
        <w:rPr>
          <w:rFonts w:ascii="Times New Roman" w:hAnsi="Times New Roman"/>
          <w:noProof/>
          <w:sz w:val="24"/>
        </w:rPr>
        <w:t> </w:t>
      </w:r>
      <w:r w:rsidR="004E0679" w:rsidRPr="004E0679">
        <w:rPr>
          <w:rFonts w:ascii="Times New Roman" w:hAnsi="Times New Roman"/>
          <w:noProof/>
          <w:sz w:val="24"/>
        </w:rPr>
        <w:t>ter</w:t>
      </w:r>
      <w:r w:rsidRPr="004E0679">
        <w:rPr>
          <w:rFonts w:ascii="Times New Roman" w:hAnsi="Times New Roman"/>
          <w:noProof/>
          <w:sz w:val="24"/>
        </w:rPr>
        <w:t>roryzmu nie mogą otrzymywać od Europolu żadnych danych osobowych. Stanowi to zatem przeszkodę</w:t>
      </w:r>
      <w:r w:rsidR="004E0679" w:rsidRPr="004E0679">
        <w:rPr>
          <w:rFonts w:ascii="Times New Roman" w:hAnsi="Times New Roman"/>
          <w:noProof/>
          <w:sz w:val="24"/>
        </w:rPr>
        <w:t xml:space="preserve"> w</w:t>
      </w:r>
      <w:r w:rsidR="004E0679">
        <w:rPr>
          <w:rFonts w:ascii="Times New Roman" w:hAnsi="Times New Roman"/>
          <w:noProof/>
          <w:sz w:val="24"/>
        </w:rPr>
        <w:t> </w:t>
      </w:r>
      <w:r w:rsidR="004E0679" w:rsidRPr="004E0679">
        <w:rPr>
          <w:rFonts w:ascii="Times New Roman" w:hAnsi="Times New Roman"/>
          <w:noProof/>
          <w:sz w:val="24"/>
        </w:rPr>
        <w:t>dal</w:t>
      </w:r>
      <w:r w:rsidRPr="004E0679">
        <w:rPr>
          <w:rFonts w:ascii="Times New Roman" w:hAnsi="Times New Roman"/>
          <w:noProof/>
          <w:sz w:val="24"/>
        </w:rPr>
        <w:t>szym rozwoju współpracy między stronami.</w:t>
      </w:r>
    </w:p>
    <w:p w14:paraId="00A3B776" w14:textId="3159B47F" w:rsidR="009F6B2E" w:rsidRPr="004E0679" w:rsidRDefault="00AF05A4" w:rsidP="009F6B2E">
      <w:pPr>
        <w:pStyle w:val="Bodytext10"/>
        <w:spacing w:after="10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E0679">
        <w:rPr>
          <w:rFonts w:ascii="Times New Roman" w:hAnsi="Times New Roman"/>
          <w:noProof/>
          <w:sz w:val="24"/>
        </w:rPr>
        <w:t>W związku</w:t>
      </w:r>
      <w:r w:rsidR="004E0679" w:rsidRPr="004E0679">
        <w:rPr>
          <w:rFonts w:ascii="Times New Roman" w:hAnsi="Times New Roman"/>
          <w:noProof/>
          <w:sz w:val="24"/>
        </w:rPr>
        <w:t xml:space="preserve"> z</w:t>
      </w:r>
      <w:r w:rsidR="004E0679">
        <w:rPr>
          <w:rFonts w:ascii="Times New Roman" w:hAnsi="Times New Roman"/>
          <w:noProof/>
          <w:sz w:val="24"/>
        </w:rPr>
        <w:t> </w:t>
      </w:r>
      <w:r w:rsidR="004E0679" w:rsidRPr="004E0679">
        <w:rPr>
          <w:rFonts w:ascii="Times New Roman" w:hAnsi="Times New Roman"/>
          <w:noProof/>
          <w:sz w:val="24"/>
        </w:rPr>
        <w:t>pow</w:t>
      </w:r>
      <w:r w:rsidRPr="004E0679">
        <w:rPr>
          <w:rFonts w:ascii="Times New Roman" w:hAnsi="Times New Roman"/>
          <w:noProof/>
          <w:sz w:val="24"/>
        </w:rPr>
        <w:t>yższym oraz biorąc pod uwagę strategię polityczną UE określoną</w:t>
      </w:r>
      <w:r w:rsidR="004E0679" w:rsidRPr="004E0679">
        <w:rPr>
          <w:rFonts w:ascii="Times New Roman" w:hAnsi="Times New Roman"/>
          <w:noProof/>
          <w:sz w:val="24"/>
        </w:rPr>
        <w:t xml:space="preserve"> w</w:t>
      </w:r>
      <w:r w:rsidR="004E0679">
        <w:rPr>
          <w:rFonts w:ascii="Times New Roman" w:hAnsi="Times New Roman"/>
          <w:noProof/>
          <w:sz w:val="24"/>
        </w:rPr>
        <w:t> </w:t>
      </w:r>
      <w:r w:rsidR="004E0679" w:rsidRPr="004E0679">
        <w:rPr>
          <w:rFonts w:ascii="Times New Roman" w:hAnsi="Times New Roman"/>
          <w:noProof/>
          <w:sz w:val="24"/>
        </w:rPr>
        <w:t>str</w:t>
      </w:r>
      <w:r w:rsidRPr="004E0679">
        <w:rPr>
          <w:rFonts w:ascii="Times New Roman" w:hAnsi="Times New Roman"/>
          <w:noProof/>
          <w:sz w:val="24"/>
        </w:rPr>
        <w:t>ategii UE</w:t>
      </w:r>
      <w:r w:rsidR="004E0679" w:rsidRPr="004E0679">
        <w:rPr>
          <w:rFonts w:ascii="Times New Roman" w:hAnsi="Times New Roman"/>
          <w:noProof/>
          <w:sz w:val="24"/>
        </w:rPr>
        <w:t xml:space="preserve"> w</w:t>
      </w:r>
      <w:r w:rsidR="004E0679">
        <w:rPr>
          <w:rFonts w:ascii="Times New Roman" w:hAnsi="Times New Roman"/>
          <w:noProof/>
          <w:sz w:val="24"/>
        </w:rPr>
        <w:t> </w:t>
      </w:r>
      <w:r w:rsidR="004E0679" w:rsidRPr="004E0679">
        <w:rPr>
          <w:rFonts w:ascii="Times New Roman" w:hAnsi="Times New Roman"/>
          <w:noProof/>
          <w:sz w:val="24"/>
        </w:rPr>
        <w:t>zak</w:t>
      </w:r>
      <w:r w:rsidRPr="004E0679">
        <w:rPr>
          <w:rFonts w:ascii="Times New Roman" w:hAnsi="Times New Roman"/>
          <w:noProof/>
          <w:sz w:val="24"/>
        </w:rPr>
        <w:t>resie unii bezpieczeństwa</w:t>
      </w:r>
      <w:r w:rsidRPr="004E0679"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19"/>
      </w:r>
      <w:r w:rsidRPr="004E0679">
        <w:rPr>
          <w:rFonts w:ascii="Times New Roman" w:hAnsi="Times New Roman"/>
          <w:noProof/>
          <w:sz w:val="24"/>
        </w:rPr>
        <w:t>, strategii UE</w:t>
      </w:r>
      <w:r w:rsidR="004E0679" w:rsidRPr="004E0679">
        <w:rPr>
          <w:rFonts w:ascii="Times New Roman" w:hAnsi="Times New Roman"/>
          <w:noProof/>
          <w:sz w:val="24"/>
        </w:rPr>
        <w:t xml:space="preserve"> w</w:t>
      </w:r>
      <w:r w:rsidR="004E0679">
        <w:rPr>
          <w:rFonts w:ascii="Times New Roman" w:hAnsi="Times New Roman"/>
          <w:noProof/>
          <w:sz w:val="24"/>
        </w:rPr>
        <w:t> </w:t>
      </w:r>
      <w:r w:rsidR="004E0679" w:rsidRPr="004E0679">
        <w:rPr>
          <w:rFonts w:ascii="Times New Roman" w:hAnsi="Times New Roman"/>
          <w:noProof/>
          <w:sz w:val="24"/>
        </w:rPr>
        <w:t>dzi</w:t>
      </w:r>
      <w:r w:rsidRPr="004E0679">
        <w:rPr>
          <w:rFonts w:ascii="Times New Roman" w:hAnsi="Times New Roman"/>
          <w:noProof/>
          <w:sz w:val="24"/>
        </w:rPr>
        <w:t>edzinie narkotyków na lata 2021–2025</w:t>
      </w:r>
      <w:r w:rsidRPr="004E0679"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20"/>
      </w:r>
      <w:r w:rsidRPr="004E0679">
        <w:rPr>
          <w:rFonts w:ascii="Times New Roman" w:hAnsi="Times New Roman"/>
          <w:noProof/>
          <w:sz w:val="24"/>
        </w:rPr>
        <w:t xml:space="preserve"> oraz</w:t>
      </w:r>
      <w:r w:rsidR="004E0679" w:rsidRPr="004E0679">
        <w:rPr>
          <w:rFonts w:ascii="Times New Roman" w:hAnsi="Times New Roman"/>
          <w:noProof/>
          <w:sz w:val="24"/>
        </w:rPr>
        <w:t xml:space="preserve"> w</w:t>
      </w:r>
      <w:r w:rsidR="004E0679">
        <w:rPr>
          <w:rFonts w:ascii="Times New Roman" w:hAnsi="Times New Roman"/>
          <w:noProof/>
          <w:sz w:val="24"/>
        </w:rPr>
        <w:t> </w:t>
      </w:r>
      <w:r w:rsidR="004E0679" w:rsidRPr="004E0679">
        <w:rPr>
          <w:rFonts w:ascii="Times New Roman" w:hAnsi="Times New Roman"/>
          <w:noProof/>
          <w:sz w:val="24"/>
        </w:rPr>
        <w:t>pla</w:t>
      </w:r>
      <w:r w:rsidRPr="004E0679">
        <w:rPr>
          <w:rFonts w:ascii="Times New Roman" w:hAnsi="Times New Roman"/>
          <w:noProof/>
          <w:sz w:val="24"/>
        </w:rPr>
        <w:t>nie działania UE</w:t>
      </w:r>
      <w:r w:rsidR="004E0679" w:rsidRPr="004E0679">
        <w:rPr>
          <w:rFonts w:ascii="Times New Roman" w:hAnsi="Times New Roman"/>
          <w:noProof/>
          <w:sz w:val="24"/>
        </w:rPr>
        <w:t xml:space="preserve"> w</w:t>
      </w:r>
      <w:r w:rsidR="004E0679">
        <w:rPr>
          <w:rFonts w:ascii="Times New Roman" w:hAnsi="Times New Roman"/>
          <w:noProof/>
          <w:sz w:val="24"/>
        </w:rPr>
        <w:t> </w:t>
      </w:r>
      <w:r w:rsidR="004E0679" w:rsidRPr="004E0679">
        <w:rPr>
          <w:rFonts w:ascii="Times New Roman" w:hAnsi="Times New Roman"/>
          <w:noProof/>
          <w:sz w:val="24"/>
        </w:rPr>
        <w:t>zak</w:t>
      </w:r>
      <w:r w:rsidRPr="004E0679">
        <w:rPr>
          <w:rFonts w:ascii="Times New Roman" w:hAnsi="Times New Roman"/>
          <w:noProof/>
          <w:sz w:val="24"/>
        </w:rPr>
        <w:t>resie narkotyków na lata 2021–2025</w:t>
      </w:r>
      <w:r w:rsidRPr="004E0679"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21"/>
      </w:r>
      <w:r w:rsidRPr="004E0679">
        <w:rPr>
          <w:rFonts w:ascii="Times New Roman" w:hAnsi="Times New Roman"/>
          <w:noProof/>
          <w:sz w:val="24"/>
        </w:rPr>
        <w:t>, Komisja uważa, że konieczne jest dodanie Peru jako kraju priorytetowego, jeśli chodzi</w:t>
      </w:r>
      <w:r w:rsidR="004E0679" w:rsidRPr="004E0679">
        <w:rPr>
          <w:rFonts w:ascii="Times New Roman" w:hAnsi="Times New Roman"/>
          <w:noProof/>
          <w:sz w:val="24"/>
        </w:rPr>
        <w:t xml:space="preserve"> o</w:t>
      </w:r>
      <w:r w:rsidR="004E0679">
        <w:rPr>
          <w:rFonts w:ascii="Times New Roman" w:hAnsi="Times New Roman"/>
          <w:noProof/>
          <w:sz w:val="24"/>
        </w:rPr>
        <w:t> </w:t>
      </w:r>
      <w:r w:rsidR="004E0679" w:rsidRPr="004E0679">
        <w:rPr>
          <w:rFonts w:ascii="Times New Roman" w:hAnsi="Times New Roman"/>
          <w:noProof/>
          <w:sz w:val="24"/>
        </w:rPr>
        <w:t>pod</w:t>
      </w:r>
      <w:r w:rsidRPr="004E0679">
        <w:rPr>
          <w:rFonts w:ascii="Times New Roman" w:hAnsi="Times New Roman"/>
          <w:noProof/>
          <w:sz w:val="24"/>
        </w:rPr>
        <w:t>jęcie rokowań</w:t>
      </w:r>
      <w:r w:rsidR="004E0679" w:rsidRPr="004E0679">
        <w:rPr>
          <w:rFonts w:ascii="Times New Roman" w:hAnsi="Times New Roman"/>
          <w:noProof/>
          <w:sz w:val="24"/>
        </w:rPr>
        <w:t xml:space="preserve"> w</w:t>
      </w:r>
      <w:r w:rsidR="004E0679">
        <w:rPr>
          <w:rFonts w:ascii="Times New Roman" w:hAnsi="Times New Roman"/>
          <w:noProof/>
          <w:sz w:val="24"/>
        </w:rPr>
        <w:t> </w:t>
      </w:r>
      <w:r w:rsidR="004E0679" w:rsidRPr="004E0679">
        <w:rPr>
          <w:rFonts w:ascii="Times New Roman" w:hAnsi="Times New Roman"/>
          <w:noProof/>
          <w:sz w:val="24"/>
        </w:rPr>
        <w:t>spr</w:t>
      </w:r>
      <w:r w:rsidRPr="004E0679">
        <w:rPr>
          <w:rFonts w:ascii="Times New Roman" w:hAnsi="Times New Roman"/>
          <w:noProof/>
          <w:sz w:val="24"/>
        </w:rPr>
        <w:t>awie umowy umożliwiającej wymianę danych osobowych między Europolem</w:t>
      </w:r>
      <w:r w:rsidR="004E0679" w:rsidRPr="004E0679">
        <w:rPr>
          <w:rFonts w:ascii="Times New Roman" w:hAnsi="Times New Roman"/>
          <w:noProof/>
          <w:sz w:val="24"/>
        </w:rPr>
        <w:t xml:space="preserve"> a</w:t>
      </w:r>
      <w:r w:rsidR="004E0679">
        <w:rPr>
          <w:rFonts w:ascii="Times New Roman" w:hAnsi="Times New Roman"/>
          <w:noProof/>
          <w:sz w:val="24"/>
        </w:rPr>
        <w:t> </w:t>
      </w:r>
      <w:r w:rsidR="004E0679" w:rsidRPr="004E0679">
        <w:rPr>
          <w:rFonts w:ascii="Times New Roman" w:hAnsi="Times New Roman"/>
          <w:noProof/>
          <w:sz w:val="24"/>
        </w:rPr>
        <w:t>wła</w:t>
      </w:r>
      <w:r w:rsidRPr="004E0679">
        <w:rPr>
          <w:rFonts w:ascii="Times New Roman" w:hAnsi="Times New Roman"/>
          <w:noProof/>
          <w:sz w:val="24"/>
        </w:rPr>
        <w:t>ściwymi organami Peru</w:t>
      </w:r>
      <w:r w:rsidR="004E0679" w:rsidRPr="004E0679">
        <w:rPr>
          <w:rFonts w:ascii="Times New Roman" w:hAnsi="Times New Roman"/>
          <w:noProof/>
          <w:sz w:val="24"/>
        </w:rPr>
        <w:t xml:space="preserve"> w</w:t>
      </w:r>
      <w:r w:rsidR="004E0679">
        <w:rPr>
          <w:rFonts w:ascii="Times New Roman" w:hAnsi="Times New Roman"/>
          <w:noProof/>
          <w:sz w:val="24"/>
        </w:rPr>
        <w:t> </w:t>
      </w:r>
      <w:r w:rsidR="004E0679" w:rsidRPr="004E0679">
        <w:rPr>
          <w:rFonts w:ascii="Times New Roman" w:hAnsi="Times New Roman"/>
          <w:noProof/>
          <w:sz w:val="24"/>
        </w:rPr>
        <w:t>per</w:t>
      </w:r>
      <w:r w:rsidRPr="004E0679">
        <w:rPr>
          <w:rFonts w:ascii="Times New Roman" w:hAnsi="Times New Roman"/>
          <w:noProof/>
          <w:sz w:val="24"/>
        </w:rPr>
        <w:t>spektywie krótkoterminowej.</w:t>
      </w:r>
    </w:p>
    <w:p w14:paraId="00A3B777" w14:textId="77777777" w:rsidR="009F6B2E" w:rsidRPr="004E0679" w:rsidRDefault="00DD619F" w:rsidP="00550536">
      <w:pPr>
        <w:pStyle w:val="ManualHeading1"/>
        <w:rPr>
          <w:noProof/>
          <w:szCs w:val="24"/>
        </w:rPr>
      </w:pPr>
      <w:r w:rsidRPr="004E0679">
        <w:rPr>
          <w:noProof/>
        </w:rPr>
        <w:t>4.</w:t>
      </w:r>
      <w:r w:rsidRPr="004E0679">
        <w:rPr>
          <w:noProof/>
        </w:rPr>
        <w:tab/>
        <w:t>ASPEKTY PRAWNE</w:t>
      </w:r>
    </w:p>
    <w:p w14:paraId="00A3B778" w14:textId="4401E8EB" w:rsidR="00947B99" w:rsidRPr="004E0679" w:rsidRDefault="00947B99" w:rsidP="000D736E">
      <w:pPr>
        <w:autoSpaceDE w:val="0"/>
        <w:autoSpaceDN w:val="0"/>
        <w:adjustRightInd w:val="0"/>
        <w:spacing w:before="0" w:after="0"/>
        <w:rPr>
          <w:noProof/>
          <w:color w:val="000000"/>
          <w:szCs w:val="24"/>
        </w:rPr>
      </w:pPr>
      <w:r w:rsidRPr="004E0679">
        <w:rPr>
          <w:noProof/>
          <w:color w:val="000000"/>
        </w:rPr>
        <w:t>W rozporządzeniu (UE) 2016/794</w:t>
      </w:r>
      <w:r w:rsidR="004E0679" w:rsidRPr="004E0679">
        <w:rPr>
          <w:noProof/>
          <w:color w:val="000000"/>
        </w:rPr>
        <w:t xml:space="preserve"> w</w:t>
      </w:r>
      <w:r w:rsidR="004E0679">
        <w:rPr>
          <w:noProof/>
          <w:color w:val="000000"/>
        </w:rPr>
        <w:t> </w:t>
      </w:r>
      <w:r w:rsidR="004E0679" w:rsidRPr="004E0679">
        <w:rPr>
          <w:noProof/>
          <w:color w:val="000000"/>
        </w:rPr>
        <w:t>spr</w:t>
      </w:r>
      <w:r w:rsidRPr="004E0679">
        <w:rPr>
          <w:noProof/>
          <w:color w:val="000000"/>
        </w:rPr>
        <w:t>awie Agencji Unii Europejskiej ds. Współpracy Organów Ścigania (Europol) określono ramy prawne dla Europolu,</w:t>
      </w:r>
      <w:r w:rsidR="004E0679" w:rsidRPr="004E0679">
        <w:rPr>
          <w:noProof/>
          <w:color w:val="000000"/>
        </w:rPr>
        <w:t xml:space="preserve"> w</w:t>
      </w:r>
      <w:r w:rsidR="004E0679">
        <w:rPr>
          <w:noProof/>
          <w:color w:val="000000"/>
        </w:rPr>
        <w:t> </w:t>
      </w:r>
      <w:r w:rsidR="004E0679" w:rsidRPr="004E0679">
        <w:rPr>
          <w:noProof/>
          <w:color w:val="000000"/>
        </w:rPr>
        <w:t>szc</w:t>
      </w:r>
      <w:r w:rsidRPr="004E0679">
        <w:rPr>
          <w:noProof/>
          <w:color w:val="000000"/>
        </w:rPr>
        <w:t>zególności jego cele, zadania, zakres kompetencji, zabezpieczenia</w:t>
      </w:r>
      <w:r w:rsidR="004E0679" w:rsidRPr="004E0679">
        <w:rPr>
          <w:noProof/>
          <w:color w:val="000000"/>
        </w:rPr>
        <w:t xml:space="preserve"> w</w:t>
      </w:r>
      <w:r w:rsidR="004E0679">
        <w:rPr>
          <w:noProof/>
          <w:color w:val="000000"/>
        </w:rPr>
        <w:t> </w:t>
      </w:r>
      <w:r w:rsidR="004E0679" w:rsidRPr="004E0679">
        <w:rPr>
          <w:noProof/>
          <w:color w:val="000000"/>
        </w:rPr>
        <w:t>zak</w:t>
      </w:r>
      <w:r w:rsidRPr="004E0679">
        <w:rPr>
          <w:noProof/>
          <w:color w:val="000000"/>
        </w:rPr>
        <w:t>resie ochrony danych</w:t>
      </w:r>
      <w:r w:rsidR="004E0679" w:rsidRPr="004E0679">
        <w:rPr>
          <w:noProof/>
          <w:color w:val="000000"/>
        </w:rPr>
        <w:t xml:space="preserve"> i</w:t>
      </w:r>
      <w:r w:rsidR="004E0679">
        <w:rPr>
          <w:noProof/>
          <w:color w:val="000000"/>
        </w:rPr>
        <w:t> </w:t>
      </w:r>
      <w:r w:rsidR="004E0679" w:rsidRPr="004E0679">
        <w:rPr>
          <w:noProof/>
          <w:color w:val="000000"/>
        </w:rPr>
        <w:t>spo</w:t>
      </w:r>
      <w:r w:rsidRPr="004E0679">
        <w:rPr>
          <w:noProof/>
          <w:color w:val="000000"/>
        </w:rPr>
        <w:t>soby współpracy</w:t>
      </w:r>
      <w:r w:rsidR="004E0679" w:rsidRPr="004E0679">
        <w:rPr>
          <w:noProof/>
          <w:color w:val="000000"/>
        </w:rPr>
        <w:t xml:space="preserve"> z</w:t>
      </w:r>
      <w:r w:rsidR="004E0679">
        <w:rPr>
          <w:noProof/>
          <w:color w:val="000000"/>
        </w:rPr>
        <w:t> </w:t>
      </w:r>
      <w:r w:rsidR="004E0679" w:rsidRPr="004E0679">
        <w:rPr>
          <w:noProof/>
          <w:color w:val="000000"/>
        </w:rPr>
        <w:t>par</w:t>
      </w:r>
      <w:r w:rsidRPr="004E0679">
        <w:rPr>
          <w:noProof/>
          <w:color w:val="000000"/>
        </w:rPr>
        <w:t xml:space="preserve">tnerami zewnętrznymi. </w:t>
      </w:r>
    </w:p>
    <w:p w14:paraId="00A3B779" w14:textId="77777777" w:rsidR="00947B99" w:rsidRPr="004E0679" w:rsidRDefault="00947B99" w:rsidP="00947B99">
      <w:pPr>
        <w:autoSpaceDE w:val="0"/>
        <w:autoSpaceDN w:val="0"/>
        <w:adjustRightInd w:val="0"/>
        <w:spacing w:before="0" w:after="0"/>
        <w:jc w:val="left"/>
        <w:rPr>
          <w:noProof/>
          <w:color w:val="000000"/>
          <w:szCs w:val="24"/>
        </w:rPr>
      </w:pPr>
    </w:p>
    <w:p w14:paraId="00A3B77A" w14:textId="3A47B9AE" w:rsidR="00947B99" w:rsidRPr="004E0679" w:rsidRDefault="00947B99" w:rsidP="00947B99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  <w:color w:val="000000"/>
          <w:szCs w:val="24"/>
        </w:rPr>
      </w:pPr>
      <w:r w:rsidRPr="004E0679">
        <w:rPr>
          <w:noProof/>
          <w:color w:val="000000"/>
        </w:rPr>
        <w:t>Niniejsze zalecenie jest zgodne</w:t>
      </w:r>
      <w:r w:rsidR="004E0679" w:rsidRPr="004E0679">
        <w:rPr>
          <w:noProof/>
          <w:color w:val="000000"/>
        </w:rPr>
        <w:t xml:space="preserve"> z</w:t>
      </w:r>
      <w:r w:rsidR="004E0679">
        <w:rPr>
          <w:noProof/>
          <w:color w:val="000000"/>
        </w:rPr>
        <w:t> </w:t>
      </w:r>
      <w:r w:rsidR="004E0679" w:rsidRPr="004E0679">
        <w:rPr>
          <w:noProof/>
          <w:color w:val="000000"/>
        </w:rPr>
        <w:t>prz</w:t>
      </w:r>
      <w:r w:rsidRPr="004E0679">
        <w:rPr>
          <w:noProof/>
          <w:color w:val="000000"/>
        </w:rPr>
        <w:t>episami rozporządzenia</w:t>
      </w:r>
      <w:r w:rsidR="004E0679" w:rsidRPr="004E0679">
        <w:rPr>
          <w:noProof/>
          <w:color w:val="000000"/>
        </w:rPr>
        <w:t xml:space="preserve"> w</w:t>
      </w:r>
      <w:r w:rsidR="004E0679">
        <w:rPr>
          <w:noProof/>
          <w:color w:val="000000"/>
        </w:rPr>
        <w:t> </w:t>
      </w:r>
      <w:r w:rsidR="004E0679" w:rsidRPr="004E0679">
        <w:rPr>
          <w:noProof/>
          <w:color w:val="000000"/>
        </w:rPr>
        <w:t>spr</w:t>
      </w:r>
      <w:r w:rsidRPr="004E0679">
        <w:rPr>
          <w:noProof/>
          <w:color w:val="000000"/>
        </w:rPr>
        <w:t>awie Europolu.</w:t>
      </w:r>
    </w:p>
    <w:p w14:paraId="00A3B77B" w14:textId="3EC0E792" w:rsidR="00947B99" w:rsidRPr="004E0679" w:rsidRDefault="00947B99" w:rsidP="00947B99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  <w:color w:val="000000"/>
          <w:szCs w:val="24"/>
        </w:rPr>
      </w:pPr>
      <w:r w:rsidRPr="004E0679">
        <w:rPr>
          <w:noProof/>
          <w:color w:val="000000"/>
        </w:rPr>
        <w:t>Celem niniejszego zalecenia jest uzyskanie od Rady upoważnienia do prowadzenia przez Komisję</w:t>
      </w:r>
      <w:r w:rsidR="004E0679" w:rsidRPr="004E0679">
        <w:rPr>
          <w:noProof/>
          <w:color w:val="000000"/>
        </w:rPr>
        <w:t xml:space="preserve"> w</w:t>
      </w:r>
      <w:r w:rsidR="004E0679">
        <w:rPr>
          <w:noProof/>
          <w:color w:val="000000"/>
        </w:rPr>
        <w:t> </w:t>
      </w:r>
      <w:r w:rsidR="004E0679" w:rsidRPr="004E0679">
        <w:rPr>
          <w:noProof/>
          <w:color w:val="000000"/>
        </w:rPr>
        <w:t>imi</w:t>
      </w:r>
      <w:r w:rsidRPr="004E0679">
        <w:rPr>
          <w:noProof/>
          <w:color w:val="000000"/>
        </w:rPr>
        <w:t>eniu UE rokowań</w:t>
      </w:r>
      <w:r w:rsidR="004E0679" w:rsidRPr="004E0679">
        <w:rPr>
          <w:noProof/>
          <w:color w:val="000000"/>
        </w:rPr>
        <w:t xml:space="preserve"> w</w:t>
      </w:r>
      <w:r w:rsidR="004E0679">
        <w:rPr>
          <w:noProof/>
          <w:color w:val="000000"/>
        </w:rPr>
        <w:t> </w:t>
      </w:r>
      <w:r w:rsidR="004E0679" w:rsidRPr="004E0679">
        <w:rPr>
          <w:noProof/>
          <w:color w:val="000000"/>
        </w:rPr>
        <w:t>spr</w:t>
      </w:r>
      <w:r w:rsidRPr="004E0679">
        <w:rPr>
          <w:noProof/>
          <w:color w:val="000000"/>
        </w:rPr>
        <w:t xml:space="preserve">awie umowy międzynarodowej. </w:t>
      </w:r>
      <w:r w:rsidRPr="004E0679">
        <w:rPr>
          <w:noProof/>
        </w:rPr>
        <w:t>Podstawę prawną upoważnienia do podjęcia rokowań stanowi dla Rady art.</w:t>
      </w:r>
      <w:r w:rsidR="004E0679" w:rsidRPr="004E0679">
        <w:rPr>
          <w:noProof/>
        </w:rPr>
        <w:t> </w:t>
      </w:r>
      <w:r w:rsidRPr="004E0679">
        <w:rPr>
          <w:noProof/>
        </w:rPr>
        <w:t>218 ust.</w:t>
      </w:r>
      <w:r w:rsidR="004E0679" w:rsidRPr="004E0679">
        <w:rPr>
          <w:noProof/>
        </w:rPr>
        <w:t> </w:t>
      </w:r>
      <w:r w:rsidRPr="004E0679">
        <w:rPr>
          <w:noProof/>
        </w:rPr>
        <w:t>3</w:t>
      </w:r>
      <w:r w:rsidR="004E0679" w:rsidRPr="004E0679">
        <w:rPr>
          <w:noProof/>
        </w:rPr>
        <w:t xml:space="preserve"> i</w:t>
      </w:r>
      <w:r w:rsidR="004E0679">
        <w:rPr>
          <w:noProof/>
        </w:rPr>
        <w:t> </w:t>
      </w:r>
      <w:r w:rsidR="004E0679" w:rsidRPr="004E0679">
        <w:rPr>
          <w:noProof/>
        </w:rPr>
        <w:t>4</w:t>
      </w:r>
      <w:r w:rsidRPr="004E0679">
        <w:rPr>
          <w:noProof/>
        </w:rPr>
        <w:t xml:space="preserve"> TFUE.</w:t>
      </w:r>
    </w:p>
    <w:p w14:paraId="00A3B77C" w14:textId="21C1FEA1" w:rsidR="009F6B2E" w:rsidRPr="004E0679" w:rsidRDefault="009924FC" w:rsidP="000D736E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  <w:color w:val="000000"/>
          <w:szCs w:val="24"/>
        </w:rPr>
      </w:pPr>
      <w:r w:rsidRPr="004E0679">
        <w:rPr>
          <w:noProof/>
          <w:color w:val="000000"/>
        </w:rPr>
        <w:t>Zgodnie</w:t>
      </w:r>
      <w:r w:rsidR="004E0679" w:rsidRPr="004E0679">
        <w:rPr>
          <w:noProof/>
          <w:color w:val="000000"/>
        </w:rPr>
        <w:t xml:space="preserve"> z</w:t>
      </w:r>
      <w:r w:rsidR="004E0679">
        <w:rPr>
          <w:noProof/>
          <w:color w:val="000000"/>
        </w:rPr>
        <w:t> </w:t>
      </w:r>
      <w:r w:rsidR="004E0679" w:rsidRPr="004E0679">
        <w:rPr>
          <w:noProof/>
          <w:color w:val="000000"/>
        </w:rPr>
        <w:t>art</w:t>
      </w:r>
      <w:r w:rsidRPr="004E0679">
        <w:rPr>
          <w:noProof/>
          <w:color w:val="000000"/>
        </w:rPr>
        <w:t>.</w:t>
      </w:r>
      <w:r w:rsidR="004E0679" w:rsidRPr="004E0679">
        <w:rPr>
          <w:noProof/>
          <w:color w:val="000000"/>
        </w:rPr>
        <w:t> </w:t>
      </w:r>
      <w:r w:rsidRPr="004E0679">
        <w:rPr>
          <w:noProof/>
          <w:color w:val="000000"/>
        </w:rPr>
        <w:t>218 TFUE Komisja będzie upoważniona do prowadzenia</w:t>
      </w:r>
      <w:r w:rsidR="004E0679" w:rsidRPr="004E0679">
        <w:rPr>
          <w:noProof/>
          <w:color w:val="000000"/>
        </w:rPr>
        <w:t xml:space="preserve"> w</w:t>
      </w:r>
      <w:r w:rsidR="004E0679">
        <w:rPr>
          <w:noProof/>
          <w:color w:val="000000"/>
        </w:rPr>
        <w:t> </w:t>
      </w:r>
      <w:r w:rsidR="004E0679" w:rsidRPr="004E0679">
        <w:rPr>
          <w:noProof/>
          <w:color w:val="000000"/>
        </w:rPr>
        <w:t>imi</w:t>
      </w:r>
      <w:r w:rsidRPr="004E0679">
        <w:rPr>
          <w:noProof/>
          <w:color w:val="000000"/>
        </w:rPr>
        <w:t>eniu UE rokowań</w:t>
      </w:r>
      <w:r w:rsidR="004E0679" w:rsidRPr="004E0679">
        <w:rPr>
          <w:noProof/>
          <w:color w:val="000000"/>
        </w:rPr>
        <w:t xml:space="preserve"> w</w:t>
      </w:r>
      <w:r w:rsidR="004E0679">
        <w:rPr>
          <w:noProof/>
          <w:color w:val="000000"/>
        </w:rPr>
        <w:t> </w:t>
      </w:r>
      <w:r w:rsidR="004E0679" w:rsidRPr="004E0679">
        <w:rPr>
          <w:noProof/>
          <w:color w:val="000000"/>
        </w:rPr>
        <w:t>spr</w:t>
      </w:r>
      <w:r w:rsidRPr="004E0679">
        <w:rPr>
          <w:noProof/>
          <w:color w:val="000000"/>
        </w:rPr>
        <w:t>awie umowy</w:t>
      </w:r>
      <w:r w:rsidR="004E0679" w:rsidRPr="004E0679">
        <w:rPr>
          <w:noProof/>
          <w:color w:val="000000"/>
        </w:rPr>
        <w:t xml:space="preserve"> z</w:t>
      </w:r>
      <w:r w:rsidR="004E0679">
        <w:rPr>
          <w:noProof/>
          <w:color w:val="000000"/>
        </w:rPr>
        <w:t> </w:t>
      </w:r>
      <w:r w:rsidR="004E0679" w:rsidRPr="004E0679">
        <w:rPr>
          <w:noProof/>
          <w:color w:val="000000"/>
        </w:rPr>
        <w:t>Rep</w:t>
      </w:r>
      <w:r w:rsidRPr="004E0679">
        <w:rPr>
          <w:noProof/>
          <w:color w:val="000000"/>
        </w:rPr>
        <w:t>ubliką Peru dotyczącej wymiany danych osobowych między Europolem</w:t>
      </w:r>
      <w:r w:rsidR="004E0679" w:rsidRPr="004E0679">
        <w:rPr>
          <w:noProof/>
          <w:color w:val="000000"/>
        </w:rPr>
        <w:t xml:space="preserve"> a</w:t>
      </w:r>
      <w:r w:rsidR="004E0679">
        <w:rPr>
          <w:noProof/>
          <w:color w:val="000000"/>
        </w:rPr>
        <w:t> </w:t>
      </w:r>
      <w:r w:rsidR="004E0679" w:rsidRPr="004E0679">
        <w:rPr>
          <w:noProof/>
          <w:color w:val="000000"/>
        </w:rPr>
        <w:t>wła</w:t>
      </w:r>
      <w:r w:rsidRPr="004E0679">
        <w:rPr>
          <w:noProof/>
          <w:color w:val="000000"/>
        </w:rPr>
        <w:t>ściwymi organami Peru odpowiedzialnymi za zwalczanie poważnej przestępczości</w:t>
      </w:r>
      <w:r w:rsidR="004E0679" w:rsidRPr="004E0679">
        <w:rPr>
          <w:noProof/>
          <w:color w:val="000000"/>
        </w:rPr>
        <w:t xml:space="preserve"> i</w:t>
      </w:r>
      <w:r w:rsidR="004E0679">
        <w:rPr>
          <w:noProof/>
          <w:color w:val="000000"/>
        </w:rPr>
        <w:t> </w:t>
      </w:r>
      <w:r w:rsidR="004E0679" w:rsidRPr="004E0679">
        <w:rPr>
          <w:noProof/>
          <w:color w:val="000000"/>
        </w:rPr>
        <w:t>ter</w:t>
      </w:r>
      <w:r w:rsidRPr="004E0679">
        <w:rPr>
          <w:noProof/>
          <w:color w:val="000000"/>
        </w:rPr>
        <w:t>roryzmu.</w:t>
      </w:r>
    </w:p>
    <w:p w14:paraId="00A3B77D" w14:textId="3F492493" w:rsidR="009924FC" w:rsidRPr="004E0679" w:rsidRDefault="00CF2BB0" w:rsidP="00550536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  <w:color w:val="000000"/>
          <w:szCs w:val="24"/>
        </w:rPr>
      </w:pPr>
      <w:r w:rsidRPr="004E0679">
        <w:rPr>
          <w:noProof/>
          <w:color w:val="000000"/>
        </w:rPr>
        <w:t>Unia wykonywała już swoje kompetencje</w:t>
      </w:r>
      <w:r w:rsidR="004E0679" w:rsidRPr="004E0679">
        <w:rPr>
          <w:noProof/>
          <w:color w:val="000000"/>
        </w:rPr>
        <w:t xml:space="preserve"> w</w:t>
      </w:r>
      <w:r w:rsidR="004E0679">
        <w:rPr>
          <w:noProof/>
          <w:color w:val="000000"/>
        </w:rPr>
        <w:t> </w:t>
      </w:r>
      <w:r w:rsidR="004E0679" w:rsidRPr="004E0679">
        <w:rPr>
          <w:noProof/>
          <w:color w:val="000000"/>
        </w:rPr>
        <w:t>tej</w:t>
      </w:r>
      <w:r w:rsidRPr="004E0679">
        <w:rPr>
          <w:noProof/>
          <w:color w:val="000000"/>
        </w:rPr>
        <w:t xml:space="preserve"> dziedzinie</w:t>
      </w:r>
      <w:r w:rsidR="004E0679" w:rsidRPr="004E0679">
        <w:rPr>
          <w:noProof/>
          <w:color w:val="000000"/>
        </w:rPr>
        <w:t xml:space="preserve"> i</w:t>
      </w:r>
      <w:r w:rsidR="004E0679">
        <w:rPr>
          <w:noProof/>
          <w:color w:val="000000"/>
        </w:rPr>
        <w:t> </w:t>
      </w:r>
      <w:r w:rsidR="004E0679" w:rsidRPr="004E0679">
        <w:rPr>
          <w:noProof/>
          <w:color w:val="000000"/>
        </w:rPr>
        <w:t>stw</w:t>
      </w:r>
      <w:r w:rsidRPr="004E0679">
        <w:rPr>
          <w:noProof/>
          <w:color w:val="000000"/>
        </w:rPr>
        <w:t>orzyła zasady</w:t>
      </w:r>
      <w:r w:rsidR="004E0679" w:rsidRPr="004E0679">
        <w:rPr>
          <w:noProof/>
          <w:color w:val="000000"/>
        </w:rPr>
        <w:t xml:space="preserve"> w</w:t>
      </w:r>
      <w:r w:rsidR="004E0679">
        <w:rPr>
          <w:noProof/>
          <w:color w:val="000000"/>
        </w:rPr>
        <w:t> </w:t>
      </w:r>
      <w:r w:rsidR="004E0679" w:rsidRPr="004E0679">
        <w:rPr>
          <w:noProof/>
          <w:color w:val="000000"/>
        </w:rPr>
        <w:t>tym</w:t>
      </w:r>
      <w:r w:rsidRPr="004E0679">
        <w:rPr>
          <w:noProof/>
          <w:color w:val="000000"/>
        </w:rPr>
        <w:t xml:space="preserve"> zakresie, przyjmując ramy przepisów regulujących działalność Europolu,</w:t>
      </w:r>
      <w:r w:rsidR="004E0679" w:rsidRPr="004E0679">
        <w:rPr>
          <w:noProof/>
          <w:color w:val="000000"/>
        </w:rPr>
        <w:t xml:space="preserve"> w</w:t>
      </w:r>
      <w:r w:rsidR="004E0679">
        <w:rPr>
          <w:noProof/>
          <w:color w:val="000000"/>
        </w:rPr>
        <w:t> </w:t>
      </w:r>
      <w:r w:rsidR="004E0679" w:rsidRPr="004E0679">
        <w:rPr>
          <w:noProof/>
          <w:color w:val="000000"/>
        </w:rPr>
        <w:t>tym</w:t>
      </w:r>
      <w:r w:rsidRPr="004E0679">
        <w:rPr>
          <w:noProof/>
          <w:color w:val="000000"/>
        </w:rPr>
        <w:t xml:space="preserve"> dotyczących przetwarzania danych osobowych.</w:t>
      </w:r>
    </w:p>
    <w:p w14:paraId="00A3B780" w14:textId="77777777" w:rsidR="006A4804" w:rsidRPr="004E0679" w:rsidRDefault="006A4804">
      <w:pPr>
        <w:spacing w:before="0" w:after="200" w:line="276" w:lineRule="auto"/>
        <w:jc w:val="left"/>
        <w:rPr>
          <w:noProof/>
          <w:szCs w:val="24"/>
        </w:rPr>
      </w:pPr>
      <w:r w:rsidRPr="004E0679">
        <w:rPr>
          <w:noProof/>
        </w:rPr>
        <w:br w:type="page"/>
      </w:r>
    </w:p>
    <w:p w14:paraId="00A3B781" w14:textId="4883BA64" w:rsidR="009F6B2E" w:rsidRPr="004E0679" w:rsidRDefault="004E0679" w:rsidP="004E0679">
      <w:pPr>
        <w:pStyle w:val="Statut"/>
        <w:rPr>
          <w:noProof/>
        </w:rPr>
      </w:pPr>
      <w:r w:rsidRPr="004E0679">
        <w:rPr>
          <w:noProof/>
        </w:rPr>
        <w:t>Zalecenie</w:t>
      </w:r>
    </w:p>
    <w:p w14:paraId="00A3B782" w14:textId="0BBE8AC7" w:rsidR="009F6B2E" w:rsidRPr="004E0679" w:rsidRDefault="004E0679" w:rsidP="004E0679">
      <w:pPr>
        <w:pStyle w:val="Typedudocument"/>
        <w:rPr>
          <w:noProof/>
        </w:rPr>
      </w:pPr>
      <w:r w:rsidRPr="004E0679">
        <w:rPr>
          <w:noProof/>
        </w:rPr>
        <w:t>DECYZJA RADY</w:t>
      </w:r>
    </w:p>
    <w:p w14:paraId="00A3B783" w14:textId="3EE1406E" w:rsidR="009F6B2E" w:rsidRPr="004E0679" w:rsidRDefault="004E0679" w:rsidP="004E0679">
      <w:pPr>
        <w:pStyle w:val="Titreobjet"/>
        <w:rPr>
          <w:noProof/>
        </w:rPr>
      </w:pPr>
      <w:r w:rsidRPr="004E0679">
        <w:rPr>
          <w:noProof/>
        </w:rPr>
        <w:t>upoważniająca do podjęcia rokowań w sprawie umowy między Unią Europejską a Republiką Peru dotyczącej wymiany danych osobowych między Agencją Unii Europejskiej ds. Współpracy Organów Ścigania (Europol) a organami Peru właściwymi do zwalczania poważnej przestępczości i terroryzmu</w:t>
      </w:r>
    </w:p>
    <w:p w14:paraId="00A3B784" w14:textId="77777777" w:rsidR="009F6B2E" w:rsidRPr="004E0679" w:rsidRDefault="009F6B2E" w:rsidP="00750C38">
      <w:pPr>
        <w:pStyle w:val="Institutionquiagit"/>
        <w:rPr>
          <w:noProof/>
          <w:szCs w:val="24"/>
        </w:rPr>
      </w:pPr>
      <w:r w:rsidRPr="004E0679">
        <w:rPr>
          <w:noProof/>
        </w:rPr>
        <w:t>RADA UNII EUROPEJSKIEJ,</w:t>
      </w:r>
    </w:p>
    <w:p w14:paraId="00A3B785" w14:textId="320A4B33" w:rsidR="00DF5F85" w:rsidRPr="004E0679" w:rsidRDefault="00DF5F85" w:rsidP="00D61906">
      <w:pPr>
        <w:rPr>
          <w:noProof/>
          <w:szCs w:val="24"/>
        </w:rPr>
      </w:pPr>
      <w:r w:rsidRPr="004E0679">
        <w:rPr>
          <w:rStyle w:val="Bodytext1"/>
          <w:noProof/>
        </w:rPr>
        <w:t>uwzględniając Traktat</w:t>
      </w:r>
      <w:r w:rsidR="004E0679" w:rsidRPr="004E0679">
        <w:rPr>
          <w:rStyle w:val="Bodytext1"/>
          <w:noProof/>
        </w:rPr>
        <w:t xml:space="preserve"> o</w:t>
      </w:r>
      <w:r w:rsidR="004E0679">
        <w:rPr>
          <w:rStyle w:val="Bodytext1"/>
          <w:noProof/>
        </w:rPr>
        <w:t> </w:t>
      </w:r>
      <w:r w:rsidR="004E0679" w:rsidRPr="004E0679">
        <w:rPr>
          <w:rStyle w:val="Bodytext1"/>
          <w:noProof/>
        </w:rPr>
        <w:t>fun</w:t>
      </w:r>
      <w:r w:rsidRPr="004E0679">
        <w:rPr>
          <w:rStyle w:val="Bodytext1"/>
          <w:noProof/>
        </w:rPr>
        <w:t>kcjonowaniu Unii Europejskiej (TFUE),</w:t>
      </w:r>
      <w:r w:rsidR="004E0679" w:rsidRPr="004E0679">
        <w:rPr>
          <w:rStyle w:val="Bodytext1"/>
          <w:noProof/>
        </w:rPr>
        <w:t xml:space="preserve"> w</w:t>
      </w:r>
      <w:r w:rsidR="004E0679">
        <w:rPr>
          <w:rStyle w:val="Bodytext1"/>
          <w:noProof/>
        </w:rPr>
        <w:t> </w:t>
      </w:r>
      <w:r w:rsidR="004E0679" w:rsidRPr="004E0679">
        <w:rPr>
          <w:rStyle w:val="Bodytext1"/>
          <w:noProof/>
        </w:rPr>
        <w:t>szc</w:t>
      </w:r>
      <w:r w:rsidRPr="004E0679">
        <w:rPr>
          <w:rStyle w:val="Bodytext1"/>
          <w:noProof/>
        </w:rPr>
        <w:t>zególności jego art. 218 ust. 3</w:t>
      </w:r>
      <w:r w:rsidR="004E0679" w:rsidRPr="004E0679">
        <w:rPr>
          <w:rStyle w:val="Bodytext1"/>
          <w:noProof/>
        </w:rPr>
        <w:t xml:space="preserve"> i</w:t>
      </w:r>
      <w:r w:rsidR="004E0679">
        <w:rPr>
          <w:rStyle w:val="Bodytext1"/>
          <w:noProof/>
        </w:rPr>
        <w:t> </w:t>
      </w:r>
      <w:r w:rsidR="004E0679" w:rsidRPr="004E0679">
        <w:rPr>
          <w:rStyle w:val="Bodytext1"/>
          <w:noProof/>
        </w:rPr>
        <w:t>4</w:t>
      </w:r>
      <w:r w:rsidRPr="004E0679">
        <w:rPr>
          <w:rStyle w:val="Bodytext1"/>
          <w:noProof/>
        </w:rPr>
        <w:t>,</w:t>
      </w:r>
    </w:p>
    <w:p w14:paraId="00A3B786" w14:textId="77777777" w:rsidR="00DF5F85" w:rsidRPr="004E0679" w:rsidRDefault="00DF5F85" w:rsidP="00D61906">
      <w:pPr>
        <w:rPr>
          <w:noProof/>
          <w:szCs w:val="24"/>
        </w:rPr>
      </w:pPr>
      <w:r w:rsidRPr="004E0679">
        <w:rPr>
          <w:rStyle w:val="Bodytext1"/>
          <w:noProof/>
        </w:rPr>
        <w:t>uwzględniając zalecenie Komisji Europejskiej,</w:t>
      </w:r>
    </w:p>
    <w:p w14:paraId="00A3B787" w14:textId="77777777" w:rsidR="00DF5F85" w:rsidRPr="004E0679" w:rsidRDefault="00DF5F85" w:rsidP="00D61906">
      <w:pPr>
        <w:rPr>
          <w:rStyle w:val="Bodytext1"/>
          <w:noProof/>
          <w:szCs w:val="24"/>
        </w:rPr>
      </w:pPr>
      <w:r w:rsidRPr="004E0679">
        <w:rPr>
          <w:rStyle w:val="Bodytext1"/>
          <w:noProof/>
        </w:rPr>
        <w:t>a także mając na uwadze, co następuje:</w:t>
      </w:r>
    </w:p>
    <w:p w14:paraId="00A3B788" w14:textId="0E48122C" w:rsidR="00DF5F85" w:rsidRPr="004E0679" w:rsidRDefault="00090852" w:rsidP="00090852">
      <w:pPr>
        <w:pStyle w:val="ManualConsidrant"/>
        <w:rPr>
          <w:noProof/>
          <w:szCs w:val="24"/>
        </w:rPr>
      </w:pPr>
      <w:r w:rsidRPr="00090852">
        <w:t>(1)</w:t>
      </w:r>
      <w:r w:rsidRPr="00090852">
        <w:tab/>
      </w:r>
      <w:r w:rsidR="00DF5F85" w:rsidRPr="004E0679">
        <w:rPr>
          <w:rStyle w:val="Bodytext1"/>
          <w:noProof/>
        </w:rPr>
        <w:t>Rozporządzenie Parlamentu Europejskiego</w:t>
      </w:r>
      <w:r w:rsidR="004E0679" w:rsidRPr="004E0679">
        <w:rPr>
          <w:rStyle w:val="Bodytext1"/>
          <w:noProof/>
        </w:rPr>
        <w:t xml:space="preserve"> i</w:t>
      </w:r>
      <w:r w:rsidR="004E0679">
        <w:rPr>
          <w:rStyle w:val="Bodytext1"/>
          <w:noProof/>
        </w:rPr>
        <w:t> </w:t>
      </w:r>
      <w:r w:rsidR="004E0679" w:rsidRPr="004E0679">
        <w:rPr>
          <w:rStyle w:val="Bodytext1"/>
          <w:noProof/>
        </w:rPr>
        <w:t>Rad</w:t>
      </w:r>
      <w:r w:rsidR="00DF5F85" w:rsidRPr="004E0679">
        <w:rPr>
          <w:rStyle w:val="Bodytext1"/>
          <w:noProof/>
        </w:rPr>
        <w:t>y (UE) 2016/794 zostało przyjęte</w:t>
      </w:r>
      <w:r w:rsidR="004E0679" w:rsidRPr="004E0679">
        <w:rPr>
          <w:rStyle w:val="Bodytext1"/>
          <w:noProof/>
        </w:rPr>
        <w:t xml:space="preserve"> w</w:t>
      </w:r>
      <w:r w:rsidR="004E0679">
        <w:rPr>
          <w:rStyle w:val="Bodytext1"/>
          <w:noProof/>
        </w:rPr>
        <w:t> </w:t>
      </w:r>
      <w:r w:rsidR="004E0679" w:rsidRPr="004E0679">
        <w:rPr>
          <w:rStyle w:val="Bodytext1"/>
          <w:noProof/>
        </w:rPr>
        <w:t>dni</w:t>
      </w:r>
      <w:r w:rsidR="00DF5F85" w:rsidRPr="004E0679">
        <w:rPr>
          <w:rStyle w:val="Bodytext1"/>
          <w:noProof/>
        </w:rPr>
        <w:t>u 11 maja 2016 r. i ma zastosowanie od dnia 1 maja 2017 r.</w:t>
      </w:r>
      <w:r w:rsidR="00DF5F85" w:rsidRPr="004E0679">
        <w:rPr>
          <w:rStyle w:val="FootnoteReference"/>
          <w:noProof/>
          <w:szCs w:val="24"/>
        </w:rPr>
        <w:footnoteReference w:id="22"/>
      </w:r>
      <w:r w:rsidR="00DF5F85" w:rsidRPr="004E0679">
        <w:rPr>
          <w:rStyle w:val="Bodytext1"/>
          <w:noProof/>
        </w:rPr>
        <w:t xml:space="preserve"> Zostało ono zmienione rozporządzeniem 2022/991</w:t>
      </w:r>
      <w:r w:rsidR="004E0679" w:rsidRPr="004E0679">
        <w:rPr>
          <w:rStyle w:val="Bodytext1"/>
          <w:noProof/>
        </w:rPr>
        <w:t xml:space="preserve"> z</w:t>
      </w:r>
      <w:r w:rsidR="004E0679">
        <w:rPr>
          <w:rStyle w:val="Bodytext1"/>
          <w:noProof/>
        </w:rPr>
        <w:t> </w:t>
      </w:r>
      <w:r w:rsidR="004E0679" w:rsidRPr="004E0679">
        <w:rPr>
          <w:rStyle w:val="Bodytext1"/>
          <w:noProof/>
        </w:rPr>
        <w:t>dni</w:t>
      </w:r>
      <w:r w:rsidR="00DF5F85" w:rsidRPr="004E0679">
        <w:rPr>
          <w:rStyle w:val="Bodytext1"/>
          <w:noProof/>
        </w:rPr>
        <w:t>a 27 czerwca 2022</w:t>
      </w:r>
      <w:r w:rsidR="004E0679" w:rsidRPr="004E0679">
        <w:rPr>
          <w:rStyle w:val="Bodytext1"/>
          <w:noProof/>
        </w:rPr>
        <w:t> </w:t>
      </w:r>
      <w:r w:rsidR="00DF5F85" w:rsidRPr="004E0679">
        <w:rPr>
          <w:rStyle w:val="Bodytext1"/>
          <w:noProof/>
        </w:rPr>
        <w:t>r.</w:t>
      </w:r>
      <w:r w:rsidR="00DF5F85" w:rsidRPr="004E0679">
        <w:rPr>
          <w:rStyle w:val="FootnoteReference"/>
          <w:noProof/>
          <w:szCs w:val="24"/>
        </w:rPr>
        <w:footnoteReference w:id="23"/>
      </w:r>
    </w:p>
    <w:p w14:paraId="00A3B789" w14:textId="6F864D15" w:rsidR="00DF5F85" w:rsidRPr="004E0679" w:rsidRDefault="00090852" w:rsidP="00090852">
      <w:pPr>
        <w:pStyle w:val="ManualConsidrant"/>
        <w:rPr>
          <w:noProof/>
          <w:szCs w:val="24"/>
        </w:rPr>
      </w:pPr>
      <w:r w:rsidRPr="00090852">
        <w:t>(2)</w:t>
      </w:r>
      <w:r w:rsidRPr="00090852">
        <w:tab/>
      </w:r>
      <w:r w:rsidR="00DF5F85" w:rsidRPr="004E0679">
        <w:rPr>
          <w:rStyle w:val="Bodytext1"/>
          <w:noProof/>
        </w:rPr>
        <w:t>Przepisy rozporządzenia (UE) 2016/794,</w:t>
      </w:r>
      <w:r w:rsidR="004E0679" w:rsidRPr="004E0679">
        <w:rPr>
          <w:rStyle w:val="Bodytext1"/>
          <w:noProof/>
        </w:rPr>
        <w:t xml:space="preserve"> w</w:t>
      </w:r>
      <w:r w:rsidR="004E0679">
        <w:rPr>
          <w:rStyle w:val="Bodytext1"/>
          <w:noProof/>
        </w:rPr>
        <w:t> </w:t>
      </w:r>
      <w:r w:rsidR="004E0679" w:rsidRPr="004E0679">
        <w:rPr>
          <w:rStyle w:val="Bodytext1"/>
          <w:noProof/>
        </w:rPr>
        <w:t>szc</w:t>
      </w:r>
      <w:r w:rsidR="00DF5F85" w:rsidRPr="004E0679">
        <w:rPr>
          <w:rStyle w:val="Bodytext1"/>
          <w:noProof/>
        </w:rPr>
        <w:t>zególności te dotyczące przekazywania danych osobowych przez Agencję Unii Europejskiej ds. Współpracy Organów Ścigania (Europol) państwom trzecim</w:t>
      </w:r>
      <w:r w:rsidR="004E0679" w:rsidRPr="004E0679">
        <w:rPr>
          <w:rStyle w:val="Bodytext1"/>
          <w:noProof/>
        </w:rPr>
        <w:t xml:space="preserve"> i</w:t>
      </w:r>
      <w:r w:rsidR="004E0679">
        <w:rPr>
          <w:rStyle w:val="Bodytext1"/>
          <w:noProof/>
        </w:rPr>
        <w:t> </w:t>
      </w:r>
      <w:r w:rsidR="004E0679" w:rsidRPr="004E0679">
        <w:rPr>
          <w:rStyle w:val="Bodytext1"/>
          <w:noProof/>
        </w:rPr>
        <w:t>org</w:t>
      </w:r>
      <w:r w:rsidR="00DF5F85" w:rsidRPr="004E0679">
        <w:rPr>
          <w:rStyle w:val="Bodytext1"/>
          <w:noProof/>
        </w:rPr>
        <w:t>anizacjom międzynarodowym, stanowią, że Europol może przekazywać dane osobowe organowi państwa trzeciego na podstawie umowy międzynarodowej zawartej między Unią</w:t>
      </w:r>
      <w:r w:rsidR="004E0679" w:rsidRPr="004E0679">
        <w:rPr>
          <w:rStyle w:val="Bodytext1"/>
          <w:noProof/>
        </w:rPr>
        <w:t xml:space="preserve"> a</w:t>
      </w:r>
      <w:r w:rsidR="004E0679">
        <w:rPr>
          <w:rStyle w:val="Bodytext1"/>
          <w:noProof/>
        </w:rPr>
        <w:t> </w:t>
      </w:r>
      <w:r w:rsidR="004E0679" w:rsidRPr="004E0679">
        <w:rPr>
          <w:rStyle w:val="Bodytext1"/>
          <w:noProof/>
        </w:rPr>
        <w:t>dan</w:t>
      </w:r>
      <w:r w:rsidR="00DF5F85" w:rsidRPr="004E0679">
        <w:rPr>
          <w:rStyle w:val="Bodytext1"/>
          <w:noProof/>
        </w:rPr>
        <w:t>ym państwem trzecim zgodnie</w:t>
      </w:r>
      <w:r w:rsidR="004E0679" w:rsidRPr="004E0679">
        <w:rPr>
          <w:rStyle w:val="Bodytext1"/>
          <w:noProof/>
        </w:rPr>
        <w:t xml:space="preserve"> z</w:t>
      </w:r>
      <w:r w:rsidR="004E0679">
        <w:rPr>
          <w:rStyle w:val="Bodytext1"/>
          <w:noProof/>
        </w:rPr>
        <w:t> </w:t>
      </w:r>
      <w:r w:rsidR="004E0679" w:rsidRPr="004E0679">
        <w:rPr>
          <w:rStyle w:val="Bodytext1"/>
          <w:noProof/>
        </w:rPr>
        <w:t>art</w:t>
      </w:r>
      <w:r w:rsidR="00DF5F85" w:rsidRPr="004E0679">
        <w:rPr>
          <w:rStyle w:val="Bodytext1"/>
          <w:noProof/>
        </w:rPr>
        <w:t>.</w:t>
      </w:r>
      <w:r w:rsidR="004E0679" w:rsidRPr="004E0679">
        <w:rPr>
          <w:rStyle w:val="Bodytext1"/>
          <w:noProof/>
        </w:rPr>
        <w:t> </w:t>
      </w:r>
      <w:r w:rsidR="00DF5F85" w:rsidRPr="004E0679">
        <w:rPr>
          <w:rStyle w:val="Bodytext1"/>
          <w:noProof/>
        </w:rPr>
        <w:t>218 TFUE, przyznającej odpowiednie zabezpieczenia</w:t>
      </w:r>
      <w:r w:rsidR="004E0679" w:rsidRPr="004E0679">
        <w:rPr>
          <w:rStyle w:val="Bodytext1"/>
          <w:noProof/>
        </w:rPr>
        <w:t xml:space="preserve"> w</w:t>
      </w:r>
      <w:r w:rsidR="004E0679">
        <w:rPr>
          <w:rStyle w:val="Bodytext1"/>
          <w:noProof/>
        </w:rPr>
        <w:t> </w:t>
      </w:r>
      <w:r w:rsidR="004E0679" w:rsidRPr="004E0679">
        <w:rPr>
          <w:rStyle w:val="Bodytext1"/>
          <w:noProof/>
        </w:rPr>
        <w:t>odn</w:t>
      </w:r>
      <w:r w:rsidR="00DF5F85" w:rsidRPr="004E0679">
        <w:rPr>
          <w:rStyle w:val="Bodytext1"/>
          <w:noProof/>
        </w:rPr>
        <w:t>iesieniu do ochrony prywatności oraz podstawowych praw</w:t>
      </w:r>
      <w:r w:rsidR="004E0679" w:rsidRPr="004E0679">
        <w:rPr>
          <w:rStyle w:val="Bodytext1"/>
          <w:noProof/>
        </w:rPr>
        <w:t xml:space="preserve"> i</w:t>
      </w:r>
      <w:r w:rsidR="004E0679">
        <w:rPr>
          <w:rStyle w:val="Bodytext1"/>
          <w:noProof/>
        </w:rPr>
        <w:t> </w:t>
      </w:r>
      <w:r w:rsidR="004E0679" w:rsidRPr="004E0679">
        <w:rPr>
          <w:rStyle w:val="Bodytext1"/>
          <w:noProof/>
        </w:rPr>
        <w:t>wol</w:t>
      </w:r>
      <w:r w:rsidR="00DF5F85" w:rsidRPr="004E0679">
        <w:rPr>
          <w:rStyle w:val="Bodytext1"/>
          <w:noProof/>
        </w:rPr>
        <w:t>ności osób fizycznych.</w:t>
      </w:r>
    </w:p>
    <w:p w14:paraId="00A3B78A" w14:textId="2A433649" w:rsidR="00DF5F85" w:rsidRPr="004E0679" w:rsidRDefault="00090852" w:rsidP="00090852">
      <w:pPr>
        <w:pStyle w:val="ManualConsidrant"/>
        <w:rPr>
          <w:noProof/>
          <w:szCs w:val="24"/>
        </w:rPr>
      </w:pPr>
      <w:r w:rsidRPr="00090852">
        <w:t>(3)</w:t>
      </w:r>
      <w:r w:rsidRPr="00090852">
        <w:tab/>
      </w:r>
      <w:r w:rsidR="00DF5F85" w:rsidRPr="004E0679">
        <w:rPr>
          <w:rStyle w:val="Bodytext1"/>
          <w:noProof/>
        </w:rPr>
        <w:t>Należy podjąć rokowania</w:t>
      </w:r>
      <w:r w:rsidR="004E0679" w:rsidRPr="004E0679">
        <w:rPr>
          <w:rStyle w:val="Bodytext1"/>
          <w:noProof/>
        </w:rPr>
        <w:t xml:space="preserve"> w</w:t>
      </w:r>
      <w:r w:rsidR="004E0679">
        <w:rPr>
          <w:rStyle w:val="Bodytext1"/>
          <w:noProof/>
        </w:rPr>
        <w:t> </w:t>
      </w:r>
      <w:r w:rsidR="004E0679" w:rsidRPr="004E0679">
        <w:rPr>
          <w:rStyle w:val="Bodytext1"/>
          <w:noProof/>
        </w:rPr>
        <w:t>cel</w:t>
      </w:r>
      <w:r w:rsidR="00DF5F85" w:rsidRPr="004E0679">
        <w:rPr>
          <w:rStyle w:val="Bodytext1"/>
          <w:noProof/>
        </w:rPr>
        <w:t>u zawarcia umowy („umowa”) między Unią Europejską</w:t>
      </w:r>
      <w:r w:rsidR="004E0679" w:rsidRPr="004E0679">
        <w:rPr>
          <w:rStyle w:val="Bodytext1"/>
          <w:noProof/>
        </w:rPr>
        <w:t xml:space="preserve"> a</w:t>
      </w:r>
      <w:r w:rsidR="004E0679">
        <w:rPr>
          <w:rStyle w:val="Bodytext1"/>
          <w:noProof/>
        </w:rPr>
        <w:t> </w:t>
      </w:r>
      <w:r w:rsidR="004E0679" w:rsidRPr="004E0679">
        <w:rPr>
          <w:rStyle w:val="Bodytext1"/>
          <w:noProof/>
        </w:rPr>
        <w:t>Rep</w:t>
      </w:r>
      <w:r w:rsidR="00DF5F85" w:rsidRPr="004E0679">
        <w:rPr>
          <w:rStyle w:val="Bodytext1"/>
          <w:noProof/>
        </w:rPr>
        <w:t>ubliką Peru dotyczącej wymiany danych osobowych między Agencją Unii Europejskiej ds. Współpracy Organów Ścigania (Europol)</w:t>
      </w:r>
      <w:r w:rsidR="004E0679" w:rsidRPr="004E0679">
        <w:rPr>
          <w:rStyle w:val="Bodytext1"/>
          <w:noProof/>
        </w:rPr>
        <w:t xml:space="preserve"> a</w:t>
      </w:r>
      <w:r w:rsidR="004E0679">
        <w:rPr>
          <w:rStyle w:val="Bodytext1"/>
          <w:noProof/>
        </w:rPr>
        <w:t> </w:t>
      </w:r>
      <w:r w:rsidR="004E0679" w:rsidRPr="004E0679">
        <w:rPr>
          <w:rStyle w:val="Bodytext1"/>
          <w:noProof/>
        </w:rPr>
        <w:t>org</w:t>
      </w:r>
      <w:r w:rsidR="00DF5F85" w:rsidRPr="004E0679">
        <w:rPr>
          <w:rStyle w:val="Bodytext1"/>
          <w:noProof/>
        </w:rPr>
        <w:t>anami Peru właściwymi do zwalczania poważnej przestępczości</w:t>
      </w:r>
      <w:r w:rsidR="004E0679" w:rsidRPr="004E0679">
        <w:rPr>
          <w:rStyle w:val="Bodytext1"/>
          <w:noProof/>
        </w:rPr>
        <w:t xml:space="preserve"> i</w:t>
      </w:r>
      <w:r w:rsidR="004E0679">
        <w:rPr>
          <w:rStyle w:val="Bodytext1"/>
          <w:noProof/>
        </w:rPr>
        <w:t> </w:t>
      </w:r>
      <w:r w:rsidR="004E0679" w:rsidRPr="004E0679">
        <w:rPr>
          <w:rStyle w:val="Bodytext1"/>
          <w:noProof/>
        </w:rPr>
        <w:t>ter</w:t>
      </w:r>
      <w:r w:rsidR="00DF5F85" w:rsidRPr="004E0679">
        <w:rPr>
          <w:rStyle w:val="Bodytext1"/>
          <w:noProof/>
        </w:rPr>
        <w:t>roryzmu.</w:t>
      </w:r>
    </w:p>
    <w:p w14:paraId="00A3B78B" w14:textId="2C3FE50F" w:rsidR="00DF5F85" w:rsidRPr="004E0679" w:rsidRDefault="00090852" w:rsidP="00090852">
      <w:pPr>
        <w:pStyle w:val="ManualConsidrant"/>
        <w:rPr>
          <w:noProof/>
          <w:szCs w:val="24"/>
        </w:rPr>
      </w:pPr>
      <w:r w:rsidRPr="00090852">
        <w:t>(4)</w:t>
      </w:r>
      <w:r w:rsidRPr="00090852">
        <w:tab/>
      </w:r>
      <w:r w:rsidR="00DF5F85" w:rsidRPr="004E0679">
        <w:rPr>
          <w:rStyle w:val="Bodytext1"/>
          <w:noProof/>
        </w:rPr>
        <w:t>Jak to również wspomniano</w:t>
      </w:r>
      <w:r w:rsidR="004E0679" w:rsidRPr="004E0679">
        <w:rPr>
          <w:rStyle w:val="Bodytext1"/>
          <w:noProof/>
        </w:rPr>
        <w:t xml:space="preserve"> w</w:t>
      </w:r>
      <w:r w:rsidR="004E0679">
        <w:rPr>
          <w:rStyle w:val="Bodytext1"/>
          <w:noProof/>
        </w:rPr>
        <w:t> </w:t>
      </w:r>
      <w:r w:rsidR="004E0679" w:rsidRPr="004E0679">
        <w:rPr>
          <w:rStyle w:val="Bodytext1"/>
          <w:noProof/>
        </w:rPr>
        <w:t>mot</w:t>
      </w:r>
      <w:r w:rsidR="00DF5F85" w:rsidRPr="004E0679">
        <w:rPr>
          <w:rStyle w:val="Bodytext1"/>
          <w:noProof/>
        </w:rPr>
        <w:t>ywie 35 rozporządzenia (UE) 2016/794, Komisja powinna mieć możliwość zasięgnięcia opinii Europejskiego Inspektora Ochrony Danych (EIOD) również podczas rokowań</w:t>
      </w:r>
      <w:r w:rsidR="004E0679" w:rsidRPr="004E0679">
        <w:rPr>
          <w:rStyle w:val="Bodytext1"/>
          <w:noProof/>
        </w:rPr>
        <w:t xml:space="preserve"> w</w:t>
      </w:r>
      <w:r w:rsidR="004E0679">
        <w:rPr>
          <w:rStyle w:val="Bodytext1"/>
          <w:noProof/>
        </w:rPr>
        <w:t> </w:t>
      </w:r>
      <w:r w:rsidR="004E0679" w:rsidRPr="004E0679">
        <w:rPr>
          <w:rStyle w:val="Bodytext1"/>
          <w:noProof/>
        </w:rPr>
        <w:t>spr</w:t>
      </w:r>
      <w:r w:rsidR="00DF5F85" w:rsidRPr="004E0679">
        <w:rPr>
          <w:rStyle w:val="Bodytext1"/>
          <w:noProof/>
        </w:rPr>
        <w:t>awie umowy,</w:t>
      </w:r>
      <w:r w:rsidR="004E0679" w:rsidRPr="004E0679">
        <w:rPr>
          <w:rStyle w:val="Bodytext1"/>
          <w:noProof/>
        </w:rPr>
        <w:t xml:space="preserve"> a</w:t>
      </w:r>
      <w:r w:rsidR="004E0679">
        <w:rPr>
          <w:rStyle w:val="Bodytext1"/>
          <w:noProof/>
        </w:rPr>
        <w:t> </w:t>
      </w:r>
      <w:r w:rsidR="004E0679" w:rsidRPr="004E0679">
        <w:rPr>
          <w:rStyle w:val="Bodytext1"/>
          <w:noProof/>
        </w:rPr>
        <w:t>w</w:t>
      </w:r>
      <w:r w:rsidR="004E0679">
        <w:rPr>
          <w:rStyle w:val="Bodytext1"/>
          <w:noProof/>
        </w:rPr>
        <w:t> </w:t>
      </w:r>
      <w:r w:rsidR="004E0679" w:rsidRPr="004E0679">
        <w:rPr>
          <w:rStyle w:val="Bodytext1"/>
          <w:noProof/>
        </w:rPr>
        <w:t>każ</w:t>
      </w:r>
      <w:r w:rsidR="00DF5F85" w:rsidRPr="004E0679">
        <w:rPr>
          <w:rStyle w:val="Bodytext1"/>
          <w:noProof/>
        </w:rPr>
        <w:t>dym razie przed jej zawarciem.</w:t>
      </w:r>
    </w:p>
    <w:p w14:paraId="00A3B78C" w14:textId="56DE6119" w:rsidR="00DF5F85" w:rsidRPr="004E0679" w:rsidRDefault="00090852" w:rsidP="00090852">
      <w:pPr>
        <w:pStyle w:val="ManualConsidrant"/>
        <w:rPr>
          <w:noProof/>
          <w:szCs w:val="24"/>
        </w:rPr>
      </w:pPr>
      <w:r w:rsidRPr="00090852">
        <w:t>(5)</w:t>
      </w:r>
      <w:r w:rsidRPr="00090852">
        <w:tab/>
      </w:r>
      <w:r w:rsidR="00DF5F85" w:rsidRPr="004E0679">
        <w:rPr>
          <w:rStyle w:val="Bodytext1"/>
          <w:noProof/>
        </w:rPr>
        <w:t>Umowa ta powinna respektować prawa podstawowe</w:t>
      </w:r>
      <w:r w:rsidR="004E0679" w:rsidRPr="004E0679">
        <w:rPr>
          <w:rStyle w:val="Bodytext1"/>
          <w:noProof/>
        </w:rPr>
        <w:t xml:space="preserve"> i</w:t>
      </w:r>
      <w:r w:rsidR="004E0679">
        <w:rPr>
          <w:rStyle w:val="Bodytext1"/>
          <w:noProof/>
        </w:rPr>
        <w:t> </w:t>
      </w:r>
      <w:r w:rsidR="004E0679" w:rsidRPr="004E0679">
        <w:rPr>
          <w:rStyle w:val="Bodytext1"/>
          <w:noProof/>
        </w:rPr>
        <w:t>prz</w:t>
      </w:r>
      <w:r w:rsidR="00DF5F85" w:rsidRPr="004E0679">
        <w:rPr>
          <w:rStyle w:val="Bodytext1"/>
          <w:noProof/>
        </w:rPr>
        <w:t>estrzegać zasad uznanych</w:t>
      </w:r>
      <w:r w:rsidR="004E0679" w:rsidRPr="004E0679">
        <w:rPr>
          <w:rStyle w:val="Bodytext1"/>
          <w:noProof/>
        </w:rPr>
        <w:t xml:space="preserve"> w</w:t>
      </w:r>
      <w:r w:rsidR="004E0679">
        <w:rPr>
          <w:rStyle w:val="Bodytext1"/>
          <w:noProof/>
        </w:rPr>
        <w:t> </w:t>
      </w:r>
      <w:r w:rsidR="004E0679" w:rsidRPr="004E0679">
        <w:rPr>
          <w:rStyle w:val="Bodytext1"/>
          <w:noProof/>
        </w:rPr>
        <w:t>Kar</w:t>
      </w:r>
      <w:r w:rsidR="00DF5F85" w:rsidRPr="004E0679">
        <w:rPr>
          <w:rStyle w:val="Bodytext1"/>
          <w:noProof/>
        </w:rPr>
        <w:t>cie praw podstawowych Unii Europejskiej, zwłaszcza prawa do poszanowania życia prywatnego</w:t>
      </w:r>
      <w:r w:rsidR="004E0679" w:rsidRPr="004E0679">
        <w:rPr>
          <w:rStyle w:val="Bodytext1"/>
          <w:noProof/>
        </w:rPr>
        <w:t xml:space="preserve"> i</w:t>
      </w:r>
      <w:r w:rsidR="004E0679">
        <w:rPr>
          <w:rStyle w:val="Bodytext1"/>
          <w:noProof/>
        </w:rPr>
        <w:t> </w:t>
      </w:r>
      <w:r w:rsidR="004E0679" w:rsidRPr="004E0679">
        <w:rPr>
          <w:rStyle w:val="Bodytext1"/>
          <w:noProof/>
        </w:rPr>
        <w:t>rod</w:t>
      </w:r>
      <w:r w:rsidR="00DF5F85" w:rsidRPr="004E0679">
        <w:rPr>
          <w:rStyle w:val="Bodytext1"/>
          <w:noProof/>
        </w:rPr>
        <w:t>zinnego, uznanego</w:t>
      </w:r>
      <w:r w:rsidR="004E0679" w:rsidRPr="004E0679">
        <w:rPr>
          <w:rStyle w:val="Bodytext1"/>
          <w:noProof/>
        </w:rPr>
        <w:t xml:space="preserve"> w</w:t>
      </w:r>
      <w:r w:rsidR="004E0679">
        <w:rPr>
          <w:rStyle w:val="Bodytext1"/>
          <w:noProof/>
        </w:rPr>
        <w:t> </w:t>
      </w:r>
      <w:r w:rsidR="004E0679" w:rsidRPr="004E0679">
        <w:rPr>
          <w:rStyle w:val="Bodytext1"/>
          <w:noProof/>
        </w:rPr>
        <w:t>art</w:t>
      </w:r>
      <w:r w:rsidR="00DF5F85" w:rsidRPr="004E0679">
        <w:rPr>
          <w:rStyle w:val="Bodytext1"/>
          <w:noProof/>
        </w:rPr>
        <w:t>. 7 Karty, prawa do ochrony danych osobowych, uznanego</w:t>
      </w:r>
      <w:r w:rsidR="004E0679" w:rsidRPr="004E0679">
        <w:rPr>
          <w:rStyle w:val="Bodytext1"/>
          <w:noProof/>
        </w:rPr>
        <w:t xml:space="preserve"> w</w:t>
      </w:r>
      <w:r w:rsidR="004E0679">
        <w:rPr>
          <w:rStyle w:val="Bodytext1"/>
          <w:noProof/>
        </w:rPr>
        <w:t> </w:t>
      </w:r>
      <w:r w:rsidR="004E0679" w:rsidRPr="004E0679">
        <w:rPr>
          <w:rStyle w:val="Bodytext1"/>
          <w:noProof/>
        </w:rPr>
        <w:t>art</w:t>
      </w:r>
      <w:r w:rsidR="00DF5F85" w:rsidRPr="004E0679">
        <w:rPr>
          <w:rStyle w:val="Bodytext1"/>
          <w:noProof/>
        </w:rPr>
        <w:t>. 8 Karty, oraz prawa do skutecznego środka prawnego</w:t>
      </w:r>
      <w:r w:rsidR="004E0679" w:rsidRPr="004E0679">
        <w:rPr>
          <w:rStyle w:val="Bodytext1"/>
          <w:noProof/>
        </w:rPr>
        <w:t xml:space="preserve"> i</w:t>
      </w:r>
      <w:r w:rsidR="004E0679">
        <w:rPr>
          <w:rStyle w:val="Bodytext1"/>
          <w:noProof/>
        </w:rPr>
        <w:t> </w:t>
      </w:r>
      <w:r w:rsidR="004E0679" w:rsidRPr="004E0679">
        <w:rPr>
          <w:rStyle w:val="Bodytext1"/>
          <w:noProof/>
        </w:rPr>
        <w:t>dos</w:t>
      </w:r>
      <w:r w:rsidR="00DF5F85" w:rsidRPr="004E0679">
        <w:rPr>
          <w:rStyle w:val="Bodytext1"/>
          <w:noProof/>
        </w:rPr>
        <w:t>tępu do bezstronnego sądu, uznanego</w:t>
      </w:r>
      <w:r w:rsidR="004E0679" w:rsidRPr="004E0679">
        <w:rPr>
          <w:rStyle w:val="Bodytext1"/>
          <w:noProof/>
        </w:rPr>
        <w:t xml:space="preserve"> w</w:t>
      </w:r>
      <w:r w:rsidR="004E0679">
        <w:rPr>
          <w:rStyle w:val="Bodytext1"/>
          <w:noProof/>
        </w:rPr>
        <w:t> </w:t>
      </w:r>
      <w:r w:rsidR="004E0679" w:rsidRPr="004E0679">
        <w:rPr>
          <w:rStyle w:val="Bodytext1"/>
          <w:noProof/>
        </w:rPr>
        <w:t>art</w:t>
      </w:r>
      <w:r w:rsidR="00DF5F85" w:rsidRPr="004E0679">
        <w:rPr>
          <w:rStyle w:val="Bodytext1"/>
          <w:noProof/>
        </w:rPr>
        <w:t>. 47 Karty. Umowa powinna być stosowana zgodnie</w:t>
      </w:r>
      <w:r w:rsidR="004E0679" w:rsidRPr="004E0679">
        <w:rPr>
          <w:rStyle w:val="Bodytext1"/>
          <w:noProof/>
        </w:rPr>
        <w:t xml:space="preserve"> z</w:t>
      </w:r>
      <w:r w:rsidR="004E0679">
        <w:rPr>
          <w:rStyle w:val="Bodytext1"/>
          <w:noProof/>
        </w:rPr>
        <w:t> </w:t>
      </w:r>
      <w:r w:rsidR="004E0679" w:rsidRPr="004E0679">
        <w:rPr>
          <w:rStyle w:val="Bodytext1"/>
          <w:noProof/>
        </w:rPr>
        <w:t>tym</w:t>
      </w:r>
      <w:r w:rsidR="00DF5F85" w:rsidRPr="004E0679">
        <w:rPr>
          <w:rStyle w:val="Bodytext1"/>
          <w:noProof/>
        </w:rPr>
        <w:t>i prawami</w:t>
      </w:r>
      <w:r w:rsidR="004E0679" w:rsidRPr="004E0679">
        <w:rPr>
          <w:rStyle w:val="Bodytext1"/>
          <w:noProof/>
        </w:rPr>
        <w:t xml:space="preserve"> i</w:t>
      </w:r>
      <w:r w:rsidR="004E0679">
        <w:rPr>
          <w:rStyle w:val="Bodytext1"/>
          <w:noProof/>
        </w:rPr>
        <w:t> </w:t>
      </w:r>
      <w:r w:rsidR="004E0679" w:rsidRPr="004E0679">
        <w:rPr>
          <w:rStyle w:val="Bodytext1"/>
          <w:noProof/>
        </w:rPr>
        <w:t>zas</w:t>
      </w:r>
      <w:r w:rsidR="00DF5F85" w:rsidRPr="004E0679">
        <w:rPr>
          <w:rStyle w:val="Bodytext1"/>
          <w:noProof/>
        </w:rPr>
        <w:t>adami.</w:t>
      </w:r>
    </w:p>
    <w:p w14:paraId="00A3B78D" w14:textId="6B813515" w:rsidR="00DF5F85" w:rsidRPr="004E0679" w:rsidRDefault="00090852" w:rsidP="00090852">
      <w:pPr>
        <w:pStyle w:val="ManualConsidrant"/>
        <w:rPr>
          <w:rStyle w:val="Bodytext1"/>
          <w:noProof/>
          <w:szCs w:val="24"/>
        </w:rPr>
      </w:pPr>
      <w:r w:rsidRPr="00090852">
        <w:rPr>
          <w:rStyle w:val="Bodytext1"/>
        </w:rPr>
        <w:t>(6)</w:t>
      </w:r>
      <w:r w:rsidRPr="00090852">
        <w:rPr>
          <w:rStyle w:val="Bodytext1"/>
        </w:rPr>
        <w:tab/>
      </w:r>
      <w:r w:rsidR="00DF5F85" w:rsidRPr="004E0679">
        <w:rPr>
          <w:rStyle w:val="Bodytext1"/>
          <w:noProof/>
        </w:rPr>
        <w:t>Umowa nie powinna mieć wpływu</w:t>
      </w:r>
      <w:r w:rsidR="004E0679" w:rsidRPr="004E0679">
        <w:rPr>
          <w:rStyle w:val="Bodytext1"/>
          <w:noProof/>
        </w:rPr>
        <w:t xml:space="preserve"> i</w:t>
      </w:r>
      <w:r w:rsidR="004E0679">
        <w:rPr>
          <w:rStyle w:val="Bodytext1"/>
          <w:noProof/>
        </w:rPr>
        <w:t> </w:t>
      </w:r>
      <w:r w:rsidR="004E0679" w:rsidRPr="004E0679">
        <w:rPr>
          <w:rStyle w:val="Bodytext1"/>
          <w:noProof/>
        </w:rPr>
        <w:t>pow</w:t>
      </w:r>
      <w:r w:rsidR="00DF5F85" w:rsidRPr="004E0679">
        <w:rPr>
          <w:rStyle w:val="Bodytext1"/>
          <w:noProof/>
        </w:rPr>
        <w:t>inna pozostawać bez uszczerbku dla przekazywania danych osobowych lub innych form współpracy między organami odpowiedzialnymi za ochronę bezpieczeństwa narodowego,</w:t>
      </w:r>
    </w:p>
    <w:p w14:paraId="00A3B78E" w14:textId="77777777" w:rsidR="00DF5F85" w:rsidRPr="004E0679" w:rsidRDefault="00DF5F85" w:rsidP="003C1863">
      <w:pPr>
        <w:pStyle w:val="Bodytext10"/>
        <w:spacing w:after="10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0A3B78F" w14:textId="77777777" w:rsidR="009F6B2E" w:rsidRPr="004E0679" w:rsidRDefault="009F6B2E" w:rsidP="00750C38">
      <w:pPr>
        <w:pStyle w:val="Formuledadoption"/>
        <w:rPr>
          <w:noProof/>
          <w:szCs w:val="24"/>
        </w:rPr>
      </w:pPr>
      <w:r w:rsidRPr="004E0679">
        <w:rPr>
          <w:noProof/>
        </w:rPr>
        <w:t xml:space="preserve">PRZYJMUJE NINIEJSZĄ DECYZJĘ: </w:t>
      </w:r>
    </w:p>
    <w:p w14:paraId="00A3B790" w14:textId="77777777" w:rsidR="009F6B2E" w:rsidRPr="004E0679" w:rsidRDefault="009F6B2E" w:rsidP="00750C38">
      <w:pPr>
        <w:pStyle w:val="Titrearticle"/>
        <w:rPr>
          <w:noProof/>
          <w:szCs w:val="24"/>
        </w:rPr>
      </w:pPr>
      <w:r w:rsidRPr="004E0679">
        <w:rPr>
          <w:noProof/>
        </w:rPr>
        <w:t>Artykuł 1</w:t>
      </w:r>
    </w:p>
    <w:p w14:paraId="00A3B791" w14:textId="2F4F7D01" w:rsidR="00DF5F85" w:rsidRPr="004E0679" w:rsidRDefault="00DF5F85" w:rsidP="00DF5F85">
      <w:pPr>
        <w:pStyle w:val="Bodytext10"/>
        <w:spacing w:after="100"/>
        <w:jc w:val="both"/>
        <w:rPr>
          <w:rFonts w:ascii="Times New Roman" w:hAnsi="Times New Roman" w:cs="Times New Roman"/>
          <w:noProof/>
          <w:sz w:val="24"/>
          <w:szCs w:val="24"/>
        </w:rPr>
      </w:pPr>
      <w:bookmarkStart w:id="1" w:name="_CopyToNewDocument_"/>
      <w:bookmarkEnd w:id="1"/>
      <w:r w:rsidRPr="004E0679">
        <w:rPr>
          <w:rStyle w:val="Bodytext1"/>
          <w:rFonts w:ascii="Times New Roman" w:hAnsi="Times New Roman"/>
          <w:noProof/>
          <w:sz w:val="24"/>
        </w:rPr>
        <w:t>Niniejszym upoważnia się Komisję do prowadzenia,</w:t>
      </w:r>
      <w:r w:rsidR="004E0679" w:rsidRPr="004E0679">
        <w:rPr>
          <w:rStyle w:val="Bodytext1"/>
          <w:rFonts w:ascii="Times New Roman" w:hAnsi="Times New Roman"/>
          <w:noProof/>
          <w:sz w:val="24"/>
        </w:rPr>
        <w:t xml:space="preserve"> w</w:t>
      </w:r>
      <w:r w:rsidR="004E0679">
        <w:rPr>
          <w:rStyle w:val="Bodytext1"/>
          <w:rFonts w:ascii="Times New Roman" w:hAnsi="Times New Roman"/>
          <w:noProof/>
          <w:sz w:val="24"/>
        </w:rPr>
        <w:t> </w:t>
      </w:r>
      <w:r w:rsidR="004E0679" w:rsidRPr="004E0679">
        <w:rPr>
          <w:rStyle w:val="Bodytext1"/>
          <w:rFonts w:ascii="Times New Roman" w:hAnsi="Times New Roman"/>
          <w:noProof/>
          <w:sz w:val="24"/>
        </w:rPr>
        <w:t>imi</w:t>
      </w:r>
      <w:r w:rsidRPr="004E0679">
        <w:rPr>
          <w:rStyle w:val="Bodytext1"/>
          <w:rFonts w:ascii="Times New Roman" w:hAnsi="Times New Roman"/>
          <w:noProof/>
          <w:sz w:val="24"/>
        </w:rPr>
        <w:t>eniu Unii, rokowań</w:t>
      </w:r>
      <w:r w:rsidR="004E0679" w:rsidRPr="004E0679">
        <w:rPr>
          <w:rStyle w:val="Bodytext1"/>
          <w:rFonts w:ascii="Times New Roman" w:hAnsi="Times New Roman"/>
          <w:noProof/>
          <w:sz w:val="24"/>
        </w:rPr>
        <w:t xml:space="preserve"> w</w:t>
      </w:r>
      <w:r w:rsidR="004E0679">
        <w:rPr>
          <w:rStyle w:val="Bodytext1"/>
          <w:rFonts w:ascii="Times New Roman" w:hAnsi="Times New Roman"/>
          <w:noProof/>
          <w:sz w:val="24"/>
        </w:rPr>
        <w:t> </w:t>
      </w:r>
      <w:r w:rsidR="004E0679" w:rsidRPr="004E0679">
        <w:rPr>
          <w:rStyle w:val="Bodytext1"/>
          <w:rFonts w:ascii="Times New Roman" w:hAnsi="Times New Roman"/>
          <w:noProof/>
          <w:sz w:val="24"/>
        </w:rPr>
        <w:t>spr</w:t>
      </w:r>
      <w:r w:rsidRPr="004E0679">
        <w:rPr>
          <w:rStyle w:val="Bodytext1"/>
          <w:rFonts w:ascii="Times New Roman" w:hAnsi="Times New Roman"/>
          <w:noProof/>
          <w:sz w:val="24"/>
        </w:rPr>
        <w:t>awie umowy między Unią Europejską</w:t>
      </w:r>
      <w:r w:rsidR="004E0679" w:rsidRPr="004E0679">
        <w:rPr>
          <w:rStyle w:val="Bodytext1"/>
          <w:rFonts w:ascii="Times New Roman" w:hAnsi="Times New Roman"/>
          <w:noProof/>
          <w:sz w:val="24"/>
        </w:rPr>
        <w:t xml:space="preserve"> a</w:t>
      </w:r>
      <w:r w:rsidR="004E0679">
        <w:rPr>
          <w:rStyle w:val="Bodytext1"/>
          <w:rFonts w:ascii="Times New Roman" w:hAnsi="Times New Roman"/>
          <w:noProof/>
          <w:sz w:val="24"/>
        </w:rPr>
        <w:t> </w:t>
      </w:r>
      <w:r w:rsidR="004E0679" w:rsidRPr="004E0679">
        <w:rPr>
          <w:rStyle w:val="Bodytext1"/>
          <w:rFonts w:ascii="Times New Roman" w:hAnsi="Times New Roman"/>
          <w:noProof/>
          <w:sz w:val="24"/>
        </w:rPr>
        <w:t>Rep</w:t>
      </w:r>
      <w:r w:rsidRPr="004E0679">
        <w:rPr>
          <w:rStyle w:val="Bodytext1"/>
          <w:rFonts w:ascii="Times New Roman" w:hAnsi="Times New Roman"/>
          <w:noProof/>
          <w:sz w:val="24"/>
        </w:rPr>
        <w:t>ubliką Peru dotyczącej wymiany danych osobowych między Agencją Unii Europejskiej ds. Współpracy Organów Ścigania (Europol)</w:t>
      </w:r>
      <w:r w:rsidR="004E0679" w:rsidRPr="004E0679">
        <w:rPr>
          <w:rStyle w:val="Bodytext1"/>
          <w:rFonts w:ascii="Times New Roman" w:hAnsi="Times New Roman"/>
          <w:noProof/>
          <w:sz w:val="24"/>
        </w:rPr>
        <w:t xml:space="preserve"> a</w:t>
      </w:r>
      <w:r w:rsidR="004E0679">
        <w:rPr>
          <w:rStyle w:val="Bodytext1"/>
          <w:rFonts w:ascii="Times New Roman" w:hAnsi="Times New Roman"/>
          <w:noProof/>
          <w:sz w:val="24"/>
        </w:rPr>
        <w:t> </w:t>
      </w:r>
      <w:r w:rsidR="004E0679" w:rsidRPr="004E0679">
        <w:rPr>
          <w:rStyle w:val="Bodytext1"/>
          <w:rFonts w:ascii="Times New Roman" w:hAnsi="Times New Roman"/>
          <w:noProof/>
          <w:sz w:val="24"/>
        </w:rPr>
        <w:t>org</w:t>
      </w:r>
      <w:r w:rsidRPr="004E0679">
        <w:rPr>
          <w:rStyle w:val="Bodytext1"/>
          <w:rFonts w:ascii="Times New Roman" w:hAnsi="Times New Roman"/>
          <w:noProof/>
          <w:sz w:val="24"/>
        </w:rPr>
        <w:t>anami Peru właściwymi do zwalczania poważnej przestępczości</w:t>
      </w:r>
      <w:r w:rsidR="004E0679" w:rsidRPr="004E0679">
        <w:rPr>
          <w:rStyle w:val="Bodytext1"/>
          <w:rFonts w:ascii="Times New Roman" w:hAnsi="Times New Roman"/>
          <w:noProof/>
          <w:sz w:val="24"/>
        </w:rPr>
        <w:t xml:space="preserve"> i</w:t>
      </w:r>
      <w:r w:rsidR="004E0679">
        <w:rPr>
          <w:rStyle w:val="Bodytext1"/>
          <w:rFonts w:ascii="Times New Roman" w:hAnsi="Times New Roman"/>
          <w:noProof/>
          <w:sz w:val="24"/>
        </w:rPr>
        <w:t> </w:t>
      </w:r>
      <w:r w:rsidR="004E0679" w:rsidRPr="004E0679">
        <w:rPr>
          <w:rStyle w:val="Bodytext1"/>
          <w:rFonts w:ascii="Times New Roman" w:hAnsi="Times New Roman"/>
          <w:noProof/>
          <w:sz w:val="24"/>
        </w:rPr>
        <w:t>ter</w:t>
      </w:r>
      <w:r w:rsidRPr="004E0679">
        <w:rPr>
          <w:rStyle w:val="Bodytext1"/>
          <w:rFonts w:ascii="Times New Roman" w:hAnsi="Times New Roman"/>
          <w:noProof/>
          <w:sz w:val="24"/>
        </w:rPr>
        <w:t>roryzmu.</w:t>
      </w:r>
    </w:p>
    <w:p w14:paraId="00A3B792" w14:textId="20AF1B20" w:rsidR="00DF5F85" w:rsidRPr="004E0679" w:rsidRDefault="00DF5F85" w:rsidP="00DF5F85">
      <w:pPr>
        <w:pStyle w:val="Bodytext10"/>
        <w:spacing w:after="340"/>
        <w:jc w:val="both"/>
        <w:rPr>
          <w:rStyle w:val="Bodytext1"/>
          <w:rFonts w:ascii="Times New Roman" w:hAnsi="Times New Roman" w:cs="Times New Roman"/>
          <w:noProof/>
          <w:sz w:val="24"/>
          <w:szCs w:val="24"/>
        </w:rPr>
      </w:pPr>
      <w:r w:rsidRPr="004E0679">
        <w:rPr>
          <w:rStyle w:val="Bodytext1"/>
          <w:rFonts w:ascii="Times New Roman" w:hAnsi="Times New Roman"/>
          <w:noProof/>
          <w:sz w:val="24"/>
        </w:rPr>
        <w:t>Wytyczne negocjacyjne określono</w:t>
      </w:r>
      <w:r w:rsidR="004E0679" w:rsidRPr="004E0679">
        <w:rPr>
          <w:rStyle w:val="Bodytext1"/>
          <w:rFonts w:ascii="Times New Roman" w:hAnsi="Times New Roman"/>
          <w:noProof/>
          <w:sz w:val="24"/>
        </w:rPr>
        <w:t xml:space="preserve"> w</w:t>
      </w:r>
      <w:r w:rsidR="004E0679">
        <w:rPr>
          <w:rStyle w:val="Bodytext1"/>
          <w:rFonts w:ascii="Times New Roman" w:hAnsi="Times New Roman"/>
          <w:noProof/>
          <w:sz w:val="24"/>
        </w:rPr>
        <w:t> </w:t>
      </w:r>
      <w:r w:rsidR="004E0679" w:rsidRPr="004E0679">
        <w:rPr>
          <w:rStyle w:val="Bodytext1"/>
          <w:rFonts w:ascii="Times New Roman" w:hAnsi="Times New Roman"/>
          <w:noProof/>
          <w:sz w:val="24"/>
        </w:rPr>
        <w:t>zał</w:t>
      </w:r>
      <w:r w:rsidRPr="004E0679">
        <w:rPr>
          <w:rStyle w:val="Bodytext1"/>
          <w:rFonts w:ascii="Times New Roman" w:hAnsi="Times New Roman"/>
          <w:noProof/>
          <w:sz w:val="24"/>
        </w:rPr>
        <w:t>ączniku.</w:t>
      </w:r>
    </w:p>
    <w:p w14:paraId="00A3B793" w14:textId="77777777" w:rsidR="00DF5F85" w:rsidRPr="004E0679" w:rsidRDefault="00DF5F85" w:rsidP="00DF5F85">
      <w:pPr>
        <w:pStyle w:val="Bodytext10"/>
        <w:spacing w:after="100"/>
        <w:jc w:val="center"/>
        <w:rPr>
          <w:rFonts w:ascii="Times New Roman" w:hAnsi="Times New Roman" w:cs="Times New Roman"/>
          <w:i/>
          <w:noProof/>
          <w:sz w:val="24"/>
          <w:szCs w:val="24"/>
        </w:rPr>
      </w:pPr>
      <w:r w:rsidRPr="004E0679">
        <w:rPr>
          <w:rFonts w:ascii="Times New Roman" w:hAnsi="Times New Roman"/>
          <w:i/>
          <w:noProof/>
          <w:sz w:val="24"/>
        </w:rPr>
        <w:t>Artykuł 2</w:t>
      </w:r>
    </w:p>
    <w:p w14:paraId="00A3B794" w14:textId="6DBAE9BB" w:rsidR="00DF5F85" w:rsidRPr="004E0679" w:rsidRDefault="00DF5F85" w:rsidP="00DF5F85">
      <w:pPr>
        <w:pStyle w:val="Bodytext10"/>
        <w:spacing w:after="3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E0679">
        <w:rPr>
          <w:rStyle w:val="Bodytext1"/>
          <w:rFonts w:ascii="Times New Roman" w:hAnsi="Times New Roman"/>
          <w:noProof/>
          <w:sz w:val="24"/>
        </w:rPr>
        <w:t>Rokowania są prowadzone</w:t>
      </w:r>
      <w:r w:rsidR="004E0679" w:rsidRPr="004E0679">
        <w:rPr>
          <w:rStyle w:val="Bodytext1"/>
          <w:rFonts w:ascii="Times New Roman" w:hAnsi="Times New Roman"/>
          <w:noProof/>
          <w:sz w:val="24"/>
        </w:rPr>
        <w:t xml:space="preserve"> w</w:t>
      </w:r>
      <w:r w:rsidR="004E0679">
        <w:rPr>
          <w:rStyle w:val="Bodytext1"/>
          <w:rFonts w:ascii="Times New Roman" w:hAnsi="Times New Roman"/>
          <w:noProof/>
          <w:sz w:val="24"/>
        </w:rPr>
        <w:t> </w:t>
      </w:r>
      <w:r w:rsidR="004E0679" w:rsidRPr="004E0679">
        <w:rPr>
          <w:rStyle w:val="Bodytext1"/>
          <w:rFonts w:ascii="Times New Roman" w:hAnsi="Times New Roman"/>
          <w:noProof/>
          <w:sz w:val="24"/>
        </w:rPr>
        <w:t>por</w:t>
      </w:r>
      <w:r w:rsidRPr="004E0679">
        <w:rPr>
          <w:rStyle w:val="Bodytext1"/>
          <w:rFonts w:ascii="Times New Roman" w:hAnsi="Times New Roman"/>
          <w:noProof/>
          <w:sz w:val="24"/>
        </w:rPr>
        <w:t>ozumieniu</w:t>
      </w:r>
      <w:r w:rsidR="004E0679" w:rsidRPr="004E0679">
        <w:rPr>
          <w:rStyle w:val="Bodytext1"/>
          <w:rFonts w:ascii="Times New Roman" w:hAnsi="Times New Roman"/>
          <w:noProof/>
          <w:sz w:val="24"/>
        </w:rPr>
        <w:t xml:space="preserve"> z</w:t>
      </w:r>
      <w:r w:rsidR="004E0679">
        <w:rPr>
          <w:rStyle w:val="Bodytext1"/>
          <w:rFonts w:ascii="Times New Roman" w:hAnsi="Times New Roman"/>
          <w:noProof/>
          <w:sz w:val="24"/>
        </w:rPr>
        <w:t> </w:t>
      </w:r>
      <w:r w:rsidR="004E0679" w:rsidRPr="004E0679">
        <w:rPr>
          <w:rStyle w:val="Bodytext1"/>
          <w:rFonts w:ascii="Times New Roman" w:hAnsi="Times New Roman"/>
          <w:noProof/>
          <w:sz w:val="24"/>
        </w:rPr>
        <w:t>wła</w:t>
      </w:r>
      <w:r w:rsidRPr="004E0679">
        <w:rPr>
          <w:rStyle w:val="Bodytext1"/>
          <w:rFonts w:ascii="Times New Roman" w:hAnsi="Times New Roman"/>
          <w:noProof/>
          <w:sz w:val="24"/>
        </w:rPr>
        <w:t>ściwym [nazwa komitetu specjalnego do uzupełnienia przez Radę].</w:t>
      </w:r>
    </w:p>
    <w:p w14:paraId="00A3B795" w14:textId="77777777" w:rsidR="00DF5F85" w:rsidRPr="004E0679" w:rsidRDefault="00DF5F85" w:rsidP="00DF5F85">
      <w:pPr>
        <w:pStyle w:val="Bodytext10"/>
        <w:spacing w:after="100"/>
        <w:jc w:val="center"/>
        <w:rPr>
          <w:rFonts w:ascii="Times New Roman" w:hAnsi="Times New Roman" w:cs="Times New Roman"/>
          <w:i/>
          <w:noProof/>
          <w:sz w:val="24"/>
          <w:szCs w:val="24"/>
        </w:rPr>
      </w:pPr>
      <w:r w:rsidRPr="004E0679">
        <w:rPr>
          <w:rFonts w:ascii="Times New Roman" w:hAnsi="Times New Roman"/>
          <w:i/>
          <w:noProof/>
          <w:sz w:val="24"/>
        </w:rPr>
        <w:t>Artykuł 3</w:t>
      </w:r>
    </w:p>
    <w:p w14:paraId="00A3B796" w14:textId="77777777" w:rsidR="00DF5F85" w:rsidRPr="004E0679" w:rsidRDefault="00DF5F85" w:rsidP="00DF5F85">
      <w:pPr>
        <w:pStyle w:val="Bodytext10"/>
        <w:spacing w:after="100"/>
        <w:jc w:val="both"/>
        <w:rPr>
          <w:rStyle w:val="Bodytext1"/>
          <w:rFonts w:ascii="Times New Roman" w:hAnsi="Times New Roman" w:cs="Times New Roman"/>
          <w:noProof/>
          <w:sz w:val="24"/>
          <w:szCs w:val="24"/>
        </w:rPr>
      </w:pPr>
      <w:r w:rsidRPr="004E0679">
        <w:rPr>
          <w:rStyle w:val="Bodytext1"/>
          <w:rFonts w:ascii="Times New Roman" w:hAnsi="Times New Roman"/>
          <w:noProof/>
          <w:sz w:val="24"/>
        </w:rPr>
        <w:t>Niniejsza decyzja skierowana jest do Komisji.</w:t>
      </w:r>
    </w:p>
    <w:p w14:paraId="00A3B797" w14:textId="77777777" w:rsidR="00DF5F85" w:rsidRPr="004E0679" w:rsidRDefault="00DF5F85" w:rsidP="00DF5F85">
      <w:pPr>
        <w:pStyle w:val="Bodytext10"/>
        <w:spacing w:after="10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0A3B798" w14:textId="20340B03" w:rsidR="00F372A8" w:rsidRPr="004E0679" w:rsidRDefault="005E161C" w:rsidP="00937B25">
      <w:pPr>
        <w:pStyle w:val="Fait"/>
        <w:rPr>
          <w:noProof/>
        </w:rPr>
      </w:pPr>
      <w:r w:rsidRPr="005E161C">
        <w:t xml:space="preserve">Sporządzono w Brukseli dnia </w:t>
      </w:r>
      <w:r w:rsidRPr="005E161C">
        <w:rPr>
          <w:rStyle w:val="Marker"/>
        </w:rPr>
        <w:t>[…]</w:t>
      </w:r>
      <w:r w:rsidRPr="005E161C">
        <w:t xml:space="preserve"> r.</w:t>
      </w:r>
    </w:p>
    <w:p w14:paraId="00A3B799" w14:textId="77777777" w:rsidR="00F372A8" w:rsidRPr="004E0679" w:rsidRDefault="00F372A8" w:rsidP="00937B25">
      <w:pPr>
        <w:pStyle w:val="Institutionquisigne"/>
        <w:ind w:firstLine="3600"/>
        <w:rPr>
          <w:noProof/>
          <w:szCs w:val="24"/>
        </w:rPr>
      </w:pPr>
      <w:r w:rsidRPr="004E0679">
        <w:rPr>
          <w:noProof/>
        </w:rPr>
        <w:t>W imieniu Rady</w:t>
      </w:r>
    </w:p>
    <w:p w14:paraId="00A3B79A" w14:textId="77777777" w:rsidR="009F6B2E" w:rsidRPr="004E0679" w:rsidRDefault="009F6B2E" w:rsidP="00700EE9">
      <w:pPr>
        <w:pStyle w:val="Personnequisigne"/>
        <w:ind w:firstLine="3600"/>
        <w:rPr>
          <w:noProof/>
          <w:szCs w:val="24"/>
        </w:rPr>
      </w:pPr>
      <w:r w:rsidRPr="004E0679">
        <w:rPr>
          <w:noProof/>
        </w:rPr>
        <w:t>Przewodniczący</w:t>
      </w:r>
    </w:p>
    <w:sectPr w:rsidR="009F6B2E" w:rsidRPr="004E0679" w:rsidSect="00994D09">
      <w:footerReference w:type="default" r:id="rId10"/>
      <w:footerReference w:type="first" r:id="rId11"/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3DA6F71" w16cid:durableId="27973172"/>
  <w16cid:commentId w16cid:paraId="06F89489" w16cid:durableId="27973173"/>
  <w16cid:commentId w16cid:paraId="38CFF246" w16cid:durableId="2797317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3B79E" w14:textId="77777777" w:rsidR="00BB75C2" w:rsidRPr="004E0679" w:rsidRDefault="00BB75C2" w:rsidP="009F6B2E">
      <w:pPr>
        <w:spacing w:before="0" w:after="0"/>
      </w:pPr>
      <w:r w:rsidRPr="004E0679">
        <w:separator/>
      </w:r>
    </w:p>
  </w:endnote>
  <w:endnote w:type="continuationSeparator" w:id="0">
    <w:p w14:paraId="00A3B79F" w14:textId="77777777" w:rsidR="00BB75C2" w:rsidRPr="004E0679" w:rsidRDefault="00BB75C2" w:rsidP="009F6B2E">
      <w:pPr>
        <w:spacing w:before="0" w:after="0"/>
      </w:pPr>
      <w:r w:rsidRPr="004E067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5A889" w14:textId="47F7C20B" w:rsidR="00E87539" w:rsidRPr="00994D09" w:rsidRDefault="00994D09" w:rsidP="00994D09">
    <w:pPr>
      <w:pStyle w:val="Footer"/>
      <w:rPr>
        <w:rFonts w:ascii="Arial" w:hAnsi="Arial" w:cs="Arial"/>
        <w:b/>
        <w:sz w:val="48"/>
      </w:rPr>
    </w:pPr>
    <w:r w:rsidRPr="00994D09">
      <w:rPr>
        <w:rFonts w:ascii="Arial" w:hAnsi="Arial" w:cs="Arial"/>
        <w:b/>
        <w:sz w:val="48"/>
      </w:rPr>
      <w:t>PL</w:t>
    </w:r>
    <w:r w:rsidRPr="00994D09">
      <w:rPr>
        <w:rFonts w:ascii="Arial" w:hAnsi="Arial" w:cs="Arial"/>
        <w:b/>
        <w:sz w:val="48"/>
      </w:rPr>
      <w:tab/>
    </w:r>
    <w:r w:rsidRPr="00994D09">
      <w:rPr>
        <w:rFonts w:ascii="Arial" w:hAnsi="Arial" w:cs="Arial"/>
        <w:b/>
        <w:sz w:val="48"/>
      </w:rPr>
      <w:tab/>
    </w:r>
    <w:r w:rsidRPr="00994D09">
      <w:tab/>
    </w:r>
    <w:r w:rsidRPr="00994D09">
      <w:rPr>
        <w:rFonts w:ascii="Arial" w:hAnsi="Arial" w:cs="Arial"/>
        <w:b/>
        <w:sz w:val="48"/>
      </w:rPr>
      <w:t>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0394A" w14:textId="6D7A4521" w:rsidR="00994D09" w:rsidRPr="00994D09" w:rsidRDefault="00994D09" w:rsidP="00994D09">
    <w:pPr>
      <w:pStyle w:val="Footer"/>
      <w:rPr>
        <w:rFonts w:ascii="Arial" w:hAnsi="Arial" w:cs="Arial"/>
        <w:b/>
        <w:sz w:val="48"/>
      </w:rPr>
    </w:pPr>
    <w:r w:rsidRPr="00994D09">
      <w:rPr>
        <w:rFonts w:ascii="Arial" w:hAnsi="Arial" w:cs="Arial"/>
        <w:b/>
        <w:sz w:val="48"/>
      </w:rPr>
      <w:t>PL</w:t>
    </w:r>
    <w:r w:rsidRPr="00994D09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 w:rsidR="00937B25">
      <w:rPr>
        <w:noProof/>
      </w:rPr>
      <w:t>6</w:t>
    </w:r>
    <w:r>
      <w:fldChar w:fldCharType="end"/>
    </w:r>
    <w:r>
      <w:tab/>
    </w:r>
    <w:r w:rsidRPr="00994D09">
      <w:tab/>
    </w:r>
    <w:r w:rsidRPr="00994D09">
      <w:rPr>
        <w:rFonts w:ascii="Arial" w:hAnsi="Arial" w:cs="Arial"/>
        <w:b/>
        <w:sz w:val="48"/>
      </w:rPr>
      <w:t>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FEF39" w14:textId="77777777" w:rsidR="00994D09" w:rsidRPr="00994D09" w:rsidRDefault="00994D09" w:rsidP="00994D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A3B79C" w14:textId="77777777" w:rsidR="00BB75C2" w:rsidRPr="004E0679" w:rsidRDefault="00BB75C2" w:rsidP="009F6B2E">
      <w:pPr>
        <w:spacing w:before="0" w:after="0"/>
      </w:pPr>
      <w:r w:rsidRPr="004E0679">
        <w:separator/>
      </w:r>
    </w:p>
  </w:footnote>
  <w:footnote w:type="continuationSeparator" w:id="0">
    <w:p w14:paraId="00A3B79D" w14:textId="77777777" w:rsidR="00BB75C2" w:rsidRPr="004E0679" w:rsidRDefault="00BB75C2" w:rsidP="009F6B2E">
      <w:pPr>
        <w:spacing w:before="0" w:after="0"/>
      </w:pPr>
      <w:r w:rsidRPr="004E0679">
        <w:continuationSeparator/>
      </w:r>
    </w:p>
  </w:footnote>
  <w:footnote w:id="1">
    <w:p w14:paraId="00A3B7A8" w14:textId="77777777" w:rsidR="00B759EF" w:rsidRPr="004E0679" w:rsidRDefault="00B759EF" w:rsidP="00B759EF">
      <w:pPr>
        <w:pStyle w:val="FootnoteText"/>
        <w:ind w:left="425" w:hanging="425"/>
      </w:pPr>
      <w:r w:rsidRPr="004E0679">
        <w:rPr>
          <w:rStyle w:val="FootnoteReference"/>
        </w:rPr>
        <w:footnoteRef/>
      </w:r>
      <w:r w:rsidRPr="004E0679">
        <w:tab/>
        <w:t>COM(2020) 605 final (24.7.2020), s. 21.</w:t>
      </w:r>
    </w:p>
  </w:footnote>
  <w:footnote w:id="2">
    <w:p w14:paraId="00A3B7A9" w14:textId="77777777" w:rsidR="00DB0B63" w:rsidRPr="004E0679" w:rsidRDefault="00DB0B63" w:rsidP="00DB0B63">
      <w:pPr>
        <w:pStyle w:val="FootnoteText"/>
        <w:ind w:left="425" w:hanging="425"/>
      </w:pPr>
      <w:r w:rsidRPr="004E0679">
        <w:rPr>
          <w:rStyle w:val="FootnoteReference"/>
        </w:rPr>
        <w:footnoteRef/>
      </w:r>
      <w:r w:rsidRPr="004E0679">
        <w:tab/>
        <w:t>COM(2021) 170 final (14.4.2021), s. 9.</w:t>
      </w:r>
    </w:p>
  </w:footnote>
  <w:footnote w:id="3">
    <w:p w14:paraId="00A3B7AA" w14:textId="3A35FB90" w:rsidR="00DB0B63" w:rsidRPr="004E0679" w:rsidRDefault="00DB0B63" w:rsidP="00DB0B63">
      <w:pPr>
        <w:pStyle w:val="FootnoteText"/>
        <w:ind w:left="425" w:hanging="425"/>
      </w:pPr>
      <w:r w:rsidRPr="004E0679">
        <w:rPr>
          <w:rStyle w:val="FootnoteReference"/>
        </w:rPr>
        <w:footnoteRef/>
      </w:r>
      <w:r w:rsidRPr="004E0679">
        <w:tab/>
        <w:t>Zob. art.</w:t>
      </w:r>
      <w:r w:rsidR="004E0679" w:rsidRPr="004E0679">
        <w:t> </w:t>
      </w:r>
      <w:r w:rsidRPr="004E0679">
        <w:t>23 ust.</w:t>
      </w:r>
      <w:r w:rsidR="004E0679" w:rsidRPr="004E0679">
        <w:t> </w:t>
      </w:r>
      <w:r w:rsidRPr="004E0679">
        <w:t>4 rozporządzenia Parlamentu Europejskiego</w:t>
      </w:r>
      <w:r w:rsidR="004E0679" w:rsidRPr="004E0679">
        <w:t xml:space="preserve"> i</w:t>
      </w:r>
      <w:r w:rsidR="004E0679">
        <w:t> </w:t>
      </w:r>
      <w:r w:rsidR="004E0679" w:rsidRPr="004E0679">
        <w:t>Rad</w:t>
      </w:r>
      <w:r w:rsidRPr="004E0679">
        <w:t>y (UE) 2016/794</w:t>
      </w:r>
      <w:r w:rsidR="004E0679" w:rsidRPr="004E0679">
        <w:t xml:space="preserve"> z</w:t>
      </w:r>
      <w:r w:rsidR="004E0679">
        <w:t> </w:t>
      </w:r>
      <w:r w:rsidR="004E0679" w:rsidRPr="004E0679">
        <w:t>dni</w:t>
      </w:r>
      <w:r w:rsidRPr="004E0679">
        <w:t>a 11 maja 2016</w:t>
      </w:r>
      <w:r w:rsidR="004E0679" w:rsidRPr="004E0679">
        <w:t> </w:t>
      </w:r>
      <w:r w:rsidRPr="004E0679">
        <w:t>r.</w:t>
      </w:r>
      <w:r w:rsidR="004E0679" w:rsidRPr="004E0679">
        <w:t xml:space="preserve"> w</w:t>
      </w:r>
      <w:r w:rsidR="004E0679">
        <w:t> </w:t>
      </w:r>
      <w:r w:rsidR="004E0679" w:rsidRPr="004E0679">
        <w:t>spr</w:t>
      </w:r>
      <w:r w:rsidRPr="004E0679">
        <w:t>awie Agencji Unii Europejskiej ds. Współpracy Organów Ścigania (Europol), zastępującego</w:t>
      </w:r>
      <w:r w:rsidR="004E0679" w:rsidRPr="004E0679">
        <w:t xml:space="preserve"> i</w:t>
      </w:r>
      <w:r w:rsidR="004E0679">
        <w:t> </w:t>
      </w:r>
      <w:r w:rsidR="004E0679" w:rsidRPr="004E0679">
        <w:t>uch</w:t>
      </w:r>
      <w:r w:rsidRPr="004E0679">
        <w:t>ylającego decyzje Rady 2009/371/WSiSW, 2009/934/WSiSW, 2009/935/WSiSW, 2009/936/WSiSW</w:t>
      </w:r>
      <w:r w:rsidR="004E0679" w:rsidRPr="004E0679">
        <w:t xml:space="preserve"> i</w:t>
      </w:r>
      <w:r w:rsidR="004E0679">
        <w:t> </w:t>
      </w:r>
      <w:r w:rsidR="004E0679" w:rsidRPr="004E0679">
        <w:t>2</w:t>
      </w:r>
      <w:r w:rsidRPr="004E0679">
        <w:t>009/968/WSiSW (Dz.U. L 135</w:t>
      </w:r>
      <w:r w:rsidR="004E0679" w:rsidRPr="004E0679">
        <w:t xml:space="preserve"> z</w:t>
      </w:r>
      <w:r w:rsidR="004E0679">
        <w:t> </w:t>
      </w:r>
      <w:r w:rsidR="004E0679" w:rsidRPr="004E0679">
        <w:t>2</w:t>
      </w:r>
      <w:r w:rsidRPr="004E0679">
        <w:t>4.5.2016, s. 53), zwanego dalej „rozporządzeniem (UE) 2016/794”.</w:t>
      </w:r>
    </w:p>
  </w:footnote>
  <w:footnote w:id="4">
    <w:p w14:paraId="00A3B7AB" w14:textId="7864F398" w:rsidR="00DB0B63" w:rsidRPr="004E0679" w:rsidRDefault="00DB0B63" w:rsidP="004012F5">
      <w:pPr>
        <w:pStyle w:val="FootnoteText"/>
        <w:ind w:left="425" w:hanging="425"/>
      </w:pPr>
      <w:r w:rsidRPr="004E0679">
        <w:rPr>
          <w:rStyle w:val="FootnoteReference"/>
        </w:rPr>
        <w:footnoteRef/>
      </w:r>
      <w:r w:rsidRPr="004E0679">
        <w:tab/>
        <w:t>Zob. art.</w:t>
      </w:r>
      <w:r w:rsidR="004E0679" w:rsidRPr="004E0679">
        <w:t> </w:t>
      </w:r>
      <w:r w:rsidRPr="004E0679">
        <w:t>25 rozporządzenia (UE) 2016/794.</w:t>
      </w:r>
    </w:p>
  </w:footnote>
  <w:footnote w:id="5">
    <w:p w14:paraId="00A3B7AC" w14:textId="40B17E30" w:rsidR="00DB0B63" w:rsidRPr="004E0679" w:rsidRDefault="00DB0B63" w:rsidP="0077199F">
      <w:pPr>
        <w:pStyle w:val="FootnoteText"/>
        <w:ind w:left="425" w:hanging="425"/>
      </w:pPr>
      <w:r w:rsidRPr="004E0679">
        <w:rPr>
          <w:rStyle w:val="FootnoteReference"/>
        </w:rPr>
        <w:footnoteRef/>
      </w:r>
      <w:r w:rsidRPr="004E0679">
        <w:tab/>
        <w:t>Zob. art.</w:t>
      </w:r>
      <w:r w:rsidR="004E0679" w:rsidRPr="004E0679">
        <w:t> </w:t>
      </w:r>
      <w:r w:rsidRPr="004E0679">
        <w:t>25 ust.</w:t>
      </w:r>
      <w:r w:rsidR="004E0679" w:rsidRPr="004E0679">
        <w:t> </w:t>
      </w:r>
      <w:r w:rsidRPr="004E0679">
        <w:t>1 lit.</w:t>
      </w:r>
      <w:r w:rsidR="004E0679" w:rsidRPr="004E0679">
        <w:t> </w:t>
      </w:r>
      <w:r w:rsidRPr="004E0679">
        <w:t>b) rozporządzenia (UE) 2016/794, który zezwala na przekazywanie danych osobowych na podstawie umowy międzynarodowej zawartej między UE</w:t>
      </w:r>
      <w:r w:rsidR="004E0679" w:rsidRPr="004E0679">
        <w:t xml:space="preserve"> a</w:t>
      </w:r>
      <w:r w:rsidR="004E0679">
        <w:t> </w:t>
      </w:r>
      <w:r w:rsidR="004E0679" w:rsidRPr="004E0679">
        <w:t>pań</w:t>
      </w:r>
      <w:r w:rsidRPr="004E0679">
        <w:t>stwem trzecim lub organizacją międzynarodową.</w:t>
      </w:r>
    </w:p>
  </w:footnote>
  <w:footnote w:id="6">
    <w:p w14:paraId="00A3B7AD" w14:textId="134D05AF" w:rsidR="00D21D11" w:rsidRPr="004E0679" w:rsidRDefault="00D21D11" w:rsidP="00D21D11">
      <w:pPr>
        <w:pStyle w:val="FootnoteText"/>
        <w:ind w:left="425" w:hanging="425"/>
      </w:pPr>
      <w:r w:rsidRPr="004E0679">
        <w:rPr>
          <w:rStyle w:val="FootnoteReference"/>
        </w:rPr>
        <w:footnoteRef/>
      </w:r>
      <w:r w:rsidRPr="004E0679">
        <w:tab/>
        <w:t>Algieria, Egipt, Izrael, Jordania, Liban, Maroko, Tunezja, Turcja</w:t>
      </w:r>
      <w:r w:rsidR="004E0679" w:rsidRPr="004E0679">
        <w:t xml:space="preserve"> i</w:t>
      </w:r>
      <w:r w:rsidR="004E0679">
        <w:t> </w:t>
      </w:r>
      <w:r w:rsidR="004E0679" w:rsidRPr="004E0679">
        <w:t>Now</w:t>
      </w:r>
      <w:r w:rsidRPr="004E0679">
        <w:t>a Zelandia.</w:t>
      </w:r>
    </w:p>
  </w:footnote>
  <w:footnote w:id="7">
    <w:p w14:paraId="00A3B7AE" w14:textId="110FE509" w:rsidR="00DB0B63" w:rsidRPr="004E0679" w:rsidRDefault="00DB0B63" w:rsidP="00DB0B63">
      <w:pPr>
        <w:pStyle w:val="FootnoteText"/>
        <w:ind w:left="425" w:hanging="425"/>
      </w:pPr>
      <w:r w:rsidRPr="004E0679">
        <w:rPr>
          <w:rStyle w:val="FootnoteReference"/>
        </w:rPr>
        <w:footnoteRef/>
      </w:r>
      <w:r w:rsidRPr="004E0679">
        <w:tab/>
        <w:t>Decyzja Rady (UE) 1312/21</w:t>
      </w:r>
      <w:r w:rsidR="004E0679" w:rsidRPr="004E0679">
        <w:t xml:space="preserve"> z</w:t>
      </w:r>
      <w:r w:rsidR="004E0679">
        <w:t> </w:t>
      </w:r>
      <w:r w:rsidR="004E0679" w:rsidRPr="004E0679">
        <w:t>dni</w:t>
      </w:r>
      <w:r w:rsidRPr="004E0679">
        <w:t>a 19 lipca 2021</w:t>
      </w:r>
      <w:r w:rsidR="004E0679" w:rsidRPr="004E0679">
        <w:t> </w:t>
      </w:r>
      <w:r w:rsidRPr="004E0679">
        <w:t>r., s. 2.</w:t>
      </w:r>
    </w:p>
  </w:footnote>
  <w:footnote w:id="8">
    <w:p w14:paraId="00A3B7AF" w14:textId="2D659B12" w:rsidR="00E6593E" w:rsidRPr="004E0679" w:rsidRDefault="00E6593E" w:rsidP="004012F5">
      <w:pPr>
        <w:pStyle w:val="FootnoteText"/>
        <w:ind w:left="425" w:hanging="425"/>
      </w:pPr>
      <w:r w:rsidRPr="004E0679">
        <w:rPr>
          <w:rStyle w:val="FootnoteReference"/>
        </w:rPr>
        <w:footnoteRef/>
      </w:r>
      <w:r w:rsidRPr="004E0679">
        <w:tab/>
        <w:t>Decyzja Rady (UE) 1090/22</w:t>
      </w:r>
      <w:r w:rsidR="004E0679" w:rsidRPr="004E0679">
        <w:t xml:space="preserve"> z</w:t>
      </w:r>
      <w:r w:rsidR="004E0679">
        <w:t> </w:t>
      </w:r>
      <w:r w:rsidR="004E0679" w:rsidRPr="004E0679">
        <w:t>dni</w:t>
      </w:r>
      <w:r w:rsidRPr="004E0679">
        <w:t>a 27 czerwca 2022</w:t>
      </w:r>
      <w:r w:rsidR="004E0679" w:rsidRPr="004E0679">
        <w:t> </w:t>
      </w:r>
      <w:r w:rsidRPr="004E0679">
        <w:t>r.</w:t>
      </w:r>
    </w:p>
  </w:footnote>
  <w:footnote w:id="9">
    <w:p w14:paraId="00A3B7B0" w14:textId="463FD445" w:rsidR="0037743B" w:rsidRPr="004E0679" w:rsidRDefault="0037743B" w:rsidP="0037743B">
      <w:pPr>
        <w:pStyle w:val="FootnoteText"/>
        <w:ind w:left="425" w:hanging="425"/>
      </w:pPr>
      <w:r w:rsidRPr="004E0679">
        <w:rPr>
          <w:rStyle w:val="FootnoteReference"/>
        </w:rPr>
        <w:footnoteRef/>
      </w:r>
      <w:r w:rsidRPr="004E0679">
        <w:tab/>
        <w:t>Unijna ocena zagrożenia poważną</w:t>
      </w:r>
      <w:r w:rsidR="004E0679" w:rsidRPr="004E0679">
        <w:t xml:space="preserve"> i</w:t>
      </w:r>
      <w:r w:rsidR="004E0679">
        <w:t> </w:t>
      </w:r>
      <w:r w:rsidR="004E0679" w:rsidRPr="004E0679">
        <w:t>zor</w:t>
      </w:r>
      <w:r w:rsidRPr="004E0679">
        <w:t>ganizowaną przestępczością: A corrupt Influence: The infiltration and undermining of Europe's economy and society by organised crime” [„Niszczący wpływ: infiltracja</w:t>
      </w:r>
      <w:r w:rsidR="004E0679" w:rsidRPr="004E0679">
        <w:t xml:space="preserve"> i</w:t>
      </w:r>
      <w:r w:rsidR="004E0679">
        <w:t> </w:t>
      </w:r>
      <w:r w:rsidR="004E0679" w:rsidRPr="004E0679">
        <w:t>dzi</w:t>
      </w:r>
      <w:r w:rsidRPr="004E0679">
        <w:t>ałanie przestępczości zorganizowanej na szkodę europejskiej gospodarki oraz społeczeństwa”].</w:t>
      </w:r>
    </w:p>
  </w:footnote>
  <w:footnote w:id="10">
    <w:p w14:paraId="00A3B7B1" w14:textId="77777777" w:rsidR="00182656" w:rsidRPr="004E0679" w:rsidRDefault="00182656" w:rsidP="004012F5">
      <w:pPr>
        <w:pStyle w:val="FootnoteText"/>
        <w:ind w:left="425" w:hanging="425"/>
      </w:pPr>
      <w:r w:rsidRPr="004E0679">
        <w:rPr>
          <w:rStyle w:val="FootnoteReference"/>
        </w:rPr>
        <w:footnoteRef/>
      </w:r>
      <w:r w:rsidRPr="004E0679">
        <w:tab/>
        <w:t xml:space="preserve">EU Drug Market: Cocaine [„Rynek narkotykowy w UE: kokaina], dostępne: EU Drug Market: Cocaine | </w:t>
      </w:r>
      <w:hyperlink r:id="rId1" w:history="1">
        <w:r w:rsidRPr="004E0679">
          <w:rPr>
            <w:rStyle w:val="Hyperlink"/>
          </w:rPr>
          <w:t>www.emcdda.europa.eu</w:t>
        </w:r>
      </w:hyperlink>
      <w:r w:rsidRPr="004E0679">
        <w:t xml:space="preserve">. </w:t>
      </w:r>
    </w:p>
  </w:footnote>
  <w:footnote w:id="11">
    <w:p w14:paraId="00A3B7B2" w14:textId="77777777" w:rsidR="00124C66" w:rsidRPr="004E0679" w:rsidRDefault="00124C66" w:rsidP="004012F5">
      <w:pPr>
        <w:pStyle w:val="FootnoteText"/>
        <w:ind w:left="425" w:hanging="425"/>
      </w:pPr>
      <w:r w:rsidRPr="004E0679">
        <w:rPr>
          <w:rStyle w:val="FootnoteReference"/>
        </w:rPr>
        <w:footnoteRef/>
      </w:r>
      <w:r w:rsidRPr="004E0679">
        <w:tab/>
        <w:t xml:space="preserve">EU Drug Market: Cocaine [„Rynek narkotykowy w UE: kokaina], s. 10, dostępne: EU Drug Market: Cocaine | </w:t>
      </w:r>
      <w:hyperlink r:id="rId2" w:history="1">
        <w:r w:rsidRPr="004E0679">
          <w:rPr>
            <w:rStyle w:val="Hyperlink"/>
          </w:rPr>
          <w:t>www.emcdda.europa.eu</w:t>
        </w:r>
      </w:hyperlink>
      <w:r w:rsidRPr="004E0679">
        <w:rPr>
          <w:rStyle w:val="Hyperlink"/>
        </w:rPr>
        <w:t>.</w:t>
      </w:r>
    </w:p>
  </w:footnote>
  <w:footnote w:id="12">
    <w:p w14:paraId="00A3B7B3" w14:textId="77777777" w:rsidR="00E252F9" w:rsidRPr="004E0679" w:rsidRDefault="00E252F9" w:rsidP="004012F5">
      <w:pPr>
        <w:pStyle w:val="FootnoteText"/>
        <w:ind w:left="425" w:hanging="425"/>
      </w:pPr>
      <w:r w:rsidRPr="004E0679">
        <w:rPr>
          <w:rStyle w:val="FootnoteReference"/>
        </w:rPr>
        <w:footnoteRef/>
      </w:r>
      <w:r w:rsidRPr="004E0679">
        <w:tab/>
        <w:t xml:space="preserve">EU Drug Market: Cocaine [„Rynek narkotykowy w UE: kokaina], s. 19, dostępne: EU Drug Market: Cocaine | </w:t>
      </w:r>
      <w:hyperlink r:id="rId3" w:history="1">
        <w:r w:rsidRPr="004E0679">
          <w:rPr>
            <w:rStyle w:val="Hyperlink"/>
          </w:rPr>
          <w:t>www.emcdda.europa.eu</w:t>
        </w:r>
      </w:hyperlink>
      <w:r w:rsidRPr="004E0679">
        <w:rPr>
          <w:rStyle w:val="Hyperlink"/>
        </w:rPr>
        <w:t>.</w:t>
      </w:r>
    </w:p>
  </w:footnote>
  <w:footnote w:id="13">
    <w:p w14:paraId="00A3B7B4" w14:textId="27D84A1E" w:rsidR="00182656" w:rsidRPr="004E0679" w:rsidRDefault="00182656" w:rsidP="00182656">
      <w:pPr>
        <w:pStyle w:val="FootnoteText"/>
        <w:ind w:left="425" w:hanging="425"/>
      </w:pPr>
      <w:r w:rsidRPr="004E0679">
        <w:rPr>
          <w:rStyle w:val="FootnoteReference"/>
        </w:rPr>
        <w:footnoteRef/>
      </w:r>
      <w:r w:rsidRPr="004E0679">
        <w:tab/>
        <w:t>Europol and the global cocaine trade [„Europol</w:t>
      </w:r>
      <w:r w:rsidR="004E0679" w:rsidRPr="004E0679">
        <w:t xml:space="preserve"> i</w:t>
      </w:r>
      <w:r w:rsidR="004E0679">
        <w:t> </w:t>
      </w:r>
      <w:r w:rsidR="004E0679" w:rsidRPr="004E0679">
        <w:t>glo</w:t>
      </w:r>
      <w:r w:rsidRPr="004E0679">
        <w:t xml:space="preserve">balny handel kokainą”], dostępne pod adresem </w:t>
      </w:r>
      <w:hyperlink r:id="rId4" w:history="1">
        <w:r w:rsidRPr="004E0679">
          <w:rPr>
            <w:rStyle w:val="Hyperlink"/>
          </w:rPr>
          <w:t>https://www.emcdda.europa.eu/publications/eu-drug-markets/cocaine/europe-and-global-cocaine-trade_en</w:t>
        </w:r>
      </w:hyperlink>
      <w:r w:rsidRPr="004E0679">
        <w:t xml:space="preserve">. </w:t>
      </w:r>
    </w:p>
  </w:footnote>
  <w:footnote w:id="14">
    <w:p w14:paraId="00A3B7B5" w14:textId="7E26E814" w:rsidR="00182656" w:rsidRPr="004E0679" w:rsidRDefault="00182656" w:rsidP="00182656">
      <w:pPr>
        <w:pStyle w:val="FootnoteText"/>
        <w:ind w:left="425" w:hanging="425"/>
      </w:pPr>
      <w:r w:rsidRPr="004E0679">
        <w:rPr>
          <w:rStyle w:val="FootnoteReference"/>
        </w:rPr>
        <w:footnoteRef/>
      </w:r>
      <w:r w:rsidRPr="004E0679">
        <w:tab/>
        <w:t>Europol and the global cocaine trade [„Europol</w:t>
      </w:r>
      <w:r w:rsidR="004E0679" w:rsidRPr="004E0679">
        <w:t xml:space="preserve"> i</w:t>
      </w:r>
      <w:r w:rsidR="004E0679">
        <w:t> </w:t>
      </w:r>
      <w:r w:rsidR="004E0679" w:rsidRPr="004E0679">
        <w:t>glo</w:t>
      </w:r>
      <w:r w:rsidRPr="004E0679">
        <w:t xml:space="preserve">balny handel kokainą”], dostępne pod adresem </w:t>
      </w:r>
      <w:hyperlink r:id="rId5" w:history="1">
        <w:r w:rsidRPr="004E0679">
          <w:rPr>
            <w:rStyle w:val="Hyperlink"/>
          </w:rPr>
          <w:t>https://www.emcdda.europa.eu/publications/eu-drug-markets/cocaine/europe-and-global-cocaine-trade_en</w:t>
        </w:r>
      </w:hyperlink>
      <w:r w:rsidRPr="004E0679">
        <w:t xml:space="preserve">. </w:t>
      </w:r>
    </w:p>
  </w:footnote>
  <w:footnote w:id="15">
    <w:p w14:paraId="00A3B7B6" w14:textId="77777777" w:rsidR="00182656" w:rsidRPr="004E0679" w:rsidRDefault="00182656" w:rsidP="00182656">
      <w:pPr>
        <w:pStyle w:val="FootnoteText"/>
        <w:ind w:left="425" w:hanging="425"/>
      </w:pPr>
      <w:r w:rsidRPr="004E0679">
        <w:rPr>
          <w:rStyle w:val="FootnoteReference"/>
        </w:rPr>
        <w:footnoteRef/>
      </w:r>
      <w:r w:rsidRPr="004E0679">
        <w:tab/>
        <w:t>Dokument programowy Europolu na lata 2022–2024, s.150.</w:t>
      </w:r>
      <w:r w:rsidRPr="004E0679">
        <w:tab/>
      </w:r>
    </w:p>
  </w:footnote>
  <w:footnote w:id="16">
    <w:p w14:paraId="00A3B7B7" w14:textId="258FD4BE" w:rsidR="009373D2" w:rsidRPr="004E0679" w:rsidRDefault="009373D2" w:rsidP="009373D2">
      <w:pPr>
        <w:pStyle w:val="FootnoteText"/>
        <w:ind w:left="425" w:hanging="425"/>
      </w:pPr>
      <w:r w:rsidRPr="004E0679">
        <w:rPr>
          <w:rStyle w:val="FootnoteReference"/>
        </w:rPr>
        <w:footnoteRef/>
      </w:r>
      <w:r w:rsidRPr="004E0679">
        <w:tab/>
        <w:t>CLASI jest agencją prowadzącą dialog polityczny</w:t>
      </w:r>
      <w:r w:rsidR="004E0679" w:rsidRPr="004E0679">
        <w:t xml:space="preserve"> i</w:t>
      </w:r>
      <w:r w:rsidR="004E0679">
        <w:t> </w:t>
      </w:r>
      <w:r w:rsidR="004E0679" w:rsidRPr="004E0679">
        <w:t>tec</w:t>
      </w:r>
      <w:r w:rsidRPr="004E0679">
        <w:t>hniczny między wiodącymi partnerami</w:t>
      </w:r>
      <w:r w:rsidR="004E0679" w:rsidRPr="004E0679">
        <w:t xml:space="preserve"> w</w:t>
      </w:r>
      <w:r w:rsidR="004E0679">
        <w:t> </w:t>
      </w:r>
      <w:r w:rsidR="004E0679" w:rsidRPr="004E0679">
        <w:t>zak</w:t>
      </w:r>
      <w:r w:rsidRPr="004E0679">
        <w:t>resie polityki bezpieczeństwa</w:t>
      </w:r>
      <w:r w:rsidR="004E0679" w:rsidRPr="004E0679">
        <w:t xml:space="preserve"> w</w:t>
      </w:r>
      <w:r w:rsidR="004E0679">
        <w:t> </w:t>
      </w:r>
      <w:r w:rsidR="004E0679" w:rsidRPr="004E0679">
        <w:t>kra</w:t>
      </w:r>
      <w:r w:rsidRPr="004E0679">
        <w:t>jach Ameryki Łacińskiej, ukierunkowaną na konkretne, operacyjne działania.</w:t>
      </w:r>
    </w:p>
  </w:footnote>
  <w:footnote w:id="17">
    <w:p w14:paraId="00A3B7B8" w14:textId="2F3F57AE" w:rsidR="009373D2" w:rsidRPr="004E0679" w:rsidRDefault="009373D2" w:rsidP="009373D2">
      <w:pPr>
        <w:pStyle w:val="FootnoteText"/>
        <w:ind w:left="425" w:hanging="425"/>
      </w:pPr>
      <w:r w:rsidRPr="004E0679">
        <w:rPr>
          <w:rStyle w:val="FootnoteReference"/>
        </w:rPr>
        <w:footnoteRef/>
      </w:r>
      <w:r w:rsidRPr="004E0679">
        <w:tab/>
        <w:t>The CLASI and its political, strategic and operational implications [„CLASI</w:t>
      </w:r>
      <w:r w:rsidR="004E0679" w:rsidRPr="004E0679">
        <w:t xml:space="preserve"> i</w:t>
      </w:r>
      <w:r w:rsidR="004E0679">
        <w:t> </w:t>
      </w:r>
      <w:r w:rsidR="004E0679" w:rsidRPr="004E0679">
        <w:t>jej</w:t>
      </w:r>
      <w:r w:rsidRPr="004E0679">
        <w:t xml:space="preserve"> aspekty polityczne, strategiczne</w:t>
      </w:r>
      <w:r w:rsidR="004E0679" w:rsidRPr="004E0679">
        <w:t xml:space="preserve"> i</w:t>
      </w:r>
      <w:r w:rsidR="004E0679">
        <w:t> </w:t>
      </w:r>
      <w:r w:rsidR="004E0679" w:rsidRPr="004E0679">
        <w:t>ope</w:t>
      </w:r>
      <w:r w:rsidRPr="004E0679">
        <w:t>racyjne”], 2 marca 2022</w:t>
      </w:r>
      <w:r w:rsidR="004E0679" w:rsidRPr="004E0679">
        <w:t> </w:t>
      </w:r>
      <w:r w:rsidRPr="004E0679">
        <w:t xml:space="preserve">r., dostępne pod adresem </w:t>
      </w:r>
      <w:hyperlink r:id="rId6" w:history="1">
        <w:r w:rsidRPr="004E0679">
          <w:rPr>
            <w:rStyle w:val="Hyperlink"/>
          </w:rPr>
          <w:t>The CLASI and its political, strategic and operational implications - EL PAcCTO</w:t>
        </w:r>
      </w:hyperlink>
      <w:r w:rsidRPr="004E0679">
        <w:t>.</w:t>
      </w:r>
    </w:p>
  </w:footnote>
  <w:footnote w:id="18">
    <w:p w14:paraId="00A3B7B9" w14:textId="77777777" w:rsidR="00E4000D" w:rsidRPr="004E0679" w:rsidRDefault="00E4000D" w:rsidP="004012F5">
      <w:pPr>
        <w:pStyle w:val="FootnoteText"/>
        <w:ind w:left="425" w:hanging="425"/>
      </w:pPr>
      <w:r w:rsidRPr="004E0679">
        <w:rPr>
          <w:rStyle w:val="FootnoteReference"/>
        </w:rPr>
        <w:footnoteRef/>
      </w:r>
      <w:r w:rsidRPr="004E0679">
        <w:tab/>
        <w:t xml:space="preserve">EU Drug Market: Cocaine [„Rynek narkotykowy w UE: kokaina], dostępne: EU Drug Market: Cocaine | </w:t>
      </w:r>
      <w:hyperlink r:id="rId7" w:history="1">
        <w:r w:rsidRPr="004E0679">
          <w:rPr>
            <w:rStyle w:val="Hyperlink"/>
          </w:rPr>
          <w:t>www.emcdda.europa.eu</w:t>
        </w:r>
      </w:hyperlink>
      <w:r w:rsidRPr="004E0679">
        <w:rPr>
          <w:rStyle w:val="Hyperlink"/>
        </w:rPr>
        <w:t>.</w:t>
      </w:r>
      <w:r w:rsidRPr="004E0679">
        <w:t xml:space="preserve">. </w:t>
      </w:r>
    </w:p>
  </w:footnote>
  <w:footnote w:id="19">
    <w:p w14:paraId="00A3B7BA" w14:textId="09F07539" w:rsidR="00E717EB" w:rsidRPr="004E0679" w:rsidRDefault="00E717EB" w:rsidP="004012F5">
      <w:pPr>
        <w:pStyle w:val="FootnoteText"/>
        <w:ind w:left="425" w:hanging="425"/>
      </w:pPr>
      <w:r w:rsidRPr="004E0679">
        <w:rPr>
          <w:rStyle w:val="FootnoteReference"/>
        </w:rPr>
        <w:footnoteRef/>
      </w:r>
      <w:r w:rsidRPr="004E0679">
        <w:tab/>
        <w:t>COM(2020) 605 final, 24 lipca 2020</w:t>
      </w:r>
      <w:r w:rsidR="004E0679" w:rsidRPr="004E0679">
        <w:t> </w:t>
      </w:r>
      <w:r w:rsidRPr="004E0679">
        <w:t>r.</w:t>
      </w:r>
    </w:p>
  </w:footnote>
  <w:footnote w:id="20">
    <w:p w14:paraId="00A3B7BB" w14:textId="0B328973" w:rsidR="0037743B" w:rsidRPr="004E0679" w:rsidRDefault="0037743B" w:rsidP="004012F5">
      <w:pPr>
        <w:pStyle w:val="FootnoteText"/>
        <w:ind w:left="425" w:hanging="425"/>
      </w:pPr>
      <w:r w:rsidRPr="004E0679">
        <w:rPr>
          <w:rStyle w:val="FootnoteReference"/>
        </w:rPr>
        <w:footnoteRef/>
      </w:r>
      <w:r w:rsidRPr="004E0679">
        <w:tab/>
        <w:t>Dokument Rady (UE) 14178/20</w:t>
      </w:r>
      <w:r w:rsidR="004E0679" w:rsidRPr="004E0679">
        <w:t xml:space="preserve"> z</w:t>
      </w:r>
      <w:r w:rsidR="004E0679">
        <w:t> </w:t>
      </w:r>
      <w:r w:rsidR="004E0679" w:rsidRPr="004E0679">
        <w:t>dni</w:t>
      </w:r>
      <w:r w:rsidRPr="004E0679">
        <w:t>a 18 grudnia 2020</w:t>
      </w:r>
      <w:r w:rsidR="004E0679" w:rsidRPr="004E0679">
        <w:t> </w:t>
      </w:r>
      <w:r w:rsidRPr="004E0679">
        <w:t>r.</w:t>
      </w:r>
    </w:p>
  </w:footnote>
  <w:footnote w:id="21">
    <w:p w14:paraId="00A3B7BC" w14:textId="52B65DBB" w:rsidR="00C80F00" w:rsidRPr="004E0679" w:rsidRDefault="00C80F00" w:rsidP="004012F5">
      <w:pPr>
        <w:pStyle w:val="FootnoteText"/>
        <w:ind w:left="425" w:hanging="425"/>
      </w:pPr>
      <w:r w:rsidRPr="004E0679">
        <w:rPr>
          <w:rStyle w:val="FootnoteReference"/>
        </w:rPr>
        <w:footnoteRef/>
      </w:r>
      <w:r w:rsidRPr="004E0679">
        <w:tab/>
        <w:t>Dziennik Urzędowy Unii Europejskiej C 272/02, 8 lipca 2021</w:t>
      </w:r>
      <w:r w:rsidR="004E0679" w:rsidRPr="004E0679">
        <w:t> </w:t>
      </w:r>
      <w:r w:rsidRPr="004E0679">
        <w:t>r.</w:t>
      </w:r>
    </w:p>
  </w:footnote>
  <w:footnote w:id="22">
    <w:p w14:paraId="00A3B7BD" w14:textId="3C312E92" w:rsidR="005971BC" w:rsidRPr="004E0679" w:rsidRDefault="005971BC" w:rsidP="005971BC">
      <w:pPr>
        <w:pStyle w:val="FootnoteText"/>
        <w:ind w:left="425" w:hanging="425"/>
      </w:pPr>
      <w:r w:rsidRPr="004E0679">
        <w:rPr>
          <w:rStyle w:val="FootnoteReference"/>
        </w:rPr>
        <w:footnoteRef/>
      </w:r>
      <w:r w:rsidRPr="004E0679">
        <w:tab/>
        <w:t>Rozporządzenie Parlamentu Europejskiego</w:t>
      </w:r>
      <w:r w:rsidR="004E0679" w:rsidRPr="004E0679">
        <w:t xml:space="preserve"> i</w:t>
      </w:r>
      <w:r w:rsidR="004E0679">
        <w:t> </w:t>
      </w:r>
      <w:r w:rsidR="004E0679" w:rsidRPr="004E0679">
        <w:t>Rad</w:t>
      </w:r>
      <w:r w:rsidRPr="004E0679">
        <w:t>y (UE) 2016/794</w:t>
      </w:r>
      <w:r w:rsidR="004E0679" w:rsidRPr="004E0679">
        <w:t xml:space="preserve"> z</w:t>
      </w:r>
      <w:r w:rsidR="004E0679">
        <w:t> </w:t>
      </w:r>
      <w:r w:rsidR="004E0679" w:rsidRPr="004E0679">
        <w:t>dni</w:t>
      </w:r>
      <w:r w:rsidRPr="004E0679">
        <w:t>a 11 maja 2016</w:t>
      </w:r>
      <w:r w:rsidR="004E0679" w:rsidRPr="004E0679">
        <w:t> </w:t>
      </w:r>
      <w:r w:rsidRPr="004E0679">
        <w:t>r.</w:t>
      </w:r>
      <w:r w:rsidR="004E0679" w:rsidRPr="004E0679">
        <w:t xml:space="preserve"> w</w:t>
      </w:r>
      <w:r w:rsidR="004E0679">
        <w:t> </w:t>
      </w:r>
      <w:r w:rsidR="004E0679" w:rsidRPr="004E0679">
        <w:t>spr</w:t>
      </w:r>
      <w:r w:rsidRPr="004E0679">
        <w:t>awie Agencji Unii Europejskiej ds. Współpracy Organów Ścigania (Europol), zastępujące</w:t>
      </w:r>
      <w:r w:rsidR="004E0679" w:rsidRPr="004E0679">
        <w:t xml:space="preserve"> i</w:t>
      </w:r>
      <w:r w:rsidR="004E0679">
        <w:t> </w:t>
      </w:r>
      <w:r w:rsidR="004E0679" w:rsidRPr="004E0679">
        <w:t>uch</w:t>
      </w:r>
      <w:r w:rsidRPr="004E0679">
        <w:t>ylające decyzje Rady 2009/371/WSiSW, 2009/934/WSiSW, 2009/935/WSiSW, 2009/936/WSiSW</w:t>
      </w:r>
      <w:r w:rsidR="004E0679" w:rsidRPr="004E0679">
        <w:t xml:space="preserve"> i</w:t>
      </w:r>
      <w:r w:rsidR="004E0679">
        <w:t> </w:t>
      </w:r>
      <w:r w:rsidR="004E0679" w:rsidRPr="004E0679">
        <w:t>2</w:t>
      </w:r>
      <w:r w:rsidRPr="004E0679">
        <w:t>009/968/WSiSW (Dz.U. L 135</w:t>
      </w:r>
      <w:r w:rsidR="004E0679" w:rsidRPr="004E0679">
        <w:t xml:space="preserve"> z</w:t>
      </w:r>
      <w:r w:rsidR="004E0679">
        <w:t> </w:t>
      </w:r>
      <w:r w:rsidR="004E0679" w:rsidRPr="004E0679">
        <w:t>2</w:t>
      </w:r>
      <w:r w:rsidRPr="004E0679">
        <w:t>4.5.2016, s. 53).</w:t>
      </w:r>
    </w:p>
  </w:footnote>
  <w:footnote w:id="23">
    <w:p w14:paraId="00A3B7BE" w14:textId="5540B0B6" w:rsidR="00CA4E38" w:rsidRPr="004E0679" w:rsidRDefault="00CA4E38" w:rsidP="00CA4E38">
      <w:pPr>
        <w:pStyle w:val="FootnoteText"/>
        <w:ind w:left="426" w:hanging="426"/>
      </w:pPr>
      <w:r w:rsidRPr="004E0679">
        <w:rPr>
          <w:rStyle w:val="FootnoteReference"/>
        </w:rPr>
        <w:footnoteRef/>
      </w:r>
      <w:r w:rsidRPr="004E0679">
        <w:tab/>
        <w:t>Rozporządzenie Parlamentu Europejskiego</w:t>
      </w:r>
      <w:r w:rsidR="004E0679" w:rsidRPr="004E0679">
        <w:t xml:space="preserve"> i</w:t>
      </w:r>
      <w:r w:rsidR="004E0679">
        <w:t> </w:t>
      </w:r>
      <w:r w:rsidR="004E0679" w:rsidRPr="004E0679">
        <w:t>Rad</w:t>
      </w:r>
      <w:r w:rsidRPr="004E0679">
        <w:t>y (UE) 2022/991</w:t>
      </w:r>
      <w:r w:rsidR="004E0679" w:rsidRPr="004E0679">
        <w:t xml:space="preserve"> z</w:t>
      </w:r>
      <w:r w:rsidR="004E0679">
        <w:t> </w:t>
      </w:r>
      <w:r w:rsidR="004E0679" w:rsidRPr="004E0679">
        <w:t>dni</w:t>
      </w:r>
      <w:r w:rsidRPr="004E0679">
        <w:t>a 8 czerwca 2022</w:t>
      </w:r>
      <w:r w:rsidR="004E0679" w:rsidRPr="004E0679">
        <w:t> </w:t>
      </w:r>
      <w:r w:rsidRPr="004E0679">
        <w:t>r. zmieniające rozporządzenie (UE) 2016/794</w:t>
      </w:r>
      <w:r w:rsidR="004E0679" w:rsidRPr="004E0679">
        <w:t xml:space="preserve"> w</w:t>
      </w:r>
      <w:r w:rsidR="004E0679">
        <w:t> </w:t>
      </w:r>
      <w:r w:rsidR="004E0679" w:rsidRPr="004E0679">
        <w:t>odn</w:t>
      </w:r>
      <w:r w:rsidRPr="004E0679">
        <w:t>iesieniu do współpracy Europolu</w:t>
      </w:r>
      <w:r w:rsidR="004E0679" w:rsidRPr="004E0679">
        <w:t xml:space="preserve"> z</w:t>
      </w:r>
      <w:r w:rsidR="004E0679">
        <w:t> </w:t>
      </w:r>
      <w:r w:rsidR="004E0679" w:rsidRPr="004E0679">
        <w:t>pod</w:t>
      </w:r>
      <w:r w:rsidRPr="004E0679">
        <w:t>miotami prywatnymi, przetwarzania danych osobowych przez Europol</w:t>
      </w:r>
      <w:r w:rsidR="004E0679" w:rsidRPr="004E0679">
        <w:t xml:space="preserve"> w</w:t>
      </w:r>
      <w:r w:rsidR="004E0679">
        <w:t> </w:t>
      </w:r>
      <w:r w:rsidR="004E0679" w:rsidRPr="004E0679">
        <w:t>cel</w:t>
      </w:r>
      <w:r w:rsidRPr="004E0679">
        <w:t>u wspierania postępowań przygotowawczych oraz roli Europolu</w:t>
      </w:r>
      <w:r w:rsidR="004E0679" w:rsidRPr="004E0679">
        <w:t xml:space="preserve"> w</w:t>
      </w:r>
      <w:r w:rsidR="004E0679">
        <w:t> </w:t>
      </w:r>
      <w:r w:rsidR="004E0679" w:rsidRPr="004E0679">
        <w:t>zak</w:t>
      </w:r>
      <w:r w:rsidRPr="004E0679">
        <w:t>resie badań naukowych</w:t>
      </w:r>
      <w:r w:rsidR="004E0679" w:rsidRPr="004E0679">
        <w:t xml:space="preserve"> i</w:t>
      </w:r>
      <w:r w:rsidR="004E0679">
        <w:t> </w:t>
      </w:r>
      <w:r w:rsidR="004E0679" w:rsidRPr="004E0679">
        <w:t>inn</w:t>
      </w:r>
      <w:r w:rsidRPr="004E0679">
        <w:t>owacji (Dz.U. L 169</w:t>
      </w:r>
      <w:r w:rsidR="004E0679" w:rsidRPr="004E0679">
        <w:t xml:space="preserve"> z</w:t>
      </w:r>
      <w:r w:rsidR="004E0679">
        <w:t> </w:t>
      </w:r>
      <w:r w:rsidR="004E0679" w:rsidRPr="004E0679">
        <w:t>2</w:t>
      </w:r>
      <w:r w:rsidRPr="004E0679">
        <w:t>7.6.2022, s.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0E7C30F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9732D34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BDA2892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70E4556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5324DD5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905ECA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4624A1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C9E4CAB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NumPar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NumPar6"/>
      <w:lvlText w:val="%1.%2.%3.%4.%5.%6.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pStyle w:val="NumPar7"/>
      <w:lvlText w:val="%1.%2.%3.%4.%5.%6.%7."/>
      <w:lvlJc w:val="left"/>
      <w:pPr>
        <w:tabs>
          <w:tab w:val="num" w:pos="1417"/>
        </w:tabs>
        <w:ind w:left="1417" w:hanging="141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 w15:restartNumberingAfterBreak="0">
    <w:nsid w:val="42FC077D"/>
    <w:multiLevelType w:val="singleLevel"/>
    <w:tmpl w:val="4128FD03"/>
    <w:name w:val="Tiret 5"/>
    <w:lvl w:ilvl="0">
      <w:start w:val="1"/>
      <w:numFmt w:val="bullet"/>
      <w:lvlRestart w:val="0"/>
      <w:pStyle w:val="Tiret5"/>
      <w:lvlText w:val="–"/>
      <w:lvlJc w:val="left"/>
      <w:pPr>
        <w:tabs>
          <w:tab w:val="num" w:pos="3685"/>
        </w:tabs>
        <w:ind w:left="3685" w:hanging="567"/>
      </w:pPr>
    </w:lvl>
  </w:abstractNum>
  <w:abstractNum w:abstractNumId="15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6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7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8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Heading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Heading6"/>
      <w:lvlText w:val="%1.%2.%3.%4.%5.%6.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1417"/>
        </w:tabs>
        <w:ind w:left="1417" w:hanging="141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2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19"/>
  </w:num>
  <w:num w:numId="10">
    <w:abstractNumId w:val="12"/>
  </w:num>
  <w:num w:numId="11">
    <w:abstractNumId w:val="21"/>
  </w:num>
  <w:num w:numId="12">
    <w:abstractNumId w:val="11"/>
  </w:num>
  <w:num w:numId="13">
    <w:abstractNumId w:val="13"/>
  </w:num>
  <w:num w:numId="14">
    <w:abstractNumId w:val="14"/>
  </w:num>
  <w:num w:numId="15">
    <w:abstractNumId w:val="9"/>
  </w:num>
  <w:num w:numId="16">
    <w:abstractNumId w:val="20"/>
  </w:num>
  <w:num w:numId="17">
    <w:abstractNumId w:val="8"/>
  </w:num>
  <w:num w:numId="18">
    <w:abstractNumId w:val="15"/>
  </w:num>
  <w:num w:numId="19">
    <w:abstractNumId w:val="17"/>
  </w:num>
  <w:num w:numId="20">
    <w:abstractNumId w:val="18"/>
  </w:num>
  <w:num w:numId="21">
    <w:abstractNumId w:val="10"/>
  </w:num>
  <w:num w:numId="22">
    <w:abstractNumId w:val="16"/>
  </w:num>
  <w:num w:numId="23">
    <w:abstractNumId w:val="22"/>
  </w:num>
  <w:num w:numId="24">
    <w:abstractNumId w:val="22"/>
    <w:lvlOverride w:ilvl="0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activeWritingStyle w:appName="MSWord" w:lang="pt-PT" w:vendorID="64" w:dllVersion="6" w:nlCheck="1" w:checkStyle="0"/>
  <w:activeWritingStyle w:appName="MSWord" w:lang="en-I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pt-PT" w:vendorID="64" w:dllVersion="0" w:nlCheck="1" w:checkStyle="0"/>
  <w:activeWritingStyle w:appName="MSWord" w:lang="en-IE" w:vendorID="64" w:dllVersion="0" w:nlCheck="1" w:checkStyle="0"/>
  <w:activeWritingStyle w:appName="MSWord" w:lang="fr-BE" w:vendorID="64" w:dllVersion="6" w:nlCheck="1" w:checkStyle="0"/>
  <w:activeWritingStyle w:appName="MSWord" w:lang="fr-BE" w:vendorID="64" w:dllVersion="0" w:nlCheck="1" w:checkStyle="0"/>
  <w:activeWritingStyle w:appName="MSWord" w:lang="en-GB" w:vendorID="64" w:dllVersion="131078" w:nlCheck="1" w:checkStyle="1"/>
  <w:activeWritingStyle w:appName="MSWord" w:lang="pt-PT" w:vendorID="64" w:dllVersion="131078" w:nlCheck="1" w:checkStyle="0"/>
  <w:activeWritingStyle w:appName="MSWord" w:lang="en-IE" w:vendorID="64" w:dllVersion="131078" w:nlCheck="1" w:checkStyle="1"/>
  <w:activeWritingStyle w:appName="MSWord" w:lang="fr-BE" w:vendorID="64" w:dllVersion="131078" w:nlCheck="1" w:checkStyle="0"/>
  <w:activeWritingStyle w:appName="MSWord" w:lang="en-US" w:vendorID="64" w:dllVersion="131078" w:nlCheck="1" w:checkStyle="1"/>
  <w:attachedTemplate r:id="rId1"/>
  <w:revisionView w:markup="0"/>
  <w:defaultTabStop w:val="720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3-03-07 17:29:26"/>
    <w:docVar w:name="DQCResult_Distribution" w:val="0;0"/>
    <w:docVar w:name="DQCResult_DocumentContent" w:val="0;0"/>
    <w:docVar w:name="DQCResult_DocumentSize" w:val="0;0"/>
    <w:docVar w:name="DQCResult_InvalidFootnotes" w:val="0;0"/>
    <w:docVar w:name="DQCResult_ModifiedMarkers" w:val="0;0"/>
    <w:docVar w:name="DQCResult_ModifiedNumbering" w:val="0;0"/>
    <w:docVar w:name="DQCResult_Objects" w:val="0;0"/>
    <w:docVar w:name="DQCResult_StructureCheck" w:val="0;0"/>
    <w:docVar w:name="DQCStatus" w:val="Green"/>
    <w:docVar w:name="DQCVersion" w:val="3"/>
    <w:docVar w:name="DQCWithWarnings" w:val="0"/>
    <w:docVar w:name="LW_CORRIGENDUM" w:val="&lt;UNUSED&gt;"/>
    <w:docVar w:name="LW_COVERPAGE_EXISTS" w:val="True"/>
    <w:docVar w:name="LW_COVERPAGE_GUID" w:val="4B102C44-D40D-41F2-8B7A-12E80E78C7D7"/>
    <w:docVar w:name="LW_COVERPAGE_TYPE" w:val="1"/>
    <w:docVar w:name="LW_CROSSREFERENCE" w:val="&lt;UNUSED&gt;"/>
    <w:docVar w:name="LW_DocType" w:val="COM"/>
    <w:docVar w:name="LW_EMISSION" w:val="9.3.2023"/>
    <w:docVar w:name="LW_EMISSION_ISODATE" w:val="2023-03-09"/>
    <w:docVar w:name="LW_EMISSION_LOCATION" w:val="BRX"/>
    <w:docVar w:name="LW_EMISSION_PREFIX" w:val="Bruksela, dnia "/>
    <w:docVar w:name="LW_EMISSION_SUFFIX" w:val=" r."/>
    <w:docVar w:name="LW_ID_DOCMODEL" w:val="SG-001"/>
    <w:docVar w:name="LW_ID_DOCSIGNATURE" w:val="SG-001"/>
    <w:docVar w:name="LW_ID_DOCSTRUCTURE" w:val="COM/PL/ORG/NOEEA"/>
    <w:docVar w:name="LW_ID_DOCTYPE" w:val="SG-001"/>
    <w:docVar w:name="LW_ID_STATUT" w:val="SG-001"/>
    <w:docVar w:name="LW_INSERT_EXP.MOTIFS.NEW" w:val="1"/>
    <w:docVar w:name="LW_LANGUE" w:val="PL"/>
    <w:docVar w:name="LW_LEVEL_OF_SENSITIVITY" w:val="Standard treatment"/>
    <w:docVar w:name="LW_NOM.INST" w:val="KOMISJA EUROPEJSKA"/>
    <w:docVar w:name="LW_NOM.INST_JOINTDOC" w:val="&lt;EMPTY&gt;"/>
    <w:docVar w:name="LW_PART_NBR" w:val="1"/>
    <w:docVar w:name="LW_PART_NBR_TOTAL" w:val="1"/>
    <w:docVar w:name="LW_REF.II.NEW.CP" w:val="&lt;UNUSED&gt;"/>
    <w:docVar w:name="LW_REF.II.NEW.CP_NUMBER" w:val="&lt;UNUSED&gt;"/>
    <w:docVar w:name="LW_REF.II.NEW.CP_YEAR" w:val="2023"/>
    <w:docVar w:name="LW_REF.INST.NEW" w:val="COM"/>
    <w:docVar w:name="LW_REF.INST.NEW_ADOPTED" w:val="final"/>
    <w:docVar w:name="LW_REF.INST.NEW_TEXT" w:val="(2023) 133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TATUT.CP" w:val="Zalecenie"/>
    <w:docVar w:name="LW_SUPERTITRE" w:val="&lt;UNUSED&gt;"/>
    <w:docVar w:name="LW_TITRE.OBJ.CP" w:val="upoważniająca do podjęcia rokowań w sprawie umowy między Unią Europejską a Republiką Peru dotyczącej wymiany danych osobowych między Agencją Unii Europejskiej ds. Współpracy Organów Ścigania (Europol) a organami Peru właściwymi do zwalczania poważnej przestępczości i terroryzmu"/>
    <w:docVar w:name="LW_TYPE.DOC.CP" w:val="DECYZJA RADY"/>
    <w:docVar w:name="LwApiVersions" w:val="LW4CoDe 1.23.2.0; LW 8.0, Build 20211117"/>
  </w:docVars>
  <w:rsids>
    <w:rsidRoot w:val="009F6B2E"/>
    <w:rsid w:val="00005060"/>
    <w:rsid w:val="0000546C"/>
    <w:rsid w:val="0000778F"/>
    <w:rsid w:val="00021CC4"/>
    <w:rsid w:val="00022D5C"/>
    <w:rsid w:val="00025346"/>
    <w:rsid w:val="00045A80"/>
    <w:rsid w:val="000503AD"/>
    <w:rsid w:val="000556DC"/>
    <w:rsid w:val="00061A11"/>
    <w:rsid w:val="00090852"/>
    <w:rsid w:val="0009496F"/>
    <w:rsid w:val="000B02F7"/>
    <w:rsid w:val="000B10D0"/>
    <w:rsid w:val="000B4040"/>
    <w:rsid w:val="000C4F17"/>
    <w:rsid w:val="000D736E"/>
    <w:rsid w:val="000E3F3F"/>
    <w:rsid w:val="001065F5"/>
    <w:rsid w:val="00106EF3"/>
    <w:rsid w:val="00106FC9"/>
    <w:rsid w:val="00107AE3"/>
    <w:rsid w:val="001115B9"/>
    <w:rsid w:val="001209AA"/>
    <w:rsid w:val="001238EF"/>
    <w:rsid w:val="00124C66"/>
    <w:rsid w:val="00133B3E"/>
    <w:rsid w:val="00156364"/>
    <w:rsid w:val="00162680"/>
    <w:rsid w:val="00182656"/>
    <w:rsid w:val="00197613"/>
    <w:rsid w:val="001976BB"/>
    <w:rsid w:val="001A2EA8"/>
    <w:rsid w:val="001B5B67"/>
    <w:rsid w:val="001C04EA"/>
    <w:rsid w:val="001C675E"/>
    <w:rsid w:val="001C6D87"/>
    <w:rsid w:val="001D0413"/>
    <w:rsid w:val="001D46F5"/>
    <w:rsid w:val="001F64AB"/>
    <w:rsid w:val="00220F38"/>
    <w:rsid w:val="00233DC7"/>
    <w:rsid w:val="00247779"/>
    <w:rsid w:val="00264710"/>
    <w:rsid w:val="00264BB5"/>
    <w:rsid w:val="00273FF1"/>
    <w:rsid w:val="00280FCB"/>
    <w:rsid w:val="00285BEE"/>
    <w:rsid w:val="00290DC0"/>
    <w:rsid w:val="0029533F"/>
    <w:rsid w:val="002A7C88"/>
    <w:rsid w:val="002B30AF"/>
    <w:rsid w:val="002B6C46"/>
    <w:rsid w:val="002B7EE3"/>
    <w:rsid w:val="002C7FD4"/>
    <w:rsid w:val="002F1FC8"/>
    <w:rsid w:val="0033344A"/>
    <w:rsid w:val="003457D6"/>
    <w:rsid w:val="0037743B"/>
    <w:rsid w:val="00393445"/>
    <w:rsid w:val="003C043F"/>
    <w:rsid w:val="003C1863"/>
    <w:rsid w:val="003D00E7"/>
    <w:rsid w:val="003D0B43"/>
    <w:rsid w:val="003E7393"/>
    <w:rsid w:val="003F6176"/>
    <w:rsid w:val="004012F5"/>
    <w:rsid w:val="00405711"/>
    <w:rsid w:val="004075FF"/>
    <w:rsid w:val="00421398"/>
    <w:rsid w:val="00425C93"/>
    <w:rsid w:val="0042648E"/>
    <w:rsid w:val="00442C87"/>
    <w:rsid w:val="0045291B"/>
    <w:rsid w:val="00471222"/>
    <w:rsid w:val="004764D3"/>
    <w:rsid w:val="004936D2"/>
    <w:rsid w:val="00495FD8"/>
    <w:rsid w:val="004A5C64"/>
    <w:rsid w:val="004C02B9"/>
    <w:rsid w:val="004E0679"/>
    <w:rsid w:val="00520ABC"/>
    <w:rsid w:val="005230C4"/>
    <w:rsid w:val="00533BE4"/>
    <w:rsid w:val="00547A0D"/>
    <w:rsid w:val="00554302"/>
    <w:rsid w:val="005622B2"/>
    <w:rsid w:val="005637FC"/>
    <w:rsid w:val="00572656"/>
    <w:rsid w:val="00582C25"/>
    <w:rsid w:val="005911B8"/>
    <w:rsid w:val="005971BC"/>
    <w:rsid w:val="005A2E54"/>
    <w:rsid w:val="005B1EB6"/>
    <w:rsid w:val="005D5914"/>
    <w:rsid w:val="005E0085"/>
    <w:rsid w:val="005E161C"/>
    <w:rsid w:val="005F6BF9"/>
    <w:rsid w:val="00611BEE"/>
    <w:rsid w:val="00612DE9"/>
    <w:rsid w:val="0061369C"/>
    <w:rsid w:val="006170E1"/>
    <w:rsid w:val="00642414"/>
    <w:rsid w:val="00645E2F"/>
    <w:rsid w:val="00646ECC"/>
    <w:rsid w:val="00651367"/>
    <w:rsid w:val="00656998"/>
    <w:rsid w:val="00665911"/>
    <w:rsid w:val="00677F66"/>
    <w:rsid w:val="006924E1"/>
    <w:rsid w:val="006A4804"/>
    <w:rsid w:val="006A6F3B"/>
    <w:rsid w:val="006C7097"/>
    <w:rsid w:val="006E738A"/>
    <w:rsid w:val="00700EE9"/>
    <w:rsid w:val="00705C08"/>
    <w:rsid w:val="007142FB"/>
    <w:rsid w:val="007704E0"/>
    <w:rsid w:val="0077199F"/>
    <w:rsid w:val="00773331"/>
    <w:rsid w:val="007828C0"/>
    <w:rsid w:val="00785B2A"/>
    <w:rsid w:val="007932EF"/>
    <w:rsid w:val="007C363E"/>
    <w:rsid w:val="007C4C74"/>
    <w:rsid w:val="007E05B0"/>
    <w:rsid w:val="008060E3"/>
    <w:rsid w:val="0081216F"/>
    <w:rsid w:val="00813AD8"/>
    <w:rsid w:val="00815FE0"/>
    <w:rsid w:val="00823440"/>
    <w:rsid w:val="008253E4"/>
    <w:rsid w:val="00863DC6"/>
    <w:rsid w:val="00874D22"/>
    <w:rsid w:val="00880C83"/>
    <w:rsid w:val="00891363"/>
    <w:rsid w:val="008942B6"/>
    <w:rsid w:val="008A2914"/>
    <w:rsid w:val="008C042E"/>
    <w:rsid w:val="008E4D8E"/>
    <w:rsid w:val="00910041"/>
    <w:rsid w:val="00923799"/>
    <w:rsid w:val="009373D2"/>
    <w:rsid w:val="00937B25"/>
    <w:rsid w:val="009447B2"/>
    <w:rsid w:val="00947B99"/>
    <w:rsid w:val="009632DF"/>
    <w:rsid w:val="009638DD"/>
    <w:rsid w:val="009671B2"/>
    <w:rsid w:val="00992005"/>
    <w:rsid w:val="009924FC"/>
    <w:rsid w:val="00994D09"/>
    <w:rsid w:val="009A4469"/>
    <w:rsid w:val="009B3B6B"/>
    <w:rsid w:val="009B429F"/>
    <w:rsid w:val="009C3A8D"/>
    <w:rsid w:val="009D3E06"/>
    <w:rsid w:val="009F6B2E"/>
    <w:rsid w:val="00A02AD9"/>
    <w:rsid w:val="00A1498A"/>
    <w:rsid w:val="00A16585"/>
    <w:rsid w:val="00A36EBF"/>
    <w:rsid w:val="00A44A31"/>
    <w:rsid w:val="00A50405"/>
    <w:rsid w:val="00AF05A4"/>
    <w:rsid w:val="00B34B85"/>
    <w:rsid w:val="00B70B23"/>
    <w:rsid w:val="00B74235"/>
    <w:rsid w:val="00B759EF"/>
    <w:rsid w:val="00BB75C2"/>
    <w:rsid w:val="00C016BB"/>
    <w:rsid w:val="00C12301"/>
    <w:rsid w:val="00C16E74"/>
    <w:rsid w:val="00C43FEA"/>
    <w:rsid w:val="00C6378F"/>
    <w:rsid w:val="00C80F00"/>
    <w:rsid w:val="00CA4E38"/>
    <w:rsid w:val="00CA7626"/>
    <w:rsid w:val="00CD4F9C"/>
    <w:rsid w:val="00CE1712"/>
    <w:rsid w:val="00CE2A5C"/>
    <w:rsid w:val="00CF2BB0"/>
    <w:rsid w:val="00CF504D"/>
    <w:rsid w:val="00D20381"/>
    <w:rsid w:val="00D21D11"/>
    <w:rsid w:val="00D40143"/>
    <w:rsid w:val="00D55ECD"/>
    <w:rsid w:val="00D56B41"/>
    <w:rsid w:val="00D61906"/>
    <w:rsid w:val="00D64145"/>
    <w:rsid w:val="00D673B2"/>
    <w:rsid w:val="00D6792D"/>
    <w:rsid w:val="00D74B0B"/>
    <w:rsid w:val="00DB0B63"/>
    <w:rsid w:val="00DB2922"/>
    <w:rsid w:val="00DB510B"/>
    <w:rsid w:val="00DD619F"/>
    <w:rsid w:val="00DE533F"/>
    <w:rsid w:val="00DF5F85"/>
    <w:rsid w:val="00E252F9"/>
    <w:rsid w:val="00E36B75"/>
    <w:rsid w:val="00E4000D"/>
    <w:rsid w:val="00E54063"/>
    <w:rsid w:val="00E6593E"/>
    <w:rsid w:val="00E66D70"/>
    <w:rsid w:val="00E717EB"/>
    <w:rsid w:val="00E768A7"/>
    <w:rsid w:val="00E87539"/>
    <w:rsid w:val="00EB7381"/>
    <w:rsid w:val="00ED7364"/>
    <w:rsid w:val="00EF3A43"/>
    <w:rsid w:val="00F372A8"/>
    <w:rsid w:val="00F47B86"/>
    <w:rsid w:val="00F50CBE"/>
    <w:rsid w:val="00F67C12"/>
    <w:rsid w:val="00F71323"/>
    <w:rsid w:val="00F83DAA"/>
    <w:rsid w:val="00F91342"/>
    <w:rsid w:val="00F96C5F"/>
    <w:rsid w:val="00FB1F67"/>
    <w:rsid w:val="00FB2D29"/>
    <w:rsid w:val="00FC38F8"/>
    <w:rsid w:val="00FF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00A3B763"/>
  <w15:docId w15:val="{23C64C1A-996F-4AB1-901D-77F72A6E4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pl-PL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next w:val="Text2"/>
    <w:link w:val="Heading5Char"/>
    <w:uiPriority w:val="9"/>
    <w:semiHidden/>
    <w:unhideWhenUsed/>
    <w:qFormat/>
    <w:pPr>
      <w:keepNext/>
      <w:numPr>
        <w:ilvl w:val="4"/>
        <w:numId w:val="16"/>
      </w:numPr>
      <w:outlineLvl w:val="4"/>
    </w:pPr>
    <w:rPr>
      <w:rFonts w:eastAsiaTheme="majorEastAsia"/>
    </w:rPr>
  </w:style>
  <w:style w:type="paragraph" w:styleId="Heading6">
    <w:name w:val="heading 6"/>
    <w:basedOn w:val="Normal"/>
    <w:next w:val="Text2"/>
    <w:link w:val="Heading6Char"/>
    <w:uiPriority w:val="9"/>
    <w:semiHidden/>
    <w:unhideWhenUsed/>
    <w:qFormat/>
    <w:pPr>
      <w:keepNext/>
      <w:numPr>
        <w:ilvl w:val="5"/>
        <w:numId w:val="16"/>
      </w:numPr>
      <w:outlineLvl w:val="5"/>
    </w:pPr>
    <w:rPr>
      <w:rFonts w:eastAsiaTheme="majorEastAsia"/>
      <w:iCs/>
    </w:rPr>
  </w:style>
  <w:style w:type="paragraph" w:styleId="Heading7">
    <w:name w:val="heading 7"/>
    <w:basedOn w:val="Normal"/>
    <w:next w:val="Text2"/>
    <w:link w:val="Heading7Char"/>
    <w:uiPriority w:val="9"/>
    <w:semiHidden/>
    <w:unhideWhenUsed/>
    <w:qFormat/>
    <w:pPr>
      <w:keepNext/>
      <w:numPr>
        <w:ilvl w:val="6"/>
        <w:numId w:val="16"/>
      </w:numPr>
      <w:outlineLvl w:val="6"/>
    </w:pPr>
    <w:rPr>
      <w:rFonts w:eastAsiaTheme="majorEastAsia"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1">
    <w:name w:val="Footnote|1_"/>
    <w:basedOn w:val="DefaultParagraphFont"/>
    <w:link w:val="Footnote10"/>
    <w:rsid w:val="009F6B2E"/>
    <w:rPr>
      <w:sz w:val="20"/>
      <w:szCs w:val="20"/>
    </w:rPr>
  </w:style>
  <w:style w:type="character" w:customStyle="1" w:styleId="Bodytext1">
    <w:name w:val="Body text|1_"/>
    <w:basedOn w:val="DefaultParagraphFont"/>
    <w:link w:val="Bodytext10"/>
    <w:rsid w:val="009F6B2E"/>
  </w:style>
  <w:style w:type="paragraph" w:customStyle="1" w:styleId="Footnote10">
    <w:name w:val="Footnote|1"/>
    <w:basedOn w:val="Normal"/>
    <w:link w:val="Footnote1"/>
    <w:rsid w:val="009F6B2E"/>
    <w:pPr>
      <w:widowControl w:val="0"/>
      <w:spacing w:before="0" w:after="0"/>
      <w:ind w:firstLine="740"/>
      <w:jc w:val="left"/>
    </w:pPr>
    <w:rPr>
      <w:rFonts w:asciiTheme="minorHAnsi" w:hAnsiTheme="minorHAnsi" w:cstheme="minorBidi"/>
      <w:sz w:val="20"/>
      <w:szCs w:val="20"/>
    </w:rPr>
  </w:style>
  <w:style w:type="paragraph" w:customStyle="1" w:styleId="Bodytext10">
    <w:name w:val="Body text|1"/>
    <w:basedOn w:val="Normal"/>
    <w:link w:val="Bodytext1"/>
    <w:rsid w:val="009F6B2E"/>
    <w:pPr>
      <w:widowControl w:val="0"/>
      <w:spacing w:before="0"/>
      <w:jc w:val="left"/>
    </w:pPr>
    <w:rPr>
      <w:rFonts w:asciiTheme="minorHAnsi" w:hAnsiTheme="minorHAnsi" w:cstheme="minorBidi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F6B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6B2E"/>
    <w:pPr>
      <w:widowControl w:val="0"/>
      <w:spacing w:before="0" w:after="0"/>
      <w:jc w:val="left"/>
    </w:pPr>
    <w:rPr>
      <w:rFonts w:eastAsia="Times New Roman"/>
      <w:color w:val="000000"/>
      <w:sz w:val="20"/>
      <w:szCs w:val="20"/>
      <w:lang w:eastAsia="hr-HR" w:bidi="hr-H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6B2E"/>
    <w:rPr>
      <w:rFonts w:ascii="Times New Roman" w:eastAsia="Times New Roman" w:hAnsi="Times New Roman" w:cs="Times New Roman"/>
      <w:color w:val="000000"/>
      <w:sz w:val="20"/>
      <w:szCs w:val="20"/>
      <w:lang w:val="pl-PL" w:eastAsia="hr-HR" w:bidi="hr-HR"/>
    </w:rPr>
  </w:style>
  <w:style w:type="paragraph" w:customStyle="1" w:styleId="Default">
    <w:name w:val="Default"/>
    <w:rsid w:val="009F6B2E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6B2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B2E"/>
    <w:rPr>
      <w:rFonts w:ascii="Segoe UI" w:hAnsi="Segoe UI" w:cs="Segoe UI"/>
      <w:sz w:val="18"/>
      <w:szCs w:val="18"/>
      <w:lang w:val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6B2E"/>
    <w:pPr>
      <w:widowControl/>
      <w:spacing w:before="120" w:after="120"/>
      <w:jc w:val="both"/>
    </w:pPr>
    <w:rPr>
      <w:rFonts w:eastAsiaTheme="minorHAnsi"/>
      <w:b/>
      <w:bCs/>
      <w:color w:val="auto"/>
      <w:lang w:eastAsia="en-US"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6B2E"/>
    <w:rPr>
      <w:rFonts w:ascii="Times New Roman" w:eastAsia="Times New Roman" w:hAnsi="Times New Roman" w:cs="Times New Roman"/>
      <w:b/>
      <w:bCs/>
      <w:color w:val="000000"/>
      <w:sz w:val="20"/>
      <w:szCs w:val="20"/>
      <w:lang w:val="pl-PL" w:eastAsia="hr-HR" w:bidi="hr-HR"/>
    </w:rPr>
  </w:style>
  <w:style w:type="character" w:styleId="Hyperlink">
    <w:name w:val="Hyperlink"/>
    <w:basedOn w:val="DefaultParagraphFont"/>
    <w:uiPriority w:val="99"/>
    <w:unhideWhenUsed/>
    <w:rsid w:val="00061A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1A11"/>
    <w:rPr>
      <w:color w:val="605E5C"/>
      <w:shd w:val="clear" w:color="auto" w:fill="E1DFDD"/>
    </w:rPr>
  </w:style>
  <w:style w:type="paragraph" w:styleId="ListNumber4">
    <w:name w:val="List Number 4"/>
    <w:basedOn w:val="Normal"/>
    <w:uiPriority w:val="99"/>
    <w:semiHidden/>
    <w:unhideWhenUsed/>
    <w:rsid w:val="00DD619F"/>
    <w:pPr>
      <w:numPr>
        <w:numId w:val="1"/>
      </w:numPr>
      <w:contextualSpacing/>
    </w:pPr>
  </w:style>
  <w:style w:type="paragraph" w:styleId="ListBullet">
    <w:name w:val="List Bullet"/>
    <w:basedOn w:val="Normal"/>
    <w:uiPriority w:val="99"/>
    <w:semiHidden/>
    <w:unhideWhenUsed/>
    <w:rsid w:val="003F6176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F6176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F6176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F6176"/>
    <w:pPr>
      <w:numPr>
        <w:numId w:val="5"/>
      </w:numPr>
      <w:contextualSpacing/>
    </w:pPr>
  </w:style>
  <w:style w:type="paragraph" w:styleId="Revision">
    <w:name w:val="Revision"/>
    <w:hidden/>
    <w:uiPriority w:val="99"/>
    <w:semiHidden/>
    <w:rsid w:val="00A1498A"/>
    <w:pPr>
      <w:spacing w:after="0" w:line="240" w:lineRule="auto"/>
    </w:pPr>
    <w:rPr>
      <w:rFonts w:ascii="Times New Roman" w:hAnsi="Times New Roman" w:cs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717EB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D3E06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9D3E06"/>
    <w:pPr>
      <w:spacing w:after="0"/>
    </w:pPr>
  </w:style>
  <w:style w:type="paragraph" w:styleId="ListNumber">
    <w:name w:val="List Number"/>
    <w:basedOn w:val="Normal"/>
    <w:uiPriority w:val="99"/>
    <w:semiHidden/>
    <w:unhideWhenUsed/>
    <w:rsid w:val="009D3E0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D3E0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D3E06"/>
    <w:pPr>
      <w:numPr>
        <w:numId w:val="8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D09"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994D09"/>
    <w:rPr>
      <w:rFonts w:ascii="Times New Roman" w:hAnsi="Times New Roman" w:cs="Times New Roman"/>
      <w:sz w:val="24"/>
      <w:lang w:val="pl-PL"/>
    </w:rPr>
  </w:style>
  <w:style w:type="paragraph" w:styleId="Footer">
    <w:name w:val="footer"/>
    <w:basedOn w:val="Normal"/>
    <w:link w:val="FooterChar"/>
    <w:uiPriority w:val="99"/>
    <w:unhideWhenUsed/>
    <w:rsid w:val="00994D09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994D09"/>
    <w:rPr>
      <w:rFonts w:ascii="Times New Roman" w:hAnsi="Times New Roman" w:cs="Times New Roman"/>
      <w:sz w:val="24"/>
      <w:lang w:val="pl-PL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pl-PL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pl-PL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pl-P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pl-PL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="Times New Roman" w:eastAsiaTheme="majorEastAsia" w:hAnsi="Times New Roman" w:cs="Times New Roman"/>
      <w:sz w:val="24"/>
      <w:lang w:val="pl-PL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="Times New Roman" w:eastAsiaTheme="majorEastAsia" w:hAnsi="Times New Roman" w:cs="Times New Roman"/>
      <w:iCs/>
      <w:sz w:val="24"/>
      <w:lang w:val="pl-PL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="Times New Roman" w:eastAsiaTheme="majorEastAsia" w:hAnsi="Times New Roman" w:cs="Times New Roman"/>
      <w:iCs/>
      <w:sz w:val="24"/>
      <w:lang w:val="pl-PL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  <w:ind w:left="1417" w:hanging="1417"/>
      <w:jc w:val="left"/>
    </w:pPr>
  </w:style>
  <w:style w:type="paragraph" w:customStyle="1" w:styleId="HeaderLandscape">
    <w:name w:val="HeaderLandscape"/>
    <w:basedOn w:val="Normal"/>
    <w:rsid w:val="00994D09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rsid w:val="00994D09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994D0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rsid w:val="00994D09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rsid w:val="00994D0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Text5">
    <w:name w:val="Text 5"/>
    <w:basedOn w:val="Normal"/>
    <w:pPr>
      <w:ind w:left="3118"/>
    </w:pPr>
  </w:style>
  <w:style w:type="paragraph" w:customStyle="1" w:styleId="Text6">
    <w:name w:val="Text 6"/>
    <w:basedOn w:val="Normal"/>
    <w:pPr>
      <w:ind w:left="3685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Point5">
    <w:name w:val="Point 5"/>
    <w:basedOn w:val="Normal"/>
    <w:pPr>
      <w:ind w:left="3685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Tiret5">
    <w:name w:val="Tiret 5"/>
    <w:basedOn w:val="Point5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NumPar5">
    <w:name w:val="NumPar 5"/>
    <w:basedOn w:val="Normal"/>
    <w:next w:val="Text2"/>
    <w:pPr>
      <w:numPr>
        <w:ilvl w:val="4"/>
        <w:numId w:val="15"/>
      </w:numPr>
    </w:pPr>
  </w:style>
  <w:style w:type="paragraph" w:customStyle="1" w:styleId="NumPar6">
    <w:name w:val="NumPar 6"/>
    <w:basedOn w:val="Normal"/>
    <w:next w:val="Text2"/>
    <w:pPr>
      <w:numPr>
        <w:ilvl w:val="5"/>
        <w:numId w:val="15"/>
      </w:numPr>
    </w:pPr>
  </w:style>
  <w:style w:type="paragraph" w:customStyle="1" w:styleId="NumPar7">
    <w:name w:val="NumPar 7"/>
    <w:basedOn w:val="Normal"/>
    <w:next w:val="Text2"/>
    <w:pPr>
      <w:numPr>
        <w:ilvl w:val="6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ManualNumPar5">
    <w:name w:val="Manual NumPar 5"/>
    <w:basedOn w:val="Normal"/>
    <w:next w:val="Text2"/>
    <w:pPr>
      <w:ind w:left="1417" w:hanging="1417"/>
    </w:pPr>
  </w:style>
  <w:style w:type="paragraph" w:customStyle="1" w:styleId="ManualNumPar6">
    <w:name w:val="Manual NumPar 6"/>
    <w:basedOn w:val="Normal"/>
    <w:next w:val="Text2"/>
    <w:pPr>
      <w:ind w:left="1417" w:hanging="1417"/>
    </w:pPr>
  </w:style>
  <w:style w:type="paragraph" w:customStyle="1" w:styleId="ManualNumPar7">
    <w:name w:val="Manual NumPar 7"/>
    <w:basedOn w:val="Normal"/>
    <w:next w:val="Text2"/>
    <w:pPr>
      <w:ind w:left="1417" w:hanging="1417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ManualHeading5">
    <w:name w:val="Manual Heading 5"/>
    <w:basedOn w:val="Normal"/>
    <w:next w:val="Text2"/>
    <w:pPr>
      <w:keepNext/>
      <w:tabs>
        <w:tab w:val="left" w:pos="1417"/>
      </w:tabs>
      <w:ind w:left="1417" w:hanging="1417"/>
      <w:outlineLvl w:val="4"/>
    </w:pPr>
  </w:style>
  <w:style w:type="paragraph" w:customStyle="1" w:styleId="ManualHeading6">
    <w:name w:val="Manual Heading 6"/>
    <w:basedOn w:val="Normal"/>
    <w:next w:val="Text2"/>
    <w:pPr>
      <w:keepNext/>
      <w:tabs>
        <w:tab w:val="left" w:pos="1417"/>
      </w:tabs>
      <w:ind w:left="1417" w:hanging="1417"/>
      <w:outlineLvl w:val="5"/>
    </w:pPr>
  </w:style>
  <w:style w:type="paragraph" w:customStyle="1" w:styleId="ManualHeading7">
    <w:name w:val="Manual Heading 7"/>
    <w:basedOn w:val="Normal"/>
    <w:next w:val="Text2"/>
    <w:pPr>
      <w:keepNext/>
      <w:tabs>
        <w:tab w:val="left" w:pos="1417"/>
      </w:tabs>
      <w:ind w:left="1417" w:hanging="1417"/>
      <w:outlineLvl w:val="6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sid w:val="00CF504D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2" Type="http://schemas.microsoft.com/office/2016/09/relationships/commentsIds" Target="commentsId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mcdda.europa.eu" TargetMode="External"/><Relationship Id="rId7" Type="http://schemas.openxmlformats.org/officeDocument/2006/relationships/hyperlink" Target="http://www.emcdda.europa.eu" TargetMode="External"/><Relationship Id="rId2" Type="http://schemas.openxmlformats.org/officeDocument/2006/relationships/hyperlink" Target="http://www.emcdda.europa.eu" TargetMode="External"/><Relationship Id="rId1" Type="http://schemas.openxmlformats.org/officeDocument/2006/relationships/hyperlink" Target="http://www.emcdda.europa.eu" TargetMode="External"/><Relationship Id="rId6" Type="http://schemas.openxmlformats.org/officeDocument/2006/relationships/hyperlink" Target="https://www.elpaccto.eu/en/espanol-el-clasi-y-sus-implicaciones-a-nivel-politico-estrategico-y-operacional/" TargetMode="External"/><Relationship Id="rId5" Type="http://schemas.openxmlformats.org/officeDocument/2006/relationships/hyperlink" Target="https://www.emcdda.europa.eu/publications/eu-drug-markets/cocaine/europe-and-global-cocaine-trade_en" TargetMode="External"/><Relationship Id="rId4" Type="http://schemas.openxmlformats.org/officeDocument/2006/relationships/hyperlink" Target="https://www.emcdda.europa.eu/publications/eu-drug-markets/cocaine/europe-and-global-cocaine-trade_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1D43F-51B1-4DC3-BD96-31417A32B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39</TotalTime>
  <Pages>7</Pages>
  <Words>1561</Words>
  <Characters>10007</Characters>
  <Application>Microsoft Office Word</Application>
  <DocSecurity>0</DocSecurity>
  <Lines>172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EC CoDe</cp:lastModifiedBy>
  <cp:revision>86</cp:revision>
  <dcterms:created xsi:type="dcterms:W3CDTF">2023-02-15T09:43:00Z</dcterms:created>
  <dcterms:modified xsi:type="dcterms:W3CDTF">2023-03-07T16:29:00Z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COM/PL/ORG/NOEEA</vt:lpwstr>
  </property>
  <property fmtid="{D5CDD505-2E9C-101B-9397-08002B2CF9AE}" pid="3" name="Version">
    <vt:lpwstr>8.0.25.0</vt:lpwstr>
  </property>
  <property fmtid="{D5CDD505-2E9C-101B-9397-08002B2CF9AE}" pid="4" name="Last edited using">
    <vt:lpwstr>LW 8.1, Build 20230124</vt:lpwstr>
  </property>
  <property fmtid="{D5CDD505-2E9C-101B-9397-08002B2CF9AE}" pid="5" name="Created using">
    <vt:lpwstr>LW 8.1, Build 20220902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evel of sensitivity">
    <vt:lpwstr>Standard treatment</vt:lpwstr>
  </property>
  <property fmtid="{D5CDD505-2E9C-101B-9397-08002B2CF9AE}" pid="9" name="LWTemplateID">
    <vt:lpwstr>SG-001</vt:lpwstr>
  </property>
  <property fmtid="{D5CDD505-2E9C-101B-9397-08002B2CF9AE}" pid="10" name="MSIP_Label_6bd9ddd1-4d20-43f6-abfa-fc3c07406f94_Enabled">
    <vt:lpwstr>true</vt:lpwstr>
  </property>
  <property fmtid="{D5CDD505-2E9C-101B-9397-08002B2CF9AE}" pid="11" name="MSIP_Label_6bd9ddd1-4d20-43f6-abfa-fc3c07406f94_SetDate">
    <vt:lpwstr>2023-01-23T13:55:15Z</vt:lpwstr>
  </property>
  <property fmtid="{D5CDD505-2E9C-101B-9397-08002B2CF9AE}" pid="12" name="MSIP_Label_6bd9ddd1-4d20-43f6-abfa-fc3c07406f94_Method">
    <vt:lpwstr>Standard</vt:lpwstr>
  </property>
  <property fmtid="{D5CDD505-2E9C-101B-9397-08002B2CF9AE}" pid="13" name="MSIP_Label_6bd9ddd1-4d20-43f6-abfa-fc3c07406f94_Name">
    <vt:lpwstr>Commission Use</vt:lpwstr>
  </property>
  <property fmtid="{D5CDD505-2E9C-101B-9397-08002B2CF9AE}" pid="14" name="MSIP_Label_6bd9ddd1-4d20-43f6-abfa-fc3c07406f94_SiteId">
    <vt:lpwstr>b24c8b06-522c-46fe-9080-70926f8dddb1</vt:lpwstr>
  </property>
  <property fmtid="{D5CDD505-2E9C-101B-9397-08002B2CF9AE}" pid="15" name="MSIP_Label_6bd9ddd1-4d20-43f6-abfa-fc3c07406f94_ActionId">
    <vt:lpwstr>577d24a5-3b81-4b4f-8dd3-cdeb42c89a5b</vt:lpwstr>
  </property>
  <property fmtid="{D5CDD505-2E9C-101B-9397-08002B2CF9AE}" pid="16" name="MSIP_Label_6bd9ddd1-4d20-43f6-abfa-fc3c07406f94_ContentBits">
    <vt:lpwstr>0</vt:lpwstr>
  </property>
  <property fmtid="{D5CDD505-2E9C-101B-9397-08002B2CF9AE}" pid="17" name="DQCStatus">
    <vt:lpwstr>Green (DQC version 03)</vt:lpwstr>
  </property>
</Properties>
</file>