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A6417" w14:textId="52A9D499" w:rsidR="001470A2" w:rsidRDefault="00276113" w:rsidP="00276113">
      <w:pPr>
        <w:pStyle w:val="Pagedecouverture"/>
        <w:rPr>
          <w:noProof/>
        </w:rPr>
      </w:pPr>
      <w:bookmarkStart w:id="0" w:name="_Toc118669449"/>
      <w:bookmarkStart w:id="1" w:name="_Toc121409637"/>
      <w:bookmarkStart w:id="2" w:name="_Toc123037694"/>
      <w:bookmarkStart w:id="3" w:name="_Toc125635213"/>
      <w:bookmarkStart w:id="4" w:name="_Toc125732819"/>
      <w:bookmarkStart w:id="5" w:name="LW_BM_COVERPAGE"/>
      <w:r>
        <w:rPr>
          <w:noProof/>
        </w:rPr>
        <w:pict w14:anchorId="6D6B6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9B88AAB-E57D-47AB-A0C7-62A972D32D6F" style="width:455.25pt;height:310.5pt">
            <v:imagedata r:id="rId8" o:title=""/>
          </v:shape>
        </w:pict>
      </w:r>
    </w:p>
    <w:bookmarkEnd w:id="5"/>
    <w:p w14:paraId="63780258" w14:textId="77777777" w:rsidR="001470A2" w:rsidRDefault="001470A2" w:rsidP="001470A2">
      <w:pPr>
        <w:rPr>
          <w:noProof/>
        </w:rPr>
        <w:sectPr w:rsidR="001470A2" w:rsidSect="0027611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17B3A98" w14:textId="1CC82F56" w:rsidR="008C75D3" w:rsidRPr="00F70DEE" w:rsidRDefault="008C75D3" w:rsidP="00A32020">
      <w:pPr>
        <w:pStyle w:val="Heading1"/>
        <w:rPr>
          <w:noProof/>
        </w:rPr>
      </w:pPr>
      <w:bookmarkStart w:id="6" w:name="_GoBack"/>
      <w:bookmarkEnd w:id="6"/>
      <w:r w:rsidRPr="00F70DEE">
        <w:rPr>
          <w:noProof/>
        </w:rPr>
        <w:lastRenderedPageBreak/>
        <w:t>INTRODUCTION –</w:t>
      </w:r>
      <w:r w:rsidR="00BD099B">
        <w:rPr>
          <w:noProof/>
        </w:rPr>
        <w:t xml:space="preserve"> </w:t>
      </w:r>
      <w:r w:rsidRPr="00F70DEE">
        <w:rPr>
          <w:noProof/>
        </w:rPr>
        <w:t>SPACE AS A STRATEGIC DOMAIN</w:t>
      </w:r>
      <w:bookmarkEnd w:id="0"/>
      <w:bookmarkEnd w:id="1"/>
      <w:bookmarkEnd w:id="2"/>
      <w:bookmarkEnd w:id="3"/>
      <w:bookmarkEnd w:id="4"/>
    </w:p>
    <w:p w14:paraId="5F83A2B9" w14:textId="77777777" w:rsidR="008C75D3" w:rsidRPr="00F70DEE" w:rsidRDefault="00E60E95" w:rsidP="008C75D3">
      <w:pPr>
        <w:rPr>
          <w:noProof/>
        </w:rPr>
      </w:pPr>
      <w:r w:rsidRPr="00F70DEE">
        <w:rPr>
          <w:noProof/>
        </w:rPr>
        <w:t xml:space="preserve">Europe </w:t>
      </w:r>
      <w:r w:rsidR="008C75D3" w:rsidRPr="00F70DEE">
        <w:rPr>
          <w:noProof/>
        </w:rPr>
        <w:t xml:space="preserve">is a global space power. The </w:t>
      </w:r>
      <w:r w:rsidR="00F16FC8" w:rsidRPr="00F70DEE">
        <w:rPr>
          <w:noProof/>
        </w:rPr>
        <w:t xml:space="preserve">European </w:t>
      </w:r>
      <w:r w:rsidR="008C75D3" w:rsidRPr="00F70DEE">
        <w:rPr>
          <w:noProof/>
        </w:rPr>
        <w:t xml:space="preserve">Union </w:t>
      </w:r>
      <w:r w:rsidR="00F16FC8" w:rsidRPr="00F70DEE">
        <w:rPr>
          <w:noProof/>
        </w:rPr>
        <w:t>(EU)</w:t>
      </w:r>
      <w:r w:rsidR="008D1F78" w:rsidRPr="00F70DEE">
        <w:rPr>
          <w:noProof/>
        </w:rPr>
        <w:t xml:space="preserve"> </w:t>
      </w:r>
      <w:r w:rsidR="008C75D3" w:rsidRPr="00F70DEE">
        <w:rPr>
          <w:noProof/>
        </w:rPr>
        <w:t xml:space="preserve">owns and operates space assets </w:t>
      </w:r>
      <w:r w:rsidR="008354E0">
        <w:rPr>
          <w:noProof/>
        </w:rPr>
        <w:t>for</w:t>
      </w:r>
      <w:r w:rsidR="008C75D3" w:rsidRPr="00F70DEE">
        <w:rPr>
          <w:noProof/>
        </w:rPr>
        <w:t xml:space="preserve"> positioning, navigation and timing (</w:t>
      </w:r>
      <w:r w:rsidR="00F16FC8" w:rsidRPr="00F70DEE">
        <w:rPr>
          <w:noProof/>
        </w:rPr>
        <w:t xml:space="preserve">PNT </w:t>
      </w:r>
      <w:r w:rsidR="00F16FC8" w:rsidRPr="00BD099B">
        <w:rPr>
          <w:noProof/>
        </w:rPr>
        <w:t xml:space="preserve">- </w:t>
      </w:r>
      <w:r w:rsidR="008C75D3" w:rsidRPr="00BD099B">
        <w:rPr>
          <w:noProof/>
        </w:rPr>
        <w:t xml:space="preserve">Galileo) and </w:t>
      </w:r>
      <w:r w:rsidR="008354E0" w:rsidRPr="00BD099B">
        <w:rPr>
          <w:noProof/>
        </w:rPr>
        <w:t>e</w:t>
      </w:r>
      <w:r w:rsidR="008C75D3" w:rsidRPr="00BD099B">
        <w:rPr>
          <w:noProof/>
        </w:rPr>
        <w:t>arth</w:t>
      </w:r>
      <w:r w:rsidR="008354E0" w:rsidRPr="00BD099B">
        <w:rPr>
          <w:noProof/>
        </w:rPr>
        <w:t xml:space="preserve"> o</w:t>
      </w:r>
      <w:r w:rsidR="008C75D3" w:rsidRPr="00BD099B">
        <w:rPr>
          <w:noProof/>
        </w:rPr>
        <w:t>bservation (</w:t>
      </w:r>
      <w:r w:rsidR="00F16FC8" w:rsidRPr="00BD099B">
        <w:rPr>
          <w:noProof/>
        </w:rPr>
        <w:t xml:space="preserve">EO - </w:t>
      </w:r>
      <w:r w:rsidR="008C75D3" w:rsidRPr="00BD099B">
        <w:rPr>
          <w:noProof/>
        </w:rPr>
        <w:t>Copernicus) and will launch a third constellation</w:t>
      </w:r>
      <w:r w:rsidR="00D35175" w:rsidRPr="00BD099B">
        <w:rPr>
          <w:noProof/>
        </w:rPr>
        <w:t>,</w:t>
      </w:r>
      <w:r w:rsidR="00F5490A" w:rsidRPr="00BD099B">
        <w:rPr>
          <w:noProof/>
        </w:rPr>
        <w:t xml:space="preserve"> </w:t>
      </w:r>
      <w:r w:rsidR="00F5490A" w:rsidRPr="00CD26FA">
        <w:rPr>
          <w:noProof/>
        </w:rPr>
        <w:t>Union</w:t>
      </w:r>
      <w:r w:rsidR="00F5490A" w:rsidRPr="00BD099B">
        <w:rPr>
          <w:noProof/>
        </w:rPr>
        <w:t xml:space="preserve"> Security</w:t>
      </w:r>
      <w:r w:rsidR="00F5490A">
        <w:rPr>
          <w:noProof/>
        </w:rPr>
        <w:t xml:space="preserve"> </w:t>
      </w:r>
      <w:r w:rsidR="00BD099B">
        <w:rPr>
          <w:noProof/>
        </w:rPr>
        <w:t>Connectivity</w:t>
      </w:r>
      <w:r w:rsidR="00F5490A">
        <w:rPr>
          <w:noProof/>
        </w:rPr>
        <w:t xml:space="preserve"> Programme</w:t>
      </w:r>
      <w:r w:rsidR="00BD099B">
        <w:rPr>
          <w:noProof/>
        </w:rPr>
        <w:t xml:space="preserve"> </w:t>
      </w:r>
      <w:r w:rsidR="00F5490A">
        <w:rPr>
          <w:noProof/>
        </w:rPr>
        <w:t>(</w:t>
      </w:r>
      <w:r w:rsidR="00D35175">
        <w:rPr>
          <w:noProof/>
        </w:rPr>
        <w:t>IRIS²</w:t>
      </w:r>
      <w:r w:rsidR="00F5490A">
        <w:rPr>
          <w:noProof/>
        </w:rPr>
        <w:t>)</w:t>
      </w:r>
      <w:r w:rsidR="00D35175">
        <w:rPr>
          <w:noProof/>
        </w:rPr>
        <w:t>, for</w:t>
      </w:r>
      <w:r w:rsidR="008C75D3" w:rsidRPr="00F70DEE">
        <w:rPr>
          <w:noProof/>
        </w:rPr>
        <w:t xml:space="preserve"> secure communications. </w:t>
      </w:r>
      <w:r w:rsidR="00BD099B">
        <w:rPr>
          <w:noProof/>
        </w:rPr>
        <w:t xml:space="preserve">Member </w:t>
      </w:r>
      <w:r w:rsidR="008C75D3" w:rsidRPr="00F70DEE">
        <w:rPr>
          <w:noProof/>
        </w:rPr>
        <w:t>States own and operate national space assets</w:t>
      </w:r>
      <w:r w:rsidR="00A56857" w:rsidRPr="00F70DEE">
        <w:rPr>
          <w:noProof/>
        </w:rPr>
        <w:t>,</w:t>
      </w:r>
      <w:r w:rsidR="008C75D3" w:rsidRPr="00F70DEE">
        <w:rPr>
          <w:noProof/>
        </w:rPr>
        <w:t xml:space="preserve"> including</w:t>
      </w:r>
      <w:r w:rsidR="00897960">
        <w:rPr>
          <w:noProof/>
        </w:rPr>
        <w:t xml:space="preserve"> assets that serve</w:t>
      </w:r>
      <w:r w:rsidR="008C75D3" w:rsidRPr="00F70DEE">
        <w:rPr>
          <w:noProof/>
        </w:rPr>
        <w:t xml:space="preserve"> security and defence purposes.</w:t>
      </w:r>
      <w:r w:rsidR="005D3EE4" w:rsidRPr="00F70DEE">
        <w:rPr>
          <w:noProof/>
        </w:rPr>
        <w:t xml:space="preserve"> The EU Satellite Centre (SatCen) provides a unique </w:t>
      </w:r>
      <w:r w:rsidR="00BD099B">
        <w:rPr>
          <w:noProof/>
        </w:rPr>
        <w:t xml:space="preserve">geospatial intelligence </w:t>
      </w:r>
      <w:r w:rsidR="005D3EE4" w:rsidRPr="00F70DEE">
        <w:rPr>
          <w:noProof/>
        </w:rPr>
        <w:t xml:space="preserve">analysis capability, to support decision-making and actions of the </w:t>
      </w:r>
      <w:r w:rsidR="004F4A7E" w:rsidRPr="00F70DEE">
        <w:rPr>
          <w:noProof/>
        </w:rPr>
        <w:t>EU</w:t>
      </w:r>
      <w:r w:rsidR="005D3EE4" w:rsidRPr="00F70DEE">
        <w:rPr>
          <w:noProof/>
        </w:rPr>
        <w:t xml:space="preserve"> and its Member States</w:t>
      </w:r>
      <w:r w:rsidR="0036138B">
        <w:rPr>
          <w:noProof/>
        </w:rPr>
        <w:t>.</w:t>
      </w:r>
    </w:p>
    <w:p w14:paraId="58067450" w14:textId="77777777" w:rsidR="008C75D3" w:rsidRPr="00F70DEE" w:rsidRDefault="008C75D3" w:rsidP="008C75D3">
      <w:pPr>
        <w:rPr>
          <w:noProof/>
        </w:rPr>
      </w:pPr>
      <w:r w:rsidRPr="00F70DEE">
        <w:rPr>
          <w:noProof/>
        </w:rPr>
        <w:t xml:space="preserve">Space is critical for the strategic autonomy of the </w:t>
      </w:r>
      <w:r w:rsidR="004A6796" w:rsidRPr="00F70DEE">
        <w:rPr>
          <w:noProof/>
        </w:rPr>
        <w:t>E</w:t>
      </w:r>
      <w:r w:rsidR="00A30BE1" w:rsidRPr="00F70DEE">
        <w:rPr>
          <w:noProof/>
        </w:rPr>
        <w:t>U</w:t>
      </w:r>
      <w:r w:rsidRPr="00F70DEE">
        <w:rPr>
          <w:noProof/>
        </w:rPr>
        <w:t xml:space="preserve"> and its Member States. The functioning of </w:t>
      </w:r>
      <w:r w:rsidRPr="00F70DEE">
        <w:rPr>
          <w:noProof/>
          <w:color w:val="000000" w:themeColor="text1"/>
        </w:rPr>
        <w:t xml:space="preserve">economies, citizens and public policies increasingly </w:t>
      </w:r>
      <w:r w:rsidR="00D35175">
        <w:rPr>
          <w:noProof/>
          <w:color w:val="000000" w:themeColor="text1"/>
        </w:rPr>
        <w:t>relies</w:t>
      </w:r>
      <w:r w:rsidR="00D35175" w:rsidRPr="00F70DEE">
        <w:rPr>
          <w:noProof/>
          <w:color w:val="000000" w:themeColor="text1"/>
        </w:rPr>
        <w:t xml:space="preserve"> </w:t>
      </w:r>
      <w:r w:rsidRPr="00F70DEE">
        <w:rPr>
          <w:noProof/>
          <w:color w:val="000000" w:themeColor="text1"/>
        </w:rPr>
        <w:t>on space-related services and data, including</w:t>
      </w:r>
      <w:r w:rsidR="00F16FC8" w:rsidRPr="00F70DEE">
        <w:rPr>
          <w:noProof/>
          <w:color w:val="000000" w:themeColor="text1"/>
        </w:rPr>
        <w:t xml:space="preserve"> </w:t>
      </w:r>
      <w:r w:rsidR="00897960">
        <w:rPr>
          <w:noProof/>
          <w:color w:val="000000" w:themeColor="text1"/>
        </w:rPr>
        <w:t xml:space="preserve">those </w:t>
      </w:r>
      <w:r w:rsidR="00F16FC8" w:rsidRPr="00F70DEE">
        <w:rPr>
          <w:noProof/>
          <w:color w:val="000000" w:themeColor="text1"/>
        </w:rPr>
        <w:t>in the field of</w:t>
      </w:r>
      <w:r w:rsidRPr="00F70DEE">
        <w:rPr>
          <w:noProof/>
          <w:color w:val="000000" w:themeColor="text1"/>
        </w:rPr>
        <w:t xml:space="preserve"> security and defence. </w:t>
      </w:r>
      <w:r w:rsidRPr="00F70DEE">
        <w:rPr>
          <w:noProof/>
        </w:rPr>
        <w:t xml:space="preserve">Space also contributes to </w:t>
      </w:r>
      <w:r w:rsidR="00B621C0" w:rsidRPr="00F70DEE">
        <w:rPr>
          <w:noProof/>
        </w:rPr>
        <w:t>achieving</w:t>
      </w:r>
      <w:r w:rsidRPr="00F70DEE">
        <w:rPr>
          <w:noProof/>
        </w:rPr>
        <w:t xml:space="preserve"> the </w:t>
      </w:r>
      <w:r w:rsidR="004F4A7E" w:rsidRPr="00F70DEE">
        <w:rPr>
          <w:noProof/>
        </w:rPr>
        <w:t xml:space="preserve">EU’s </w:t>
      </w:r>
      <w:r w:rsidRPr="00F70DEE">
        <w:rPr>
          <w:noProof/>
        </w:rPr>
        <w:t>political agenda, enabling the digital and green transitions</w:t>
      </w:r>
      <w:r w:rsidR="00A507DC" w:rsidRPr="00F70DEE">
        <w:rPr>
          <w:noProof/>
        </w:rPr>
        <w:t>,</w:t>
      </w:r>
      <w:r w:rsidRPr="00F70DEE">
        <w:rPr>
          <w:noProof/>
        </w:rPr>
        <w:t xml:space="preserve"> and enhanc</w:t>
      </w:r>
      <w:r w:rsidR="00B621C0" w:rsidRPr="00F70DEE">
        <w:rPr>
          <w:noProof/>
        </w:rPr>
        <w:t>ing</w:t>
      </w:r>
      <w:r w:rsidRPr="00F70DEE">
        <w:rPr>
          <w:noProof/>
        </w:rPr>
        <w:t xml:space="preserve"> </w:t>
      </w:r>
      <w:r w:rsidR="004F4A7E" w:rsidRPr="00F70DEE">
        <w:rPr>
          <w:noProof/>
        </w:rPr>
        <w:t xml:space="preserve">its </w:t>
      </w:r>
      <w:r w:rsidRPr="00F70DEE">
        <w:rPr>
          <w:noProof/>
        </w:rPr>
        <w:t>resilience.</w:t>
      </w:r>
    </w:p>
    <w:p w14:paraId="0AA90A7D" w14:textId="77777777" w:rsidR="00C440EC" w:rsidRPr="00F70DEE" w:rsidRDefault="008C75D3" w:rsidP="008C75D3">
      <w:pPr>
        <w:rPr>
          <w:noProof/>
        </w:rPr>
      </w:pPr>
      <w:r w:rsidRPr="00F70DEE">
        <w:rPr>
          <w:noProof/>
        </w:rPr>
        <w:t xml:space="preserve">Yet, space is </w:t>
      </w:r>
      <w:r w:rsidR="00172365" w:rsidRPr="00F70DEE">
        <w:rPr>
          <w:noProof/>
        </w:rPr>
        <w:t>a</w:t>
      </w:r>
      <w:r w:rsidR="004F4A7E" w:rsidRPr="00F70DEE">
        <w:rPr>
          <w:noProof/>
        </w:rPr>
        <w:t>n increasingly</w:t>
      </w:r>
      <w:r w:rsidR="003350B5" w:rsidRPr="00F70DEE">
        <w:rPr>
          <w:noProof/>
        </w:rPr>
        <w:t xml:space="preserve"> </w:t>
      </w:r>
      <w:r w:rsidRPr="00F70DEE">
        <w:rPr>
          <w:noProof/>
        </w:rPr>
        <w:t>contested area.</w:t>
      </w:r>
    </w:p>
    <w:p w14:paraId="120426B1" w14:textId="77777777" w:rsidR="00C704D5" w:rsidRPr="00F70DEE" w:rsidRDefault="00D35175" w:rsidP="008C75D3">
      <w:pPr>
        <w:rPr>
          <w:noProof/>
        </w:rPr>
      </w:pPr>
      <w:r>
        <w:rPr>
          <w:noProof/>
        </w:rPr>
        <w:t xml:space="preserve">Some </w:t>
      </w:r>
      <w:r w:rsidR="008C75D3" w:rsidRPr="00F70DEE">
        <w:rPr>
          <w:noProof/>
        </w:rPr>
        <w:t>space powers have the capa</w:t>
      </w:r>
      <w:r w:rsidR="004A6796" w:rsidRPr="00F70DEE">
        <w:rPr>
          <w:noProof/>
        </w:rPr>
        <w:t>bilities</w:t>
      </w:r>
      <w:r w:rsidR="008C75D3" w:rsidRPr="00F70DEE">
        <w:rPr>
          <w:noProof/>
        </w:rPr>
        <w:t xml:space="preserve"> to</w:t>
      </w:r>
      <w:r w:rsidR="004A6796" w:rsidRPr="00F70DEE">
        <w:rPr>
          <w:noProof/>
        </w:rPr>
        <w:t xml:space="preserve"> target </w:t>
      </w:r>
      <w:r w:rsidR="008C75D3" w:rsidRPr="00F70DEE">
        <w:rPr>
          <w:noProof/>
        </w:rPr>
        <w:t xml:space="preserve">critical space infrastructure. Some of </w:t>
      </w:r>
      <w:r w:rsidR="00F30F67" w:rsidRPr="00F70DEE">
        <w:rPr>
          <w:noProof/>
        </w:rPr>
        <w:t>the</w:t>
      </w:r>
      <w:r w:rsidR="00C704D5" w:rsidRPr="00F70DEE">
        <w:rPr>
          <w:noProof/>
        </w:rPr>
        <w:t>m</w:t>
      </w:r>
      <w:r w:rsidR="00F30F67" w:rsidRPr="00F70DEE">
        <w:rPr>
          <w:noProof/>
        </w:rPr>
        <w:t xml:space="preserve"> </w:t>
      </w:r>
      <w:r w:rsidR="008C75D3" w:rsidRPr="00F70DEE">
        <w:rPr>
          <w:noProof/>
        </w:rPr>
        <w:t>have developed and tested anti-satellite capabilities that can dis</w:t>
      </w:r>
      <w:r w:rsidR="004A6796" w:rsidRPr="00F70DEE">
        <w:rPr>
          <w:noProof/>
        </w:rPr>
        <w:t>rupt</w:t>
      </w:r>
      <w:r w:rsidR="008C75D3" w:rsidRPr="00F70DEE">
        <w:rPr>
          <w:noProof/>
        </w:rPr>
        <w:t xml:space="preserve"> </w:t>
      </w:r>
      <w:r w:rsidR="00B621C0" w:rsidRPr="00F70DEE">
        <w:rPr>
          <w:noProof/>
        </w:rPr>
        <w:t xml:space="preserve">or destroy </w:t>
      </w:r>
      <w:r w:rsidR="008C75D3" w:rsidRPr="00F70DEE">
        <w:rPr>
          <w:noProof/>
        </w:rPr>
        <w:t xml:space="preserve">space systems and services. </w:t>
      </w:r>
      <w:r>
        <w:rPr>
          <w:noProof/>
        </w:rPr>
        <w:t>Most recently, i</w:t>
      </w:r>
      <w:r w:rsidR="008C75D3" w:rsidRPr="00F70DEE">
        <w:rPr>
          <w:noProof/>
        </w:rPr>
        <w:t>n November 2021, Russia tested an anti-satellite (ASAT) weapon against one of its own satellite</w:t>
      </w:r>
      <w:r>
        <w:rPr>
          <w:noProof/>
        </w:rPr>
        <w:t>s</w:t>
      </w:r>
      <w:r w:rsidR="008C75D3" w:rsidRPr="00F70DEE">
        <w:rPr>
          <w:noProof/>
        </w:rPr>
        <w:t>, generating a large amount of space debris.</w:t>
      </w:r>
    </w:p>
    <w:p w14:paraId="444D2081" w14:textId="77777777" w:rsidR="008C75D3" w:rsidRPr="00F70DEE" w:rsidRDefault="00C704D5" w:rsidP="008C75D3">
      <w:pPr>
        <w:rPr>
          <w:noProof/>
        </w:rPr>
      </w:pPr>
      <w:r w:rsidRPr="00F70DEE">
        <w:rPr>
          <w:noProof/>
        </w:rPr>
        <w:t xml:space="preserve">China pursues its </w:t>
      </w:r>
      <w:r w:rsidR="00D35175">
        <w:rPr>
          <w:noProof/>
        </w:rPr>
        <w:t>geopolitical age</w:t>
      </w:r>
      <w:r w:rsidR="00210614">
        <w:rPr>
          <w:noProof/>
        </w:rPr>
        <w:t>n</w:t>
      </w:r>
      <w:r w:rsidR="00D35175">
        <w:rPr>
          <w:noProof/>
        </w:rPr>
        <w:t>da</w:t>
      </w:r>
      <w:r w:rsidRPr="00F70DEE">
        <w:rPr>
          <w:noProof/>
        </w:rPr>
        <w:t xml:space="preserve"> through its growing presence in space and is developing extensive space </w:t>
      </w:r>
      <w:r w:rsidR="00D35175">
        <w:rPr>
          <w:noProof/>
        </w:rPr>
        <w:t xml:space="preserve">programmes </w:t>
      </w:r>
      <w:r w:rsidRPr="00F70DEE">
        <w:rPr>
          <w:noProof/>
        </w:rPr>
        <w:t>and counterspace capabilities.</w:t>
      </w:r>
    </w:p>
    <w:p w14:paraId="5DE4C449" w14:textId="77777777" w:rsidR="008C75D3" w:rsidRPr="00F70DEE" w:rsidRDefault="00E60E95" w:rsidP="008C75D3">
      <w:pPr>
        <w:rPr>
          <w:noProof/>
        </w:rPr>
      </w:pPr>
      <w:r w:rsidRPr="00F70DEE">
        <w:rPr>
          <w:noProof/>
        </w:rPr>
        <w:t xml:space="preserve">In a geopolitical context of increasing </w:t>
      </w:r>
      <w:r w:rsidR="008C75D3" w:rsidRPr="00F70DEE">
        <w:rPr>
          <w:noProof/>
        </w:rPr>
        <w:t>power competition</w:t>
      </w:r>
      <w:r w:rsidR="00A71FA4" w:rsidRPr="00F70DEE">
        <w:rPr>
          <w:noProof/>
        </w:rPr>
        <w:t xml:space="preserve"> and </w:t>
      </w:r>
      <w:r w:rsidR="008C75D3" w:rsidRPr="00F70DEE">
        <w:rPr>
          <w:noProof/>
        </w:rPr>
        <w:t>intensification</w:t>
      </w:r>
      <w:r w:rsidR="00CC6A85" w:rsidRPr="00F70DEE">
        <w:rPr>
          <w:noProof/>
        </w:rPr>
        <w:t xml:space="preserve"> </w:t>
      </w:r>
      <w:r w:rsidR="008C75D3" w:rsidRPr="00F70DEE">
        <w:rPr>
          <w:noProof/>
        </w:rPr>
        <w:t xml:space="preserve">of threats to </w:t>
      </w:r>
      <w:r w:rsidR="004528B2" w:rsidRPr="00F70DEE">
        <w:rPr>
          <w:noProof/>
        </w:rPr>
        <w:t>the E</w:t>
      </w:r>
      <w:r w:rsidR="00A30BE1" w:rsidRPr="00F70DEE">
        <w:rPr>
          <w:noProof/>
        </w:rPr>
        <w:t xml:space="preserve">U </w:t>
      </w:r>
      <w:r w:rsidR="004528B2" w:rsidRPr="00F70DEE">
        <w:rPr>
          <w:noProof/>
        </w:rPr>
        <w:t>and its Member States</w:t>
      </w:r>
      <w:r w:rsidR="008C75D3" w:rsidRPr="00F70DEE">
        <w:rPr>
          <w:noProof/>
        </w:rPr>
        <w:t xml:space="preserve">, </w:t>
      </w:r>
      <w:r w:rsidR="004528B2" w:rsidRPr="00F70DEE">
        <w:rPr>
          <w:noProof/>
        </w:rPr>
        <w:t xml:space="preserve">EU leaders </w:t>
      </w:r>
      <w:r w:rsidR="002C6064" w:rsidRPr="00F70DEE">
        <w:rPr>
          <w:noProof/>
        </w:rPr>
        <w:t>ha</w:t>
      </w:r>
      <w:r w:rsidR="004528B2" w:rsidRPr="00F70DEE">
        <w:rPr>
          <w:noProof/>
        </w:rPr>
        <w:t>ve</w:t>
      </w:r>
      <w:r w:rsidRPr="00F70DEE">
        <w:rPr>
          <w:noProof/>
        </w:rPr>
        <w:t xml:space="preserve"> identified space as a</w:t>
      </w:r>
      <w:r w:rsidR="008C75D3" w:rsidRPr="00F70DEE">
        <w:rPr>
          <w:noProof/>
        </w:rPr>
        <w:t xml:space="preserve"> </w:t>
      </w:r>
      <w:r w:rsidRPr="00F70DEE">
        <w:rPr>
          <w:noProof/>
        </w:rPr>
        <w:t>s</w:t>
      </w:r>
      <w:r w:rsidR="008C75D3" w:rsidRPr="00F70DEE">
        <w:rPr>
          <w:noProof/>
        </w:rPr>
        <w:t>trategic domain</w:t>
      </w:r>
      <w:r w:rsidR="004528B2" w:rsidRPr="00F70DEE">
        <w:rPr>
          <w:noProof/>
        </w:rPr>
        <w:t xml:space="preserve"> i</w:t>
      </w:r>
      <w:r w:rsidRPr="00F70DEE">
        <w:rPr>
          <w:noProof/>
        </w:rPr>
        <w:t>n the Strategic Compass</w:t>
      </w:r>
      <w:r w:rsidR="00CC6A85" w:rsidRPr="00F70DEE">
        <w:rPr>
          <w:rStyle w:val="FootnoteReference"/>
          <w:rFonts w:eastAsiaTheme="minorHAnsi" w:cs="Times New Roman"/>
          <w:noProof/>
          <w:szCs w:val="24"/>
        </w:rPr>
        <w:footnoteReference w:id="2"/>
      </w:r>
      <w:r w:rsidR="004528B2" w:rsidRPr="00F70DEE">
        <w:rPr>
          <w:noProof/>
        </w:rPr>
        <w:t xml:space="preserve"> and</w:t>
      </w:r>
      <w:r w:rsidRPr="00F70DEE">
        <w:rPr>
          <w:noProof/>
        </w:rPr>
        <w:t xml:space="preserve"> </w:t>
      </w:r>
      <w:r w:rsidR="002C6064" w:rsidRPr="00F70DEE">
        <w:rPr>
          <w:noProof/>
        </w:rPr>
        <w:t xml:space="preserve">have </w:t>
      </w:r>
      <w:r w:rsidRPr="00F70DEE">
        <w:rPr>
          <w:noProof/>
        </w:rPr>
        <w:t>called</w:t>
      </w:r>
      <w:r w:rsidR="008C75D3" w:rsidRPr="00F70DEE">
        <w:rPr>
          <w:noProof/>
        </w:rPr>
        <w:t xml:space="preserve"> for an EU </w:t>
      </w:r>
      <w:r w:rsidR="002C6064" w:rsidRPr="00F70DEE">
        <w:rPr>
          <w:noProof/>
        </w:rPr>
        <w:t xml:space="preserve">Space </w:t>
      </w:r>
      <w:r w:rsidR="008C75D3" w:rsidRPr="00F70DEE">
        <w:rPr>
          <w:noProof/>
        </w:rPr>
        <w:t xml:space="preserve">Strategy for </w:t>
      </w:r>
      <w:r w:rsidR="00897960">
        <w:rPr>
          <w:noProof/>
        </w:rPr>
        <w:t>s</w:t>
      </w:r>
      <w:r w:rsidR="008C75D3" w:rsidRPr="00F70DEE">
        <w:rPr>
          <w:noProof/>
        </w:rPr>
        <w:t xml:space="preserve">ecurity and </w:t>
      </w:r>
      <w:r w:rsidR="00897960">
        <w:rPr>
          <w:noProof/>
        </w:rPr>
        <w:t>d</w:t>
      </w:r>
      <w:r w:rsidR="008C75D3" w:rsidRPr="00F70DEE">
        <w:rPr>
          <w:noProof/>
        </w:rPr>
        <w:t>efence.</w:t>
      </w:r>
      <w:r w:rsidR="00CF655D" w:rsidRPr="00CF655D">
        <w:rPr>
          <w:noProof/>
        </w:rPr>
        <w:t xml:space="preserve"> </w:t>
      </w:r>
      <w:r w:rsidR="00CF655D">
        <w:rPr>
          <w:noProof/>
        </w:rPr>
        <w:t xml:space="preserve">The </w:t>
      </w:r>
      <w:r w:rsidR="00CF655D" w:rsidRPr="007C2FAF">
        <w:rPr>
          <w:noProof/>
        </w:rPr>
        <w:t>EU Security Union Strategy</w:t>
      </w:r>
      <w:r w:rsidR="00CF655D">
        <w:rPr>
          <w:rStyle w:val="FootnoteReference"/>
          <w:noProof/>
        </w:rPr>
        <w:footnoteReference w:id="3"/>
      </w:r>
      <w:r w:rsidR="00CF655D">
        <w:rPr>
          <w:noProof/>
        </w:rPr>
        <w:t xml:space="preserve"> recognises </w:t>
      </w:r>
      <w:r w:rsidR="00CF655D" w:rsidRPr="007C2FAF">
        <w:rPr>
          <w:noProof/>
        </w:rPr>
        <w:t xml:space="preserve">space infrastructure </w:t>
      </w:r>
      <w:r w:rsidR="00CF655D">
        <w:rPr>
          <w:noProof/>
        </w:rPr>
        <w:t>as e</w:t>
      </w:r>
      <w:r w:rsidR="00CF655D" w:rsidRPr="007C2FAF">
        <w:rPr>
          <w:noProof/>
        </w:rPr>
        <w:t>ssential services</w:t>
      </w:r>
      <w:r w:rsidR="00CF655D">
        <w:rPr>
          <w:noProof/>
        </w:rPr>
        <w:t xml:space="preserve"> which must</w:t>
      </w:r>
      <w:r w:rsidR="00CF655D" w:rsidRPr="007C2FAF">
        <w:rPr>
          <w:noProof/>
        </w:rPr>
        <w:t xml:space="preserve"> be adequately protected against current and anticipated threats</w:t>
      </w:r>
      <w:r w:rsidR="00CF655D">
        <w:rPr>
          <w:noProof/>
        </w:rPr>
        <w:t xml:space="preserve"> and be resilient.</w:t>
      </w:r>
    </w:p>
    <w:p w14:paraId="2C4B130A" w14:textId="77777777" w:rsidR="00E60E95" w:rsidRPr="00F70DEE" w:rsidRDefault="00E35B13" w:rsidP="008C75D3">
      <w:pPr>
        <w:rPr>
          <w:noProof/>
        </w:rPr>
      </w:pPr>
      <w:r w:rsidRPr="00F70DEE">
        <w:rPr>
          <w:noProof/>
        </w:rPr>
        <w:t>T</w:t>
      </w:r>
      <w:r w:rsidR="008C75D3" w:rsidRPr="00F70DEE">
        <w:rPr>
          <w:noProof/>
        </w:rPr>
        <w:t>he E</w:t>
      </w:r>
      <w:r w:rsidR="00A30BE1" w:rsidRPr="00F70DEE">
        <w:rPr>
          <w:noProof/>
        </w:rPr>
        <w:t>U</w:t>
      </w:r>
      <w:r w:rsidR="008C75D3" w:rsidRPr="00F70DEE">
        <w:rPr>
          <w:noProof/>
        </w:rPr>
        <w:t xml:space="preserve"> and its Member States will continue to promote the preservation of a safe and secure space environment and the peaceful use of outer space on an equitable and </w:t>
      </w:r>
      <w:r w:rsidR="003E68B6">
        <w:rPr>
          <w:noProof/>
        </w:rPr>
        <w:t>mutually</w:t>
      </w:r>
      <w:r w:rsidR="008C75D3" w:rsidRPr="00F70DEE">
        <w:rPr>
          <w:noProof/>
        </w:rPr>
        <w:t xml:space="preserve"> acceptable basis. The EU recognises outer space as a </w:t>
      </w:r>
      <w:r w:rsidR="00D35175" w:rsidRPr="00F70DEE">
        <w:rPr>
          <w:noProof/>
        </w:rPr>
        <w:t>global common</w:t>
      </w:r>
      <w:r w:rsidR="00D35175">
        <w:rPr>
          <w:noProof/>
        </w:rPr>
        <w:t>s</w:t>
      </w:r>
      <w:r w:rsidR="002654A2">
        <w:rPr>
          <w:noProof/>
        </w:rPr>
        <w:t>. I</w:t>
      </w:r>
      <w:r w:rsidR="00221390" w:rsidRPr="00F70DEE">
        <w:rPr>
          <w:noProof/>
        </w:rPr>
        <w:t xml:space="preserve">t </w:t>
      </w:r>
      <w:r w:rsidR="008C75D3" w:rsidRPr="00F70DEE">
        <w:rPr>
          <w:noProof/>
        </w:rPr>
        <w:t>is committed to the mutually reinforcing role of transparency and confidence-building measures, by reducing the risks of misperception, miscalculation, and unintended conflict escalation.</w:t>
      </w:r>
    </w:p>
    <w:p w14:paraId="57263D66" w14:textId="0A702FDC" w:rsidR="008C75D3" w:rsidRDefault="00E60E95" w:rsidP="008C75D3">
      <w:pPr>
        <w:rPr>
          <w:noProof/>
        </w:rPr>
      </w:pPr>
      <w:r w:rsidRPr="00F70DEE">
        <w:rPr>
          <w:noProof/>
        </w:rPr>
        <w:t>A</w:t>
      </w:r>
      <w:r w:rsidR="008C75D3" w:rsidRPr="00F70DEE">
        <w:rPr>
          <w:noProof/>
        </w:rPr>
        <w:t>dditional measures are needed to defend the</w:t>
      </w:r>
      <w:r w:rsidR="00897960">
        <w:rPr>
          <w:noProof/>
        </w:rPr>
        <w:t xml:space="preserve"> EU’s</w:t>
      </w:r>
      <w:r w:rsidR="008C75D3" w:rsidRPr="00F70DEE">
        <w:rPr>
          <w:noProof/>
        </w:rPr>
        <w:t xml:space="preserve"> strategic interests </w:t>
      </w:r>
      <w:r w:rsidR="002C6064" w:rsidRPr="00F70DEE">
        <w:rPr>
          <w:noProof/>
        </w:rPr>
        <w:t>and to deter hostile activities</w:t>
      </w:r>
      <w:r w:rsidR="008C75D3" w:rsidRPr="00F70DEE">
        <w:rPr>
          <w:noProof/>
        </w:rPr>
        <w:t xml:space="preserve"> in and from space. </w:t>
      </w:r>
      <w:r w:rsidRPr="00F70DEE">
        <w:rPr>
          <w:noProof/>
        </w:rPr>
        <w:t>W</w:t>
      </w:r>
      <w:r w:rsidR="008C75D3" w:rsidRPr="00F70DEE">
        <w:rPr>
          <w:noProof/>
        </w:rPr>
        <w:t>hile privileging international cooperation and promoting responsible behaviour</w:t>
      </w:r>
      <w:r w:rsidR="00C7658E">
        <w:rPr>
          <w:noProof/>
        </w:rPr>
        <w:t>s</w:t>
      </w:r>
      <w:r w:rsidR="008C75D3" w:rsidRPr="00F70DEE">
        <w:rPr>
          <w:noProof/>
        </w:rPr>
        <w:t xml:space="preserve"> in space, the </w:t>
      </w:r>
      <w:r w:rsidR="00CC4E9B" w:rsidRPr="00F70DEE">
        <w:rPr>
          <w:noProof/>
        </w:rPr>
        <w:t>EU</w:t>
      </w:r>
      <w:r w:rsidR="008C75D3" w:rsidRPr="00F70DEE">
        <w:rPr>
          <w:noProof/>
        </w:rPr>
        <w:t xml:space="preserve"> will also </w:t>
      </w:r>
      <w:r w:rsidR="00897960">
        <w:rPr>
          <w:noProof/>
        </w:rPr>
        <w:t>strengthen</w:t>
      </w:r>
      <w:r w:rsidR="00897960" w:rsidRPr="00F70DEE">
        <w:rPr>
          <w:noProof/>
        </w:rPr>
        <w:t xml:space="preserve"> </w:t>
      </w:r>
      <w:r w:rsidR="008C75D3" w:rsidRPr="00F70DEE">
        <w:rPr>
          <w:noProof/>
        </w:rPr>
        <w:t xml:space="preserve">its </w:t>
      </w:r>
      <w:r w:rsidR="008C75D3" w:rsidRPr="00F70DEE">
        <w:rPr>
          <w:noProof/>
          <w:color w:val="000000" w:themeColor="text1"/>
        </w:rPr>
        <w:t>strategic posture and autonomy in the space domain</w:t>
      </w:r>
      <w:r w:rsidR="004F4A7E" w:rsidRPr="00F70DEE">
        <w:rPr>
          <w:noProof/>
          <w:color w:val="000000" w:themeColor="text1"/>
        </w:rPr>
        <w:t>. It will</w:t>
      </w:r>
      <w:r w:rsidR="008C75D3" w:rsidRPr="00F70DEE">
        <w:rPr>
          <w:noProof/>
        </w:rPr>
        <w:t xml:space="preserve"> </w:t>
      </w:r>
      <w:r w:rsidR="00897960">
        <w:rPr>
          <w:noProof/>
        </w:rPr>
        <w:t>make</w:t>
      </w:r>
      <w:r w:rsidR="008C75D3" w:rsidRPr="00F70DEE">
        <w:rPr>
          <w:noProof/>
        </w:rPr>
        <w:t xml:space="preserve"> space systems and service</w:t>
      </w:r>
      <w:r w:rsidR="004F4A7E" w:rsidRPr="00F70DEE">
        <w:rPr>
          <w:noProof/>
        </w:rPr>
        <w:t>s</w:t>
      </w:r>
      <w:r w:rsidR="00897960">
        <w:rPr>
          <w:noProof/>
        </w:rPr>
        <w:t xml:space="preserve"> more resilient</w:t>
      </w:r>
      <w:r w:rsidR="008C75D3" w:rsidRPr="00F70DEE">
        <w:rPr>
          <w:noProof/>
        </w:rPr>
        <w:t>, respon</w:t>
      </w:r>
      <w:r w:rsidR="002654A2">
        <w:rPr>
          <w:noProof/>
        </w:rPr>
        <w:t>d</w:t>
      </w:r>
      <w:r w:rsidR="008C75D3" w:rsidRPr="00F70DEE">
        <w:rPr>
          <w:noProof/>
        </w:rPr>
        <w:t xml:space="preserve"> to any hostile activities </w:t>
      </w:r>
      <w:r w:rsidR="00897960">
        <w:rPr>
          <w:noProof/>
        </w:rPr>
        <w:t>or</w:t>
      </w:r>
      <w:r w:rsidR="00897960" w:rsidRPr="00F70DEE">
        <w:rPr>
          <w:noProof/>
        </w:rPr>
        <w:t xml:space="preserve"> </w:t>
      </w:r>
      <w:r w:rsidR="008C75D3" w:rsidRPr="00F70DEE">
        <w:rPr>
          <w:noProof/>
        </w:rPr>
        <w:t>threats</w:t>
      </w:r>
      <w:r w:rsidR="007A1087" w:rsidRPr="00F70DEE">
        <w:rPr>
          <w:noProof/>
        </w:rPr>
        <w:t xml:space="preserve"> and</w:t>
      </w:r>
      <w:r w:rsidR="008C75D3" w:rsidRPr="00F70DEE">
        <w:rPr>
          <w:noProof/>
        </w:rPr>
        <w:t xml:space="preserve"> further develop space-enabled services for security and defence.</w:t>
      </w:r>
    </w:p>
    <w:p w14:paraId="710E58EE" w14:textId="79E199C8" w:rsidR="008C75D3" w:rsidRPr="00F70DEE" w:rsidRDefault="00D0761A" w:rsidP="00FF2291">
      <w:pPr>
        <w:keepNext/>
        <w:keepLines/>
        <w:numPr>
          <w:ilvl w:val="0"/>
          <w:numId w:val="1"/>
        </w:numPr>
        <w:spacing w:before="240" w:after="240"/>
        <w:ind w:left="357" w:hanging="357"/>
        <w:outlineLvl w:val="0"/>
        <w:rPr>
          <w:rFonts w:eastAsiaTheme="majorEastAsia" w:cstheme="majorBidi"/>
          <w:b/>
          <w:caps/>
          <w:noProof/>
          <w:szCs w:val="32"/>
        </w:rPr>
      </w:pPr>
      <w:bookmarkStart w:id="7" w:name="_Toc117699333"/>
      <w:bookmarkStart w:id="8" w:name="_Toc117700584"/>
      <w:bookmarkStart w:id="9" w:name="_Toc118115047"/>
      <w:bookmarkStart w:id="10" w:name="_Toc118120662"/>
      <w:bookmarkStart w:id="11" w:name="_Toc118121497"/>
      <w:bookmarkStart w:id="12" w:name="_Toc118128393"/>
      <w:bookmarkStart w:id="13" w:name="_Toc118561371"/>
      <w:bookmarkStart w:id="14" w:name="_Toc118561598"/>
      <w:bookmarkStart w:id="15" w:name="_Toc118561765"/>
      <w:bookmarkStart w:id="16" w:name="_Toc118562323"/>
      <w:bookmarkStart w:id="17" w:name="_Toc118645152"/>
      <w:bookmarkStart w:id="18" w:name="_Toc118645268"/>
      <w:bookmarkStart w:id="19" w:name="_Toc118649367"/>
      <w:bookmarkStart w:id="20" w:name="_Toc118669452"/>
      <w:bookmarkStart w:id="21" w:name="_Toc118743640"/>
      <w:bookmarkStart w:id="22" w:name="_Toc118750097"/>
      <w:bookmarkStart w:id="23" w:name="_Toc117699334"/>
      <w:bookmarkStart w:id="24" w:name="_Toc117700585"/>
      <w:bookmarkStart w:id="25" w:name="_Toc118115048"/>
      <w:bookmarkStart w:id="26" w:name="_Toc118120663"/>
      <w:bookmarkStart w:id="27" w:name="_Toc118121498"/>
      <w:bookmarkStart w:id="28" w:name="_Toc118128394"/>
      <w:bookmarkStart w:id="29" w:name="_Toc118561372"/>
      <w:bookmarkStart w:id="30" w:name="_Toc118561599"/>
      <w:bookmarkStart w:id="31" w:name="_Toc118561766"/>
      <w:bookmarkStart w:id="32" w:name="_Toc118562324"/>
      <w:bookmarkStart w:id="33" w:name="_Toc118645153"/>
      <w:bookmarkStart w:id="34" w:name="_Toc118645269"/>
      <w:bookmarkStart w:id="35" w:name="_Toc118649368"/>
      <w:bookmarkStart w:id="36" w:name="_Toc118669453"/>
      <w:bookmarkStart w:id="37" w:name="_Toc118743641"/>
      <w:bookmarkStart w:id="38" w:name="_Toc118750098"/>
      <w:bookmarkStart w:id="39" w:name="_Toc117699335"/>
      <w:bookmarkStart w:id="40" w:name="_Toc117700586"/>
      <w:bookmarkStart w:id="41" w:name="_Toc118115049"/>
      <w:bookmarkStart w:id="42" w:name="_Toc118120664"/>
      <w:bookmarkStart w:id="43" w:name="_Toc118121499"/>
      <w:bookmarkStart w:id="44" w:name="_Toc118128395"/>
      <w:bookmarkStart w:id="45" w:name="_Toc118561373"/>
      <w:bookmarkStart w:id="46" w:name="_Toc118561600"/>
      <w:bookmarkStart w:id="47" w:name="_Toc118561767"/>
      <w:bookmarkStart w:id="48" w:name="_Toc118562325"/>
      <w:bookmarkStart w:id="49" w:name="_Toc118645154"/>
      <w:bookmarkStart w:id="50" w:name="_Toc118645270"/>
      <w:bookmarkStart w:id="51" w:name="_Toc118649369"/>
      <w:bookmarkStart w:id="52" w:name="_Toc118669454"/>
      <w:bookmarkStart w:id="53" w:name="_Toc118743642"/>
      <w:bookmarkStart w:id="54" w:name="_Toc118750099"/>
      <w:bookmarkStart w:id="55" w:name="_Toc117699336"/>
      <w:bookmarkStart w:id="56" w:name="_Toc117700587"/>
      <w:bookmarkStart w:id="57" w:name="_Toc118115050"/>
      <w:bookmarkStart w:id="58" w:name="_Toc118120665"/>
      <w:bookmarkStart w:id="59" w:name="_Toc118121500"/>
      <w:bookmarkStart w:id="60" w:name="_Toc118128396"/>
      <w:bookmarkStart w:id="61" w:name="_Toc118561374"/>
      <w:bookmarkStart w:id="62" w:name="_Toc118561601"/>
      <w:bookmarkStart w:id="63" w:name="_Toc118561768"/>
      <w:bookmarkStart w:id="64" w:name="_Toc118562326"/>
      <w:bookmarkStart w:id="65" w:name="_Toc118645155"/>
      <w:bookmarkStart w:id="66" w:name="_Toc118645271"/>
      <w:bookmarkStart w:id="67" w:name="_Toc118649370"/>
      <w:bookmarkStart w:id="68" w:name="_Toc118669455"/>
      <w:bookmarkStart w:id="69" w:name="_Toc118743643"/>
      <w:bookmarkStart w:id="70" w:name="_Toc118750100"/>
      <w:bookmarkStart w:id="71" w:name="_Toc117699337"/>
      <w:bookmarkStart w:id="72" w:name="_Toc117700588"/>
      <w:bookmarkStart w:id="73" w:name="_Toc118115051"/>
      <w:bookmarkStart w:id="74" w:name="_Toc118120666"/>
      <w:bookmarkStart w:id="75" w:name="_Toc118121501"/>
      <w:bookmarkStart w:id="76" w:name="_Toc118128397"/>
      <w:bookmarkStart w:id="77" w:name="_Toc118561375"/>
      <w:bookmarkStart w:id="78" w:name="_Toc118561602"/>
      <w:bookmarkStart w:id="79" w:name="_Toc118561769"/>
      <w:bookmarkStart w:id="80" w:name="_Toc118562327"/>
      <w:bookmarkStart w:id="81" w:name="_Toc118645156"/>
      <w:bookmarkStart w:id="82" w:name="_Toc118645272"/>
      <w:bookmarkStart w:id="83" w:name="_Toc118649371"/>
      <w:bookmarkStart w:id="84" w:name="_Toc118669456"/>
      <w:bookmarkStart w:id="85" w:name="_Toc118743644"/>
      <w:bookmarkStart w:id="86" w:name="_Toc118750101"/>
      <w:bookmarkStart w:id="87" w:name="_Toc117699338"/>
      <w:bookmarkStart w:id="88" w:name="_Toc117700589"/>
      <w:bookmarkStart w:id="89" w:name="_Toc118115052"/>
      <w:bookmarkStart w:id="90" w:name="_Toc118120667"/>
      <w:bookmarkStart w:id="91" w:name="_Toc118121502"/>
      <w:bookmarkStart w:id="92" w:name="_Toc118128398"/>
      <w:bookmarkStart w:id="93" w:name="_Toc118561376"/>
      <w:bookmarkStart w:id="94" w:name="_Toc118561603"/>
      <w:bookmarkStart w:id="95" w:name="_Toc118561770"/>
      <w:bookmarkStart w:id="96" w:name="_Toc118562328"/>
      <w:bookmarkStart w:id="97" w:name="_Toc118645157"/>
      <w:bookmarkStart w:id="98" w:name="_Toc118645273"/>
      <w:bookmarkStart w:id="99" w:name="_Toc118649372"/>
      <w:bookmarkStart w:id="100" w:name="_Toc118669457"/>
      <w:bookmarkStart w:id="101" w:name="_Toc118743645"/>
      <w:bookmarkStart w:id="102" w:name="_Toc118750102"/>
      <w:bookmarkStart w:id="103" w:name="_Toc117699339"/>
      <w:bookmarkStart w:id="104" w:name="_Toc117700590"/>
      <w:bookmarkStart w:id="105" w:name="_Toc118115053"/>
      <w:bookmarkStart w:id="106" w:name="_Toc118120668"/>
      <w:bookmarkStart w:id="107" w:name="_Toc118121503"/>
      <w:bookmarkStart w:id="108" w:name="_Toc118128399"/>
      <w:bookmarkStart w:id="109" w:name="_Toc118561377"/>
      <w:bookmarkStart w:id="110" w:name="_Toc118561604"/>
      <w:bookmarkStart w:id="111" w:name="_Toc118561771"/>
      <w:bookmarkStart w:id="112" w:name="_Toc118562329"/>
      <w:bookmarkStart w:id="113" w:name="_Toc118645158"/>
      <w:bookmarkStart w:id="114" w:name="_Toc118645274"/>
      <w:bookmarkStart w:id="115" w:name="_Toc118649373"/>
      <w:bookmarkStart w:id="116" w:name="_Toc118669458"/>
      <w:bookmarkStart w:id="117" w:name="_Toc118743646"/>
      <w:bookmarkStart w:id="118" w:name="_Toc118750103"/>
      <w:bookmarkStart w:id="119" w:name="_Toc117607542"/>
      <w:bookmarkStart w:id="120" w:name="_Toc117608410"/>
      <w:bookmarkStart w:id="121" w:name="_Toc117609603"/>
      <w:bookmarkStart w:id="122" w:name="_Toc117699340"/>
      <w:bookmarkStart w:id="123" w:name="_Toc117700591"/>
      <w:bookmarkStart w:id="124" w:name="_Toc118115054"/>
      <w:bookmarkStart w:id="125" w:name="_Toc118120669"/>
      <w:bookmarkStart w:id="126" w:name="_Toc118121504"/>
      <w:bookmarkStart w:id="127" w:name="_Toc118128400"/>
      <w:bookmarkStart w:id="128" w:name="_Toc118561378"/>
      <w:bookmarkStart w:id="129" w:name="_Toc118561605"/>
      <w:bookmarkStart w:id="130" w:name="_Toc118561772"/>
      <w:bookmarkStart w:id="131" w:name="_Toc118562330"/>
      <w:bookmarkStart w:id="132" w:name="_Toc118645159"/>
      <w:bookmarkStart w:id="133" w:name="_Toc118645275"/>
      <w:bookmarkStart w:id="134" w:name="_Toc118649374"/>
      <w:bookmarkStart w:id="135" w:name="_Toc118669459"/>
      <w:bookmarkStart w:id="136" w:name="_Toc118743647"/>
      <w:bookmarkStart w:id="137" w:name="_Toc118750104"/>
      <w:bookmarkStart w:id="138" w:name="_Toc117607543"/>
      <w:bookmarkStart w:id="139" w:name="_Toc117608411"/>
      <w:bookmarkStart w:id="140" w:name="_Toc117609604"/>
      <w:bookmarkStart w:id="141" w:name="_Toc117699341"/>
      <w:bookmarkStart w:id="142" w:name="_Toc117700592"/>
      <w:bookmarkStart w:id="143" w:name="_Toc118115055"/>
      <w:bookmarkStart w:id="144" w:name="_Toc118120670"/>
      <w:bookmarkStart w:id="145" w:name="_Toc118121505"/>
      <w:bookmarkStart w:id="146" w:name="_Toc118128401"/>
      <w:bookmarkStart w:id="147" w:name="_Toc118561379"/>
      <w:bookmarkStart w:id="148" w:name="_Toc118561606"/>
      <w:bookmarkStart w:id="149" w:name="_Toc118561773"/>
      <w:bookmarkStart w:id="150" w:name="_Toc118562331"/>
      <w:bookmarkStart w:id="151" w:name="_Toc118645160"/>
      <w:bookmarkStart w:id="152" w:name="_Toc118645276"/>
      <w:bookmarkStart w:id="153" w:name="_Toc118649375"/>
      <w:bookmarkStart w:id="154" w:name="_Toc118669460"/>
      <w:bookmarkStart w:id="155" w:name="_Toc118743648"/>
      <w:bookmarkStart w:id="156" w:name="_Toc118750105"/>
      <w:bookmarkStart w:id="157" w:name="_Toc117607544"/>
      <w:bookmarkStart w:id="158" w:name="_Toc117608412"/>
      <w:bookmarkStart w:id="159" w:name="_Toc117609605"/>
      <w:bookmarkStart w:id="160" w:name="_Toc117699342"/>
      <w:bookmarkStart w:id="161" w:name="_Toc117700593"/>
      <w:bookmarkStart w:id="162" w:name="_Toc118115056"/>
      <w:bookmarkStart w:id="163" w:name="_Toc118120671"/>
      <w:bookmarkStart w:id="164" w:name="_Toc118121506"/>
      <w:bookmarkStart w:id="165" w:name="_Toc118128402"/>
      <w:bookmarkStart w:id="166" w:name="_Toc118561380"/>
      <w:bookmarkStart w:id="167" w:name="_Toc118561607"/>
      <w:bookmarkStart w:id="168" w:name="_Toc118561774"/>
      <w:bookmarkStart w:id="169" w:name="_Toc118562332"/>
      <w:bookmarkStart w:id="170" w:name="_Toc118645161"/>
      <w:bookmarkStart w:id="171" w:name="_Toc118645277"/>
      <w:bookmarkStart w:id="172" w:name="_Toc118649376"/>
      <w:bookmarkStart w:id="173" w:name="_Toc118669461"/>
      <w:bookmarkStart w:id="174" w:name="_Toc118743649"/>
      <w:bookmarkStart w:id="175" w:name="_Toc118750106"/>
      <w:bookmarkStart w:id="176" w:name="_Toc117607545"/>
      <w:bookmarkStart w:id="177" w:name="_Toc117608413"/>
      <w:bookmarkStart w:id="178" w:name="_Toc117609606"/>
      <w:bookmarkStart w:id="179" w:name="_Toc117699343"/>
      <w:bookmarkStart w:id="180" w:name="_Toc117700594"/>
      <w:bookmarkStart w:id="181" w:name="_Toc118115057"/>
      <w:bookmarkStart w:id="182" w:name="_Toc118120672"/>
      <w:bookmarkStart w:id="183" w:name="_Toc118121507"/>
      <w:bookmarkStart w:id="184" w:name="_Toc118128403"/>
      <w:bookmarkStart w:id="185" w:name="_Toc118561381"/>
      <w:bookmarkStart w:id="186" w:name="_Toc118561608"/>
      <w:bookmarkStart w:id="187" w:name="_Toc118561775"/>
      <w:bookmarkStart w:id="188" w:name="_Toc118562333"/>
      <w:bookmarkStart w:id="189" w:name="_Toc118645162"/>
      <w:bookmarkStart w:id="190" w:name="_Toc118645278"/>
      <w:bookmarkStart w:id="191" w:name="_Toc118649377"/>
      <w:bookmarkStart w:id="192" w:name="_Toc118669462"/>
      <w:bookmarkStart w:id="193" w:name="_Toc118743650"/>
      <w:bookmarkStart w:id="194" w:name="_Toc118750107"/>
      <w:bookmarkStart w:id="195" w:name="_Toc117607546"/>
      <w:bookmarkStart w:id="196" w:name="_Toc117608414"/>
      <w:bookmarkStart w:id="197" w:name="_Toc117609607"/>
      <w:bookmarkStart w:id="198" w:name="_Toc117699344"/>
      <w:bookmarkStart w:id="199" w:name="_Toc117700595"/>
      <w:bookmarkStart w:id="200" w:name="_Toc118115058"/>
      <w:bookmarkStart w:id="201" w:name="_Toc118120673"/>
      <w:bookmarkStart w:id="202" w:name="_Toc118121508"/>
      <w:bookmarkStart w:id="203" w:name="_Toc118128404"/>
      <w:bookmarkStart w:id="204" w:name="_Toc118561382"/>
      <w:bookmarkStart w:id="205" w:name="_Toc118561609"/>
      <w:bookmarkStart w:id="206" w:name="_Toc118561776"/>
      <w:bookmarkStart w:id="207" w:name="_Toc118562334"/>
      <w:bookmarkStart w:id="208" w:name="_Toc118645163"/>
      <w:bookmarkStart w:id="209" w:name="_Toc118645279"/>
      <w:bookmarkStart w:id="210" w:name="_Toc118649378"/>
      <w:bookmarkStart w:id="211" w:name="_Toc118669463"/>
      <w:bookmarkStart w:id="212" w:name="_Toc118743651"/>
      <w:bookmarkStart w:id="213" w:name="_Toc118750108"/>
      <w:bookmarkStart w:id="214" w:name="_Toc117607547"/>
      <w:bookmarkStart w:id="215" w:name="_Toc117608415"/>
      <w:bookmarkStart w:id="216" w:name="_Toc117609608"/>
      <w:bookmarkStart w:id="217" w:name="_Toc117699345"/>
      <w:bookmarkStart w:id="218" w:name="_Toc117700596"/>
      <w:bookmarkStart w:id="219" w:name="_Toc118115059"/>
      <w:bookmarkStart w:id="220" w:name="_Toc118120674"/>
      <w:bookmarkStart w:id="221" w:name="_Toc118121509"/>
      <w:bookmarkStart w:id="222" w:name="_Toc118128405"/>
      <w:bookmarkStart w:id="223" w:name="_Toc118561383"/>
      <w:bookmarkStart w:id="224" w:name="_Toc118561610"/>
      <w:bookmarkStart w:id="225" w:name="_Toc118561777"/>
      <w:bookmarkStart w:id="226" w:name="_Toc118562335"/>
      <w:bookmarkStart w:id="227" w:name="_Toc118645164"/>
      <w:bookmarkStart w:id="228" w:name="_Toc118645280"/>
      <w:bookmarkStart w:id="229" w:name="_Toc118649379"/>
      <w:bookmarkStart w:id="230" w:name="_Toc118669464"/>
      <w:bookmarkStart w:id="231" w:name="_Toc118743652"/>
      <w:bookmarkStart w:id="232" w:name="_Toc118750109"/>
      <w:bookmarkStart w:id="233" w:name="_Toc117607548"/>
      <w:bookmarkStart w:id="234" w:name="_Toc117608416"/>
      <w:bookmarkStart w:id="235" w:name="_Toc117609609"/>
      <w:bookmarkStart w:id="236" w:name="_Toc117699346"/>
      <w:bookmarkStart w:id="237" w:name="_Toc117700597"/>
      <w:bookmarkStart w:id="238" w:name="_Toc118115060"/>
      <w:bookmarkStart w:id="239" w:name="_Toc118120675"/>
      <w:bookmarkStart w:id="240" w:name="_Toc118121510"/>
      <w:bookmarkStart w:id="241" w:name="_Toc118128406"/>
      <w:bookmarkStart w:id="242" w:name="_Toc118561384"/>
      <w:bookmarkStart w:id="243" w:name="_Toc118561611"/>
      <w:bookmarkStart w:id="244" w:name="_Toc118561778"/>
      <w:bookmarkStart w:id="245" w:name="_Toc118562336"/>
      <w:bookmarkStart w:id="246" w:name="_Toc118645165"/>
      <w:bookmarkStart w:id="247" w:name="_Toc118645281"/>
      <w:bookmarkStart w:id="248" w:name="_Toc118649380"/>
      <w:bookmarkStart w:id="249" w:name="_Toc118669465"/>
      <w:bookmarkStart w:id="250" w:name="_Toc118743653"/>
      <w:bookmarkStart w:id="251" w:name="_Toc118750110"/>
      <w:bookmarkStart w:id="252" w:name="_Toc118669466"/>
      <w:bookmarkStart w:id="253" w:name="_Ref118747724"/>
      <w:bookmarkStart w:id="254" w:name="_Ref119254523"/>
      <w:bookmarkStart w:id="255" w:name="_Toc121409638"/>
      <w:bookmarkStart w:id="256" w:name="_Toc123037695"/>
      <w:bookmarkStart w:id="257" w:name="_Toc125732820"/>
      <w:bookmarkStart w:id="258" w:name="_Ref9945710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eastAsiaTheme="majorEastAsia" w:cstheme="majorBidi"/>
          <w:b/>
          <w:caps/>
          <w:noProof/>
          <w:szCs w:val="32"/>
        </w:rPr>
        <w:t>T</w:t>
      </w:r>
      <w:r w:rsidR="008C75D3" w:rsidRPr="00F70DEE">
        <w:rPr>
          <w:rFonts w:eastAsiaTheme="majorEastAsia" w:cstheme="majorBidi"/>
          <w:b/>
          <w:caps/>
          <w:noProof/>
          <w:szCs w:val="32"/>
        </w:rPr>
        <w:t xml:space="preserve">he </w:t>
      </w:r>
      <w:r w:rsidR="008C75D3" w:rsidRPr="002654A2">
        <w:rPr>
          <w:rFonts w:eastAsiaTheme="majorEastAsia" w:cstheme="majorBidi"/>
          <w:b/>
          <w:caps/>
          <w:noProof/>
          <w:szCs w:val="32"/>
        </w:rPr>
        <w:t xml:space="preserve">Space </w:t>
      </w:r>
      <w:r w:rsidR="008C75D3" w:rsidRPr="00CD26FA">
        <w:rPr>
          <w:rFonts w:eastAsiaTheme="majorEastAsia" w:cstheme="majorBidi"/>
          <w:b/>
          <w:caps/>
          <w:noProof/>
          <w:szCs w:val="32"/>
        </w:rPr>
        <w:t>Threat</w:t>
      </w:r>
      <w:r w:rsidR="008C75D3" w:rsidRPr="002654A2">
        <w:rPr>
          <w:rFonts w:eastAsiaTheme="majorEastAsia" w:cstheme="majorBidi"/>
          <w:b/>
          <w:caps/>
          <w:noProof/>
          <w:szCs w:val="32"/>
        </w:rPr>
        <w:t xml:space="preserve"> Landscape</w:t>
      </w:r>
      <w:bookmarkEnd w:id="252"/>
      <w:bookmarkEnd w:id="253"/>
      <w:bookmarkEnd w:id="254"/>
      <w:bookmarkEnd w:id="255"/>
      <w:bookmarkEnd w:id="256"/>
      <w:bookmarkEnd w:id="257"/>
    </w:p>
    <w:p w14:paraId="4E768B5C" w14:textId="77777777" w:rsidR="005473E1" w:rsidRPr="00F70DEE" w:rsidRDefault="005473E1" w:rsidP="00415D95">
      <w:pPr>
        <w:keepNext/>
        <w:keepLines/>
        <w:numPr>
          <w:ilvl w:val="1"/>
          <w:numId w:val="3"/>
        </w:numPr>
        <w:spacing w:before="40"/>
        <w:ind w:left="576" w:hanging="576"/>
        <w:outlineLvl w:val="1"/>
        <w:rPr>
          <w:rFonts w:cs="Times New Roman"/>
          <w:b/>
          <w:noProof/>
          <w:szCs w:val="24"/>
        </w:rPr>
      </w:pPr>
      <w:bookmarkStart w:id="259" w:name="_Toc123037696"/>
      <w:bookmarkStart w:id="260" w:name="_Toc123037929"/>
      <w:bookmarkStart w:id="261" w:name="_Toc123385820"/>
      <w:bookmarkStart w:id="262" w:name="_Toc123037697"/>
      <w:bookmarkStart w:id="263" w:name="_Toc123037930"/>
      <w:bookmarkStart w:id="264" w:name="_Toc123385821"/>
      <w:bookmarkStart w:id="265" w:name="_Toc123037698"/>
      <w:bookmarkStart w:id="266" w:name="_Toc123037931"/>
      <w:bookmarkStart w:id="267" w:name="_Toc123385822"/>
      <w:bookmarkStart w:id="268" w:name="_Toc123037699"/>
      <w:bookmarkStart w:id="269" w:name="_Toc123037932"/>
      <w:bookmarkStart w:id="270" w:name="_Toc123385823"/>
      <w:bookmarkStart w:id="271" w:name="_Toc123037700"/>
      <w:bookmarkStart w:id="272" w:name="_Toc123037933"/>
      <w:bookmarkStart w:id="273" w:name="_Toc123385824"/>
      <w:bookmarkStart w:id="274" w:name="_Toc123037701"/>
      <w:bookmarkStart w:id="275" w:name="_Toc123037934"/>
      <w:bookmarkStart w:id="276" w:name="_Toc123385825"/>
      <w:bookmarkStart w:id="277" w:name="_Toc121409640"/>
      <w:bookmarkStart w:id="278" w:name="_Toc123037703"/>
      <w:bookmarkStart w:id="279" w:name="_Toc125732821"/>
      <w:bookmarkStart w:id="280" w:name="_Ref116405248"/>
      <w:bookmarkStart w:id="281" w:name="_Toc118669467"/>
      <w:bookmarkStart w:id="282" w:name="_Toc121409639"/>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F70DEE">
        <w:rPr>
          <w:rFonts w:cs="Times New Roman"/>
          <w:b/>
          <w:noProof/>
          <w:szCs w:val="24"/>
        </w:rPr>
        <w:t>Defining the space domain</w:t>
      </w:r>
    </w:p>
    <w:bookmarkEnd w:id="277"/>
    <w:bookmarkEnd w:id="278"/>
    <w:bookmarkEnd w:id="279"/>
    <w:p w14:paraId="34CD2DA7" w14:textId="77777777" w:rsidR="00BA33E6" w:rsidRPr="00F70DEE" w:rsidRDefault="008C75D3" w:rsidP="008C75D3">
      <w:pPr>
        <w:rPr>
          <w:bCs/>
          <w:noProof/>
        </w:rPr>
      </w:pPr>
      <w:r w:rsidRPr="00BA33E6">
        <w:rPr>
          <w:bCs/>
          <w:noProof/>
        </w:rPr>
        <w:t xml:space="preserve">The space domain includes any element relevant for the functioning of space systems and the delivery of space-based services </w:t>
      </w:r>
      <w:r w:rsidR="005473E1" w:rsidRPr="00BA33E6">
        <w:rPr>
          <w:bCs/>
          <w:noProof/>
        </w:rPr>
        <w:t>in the EU and the Member States</w:t>
      </w:r>
      <w:r w:rsidR="00BA33E6">
        <w:rPr>
          <w:bCs/>
          <w:noProof/>
        </w:rPr>
        <w:t xml:space="preserve">, e.g.: </w:t>
      </w:r>
      <w:r w:rsidRPr="00BA33E6">
        <w:rPr>
          <w:bCs/>
          <w:noProof/>
        </w:rPr>
        <w:t xml:space="preserve">the outer space environment, the various relevant orbits and spacecraft and related information on the systems they belong to, </w:t>
      </w:r>
      <w:r w:rsidR="00BA33E6">
        <w:rPr>
          <w:bCs/>
          <w:noProof/>
        </w:rPr>
        <w:t>the</w:t>
      </w:r>
      <w:r w:rsidRPr="00BA33E6">
        <w:rPr>
          <w:bCs/>
          <w:noProof/>
        </w:rPr>
        <w:t xml:space="preserve"> ground </w:t>
      </w:r>
      <w:r w:rsidR="00EB126D" w:rsidRPr="00BA33E6">
        <w:rPr>
          <w:bCs/>
          <w:noProof/>
        </w:rPr>
        <w:t xml:space="preserve">and launch </w:t>
      </w:r>
      <w:r w:rsidRPr="00BA33E6">
        <w:rPr>
          <w:bCs/>
          <w:noProof/>
        </w:rPr>
        <w:t xml:space="preserve">infrastructure, radio frequency links, user terminals </w:t>
      </w:r>
      <w:r w:rsidR="00BA33E6">
        <w:rPr>
          <w:bCs/>
          <w:noProof/>
        </w:rPr>
        <w:t>and</w:t>
      </w:r>
      <w:r w:rsidR="008C1E30" w:rsidRPr="00BA33E6">
        <w:rPr>
          <w:bCs/>
          <w:noProof/>
        </w:rPr>
        <w:t xml:space="preserve"> cyber</w:t>
      </w:r>
      <w:r w:rsidRPr="00BA33E6">
        <w:rPr>
          <w:bCs/>
          <w:noProof/>
        </w:rPr>
        <w:t xml:space="preserve">. It also includes the underlying industrial space </w:t>
      </w:r>
      <w:r w:rsidRPr="00CD26FA">
        <w:rPr>
          <w:bCs/>
          <w:noProof/>
        </w:rPr>
        <w:t>sector</w:t>
      </w:r>
      <w:r w:rsidR="002D3132" w:rsidRPr="00CD26FA">
        <w:rPr>
          <w:bCs/>
          <w:noProof/>
        </w:rPr>
        <w:t>.</w:t>
      </w:r>
    </w:p>
    <w:p w14:paraId="3E5D225B" w14:textId="77777777" w:rsidR="008C75D3" w:rsidRPr="00F70DEE" w:rsidRDefault="008C75D3" w:rsidP="002D3132">
      <w:pPr>
        <w:keepNext/>
        <w:keepLines/>
        <w:numPr>
          <w:ilvl w:val="1"/>
          <w:numId w:val="3"/>
        </w:numPr>
        <w:spacing w:before="40"/>
        <w:ind w:left="576" w:hanging="576"/>
        <w:outlineLvl w:val="1"/>
        <w:rPr>
          <w:rFonts w:cs="Times New Roman"/>
          <w:b/>
          <w:noProof/>
          <w:szCs w:val="24"/>
        </w:rPr>
      </w:pPr>
      <w:bookmarkStart w:id="283" w:name="_Toc123037704"/>
      <w:bookmarkStart w:id="284" w:name="_Toc123037937"/>
      <w:bookmarkStart w:id="285" w:name="_Toc123385828"/>
      <w:bookmarkStart w:id="286" w:name="_Toc118561387"/>
      <w:bookmarkStart w:id="287" w:name="_Toc118561614"/>
      <w:bookmarkStart w:id="288" w:name="_Toc118561781"/>
      <w:bookmarkStart w:id="289" w:name="_Toc118562339"/>
      <w:bookmarkStart w:id="290" w:name="_Toc118645168"/>
      <w:bookmarkStart w:id="291" w:name="_Toc118645284"/>
      <w:bookmarkStart w:id="292" w:name="_Toc118649383"/>
      <w:bookmarkStart w:id="293" w:name="_Toc118669468"/>
      <w:bookmarkStart w:id="294" w:name="_Toc118743656"/>
      <w:bookmarkStart w:id="295" w:name="_Toc118750113"/>
      <w:bookmarkStart w:id="296" w:name="_Toc118669470"/>
      <w:bookmarkStart w:id="297" w:name="_Ref118747707"/>
      <w:bookmarkStart w:id="298" w:name="_Toc121409641"/>
      <w:bookmarkStart w:id="299" w:name="_Toc123037706"/>
      <w:bookmarkStart w:id="300" w:name="_Toc125732822"/>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F70DEE">
        <w:rPr>
          <w:rFonts w:cs="Times New Roman"/>
          <w:b/>
          <w:noProof/>
          <w:szCs w:val="24"/>
        </w:rPr>
        <w:t xml:space="preserve">Counterspace and threats in the </w:t>
      </w:r>
      <w:r w:rsidR="008822E7" w:rsidRPr="00F70DEE">
        <w:rPr>
          <w:rFonts w:cs="Times New Roman"/>
          <w:b/>
          <w:noProof/>
          <w:szCs w:val="24"/>
        </w:rPr>
        <w:t>s</w:t>
      </w:r>
      <w:r w:rsidRPr="00F70DEE">
        <w:rPr>
          <w:rFonts w:cs="Times New Roman"/>
          <w:b/>
          <w:noProof/>
          <w:szCs w:val="24"/>
        </w:rPr>
        <w:t xml:space="preserve">pace </w:t>
      </w:r>
      <w:r w:rsidR="008822E7" w:rsidRPr="00F70DEE">
        <w:rPr>
          <w:rFonts w:cs="Times New Roman"/>
          <w:b/>
          <w:noProof/>
          <w:szCs w:val="24"/>
        </w:rPr>
        <w:t>d</w:t>
      </w:r>
      <w:r w:rsidRPr="00F70DEE">
        <w:rPr>
          <w:rFonts w:cs="Times New Roman"/>
          <w:b/>
          <w:noProof/>
          <w:szCs w:val="24"/>
        </w:rPr>
        <w:t>omain</w:t>
      </w:r>
      <w:bookmarkEnd w:id="296"/>
      <w:bookmarkEnd w:id="297"/>
      <w:bookmarkEnd w:id="298"/>
      <w:bookmarkEnd w:id="299"/>
      <w:bookmarkEnd w:id="300"/>
      <w:r w:rsidRPr="00F70DEE">
        <w:rPr>
          <w:rFonts w:cs="Times New Roman"/>
          <w:b/>
          <w:noProof/>
          <w:szCs w:val="24"/>
        </w:rPr>
        <w:t xml:space="preserve"> </w:t>
      </w:r>
    </w:p>
    <w:p w14:paraId="15FBC9DD" w14:textId="77777777" w:rsidR="00BA33E6" w:rsidRDefault="00BA33E6" w:rsidP="00BA33E6">
      <w:pPr>
        <w:spacing w:line="240" w:lineRule="auto"/>
        <w:rPr>
          <w:noProof/>
        </w:rPr>
      </w:pPr>
      <w:r>
        <w:rPr>
          <w:noProof/>
        </w:rPr>
        <w:t xml:space="preserve">Unlike safety risks arising from technical incidents, accidents and natural hazards, space threats are intentionally hostile activities through counterspace capabilities. </w:t>
      </w:r>
    </w:p>
    <w:p w14:paraId="777BDDBA" w14:textId="77777777" w:rsidR="00BA33E6" w:rsidRDefault="00BA33E6" w:rsidP="00BA33E6">
      <w:pPr>
        <w:spacing w:line="240" w:lineRule="auto"/>
        <w:rPr>
          <w:noProof/>
        </w:rPr>
      </w:pPr>
      <w:r>
        <w:rPr>
          <w:noProof/>
        </w:rPr>
        <w:t xml:space="preserve">Counterspace is used to demonstrate capabilities, deter competitors, deny them the use of their space systems or gain an information advantage. They are directed to space assets in orbit, their supporting ground infrastructure, and the data links between them. </w:t>
      </w:r>
    </w:p>
    <w:p w14:paraId="65F61C7B" w14:textId="77777777" w:rsidR="00BA33E6" w:rsidRDefault="00BA33E6" w:rsidP="00BA33E6">
      <w:pPr>
        <w:spacing w:line="240" w:lineRule="auto"/>
        <w:rPr>
          <w:noProof/>
        </w:rPr>
      </w:pPr>
      <w:r>
        <w:rPr>
          <w:noProof/>
        </w:rPr>
        <w:t>The effects of counterspace are to intentionally disrupt, degrade, destroy, deceive, or deny the use of space systems, and to inspect, manipulate, eavesdrop, or intercept corresponding data as well as deny access or freedom of movement in the space domain. The effects of counterspace may be reversible or irreversible</w:t>
      </w:r>
    </w:p>
    <w:p w14:paraId="2DAF9AE3" w14:textId="7980660F" w:rsidR="00BA33E6" w:rsidRDefault="00BA33E6" w:rsidP="00BA33E6">
      <w:pPr>
        <w:spacing w:line="240" w:lineRule="auto"/>
        <w:rPr>
          <w:noProof/>
        </w:rPr>
      </w:pPr>
      <w:r>
        <w:rPr>
          <w:noProof/>
        </w:rPr>
        <w:t xml:space="preserve">Counterspace capabilities </w:t>
      </w:r>
      <w:r w:rsidR="00432483">
        <w:rPr>
          <w:noProof/>
        </w:rPr>
        <w:t>can take many different forms, such as kinetic measures</w:t>
      </w:r>
      <w:r w:rsidR="00432483">
        <w:rPr>
          <w:rStyle w:val="FootnoteReference"/>
          <w:noProof/>
        </w:rPr>
        <w:footnoteReference w:id="4"/>
      </w:r>
      <w:r w:rsidR="00432483">
        <w:rPr>
          <w:noProof/>
        </w:rPr>
        <w:t xml:space="preserve"> against spacecraft or ground infrastructure, or directed energy</w:t>
      </w:r>
      <w:r w:rsidR="00432483">
        <w:rPr>
          <w:rStyle w:val="FootnoteReference"/>
          <w:noProof/>
        </w:rPr>
        <w:footnoteReference w:id="5"/>
      </w:r>
      <w:r w:rsidR="00432483">
        <w:rPr>
          <w:noProof/>
        </w:rPr>
        <w:t>.</w:t>
      </w:r>
      <w:r>
        <w:rPr>
          <w:noProof/>
        </w:rPr>
        <w:t xml:space="preserve"> The specific features of space infrastructure – both in orbit and on the ground – also make it particularly vulnerable to cyberattacks.</w:t>
      </w:r>
      <w:r w:rsidR="00452E35">
        <w:rPr>
          <w:noProof/>
        </w:rPr>
        <w:t xml:space="preserve"> </w:t>
      </w:r>
      <w:r>
        <w:rPr>
          <w:noProof/>
        </w:rPr>
        <w:t>Beyond space systems, counterspace can interfere with the space sector as a whole, including underlying supply chains and radiofrequency spectrum.</w:t>
      </w:r>
    </w:p>
    <w:p w14:paraId="44D5C823" w14:textId="77777777" w:rsidR="00BA33E6" w:rsidRDefault="00BA33E6" w:rsidP="00BA33E6">
      <w:pPr>
        <w:spacing w:line="240" w:lineRule="auto"/>
        <w:rPr>
          <w:noProof/>
        </w:rPr>
      </w:pPr>
      <w:r>
        <w:rPr>
          <w:noProof/>
        </w:rPr>
        <w:t>Several third countries have been developing and maintaining counterspace capabilities and related doctrines. However, since most space technologies are dual use, what constitutes a space threat cannot be identified by observing space objects, technologies or space capabilities in isolation,</w:t>
      </w:r>
      <w:r w:rsidR="00C7658E">
        <w:rPr>
          <w:noProof/>
        </w:rPr>
        <w:t xml:space="preserve"> </w:t>
      </w:r>
      <w:r>
        <w:rPr>
          <w:noProof/>
        </w:rPr>
        <w:t>but by taking into account behaviour.</w:t>
      </w:r>
    </w:p>
    <w:p w14:paraId="586BC01A" w14:textId="77777777" w:rsidR="00BA33E6" w:rsidRDefault="00BA33E6" w:rsidP="00BA33E6">
      <w:pPr>
        <w:spacing w:line="240" w:lineRule="auto"/>
        <w:rPr>
          <w:noProof/>
        </w:rPr>
      </w:pPr>
      <w:r>
        <w:rPr>
          <w:noProof/>
        </w:rPr>
        <w:t xml:space="preserve">Assessing space threats requires a comprehensive analysis of capabilities and related behaviours in orbit, on the ground and in the cyber domain based on a thorough understanding of counterspace capabilities. </w:t>
      </w:r>
    </w:p>
    <w:p w14:paraId="38B59A09" w14:textId="77777777" w:rsidR="008C75D3" w:rsidRPr="00F70DEE" w:rsidRDefault="008C75D3" w:rsidP="00415D95">
      <w:pPr>
        <w:keepNext/>
        <w:keepLines/>
        <w:numPr>
          <w:ilvl w:val="1"/>
          <w:numId w:val="3"/>
        </w:numPr>
        <w:spacing w:before="40"/>
        <w:ind w:left="576" w:hanging="576"/>
        <w:outlineLvl w:val="1"/>
        <w:rPr>
          <w:rFonts w:cs="Times New Roman"/>
          <w:b/>
          <w:noProof/>
          <w:szCs w:val="24"/>
        </w:rPr>
      </w:pPr>
      <w:bookmarkStart w:id="301" w:name="_Toc118561390"/>
      <w:bookmarkStart w:id="302" w:name="_Toc118561617"/>
      <w:bookmarkStart w:id="303" w:name="_Toc118561784"/>
      <w:bookmarkStart w:id="304" w:name="_Toc118562342"/>
      <w:bookmarkStart w:id="305" w:name="_Toc118645171"/>
      <w:bookmarkStart w:id="306" w:name="_Toc118645287"/>
      <w:bookmarkStart w:id="307" w:name="_Toc118649386"/>
      <w:bookmarkStart w:id="308" w:name="_Toc118669471"/>
      <w:bookmarkStart w:id="309" w:name="_Toc118743659"/>
      <w:bookmarkStart w:id="310" w:name="_Toc118750116"/>
      <w:bookmarkStart w:id="311" w:name="_Toc118561391"/>
      <w:bookmarkStart w:id="312" w:name="_Toc118561618"/>
      <w:bookmarkStart w:id="313" w:name="_Toc118561785"/>
      <w:bookmarkStart w:id="314" w:name="_Toc118562343"/>
      <w:bookmarkStart w:id="315" w:name="_Toc118645172"/>
      <w:bookmarkStart w:id="316" w:name="_Toc118645288"/>
      <w:bookmarkStart w:id="317" w:name="_Toc118649387"/>
      <w:bookmarkStart w:id="318" w:name="_Toc118669472"/>
      <w:bookmarkStart w:id="319" w:name="_Toc118743660"/>
      <w:bookmarkStart w:id="320" w:name="_Toc118750117"/>
      <w:bookmarkStart w:id="321" w:name="_Toc118561392"/>
      <w:bookmarkStart w:id="322" w:name="_Toc118561619"/>
      <w:bookmarkStart w:id="323" w:name="_Toc118561786"/>
      <w:bookmarkStart w:id="324" w:name="_Toc118562344"/>
      <w:bookmarkStart w:id="325" w:name="_Toc118645173"/>
      <w:bookmarkStart w:id="326" w:name="_Toc118645289"/>
      <w:bookmarkStart w:id="327" w:name="_Toc118649388"/>
      <w:bookmarkStart w:id="328" w:name="_Toc118669473"/>
      <w:bookmarkStart w:id="329" w:name="_Toc118743661"/>
      <w:bookmarkStart w:id="330" w:name="_Toc118750118"/>
      <w:bookmarkStart w:id="331" w:name="_Toc118561393"/>
      <w:bookmarkStart w:id="332" w:name="_Toc118561620"/>
      <w:bookmarkStart w:id="333" w:name="_Toc118561787"/>
      <w:bookmarkStart w:id="334" w:name="_Toc118562345"/>
      <w:bookmarkStart w:id="335" w:name="_Toc118645174"/>
      <w:bookmarkStart w:id="336" w:name="_Toc118645290"/>
      <w:bookmarkStart w:id="337" w:name="_Toc118649389"/>
      <w:bookmarkStart w:id="338" w:name="_Toc118669474"/>
      <w:bookmarkStart w:id="339" w:name="_Toc118743662"/>
      <w:bookmarkStart w:id="340" w:name="_Toc118750119"/>
      <w:bookmarkStart w:id="341" w:name="_Toc118561394"/>
      <w:bookmarkStart w:id="342" w:name="_Toc118561621"/>
      <w:bookmarkStart w:id="343" w:name="_Toc118561788"/>
      <w:bookmarkStart w:id="344" w:name="_Toc118562346"/>
      <w:bookmarkStart w:id="345" w:name="_Toc118645175"/>
      <w:bookmarkStart w:id="346" w:name="_Toc118645291"/>
      <w:bookmarkStart w:id="347" w:name="_Toc118649390"/>
      <w:bookmarkStart w:id="348" w:name="_Toc118669475"/>
      <w:bookmarkStart w:id="349" w:name="_Toc118743663"/>
      <w:bookmarkStart w:id="350" w:name="_Toc118750120"/>
      <w:bookmarkStart w:id="351" w:name="_Toc118561395"/>
      <w:bookmarkStart w:id="352" w:name="_Toc118561622"/>
      <w:bookmarkStart w:id="353" w:name="_Toc118561789"/>
      <w:bookmarkStart w:id="354" w:name="_Toc118562347"/>
      <w:bookmarkStart w:id="355" w:name="_Toc118645176"/>
      <w:bookmarkStart w:id="356" w:name="_Toc118645292"/>
      <w:bookmarkStart w:id="357" w:name="_Toc118649391"/>
      <w:bookmarkStart w:id="358" w:name="_Toc118669476"/>
      <w:bookmarkStart w:id="359" w:name="_Toc118743664"/>
      <w:bookmarkStart w:id="360" w:name="_Toc118750121"/>
      <w:bookmarkStart w:id="361" w:name="_Toc117609614"/>
      <w:bookmarkStart w:id="362" w:name="_Toc117699351"/>
      <w:bookmarkStart w:id="363" w:name="_Toc117700602"/>
      <w:bookmarkStart w:id="364" w:name="_Toc118115065"/>
      <w:bookmarkStart w:id="365" w:name="_Toc118120680"/>
      <w:bookmarkStart w:id="366" w:name="_Toc118121515"/>
      <w:bookmarkStart w:id="367" w:name="_Toc118128411"/>
      <w:bookmarkStart w:id="368" w:name="_Toc118561396"/>
      <w:bookmarkStart w:id="369" w:name="_Toc118561623"/>
      <w:bookmarkStart w:id="370" w:name="_Toc118561790"/>
      <w:bookmarkStart w:id="371" w:name="_Toc118562348"/>
      <w:bookmarkStart w:id="372" w:name="_Toc118645177"/>
      <w:bookmarkStart w:id="373" w:name="_Toc118645293"/>
      <w:bookmarkStart w:id="374" w:name="_Toc118649392"/>
      <w:bookmarkStart w:id="375" w:name="_Toc118663187"/>
      <w:bookmarkStart w:id="376" w:name="_Toc118669477"/>
      <w:bookmarkStart w:id="377" w:name="_Toc118743665"/>
      <w:bookmarkStart w:id="378" w:name="_Toc118750122"/>
      <w:bookmarkStart w:id="379" w:name="_Toc113611577"/>
      <w:bookmarkStart w:id="380" w:name="_Toc113611582"/>
      <w:bookmarkStart w:id="381" w:name="_Toc113611584"/>
      <w:bookmarkStart w:id="382" w:name="_Toc113611588"/>
      <w:bookmarkStart w:id="383" w:name="_Toc113611591"/>
      <w:bookmarkStart w:id="384" w:name="_Toc118669478"/>
      <w:bookmarkStart w:id="385" w:name="_Toc121409642"/>
      <w:bookmarkStart w:id="386" w:name="_Toc123037707"/>
      <w:bookmarkStart w:id="387" w:name="_Toc125732823"/>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F70DEE">
        <w:rPr>
          <w:rFonts w:cs="Times New Roman"/>
          <w:b/>
          <w:noProof/>
          <w:szCs w:val="24"/>
        </w:rPr>
        <w:t>Towards a shared understanding of space threats</w:t>
      </w:r>
      <w:bookmarkEnd w:id="384"/>
      <w:bookmarkEnd w:id="385"/>
      <w:bookmarkEnd w:id="386"/>
      <w:bookmarkEnd w:id="387"/>
    </w:p>
    <w:p w14:paraId="29E31706" w14:textId="4DD83B12" w:rsidR="00A56857" w:rsidRDefault="008C75D3" w:rsidP="008C75D3">
      <w:pPr>
        <w:rPr>
          <w:noProof/>
        </w:rPr>
      </w:pPr>
      <w:r w:rsidRPr="00F70DEE">
        <w:rPr>
          <w:noProof/>
        </w:rPr>
        <w:t xml:space="preserve">The </w:t>
      </w:r>
      <w:r w:rsidR="00EF12E6" w:rsidRPr="00F70DEE">
        <w:rPr>
          <w:noProof/>
        </w:rPr>
        <w:t>Single Intelligence Analysis Capability (SIAC) under the High Representative, along with</w:t>
      </w:r>
      <w:r w:rsidR="00E414BD">
        <w:rPr>
          <w:noProof/>
        </w:rPr>
        <w:t xml:space="preserve"> Member States</w:t>
      </w:r>
      <w:r w:rsidR="00EF12E6" w:rsidRPr="00F70DEE">
        <w:rPr>
          <w:noProof/>
        </w:rPr>
        <w:t xml:space="preserve"> </w:t>
      </w:r>
      <w:r w:rsidRPr="00F70DEE">
        <w:rPr>
          <w:noProof/>
        </w:rPr>
        <w:t>military and civilian intelligence services</w:t>
      </w:r>
      <w:r w:rsidR="005F589E" w:rsidRPr="00F70DEE">
        <w:rPr>
          <w:noProof/>
        </w:rPr>
        <w:t>,</w:t>
      </w:r>
      <w:r w:rsidRPr="00F70DEE">
        <w:rPr>
          <w:noProof/>
        </w:rPr>
        <w:t xml:space="preserve"> will increase their </w:t>
      </w:r>
      <w:r w:rsidR="00D241A6" w:rsidRPr="00F70DEE">
        <w:rPr>
          <w:noProof/>
        </w:rPr>
        <w:t xml:space="preserve">strategic understanding </w:t>
      </w:r>
      <w:r w:rsidRPr="00F70DEE">
        <w:rPr>
          <w:noProof/>
        </w:rPr>
        <w:t>o</w:t>
      </w:r>
      <w:r w:rsidR="00D241A6" w:rsidRPr="00F70DEE">
        <w:rPr>
          <w:noProof/>
        </w:rPr>
        <w:t>f</w:t>
      </w:r>
      <w:r w:rsidRPr="00F70DEE">
        <w:rPr>
          <w:noProof/>
        </w:rPr>
        <w:t xml:space="preserve"> space threats and counterspace. </w:t>
      </w:r>
      <w:r w:rsidRPr="002D5824">
        <w:rPr>
          <w:noProof/>
        </w:rPr>
        <w:t xml:space="preserve">Such strategic understanding should also support the EU </w:t>
      </w:r>
      <w:r w:rsidR="00B12867" w:rsidRPr="002D5824">
        <w:rPr>
          <w:noProof/>
        </w:rPr>
        <w:t>s</w:t>
      </w:r>
      <w:r w:rsidRPr="002D5824">
        <w:rPr>
          <w:noProof/>
        </w:rPr>
        <w:t xml:space="preserve">pace </w:t>
      </w:r>
      <w:r w:rsidR="00B12867" w:rsidRPr="002D5824">
        <w:rPr>
          <w:noProof/>
        </w:rPr>
        <w:t>p</w:t>
      </w:r>
      <w:r w:rsidRPr="002D5824">
        <w:rPr>
          <w:noProof/>
        </w:rPr>
        <w:t>rogramme</w:t>
      </w:r>
      <w:r w:rsidR="00B12867" w:rsidRPr="002D5824">
        <w:rPr>
          <w:noProof/>
        </w:rPr>
        <w:t>s</w:t>
      </w:r>
      <w:r w:rsidR="00F30F67" w:rsidRPr="002D5824">
        <w:rPr>
          <w:noProof/>
        </w:rPr>
        <w:t xml:space="preserve">, </w:t>
      </w:r>
      <w:r w:rsidR="00E65D29">
        <w:rPr>
          <w:noProof/>
        </w:rPr>
        <w:t>as well as</w:t>
      </w:r>
      <w:r w:rsidR="00F30F67" w:rsidRPr="002D5824">
        <w:rPr>
          <w:noProof/>
        </w:rPr>
        <w:t xml:space="preserve"> </w:t>
      </w:r>
      <w:r w:rsidR="00817FD9" w:rsidRPr="002D5824">
        <w:rPr>
          <w:noProof/>
        </w:rPr>
        <w:t>benefit</w:t>
      </w:r>
      <w:r w:rsidR="00F30F67" w:rsidRPr="002D5824">
        <w:rPr>
          <w:noProof/>
        </w:rPr>
        <w:t>ing</w:t>
      </w:r>
      <w:r w:rsidR="00817FD9" w:rsidRPr="002D5824">
        <w:rPr>
          <w:noProof/>
        </w:rPr>
        <w:t xml:space="preserve"> from information collected by the Commission through the monitoring of the EU space components.</w:t>
      </w:r>
    </w:p>
    <w:p w14:paraId="6F03D88C" w14:textId="1599342B" w:rsidR="00F632C3" w:rsidRDefault="00F632C3" w:rsidP="008C75D3">
      <w:pPr>
        <w:rPr>
          <w:noProof/>
        </w:rPr>
      </w:pPr>
    </w:p>
    <w:p w14:paraId="317301C1" w14:textId="77777777" w:rsidR="00F632C3" w:rsidRPr="00F70DEE" w:rsidRDefault="00F632C3" w:rsidP="008C75D3">
      <w:pPr>
        <w:rPr>
          <w:noProof/>
        </w:rPr>
      </w:pPr>
    </w:p>
    <w:tbl>
      <w:tblPr>
        <w:tblStyle w:val="TableGrid"/>
        <w:tblW w:w="0" w:type="auto"/>
        <w:tblLook w:val="04A0" w:firstRow="1" w:lastRow="0" w:firstColumn="1" w:lastColumn="0" w:noHBand="0" w:noVBand="1"/>
      </w:tblPr>
      <w:tblGrid>
        <w:gridCol w:w="8636"/>
      </w:tblGrid>
      <w:tr w:rsidR="00D37248" w:rsidRPr="00F70DEE" w14:paraId="16A3EF08" w14:textId="77777777" w:rsidTr="00D37248">
        <w:tc>
          <w:tcPr>
            <w:tcW w:w="8636" w:type="dxa"/>
            <w:shd w:val="clear" w:color="auto" w:fill="D9D9D9" w:themeFill="background1" w:themeFillShade="D9"/>
          </w:tcPr>
          <w:p w14:paraId="07F70D29" w14:textId="77777777" w:rsidR="00D37248" w:rsidRPr="00F70DEE" w:rsidRDefault="00D37248" w:rsidP="00D37248">
            <w:pPr>
              <w:rPr>
                <w:b/>
                <w:bCs/>
                <w:i/>
                <w:iCs/>
                <w:noProof/>
              </w:rPr>
            </w:pPr>
            <w:r w:rsidRPr="00F70DEE">
              <w:rPr>
                <w:b/>
                <w:bCs/>
                <w:i/>
                <w:iCs/>
                <w:noProof/>
              </w:rPr>
              <w:t>Way forward</w:t>
            </w:r>
          </w:p>
          <w:p w14:paraId="2BC0986A" w14:textId="1C910A44" w:rsidR="00D37248" w:rsidRPr="00F70DEE" w:rsidRDefault="00D37248" w:rsidP="00360129">
            <w:pPr>
              <w:pStyle w:val="Wayforward"/>
              <w:rPr>
                <w:noProof/>
                <w:lang w:val="en-GB"/>
              </w:rPr>
            </w:pPr>
            <w:r w:rsidRPr="00F70DEE">
              <w:rPr>
                <w:noProof/>
                <w:lang w:val="en-GB"/>
              </w:rPr>
              <w:t xml:space="preserve">The High Representative, with the support of </w:t>
            </w:r>
            <w:r w:rsidR="004F4A7E" w:rsidRPr="00F70DEE">
              <w:rPr>
                <w:noProof/>
                <w:lang w:val="en-GB"/>
              </w:rPr>
              <w:t xml:space="preserve">the </w:t>
            </w:r>
            <w:r w:rsidRPr="00F70DEE">
              <w:rPr>
                <w:noProof/>
                <w:lang w:val="en-GB"/>
              </w:rPr>
              <w:t>SIAC, will prepare a</w:t>
            </w:r>
            <w:r w:rsidR="00A51383" w:rsidRPr="00F70DEE">
              <w:rPr>
                <w:noProof/>
                <w:lang w:val="en-GB"/>
              </w:rPr>
              <w:t xml:space="preserve"> </w:t>
            </w:r>
            <w:r w:rsidR="008A63B5" w:rsidRPr="00F70DEE">
              <w:rPr>
                <w:noProof/>
                <w:lang w:val="en-GB"/>
              </w:rPr>
              <w:t>classified annual space threat landscape analysis</w:t>
            </w:r>
            <w:r w:rsidR="004F4A7E" w:rsidRPr="00F70DEE">
              <w:rPr>
                <w:noProof/>
                <w:lang w:val="en-GB"/>
              </w:rPr>
              <w:t xml:space="preserve"> that</w:t>
            </w:r>
            <w:r w:rsidRPr="00F70DEE">
              <w:rPr>
                <w:noProof/>
                <w:lang w:val="en-GB"/>
              </w:rPr>
              <w:t xml:space="preserve"> includ</w:t>
            </w:r>
            <w:r w:rsidR="004F4A7E" w:rsidRPr="00F70DEE">
              <w:rPr>
                <w:noProof/>
                <w:lang w:val="en-GB"/>
              </w:rPr>
              <w:t>es</w:t>
            </w:r>
            <w:r w:rsidRPr="00F70DEE">
              <w:rPr>
                <w:noProof/>
                <w:lang w:val="en-GB"/>
              </w:rPr>
              <w:t xml:space="preserve"> the evolution of counterspace capabilities.</w:t>
            </w:r>
            <w:r w:rsidR="00B041B9">
              <w:rPr>
                <w:noProof/>
                <w:lang w:val="en-GB"/>
              </w:rPr>
              <w:t xml:space="preserve"> </w:t>
            </w:r>
            <w:r w:rsidR="008413A8">
              <w:rPr>
                <w:noProof/>
                <w:lang w:val="en-GB"/>
              </w:rPr>
              <w:t xml:space="preserve">This </w:t>
            </w:r>
            <w:r w:rsidR="00BD1ADA">
              <w:rPr>
                <w:noProof/>
                <w:lang w:val="en-GB"/>
              </w:rPr>
              <w:t>would</w:t>
            </w:r>
            <w:r w:rsidR="008413A8">
              <w:rPr>
                <w:noProof/>
                <w:lang w:val="en-GB"/>
              </w:rPr>
              <w:t xml:space="preserve"> also benefit from the Commission’s monitoring of its EU space components.  </w:t>
            </w:r>
          </w:p>
        </w:tc>
      </w:tr>
    </w:tbl>
    <w:p w14:paraId="2A15B530" w14:textId="778216D7" w:rsidR="008C75D3" w:rsidRPr="00F70DEE" w:rsidRDefault="008C75D3" w:rsidP="00FF2291">
      <w:pPr>
        <w:keepNext/>
        <w:keepLines/>
        <w:numPr>
          <w:ilvl w:val="0"/>
          <w:numId w:val="1"/>
        </w:numPr>
        <w:spacing w:before="240" w:after="240"/>
        <w:ind w:left="357" w:hanging="357"/>
        <w:outlineLvl w:val="0"/>
        <w:rPr>
          <w:rFonts w:eastAsiaTheme="majorEastAsia" w:cstheme="majorBidi"/>
          <w:b/>
          <w:caps/>
          <w:noProof/>
          <w:szCs w:val="32"/>
        </w:rPr>
      </w:pPr>
      <w:bookmarkStart w:id="388" w:name="_Toc118563824"/>
      <w:bookmarkStart w:id="389" w:name="_Toc118564444"/>
      <w:bookmarkStart w:id="390" w:name="_Toc118565764"/>
      <w:bookmarkStart w:id="391" w:name="_Toc118572383"/>
      <w:bookmarkStart w:id="392" w:name="_Toc118669248"/>
      <w:bookmarkStart w:id="393" w:name="_Toc118669393"/>
      <w:bookmarkStart w:id="394" w:name="_Toc118669566"/>
      <w:bookmarkStart w:id="395" w:name="_Toc118669877"/>
      <w:bookmarkStart w:id="396" w:name="_Toc118669984"/>
      <w:bookmarkStart w:id="397" w:name="_Toc118670092"/>
      <w:bookmarkStart w:id="398" w:name="_Toc118670200"/>
      <w:bookmarkStart w:id="399" w:name="_Toc118670314"/>
      <w:bookmarkStart w:id="400" w:name="_Toc118749732"/>
      <w:bookmarkStart w:id="401" w:name="_Toc118749853"/>
      <w:bookmarkStart w:id="402" w:name="_Toc118749974"/>
      <w:bookmarkStart w:id="403" w:name="_Toc121409643"/>
      <w:bookmarkStart w:id="404" w:name="_Toc123037708"/>
      <w:bookmarkStart w:id="405" w:name="_Toc125635214"/>
      <w:bookmarkStart w:id="406" w:name="_Toc125732824"/>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F70DEE">
        <w:rPr>
          <w:rFonts w:eastAsiaTheme="majorEastAsia" w:cstheme="majorBidi"/>
          <w:b/>
          <w:caps/>
          <w:noProof/>
          <w:szCs w:val="32"/>
        </w:rPr>
        <w:t xml:space="preserve">Enhancing the Resilience and protection of space SYSTEMS and services in the </w:t>
      </w:r>
      <w:r w:rsidR="00261E0B" w:rsidRPr="00F70DEE">
        <w:rPr>
          <w:rFonts w:eastAsiaTheme="majorEastAsia" w:cstheme="majorBidi"/>
          <w:b/>
          <w:caps/>
          <w:noProof/>
          <w:szCs w:val="32"/>
        </w:rPr>
        <w:t>EU</w:t>
      </w:r>
      <w:bookmarkEnd w:id="403"/>
      <w:bookmarkEnd w:id="404"/>
      <w:bookmarkEnd w:id="405"/>
      <w:bookmarkEnd w:id="406"/>
    </w:p>
    <w:p w14:paraId="1DD4BD85" w14:textId="446B8356" w:rsidR="008C75D3" w:rsidRPr="005F39E1" w:rsidRDefault="00E35B13" w:rsidP="008C75D3">
      <w:pPr>
        <w:rPr>
          <w:rFonts w:cs="Times New Roman"/>
          <w:noProof/>
        </w:rPr>
      </w:pPr>
      <w:r w:rsidRPr="00F70DEE">
        <w:rPr>
          <w:rFonts w:cs="Times New Roman"/>
          <w:noProof/>
        </w:rPr>
        <w:t>S</w:t>
      </w:r>
      <w:r w:rsidR="008C75D3" w:rsidRPr="00F70DEE">
        <w:rPr>
          <w:rFonts w:cs="Times New Roman"/>
          <w:noProof/>
        </w:rPr>
        <w:t xml:space="preserve">pace systems and services in the EU </w:t>
      </w:r>
      <w:r w:rsidR="005A1F66" w:rsidRPr="00F70DEE">
        <w:rPr>
          <w:rFonts w:cs="Times New Roman"/>
          <w:noProof/>
        </w:rPr>
        <w:t xml:space="preserve">provide </w:t>
      </w:r>
      <w:r w:rsidR="004F4A7E" w:rsidRPr="00F70DEE">
        <w:rPr>
          <w:rFonts w:cs="Times New Roman"/>
          <w:noProof/>
        </w:rPr>
        <w:t xml:space="preserve">essential </w:t>
      </w:r>
      <w:r w:rsidR="005A1F66" w:rsidRPr="00F70DEE">
        <w:rPr>
          <w:rFonts w:cs="Times New Roman"/>
          <w:noProof/>
        </w:rPr>
        <w:t>services</w:t>
      </w:r>
      <w:r w:rsidR="004F4A7E" w:rsidRPr="00F70DEE">
        <w:rPr>
          <w:rFonts w:cs="Times New Roman"/>
          <w:noProof/>
        </w:rPr>
        <w:t xml:space="preserve"> </w:t>
      </w:r>
      <w:r w:rsidR="005A1F66" w:rsidRPr="00F70DEE">
        <w:rPr>
          <w:rFonts w:cs="Times New Roman"/>
          <w:noProof/>
        </w:rPr>
        <w:t xml:space="preserve">for societal functions </w:t>
      </w:r>
      <w:r w:rsidR="008A63B5">
        <w:rPr>
          <w:rFonts w:cs="Times New Roman"/>
          <w:noProof/>
        </w:rPr>
        <w:t>and</w:t>
      </w:r>
      <w:r w:rsidR="008A63B5" w:rsidRPr="00F70DEE">
        <w:rPr>
          <w:rFonts w:cs="Times New Roman"/>
          <w:noProof/>
        </w:rPr>
        <w:t xml:space="preserve"> </w:t>
      </w:r>
      <w:r w:rsidR="005A1F66" w:rsidRPr="005F39E1">
        <w:rPr>
          <w:rFonts w:cs="Times New Roman"/>
          <w:noProof/>
        </w:rPr>
        <w:t>economic activities. T</w:t>
      </w:r>
      <w:r w:rsidR="004F4A7E" w:rsidRPr="005F39E1">
        <w:rPr>
          <w:rFonts w:cs="Times New Roman"/>
          <w:noProof/>
        </w:rPr>
        <w:t xml:space="preserve">hus, </w:t>
      </w:r>
      <w:r w:rsidR="002D5824" w:rsidRPr="005F39E1">
        <w:rPr>
          <w:rFonts w:cs="Times New Roman"/>
          <w:noProof/>
        </w:rPr>
        <w:t xml:space="preserve">they </w:t>
      </w:r>
      <w:r w:rsidR="008C75D3" w:rsidRPr="005F39E1">
        <w:rPr>
          <w:rFonts w:cs="Times New Roman"/>
          <w:noProof/>
        </w:rPr>
        <w:t>need to be</w:t>
      </w:r>
      <w:r w:rsidR="00360129" w:rsidRPr="005F39E1">
        <w:rPr>
          <w:rFonts w:cs="Times New Roman"/>
          <w:noProof/>
        </w:rPr>
        <w:t xml:space="preserve"> </w:t>
      </w:r>
      <w:r w:rsidR="002D5824" w:rsidRPr="005F39E1">
        <w:rPr>
          <w:rFonts w:cs="Times New Roman"/>
          <w:noProof/>
        </w:rPr>
        <w:t>increasingly</w:t>
      </w:r>
      <w:r w:rsidR="008C75D3" w:rsidRPr="005F39E1">
        <w:rPr>
          <w:rFonts w:cs="Times New Roman"/>
          <w:noProof/>
        </w:rPr>
        <w:t xml:space="preserve"> </w:t>
      </w:r>
      <w:r w:rsidR="003E6179" w:rsidRPr="005F39E1">
        <w:rPr>
          <w:rFonts w:cs="Times New Roman"/>
          <w:noProof/>
        </w:rPr>
        <w:t>resilient</w:t>
      </w:r>
      <w:r w:rsidR="008C75D3" w:rsidRPr="005F39E1">
        <w:rPr>
          <w:rFonts w:cs="Times New Roman"/>
          <w:noProof/>
        </w:rPr>
        <w:t xml:space="preserve"> and protected. </w:t>
      </w:r>
      <w:r w:rsidR="00011D42" w:rsidRPr="005F39E1">
        <w:rPr>
          <w:rFonts w:cs="Times New Roman"/>
          <w:noProof/>
        </w:rPr>
        <w:t>The EU recognises s</w:t>
      </w:r>
      <w:r w:rsidR="008C75D3" w:rsidRPr="005F39E1">
        <w:rPr>
          <w:rFonts w:cs="Times New Roman"/>
          <w:noProof/>
        </w:rPr>
        <w:t xml:space="preserve">pace as a critical sector in </w:t>
      </w:r>
      <w:r w:rsidR="00011D42" w:rsidRPr="005F39E1">
        <w:rPr>
          <w:rFonts w:cs="Times New Roman"/>
          <w:noProof/>
        </w:rPr>
        <w:t>its existing</w:t>
      </w:r>
      <w:r w:rsidR="008C75D3" w:rsidRPr="005F39E1">
        <w:rPr>
          <w:rFonts w:cs="Times New Roman"/>
          <w:noProof/>
        </w:rPr>
        <w:t xml:space="preserve"> legislation </w:t>
      </w:r>
      <w:r w:rsidR="00011D42" w:rsidRPr="005F39E1">
        <w:rPr>
          <w:rFonts w:cs="Times New Roman"/>
          <w:noProof/>
        </w:rPr>
        <w:t>on the</w:t>
      </w:r>
      <w:r w:rsidR="008C75D3" w:rsidRPr="005F39E1">
        <w:rPr>
          <w:rFonts w:cs="Times New Roman"/>
          <w:noProof/>
        </w:rPr>
        <w:t xml:space="preserve"> resilience of critical entities</w:t>
      </w:r>
      <w:r w:rsidR="00970126" w:rsidRPr="005F39E1">
        <w:rPr>
          <w:rFonts w:cs="Times New Roman"/>
          <w:noProof/>
        </w:rPr>
        <w:t xml:space="preserve"> (CER Directive</w:t>
      </w:r>
      <w:r w:rsidR="008C75D3" w:rsidRPr="005F39E1">
        <w:rPr>
          <w:rFonts w:cs="Times New Roman"/>
          <w:noProof/>
          <w:vertAlign w:val="superscript"/>
        </w:rPr>
        <w:footnoteReference w:id="6"/>
      </w:r>
      <w:r w:rsidR="00970126" w:rsidRPr="005F39E1">
        <w:rPr>
          <w:rFonts w:cs="Times New Roman"/>
          <w:noProof/>
        </w:rPr>
        <w:t>)</w:t>
      </w:r>
      <w:r w:rsidR="008C75D3" w:rsidRPr="005F39E1">
        <w:rPr>
          <w:rFonts w:cs="Times New Roman"/>
          <w:noProof/>
        </w:rPr>
        <w:t xml:space="preserve"> </w:t>
      </w:r>
      <w:r w:rsidR="00B01A80" w:rsidRPr="005F39E1">
        <w:rPr>
          <w:rFonts w:cs="Times New Roman"/>
          <w:noProof/>
        </w:rPr>
        <w:t>and</w:t>
      </w:r>
      <w:r w:rsidR="008C75D3" w:rsidRPr="005F39E1">
        <w:rPr>
          <w:rFonts w:cs="Times New Roman"/>
          <w:noProof/>
        </w:rPr>
        <w:t xml:space="preserve"> cybersecurity</w:t>
      </w:r>
      <w:r w:rsidR="00970126" w:rsidRPr="005F39E1">
        <w:rPr>
          <w:rFonts w:cs="Times New Roman"/>
          <w:noProof/>
        </w:rPr>
        <w:t xml:space="preserve"> (NIS2 Directive</w:t>
      </w:r>
      <w:r w:rsidR="008C75D3" w:rsidRPr="005F39E1">
        <w:rPr>
          <w:rFonts w:cs="Times New Roman"/>
          <w:noProof/>
          <w:vertAlign w:val="superscript"/>
        </w:rPr>
        <w:footnoteReference w:id="7"/>
      </w:r>
      <w:r w:rsidR="00970126" w:rsidRPr="005F39E1">
        <w:rPr>
          <w:rFonts w:cs="Times New Roman"/>
          <w:noProof/>
        </w:rPr>
        <w:t>)</w:t>
      </w:r>
      <w:r w:rsidR="00B01A80" w:rsidRPr="005F39E1">
        <w:rPr>
          <w:rFonts w:cs="Times New Roman"/>
          <w:noProof/>
        </w:rPr>
        <w:t>, cover</w:t>
      </w:r>
      <w:r w:rsidR="00415D95" w:rsidRPr="005F39E1">
        <w:rPr>
          <w:rFonts w:cs="Times New Roman"/>
          <w:noProof/>
        </w:rPr>
        <w:t>ing</w:t>
      </w:r>
      <w:r w:rsidR="00B01A80" w:rsidRPr="005F39E1">
        <w:rPr>
          <w:rFonts w:cs="Times New Roman"/>
          <w:noProof/>
        </w:rPr>
        <w:t xml:space="preserve"> ground </w:t>
      </w:r>
      <w:r w:rsidR="008D7884" w:rsidRPr="005F39E1">
        <w:rPr>
          <w:rFonts w:cs="Times New Roman"/>
          <w:noProof/>
        </w:rPr>
        <w:t>based infrastructure</w:t>
      </w:r>
      <w:r w:rsidR="00B01A80" w:rsidRPr="005F39E1">
        <w:rPr>
          <w:rFonts w:cs="Times New Roman"/>
          <w:noProof/>
        </w:rPr>
        <w:t xml:space="preserve"> of Member States</w:t>
      </w:r>
      <w:r w:rsidR="0006721A">
        <w:rPr>
          <w:rFonts w:cs="Times New Roman"/>
          <w:noProof/>
        </w:rPr>
        <w:t xml:space="preserve">, including in the EU outermost regions, </w:t>
      </w:r>
      <w:r w:rsidR="00B01A80" w:rsidRPr="005F39E1">
        <w:rPr>
          <w:rFonts w:cs="Times New Roman"/>
          <w:noProof/>
        </w:rPr>
        <w:t xml:space="preserve"> and </w:t>
      </w:r>
      <w:r w:rsidR="008D7884" w:rsidRPr="005F39E1">
        <w:rPr>
          <w:rFonts w:cs="Times New Roman"/>
          <w:noProof/>
        </w:rPr>
        <w:t>of</w:t>
      </w:r>
      <w:r w:rsidR="00B01A80" w:rsidRPr="005F39E1">
        <w:rPr>
          <w:rFonts w:cs="Times New Roman"/>
          <w:noProof/>
        </w:rPr>
        <w:t xml:space="preserve"> private operators</w:t>
      </w:r>
      <w:r w:rsidR="004E5992" w:rsidRPr="005F39E1">
        <w:rPr>
          <w:rFonts w:cs="Times New Roman"/>
          <w:noProof/>
        </w:rPr>
        <w:t xml:space="preserve"> as well as satellites used for delivering telecommunication services</w:t>
      </w:r>
      <w:r w:rsidR="00B01A80" w:rsidRPr="005F39E1">
        <w:rPr>
          <w:rStyle w:val="FootnoteReference"/>
          <w:rFonts w:cs="Times New Roman"/>
          <w:noProof/>
        </w:rPr>
        <w:footnoteReference w:id="8"/>
      </w:r>
      <w:r w:rsidR="008C75D3" w:rsidRPr="005F39E1">
        <w:rPr>
          <w:rFonts w:cs="Times New Roman"/>
          <w:noProof/>
        </w:rPr>
        <w:t xml:space="preserve">. Still, the level of resilience and protection of </w:t>
      </w:r>
      <w:r w:rsidR="00BE3804" w:rsidRPr="005F39E1">
        <w:rPr>
          <w:rFonts w:cs="Times New Roman"/>
          <w:noProof/>
        </w:rPr>
        <w:t xml:space="preserve">national </w:t>
      </w:r>
      <w:r w:rsidR="008C75D3" w:rsidRPr="005F39E1">
        <w:rPr>
          <w:rFonts w:cs="Times New Roman"/>
          <w:noProof/>
        </w:rPr>
        <w:t>space assets varies across Member States</w:t>
      </w:r>
      <w:r w:rsidR="00E74EDB" w:rsidRPr="005F39E1">
        <w:rPr>
          <w:rFonts w:cs="Times New Roman"/>
          <w:noProof/>
        </w:rPr>
        <w:t xml:space="preserve">. </w:t>
      </w:r>
    </w:p>
    <w:p w14:paraId="05774AF2" w14:textId="77777777" w:rsidR="008C75D3" w:rsidRPr="005F39E1" w:rsidRDefault="008C75D3" w:rsidP="00415D95">
      <w:pPr>
        <w:keepNext/>
        <w:keepLines/>
        <w:numPr>
          <w:ilvl w:val="1"/>
          <w:numId w:val="3"/>
        </w:numPr>
        <w:spacing w:before="40"/>
        <w:ind w:left="576" w:hanging="576"/>
        <w:outlineLvl w:val="1"/>
        <w:rPr>
          <w:rFonts w:cs="Times New Roman"/>
          <w:b/>
          <w:noProof/>
          <w:szCs w:val="24"/>
        </w:rPr>
      </w:pPr>
      <w:bookmarkStart w:id="407" w:name="_Toc117609616"/>
      <w:bookmarkStart w:id="408" w:name="_Toc117699353"/>
      <w:bookmarkStart w:id="409" w:name="_Toc117700604"/>
      <w:bookmarkStart w:id="410" w:name="_Toc118115067"/>
      <w:bookmarkStart w:id="411" w:name="_Toc118120682"/>
      <w:bookmarkStart w:id="412" w:name="_Toc118121517"/>
      <w:bookmarkStart w:id="413" w:name="_Toc118128413"/>
      <w:bookmarkStart w:id="414" w:name="_Toc118561398"/>
      <w:bookmarkStart w:id="415" w:name="_Toc118561625"/>
      <w:bookmarkStart w:id="416" w:name="_Toc118561792"/>
      <w:bookmarkStart w:id="417" w:name="_Toc118562350"/>
      <w:bookmarkStart w:id="418" w:name="_Toc118645179"/>
      <w:bookmarkStart w:id="419" w:name="_Toc118645295"/>
      <w:bookmarkStart w:id="420" w:name="_Toc118649394"/>
      <w:bookmarkStart w:id="421" w:name="_Toc118669479"/>
      <w:bookmarkStart w:id="422" w:name="_Toc118743667"/>
      <w:bookmarkStart w:id="423" w:name="_Toc118750124"/>
      <w:bookmarkStart w:id="424" w:name="_Toc117609617"/>
      <w:bookmarkStart w:id="425" w:name="_Toc117699354"/>
      <w:bookmarkStart w:id="426" w:name="_Toc117700605"/>
      <w:bookmarkStart w:id="427" w:name="_Toc118115068"/>
      <w:bookmarkStart w:id="428" w:name="_Toc118120683"/>
      <w:bookmarkStart w:id="429" w:name="_Toc118121518"/>
      <w:bookmarkStart w:id="430" w:name="_Toc118128414"/>
      <w:bookmarkStart w:id="431" w:name="_Toc118561399"/>
      <w:bookmarkStart w:id="432" w:name="_Toc118561626"/>
      <w:bookmarkStart w:id="433" w:name="_Toc118561793"/>
      <w:bookmarkStart w:id="434" w:name="_Toc118562351"/>
      <w:bookmarkStart w:id="435" w:name="_Toc118645180"/>
      <w:bookmarkStart w:id="436" w:name="_Toc118645296"/>
      <w:bookmarkStart w:id="437" w:name="_Toc118649395"/>
      <w:bookmarkStart w:id="438" w:name="_Toc118669480"/>
      <w:bookmarkStart w:id="439" w:name="_Toc118743668"/>
      <w:bookmarkStart w:id="440" w:name="_Toc118750125"/>
      <w:bookmarkStart w:id="441" w:name="_Toc117609618"/>
      <w:bookmarkStart w:id="442" w:name="_Toc117699355"/>
      <w:bookmarkStart w:id="443" w:name="_Toc117700606"/>
      <w:bookmarkStart w:id="444" w:name="_Toc118115069"/>
      <w:bookmarkStart w:id="445" w:name="_Toc118120684"/>
      <w:bookmarkStart w:id="446" w:name="_Toc118121519"/>
      <w:bookmarkStart w:id="447" w:name="_Toc118128415"/>
      <w:bookmarkStart w:id="448" w:name="_Toc118561400"/>
      <w:bookmarkStart w:id="449" w:name="_Toc118561627"/>
      <w:bookmarkStart w:id="450" w:name="_Toc118561794"/>
      <w:bookmarkStart w:id="451" w:name="_Toc118562352"/>
      <w:bookmarkStart w:id="452" w:name="_Toc118645181"/>
      <w:bookmarkStart w:id="453" w:name="_Toc118645297"/>
      <w:bookmarkStart w:id="454" w:name="_Toc118649396"/>
      <w:bookmarkStart w:id="455" w:name="_Toc118669481"/>
      <w:bookmarkStart w:id="456" w:name="_Toc118743669"/>
      <w:bookmarkStart w:id="457" w:name="_Toc118750126"/>
      <w:bookmarkStart w:id="458" w:name="_Toc113611593"/>
      <w:bookmarkStart w:id="459" w:name="_Toc118644779"/>
      <w:bookmarkStart w:id="460" w:name="_Toc118645407"/>
      <w:bookmarkStart w:id="461" w:name="_Toc118645760"/>
      <w:bookmarkStart w:id="462" w:name="_Toc118645975"/>
      <w:bookmarkStart w:id="463" w:name="_Toc118646083"/>
      <w:bookmarkStart w:id="464" w:name="_Toc118670219"/>
      <w:bookmarkStart w:id="465" w:name="_Toc118670333"/>
      <w:bookmarkStart w:id="466" w:name="_Toc118749758"/>
      <w:bookmarkStart w:id="467" w:name="_Toc118749879"/>
      <w:bookmarkStart w:id="468" w:name="_Toc118750000"/>
      <w:bookmarkStart w:id="469" w:name="_Toc118563847"/>
      <w:bookmarkStart w:id="470" w:name="_Toc118564467"/>
      <w:bookmarkStart w:id="471" w:name="_Toc118644780"/>
      <w:bookmarkStart w:id="472" w:name="_Toc118645408"/>
      <w:bookmarkStart w:id="473" w:name="_Toc118645761"/>
      <w:bookmarkStart w:id="474" w:name="_Toc118645976"/>
      <w:bookmarkStart w:id="475" w:name="_Toc118646084"/>
      <w:bookmarkStart w:id="476" w:name="_Toc118670220"/>
      <w:bookmarkStart w:id="477" w:name="_Toc118670334"/>
      <w:bookmarkStart w:id="478" w:name="_Toc118749759"/>
      <w:bookmarkStart w:id="479" w:name="_Toc118749880"/>
      <w:bookmarkStart w:id="480" w:name="_Toc118750001"/>
      <w:bookmarkStart w:id="481" w:name="_Toc123037709"/>
      <w:bookmarkStart w:id="482" w:name="_Toc123037942"/>
      <w:bookmarkStart w:id="483" w:name="_Toc123385833"/>
      <w:bookmarkStart w:id="484" w:name="_Toc123037710"/>
      <w:bookmarkStart w:id="485" w:name="_Toc125732825"/>
      <w:bookmarkStart w:id="486" w:name="_Toc121409644"/>
      <w:bookmarkEnd w:id="258"/>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5F39E1">
        <w:rPr>
          <w:rFonts w:cs="Times New Roman"/>
          <w:b/>
          <w:noProof/>
          <w:szCs w:val="24"/>
        </w:rPr>
        <w:t>A</w:t>
      </w:r>
      <w:r w:rsidR="00091D8C" w:rsidRPr="005F39E1">
        <w:rPr>
          <w:rFonts w:cs="Times New Roman"/>
          <w:b/>
          <w:noProof/>
          <w:szCs w:val="24"/>
        </w:rPr>
        <w:t>n</w:t>
      </w:r>
      <w:r w:rsidR="000A563C" w:rsidRPr="005F39E1">
        <w:rPr>
          <w:rFonts w:cs="Times New Roman"/>
          <w:b/>
          <w:noProof/>
          <w:szCs w:val="24"/>
        </w:rPr>
        <w:t xml:space="preserve"> EU-wide security</w:t>
      </w:r>
      <w:r w:rsidRPr="005F39E1">
        <w:rPr>
          <w:rFonts w:cs="Times New Roman"/>
          <w:b/>
          <w:noProof/>
          <w:szCs w:val="24"/>
        </w:rPr>
        <w:t xml:space="preserve"> framework for </w:t>
      </w:r>
      <w:r w:rsidR="00E74EDB" w:rsidRPr="005F39E1">
        <w:rPr>
          <w:rFonts w:cs="Times New Roman"/>
          <w:b/>
          <w:noProof/>
          <w:szCs w:val="24"/>
        </w:rPr>
        <w:t xml:space="preserve">the </w:t>
      </w:r>
      <w:r w:rsidR="00BA51C8" w:rsidRPr="005F39E1">
        <w:rPr>
          <w:rFonts w:cs="Times New Roman"/>
          <w:b/>
          <w:noProof/>
          <w:szCs w:val="24"/>
        </w:rPr>
        <w:t xml:space="preserve">protection of space systems, </w:t>
      </w:r>
      <w:r w:rsidRPr="005F39E1">
        <w:rPr>
          <w:rFonts w:cs="Times New Roman"/>
          <w:b/>
          <w:noProof/>
          <w:szCs w:val="24"/>
        </w:rPr>
        <w:t>information</w:t>
      </w:r>
      <w:r w:rsidR="00C0068D" w:rsidRPr="005F39E1">
        <w:rPr>
          <w:rFonts w:cs="Times New Roman"/>
          <w:b/>
          <w:noProof/>
          <w:szCs w:val="24"/>
        </w:rPr>
        <w:t xml:space="preserve"> </w:t>
      </w:r>
      <w:r w:rsidRPr="005F39E1">
        <w:rPr>
          <w:rFonts w:cs="Times New Roman"/>
          <w:b/>
          <w:noProof/>
          <w:szCs w:val="24"/>
        </w:rPr>
        <w:t>sharing and cooperation on space security incidents</w:t>
      </w:r>
      <w:bookmarkEnd w:id="484"/>
      <w:bookmarkEnd w:id="485"/>
    </w:p>
    <w:p w14:paraId="4C82DF29" w14:textId="77777777" w:rsidR="00F1602B" w:rsidRPr="005F39E1" w:rsidRDefault="0025063F" w:rsidP="00F15833">
      <w:pPr>
        <w:rPr>
          <w:rFonts w:cs="Times New Roman"/>
          <w:noProof/>
        </w:rPr>
      </w:pPr>
      <w:r w:rsidRPr="005F39E1">
        <w:rPr>
          <w:rFonts w:cs="Times New Roman"/>
          <w:noProof/>
        </w:rPr>
        <w:t>S</w:t>
      </w:r>
      <w:r w:rsidR="00F15833" w:rsidRPr="005F39E1">
        <w:rPr>
          <w:rFonts w:cs="Times New Roman"/>
          <w:noProof/>
        </w:rPr>
        <w:t xml:space="preserve">ome Member States have put national rules </w:t>
      </w:r>
      <w:r w:rsidR="00360129" w:rsidRPr="005F39E1">
        <w:rPr>
          <w:rFonts w:cs="Times New Roman"/>
          <w:noProof/>
        </w:rPr>
        <w:t xml:space="preserve">in place </w:t>
      </w:r>
      <w:r w:rsidR="00F15833" w:rsidRPr="005F39E1">
        <w:rPr>
          <w:rFonts w:cs="Times New Roman"/>
          <w:noProof/>
        </w:rPr>
        <w:t xml:space="preserve">to regulate space operations, including security aspects. </w:t>
      </w:r>
      <w:r w:rsidRPr="005F39E1">
        <w:rPr>
          <w:rFonts w:cs="Times New Roman"/>
          <w:noProof/>
        </w:rPr>
        <w:t xml:space="preserve">Without </w:t>
      </w:r>
      <w:r w:rsidR="00F15833" w:rsidRPr="005F39E1">
        <w:rPr>
          <w:rFonts w:cs="Times New Roman"/>
          <w:noProof/>
        </w:rPr>
        <w:t xml:space="preserve">a common framework, </w:t>
      </w:r>
      <w:r w:rsidR="00360129" w:rsidRPr="005F39E1">
        <w:rPr>
          <w:rFonts w:cs="Times New Roman"/>
          <w:noProof/>
        </w:rPr>
        <w:t xml:space="preserve">these </w:t>
      </w:r>
      <w:r w:rsidR="00F15833" w:rsidRPr="005F39E1">
        <w:rPr>
          <w:rFonts w:cs="Times New Roman"/>
          <w:noProof/>
        </w:rPr>
        <w:t xml:space="preserve">rules may </w:t>
      </w:r>
      <w:r w:rsidR="00B056C0" w:rsidRPr="005F39E1">
        <w:rPr>
          <w:rFonts w:cs="Times New Roman"/>
          <w:noProof/>
        </w:rPr>
        <w:t>diffe</w:t>
      </w:r>
      <w:r w:rsidR="00210013" w:rsidRPr="005F39E1">
        <w:rPr>
          <w:rFonts w:cs="Times New Roman"/>
          <w:noProof/>
        </w:rPr>
        <w:t>r</w:t>
      </w:r>
      <w:r w:rsidR="00360129" w:rsidRPr="005F39E1">
        <w:rPr>
          <w:rFonts w:cs="Times New Roman"/>
          <w:noProof/>
        </w:rPr>
        <w:t>. This divergence</w:t>
      </w:r>
      <w:r w:rsidRPr="005F39E1">
        <w:rPr>
          <w:rFonts w:cs="Times New Roman"/>
          <w:noProof/>
        </w:rPr>
        <w:t xml:space="preserve"> could affect</w:t>
      </w:r>
      <w:r w:rsidR="00210013" w:rsidRPr="005F39E1">
        <w:rPr>
          <w:rFonts w:cs="Times New Roman"/>
          <w:noProof/>
        </w:rPr>
        <w:t xml:space="preserve"> the </w:t>
      </w:r>
      <w:r w:rsidR="00F15833" w:rsidRPr="005F39E1">
        <w:rPr>
          <w:rFonts w:cs="Times New Roman"/>
          <w:noProof/>
        </w:rPr>
        <w:t xml:space="preserve">competitiveness </w:t>
      </w:r>
      <w:r w:rsidR="00F1602B" w:rsidRPr="005F39E1">
        <w:rPr>
          <w:rFonts w:cs="Times New Roman"/>
          <w:noProof/>
        </w:rPr>
        <w:t xml:space="preserve">of the </w:t>
      </w:r>
      <w:r w:rsidR="00210013" w:rsidRPr="005F39E1">
        <w:rPr>
          <w:rFonts w:cs="Times New Roman"/>
          <w:noProof/>
        </w:rPr>
        <w:t xml:space="preserve">EU </w:t>
      </w:r>
      <w:r w:rsidR="00F1602B" w:rsidRPr="005F39E1">
        <w:rPr>
          <w:rFonts w:cs="Times New Roman"/>
          <w:noProof/>
        </w:rPr>
        <w:t xml:space="preserve">space </w:t>
      </w:r>
      <w:r w:rsidR="00210013" w:rsidRPr="005F39E1">
        <w:rPr>
          <w:rFonts w:cs="Times New Roman"/>
          <w:noProof/>
        </w:rPr>
        <w:t>industry</w:t>
      </w:r>
      <w:r w:rsidR="00F1602B" w:rsidRPr="005F39E1">
        <w:rPr>
          <w:rFonts w:cs="Times New Roman"/>
          <w:noProof/>
        </w:rPr>
        <w:t xml:space="preserve"> </w:t>
      </w:r>
      <w:r w:rsidR="00360129" w:rsidRPr="005F39E1">
        <w:rPr>
          <w:rFonts w:cs="Times New Roman"/>
          <w:noProof/>
        </w:rPr>
        <w:t>and</w:t>
      </w:r>
      <w:r w:rsidR="00091D8C" w:rsidRPr="005F39E1">
        <w:rPr>
          <w:rFonts w:cs="Times New Roman"/>
          <w:noProof/>
        </w:rPr>
        <w:t xml:space="preserve"> </w:t>
      </w:r>
      <w:r w:rsidR="00F15833" w:rsidRPr="005F39E1">
        <w:rPr>
          <w:rFonts w:cs="Times New Roman"/>
          <w:noProof/>
        </w:rPr>
        <w:t>the security of the E</w:t>
      </w:r>
      <w:r w:rsidR="00A30BE1" w:rsidRPr="005F39E1">
        <w:rPr>
          <w:rFonts w:cs="Times New Roman"/>
          <w:noProof/>
        </w:rPr>
        <w:t>U</w:t>
      </w:r>
      <w:r w:rsidR="00F15833" w:rsidRPr="005F39E1">
        <w:rPr>
          <w:rFonts w:cs="Times New Roman"/>
          <w:noProof/>
        </w:rPr>
        <w:t>.</w:t>
      </w:r>
    </w:p>
    <w:p w14:paraId="53B7F90A" w14:textId="7BA4200D" w:rsidR="00DE0E06" w:rsidRPr="005F39E1" w:rsidRDefault="00F15833" w:rsidP="00F15833">
      <w:pPr>
        <w:rPr>
          <w:rFonts w:cs="Times New Roman"/>
          <w:noProof/>
        </w:rPr>
      </w:pPr>
      <w:r w:rsidRPr="005F39E1">
        <w:rPr>
          <w:rFonts w:cs="Times New Roman"/>
          <w:noProof/>
        </w:rPr>
        <w:t>To ensure a consistent EU-wide approach</w:t>
      </w:r>
      <w:r w:rsidR="00BD7E9C" w:rsidRPr="005F39E1">
        <w:rPr>
          <w:rFonts w:cs="Times New Roman"/>
          <w:noProof/>
        </w:rPr>
        <w:t>,</w:t>
      </w:r>
      <w:r w:rsidR="004E5992" w:rsidRPr="005F39E1">
        <w:rPr>
          <w:rFonts w:cs="Times New Roman"/>
          <w:noProof/>
        </w:rPr>
        <w:t xml:space="preserve"> </w:t>
      </w:r>
      <w:r w:rsidR="008A58B0" w:rsidRPr="005F39E1">
        <w:rPr>
          <w:rFonts w:cs="Times New Roman"/>
          <w:noProof/>
        </w:rPr>
        <w:t xml:space="preserve">and building on the joint communication on an EU </w:t>
      </w:r>
      <w:r w:rsidR="00C73B73" w:rsidRPr="005F39E1">
        <w:rPr>
          <w:rFonts w:cs="Times New Roman"/>
          <w:noProof/>
        </w:rPr>
        <w:t>A</w:t>
      </w:r>
      <w:r w:rsidR="008A58B0" w:rsidRPr="005F39E1">
        <w:rPr>
          <w:rFonts w:cs="Times New Roman"/>
          <w:noProof/>
        </w:rPr>
        <w:t>pproach for Space Traffic Management</w:t>
      </w:r>
      <w:r w:rsidR="005A0142" w:rsidRPr="005F39E1">
        <w:rPr>
          <w:rStyle w:val="FootnoteReference"/>
          <w:rFonts w:cs="Times New Roman"/>
          <w:noProof/>
        </w:rPr>
        <w:footnoteReference w:id="9"/>
      </w:r>
      <w:r w:rsidR="000C4D57" w:rsidRPr="005F39E1">
        <w:rPr>
          <w:rFonts w:cs="Times New Roman"/>
          <w:noProof/>
        </w:rPr>
        <w:t>,</w:t>
      </w:r>
      <w:r w:rsidRPr="005F39E1">
        <w:rPr>
          <w:rFonts w:cs="Times New Roman"/>
          <w:noProof/>
        </w:rPr>
        <w:t xml:space="preserve"> the </w:t>
      </w:r>
      <w:r w:rsidR="000A563C" w:rsidRPr="005F39E1">
        <w:rPr>
          <w:rFonts w:cs="Times New Roman"/>
          <w:noProof/>
        </w:rPr>
        <w:t>Commission</w:t>
      </w:r>
      <w:r w:rsidRPr="005F39E1">
        <w:rPr>
          <w:rFonts w:cs="Times New Roman"/>
          <w:noProof/>
        </w:rPr>
        <w:t xml:space="preserve"> will</w:t>
      </w:r>
      <w:r w:rsidR="00DE0E06" w:rsidRPr="005F39E1">
        <w:rPr>
          <w:rFonts w:cs="Times New Roman"/>
          <w:noProof/>
        </w:rPr>
        <w:t xml:space="preserve"> </w:t>
      </w:r>
      <w:r w:rsidR="005A0142" w:rsidRPr="005F39E1">
        <w:rPr>
          <w:rFonts w:cs="Times New Roman"/>
          <w:noProof/>
        </w:rPr>
        <w:t>consider</w:t>
      </w:r>
      <w:r w:rsidRPr="005F39E1">
        <w:rPr>
          <w:rFonts w:cs="Times New Roman"/>
          <w:noProof/>
        </w:rPr>
        <w:t xml:space="preserve"> </w:t>
      </w:r>
      <w:r w:rsidR="00F1602B" w:rsidRPr="005F39E1">
        <w:rPr>
          <w:rFonts w:cs="Times New Roman"/>
          <w:noProof/>
        </w:rPr>
        <w:t>propos</w:t>
      </w:r>
      <w:r w:rsidR="00DE0E06" w:rsidRPr="005F39E1">
        <w:rPr>
          <w:rFonts w:cs="Times New Roman"/>
          <w:noProof/>
        </w:rPr>
        <w:t>ing</w:t>
      </w:r>
      <w:r w:rsidR="00F1602B" w:rsidRPr="005F39E1">
        <w:rPr>
          <w:rFonts w:cs="Times New Roman"/>
          <w:noProof/>
        </w:rPr>
        <w:t xml:space="preserve"> an EU Space Law</w:t>
      </w:r>
      <w:r w:rsidR="00D86672" w:rsidRPr="005F39E1">
        <w:rPr>
          <w:rFonts w:cs="Times New Roman"/>
          <w:noProof/>
        </w:rPr>
        <w:t>.</w:t>
      </w:r>
      <w:r w:rsidRPr="005F39E1">
        <w:rPr>
          <w:rFonts w:cs="Times New Roman"/>
          <w:noProof/>
        </w:rPr>
        <w:t xml:space="preserve"> </w:t>
      </w:r>
      <w:r w:rsidR="000A563C" w:rsidRPr="005F39E1">
        <w:rPr>
          <w:rFonts w:cs="Times New Roman"/>
          <w:noProof/>
        </w:rPr>
        <w:t xml:space="preserve">While </w:t>
      </w:r>
      <w:r w:rsidR="00C73B73" w:rsidRPr="005F39E1">
        <w:rPr>
          <w:rFonts w:cs="Times New Roman"/>
          <w:noProof/>
        </w:rPr>
        <w:t xml:space="preserve">protecting </w:t>
      </w:r>
      <w:r w:rsidR="000A563C" w:rsidRPr="005F39E1">
        <w:rPr>
          <w:rFonts w:cs="Times New Roman"/>
          <w:noProof/>
        </w:rPr>
        <w:t>national security interests, s</w:t>
      </w:r>
      <w:r w:rsidRPr="005F39E1">
        <w:rPr>
          <w:rFonts w:cs="Times New Roman"/>
          <w:noProof/>
        </w:rPr>
        <w:t xml:space="preserve">uch legislative </w:t>
      </w:r>
      <w:r w:rsidR="00F1602B" w:rsidRPr="005F39E1">
        <w:rPr>
          <w:rFonts w:cs="Times New Roman"/>
          <w:noProof/>
        </w:rPr>
        <w:t>proposal</w:t>
      </w:r>
      <w:r w:rsidRPr="005F39E1">
        <w:rPr>
          <w:rFonts w:cs="Times New Roman"/>
          <w:noProof/>
        </w:rPr>
        <w:t xml:space="preserve"> </w:t>
      </w:r>
      <w:r w:rsidR="004F4787" w:rsidRPr="005F39E1">
        <w:rPr>
          <w:rFonts w:cs="Times New Roman"/>
          <w:noProof/>
        </w:rPr>
        <w:t>c</w:t>
      </w:r>
      <w:r w:rsidR="00904646" w:rsidRPr="005F39E1">
        <w:rPr>
          <w:rFonts w:cs="Times New Roman"/>
          <w:noProof/>
        </w:rPr>
        <w:t>ould</w:t>
      </w:r>
      <w:r w:rsidRPr="005F39E1">
        <w:rPr>
          <w:rFonts w:cs="Times New Roman"/>
          <w:noProof/>
        </w:rPr>
        <w:t xml:space="preserve"> provide the framework to collectively enhance the level of resilience of </w:t>
      </w:r>
      <w:r w:rsidR="00B056C0" w:rsidRPr="005F39E1">
        <w:rPr>
          <w:rFonts w:cs="Times New Roman"/>
          <w:noProof/>
        </w:rPr>
        <w:t>s</w:t>
      </w:r>
      <w:r w:rsidRPr="005F39E1">
        <w:rPr>
          <w:rFonts w:cs="Times New Roman"/>
          <w:noProof/>
        </w:rPr>
        <w:t>pace</w:t>
      </w:r>
      <w:r w:rsidR="00B056C0" w:rsidRPr="005F39E1">
        <w:rPr>
          <w:rFonts w:cs="Times New Roman"/>
          <w:noProof/>
        </w:rPr>
        <w:t xml:space="preserve"> systems and</w:t>
      </w:r>
      <w:r w:rsidRPr="005F39E1">
        <w:rPr>
          <w:rFonts w:cs="Times New Roman"/>
          <w:noProof/>
        </w:rPr>
        <w:t xml:space="preserve"> services in the EU and </w:t>
      </w:r>
      <w:r w:rsidR="00BA51C8" w:rsidRPr="005F39E1">
        <w:rPr>
          <w:rFonts w:cs="Times New Roman"/>
          <w:noProof/>
        </w:rPr>
        <w:t>ensure</w:t>
      </w:r>
      <w:r w:rsidRPr="005F39E1">
        <w:rPr>
          <w:rFonts w:cs="Times New Roman"/>
          <w:noProof/>
        </w:rPr>
        <w:t xml:space="preserve"> coordination between Member States</w:t>
      </w:r>
      <w:r w:rsidR="0006721A">
        <w:rPr>
          <w:rFonts w:cs="Times New Roman"/>
          <w:noProof/>
        </w:rPr>
        <w:t>, including in remote strategic ground infrastructure locations such as the EU outermost regions</w:t>
      </w:r>
      <w:r w:rsidRPr="005F39E1">
        <w:rPr>
          <w:rFonts w:cs="Times New Roman"/>
          <w:noProof/>
        </w:rPr>
        <w:t>.</w:t>
      </w:r>
    </w:p>
    <w:p w14:paraId="53D9E9F8" w14:textId="43242709" w:rsidR="00B056C0" w:rsidRPr="000C4D57" w:rsidRDefault="005801DB" w:rsidP="00B056C0">
      <w:pPr>
        <w:rPr>
          <w:rFonts w:cs="Times New Roman"/>
          <w:noProof/>
        </w:rPr>
      </w:pPr>
      <w:r w:rsidRPr="005F39E1">
        <w:rPr>
          <w:rFonts w:cs="Times New Roman"/>
          <w:noProof/>
        </w:rPr>
        <w:t xml:space="preserve">It </w:t>
      </w:r>
      <w:r w:rsidR="004F4787" w:rsidRPr="005F39E1">
        <w:rPr>
          <w:rFonts w:cs="Times New Roman"/>
          <w:noProof/>
        </w:rPr>
        <w:t>c</w:t>
      </w:r>
      <w:r w:rsidRPr="005F39E1">
        <w:rPr>
          <w:rFonts w:cs="Times New Roman"/>
          <w:noProof/>
        </w:rPr>
        <w:t>ould provide a comprehensive</w:t>
      </w:r>
      <w:r w:rsidR="005C2F60" w:rsidRPr="005F39E1">
        <w:rPr>
          <w:rFonts w:cs="Times New Roman"/>
          <w:noProof/>
        </w:rPr>
        <w:t xml:space="preserve"> and consisten</w:t>
      </w:r>
      <w:r w:rsidR="00651938" w:rsidRPr="005F39E1">
        <w:rPr>
          <w:rFonts w:cs="Times New Roman"/>
          <w:noProof/>
        </w:rPr>
        <w:t>t</w:t>
      </w:r>
      <w:r w:rsidRPr="005F39E1">
        <w:rPr>
          <w:rFonts w:cs="Times New Roman"/>
          <w:noProof/>
        </w:rPr>
        <w:t xml:space="preserve"> framework for resilience of space systems and services in the EU, together with the NIS 2 </w:t>
      </w:r>
      <w:r w:rsidR="00970126" w:rsidRPr="005F39E1">
        <w:rPr>
          <w:rFonts w:cs="Times New Roman"/>
          <w:noProof/>
        </w:rPr>
        <w:t xml:space="preserve">and CER </w:t>
      </w:r>
      <w:r w:rsidR="00CE00D2" w:rsidRPr="005F39E1">
        <w:rPr>
          <w:rFonts w:cs="Times New Roman"/>
          <w:noProof/>
        </w:rPr>
        <w:t>D</w:t>
      </w:r>
      <w:r w:rsidRPr="005F39E1">
        <w:rPr>
          <w:rFonts w:cs="Times New Roman"/>
          <w:noProof/>
        </w:rPr>
        <w:t>irective</w:t>
      </w:r>
      <w:r w:rsidR="00970126" w:rsidRPr="005F39E1">
        <w:rPr>
          <w:rFonts w:cs="Times New Roman"/>
          <w:noProof/>
        </w:rPr>
        <w:t>s</w:t>
      </w:r>
      <w:r w:rsidRPr="005F39E1">
        <w:rPr>
          <w:rFonts w:cs="Times New Roman"/>
          <w:noProof/>
        </w:rPr>
        <w:t xml:space="preserve">. </w:t>
      </w:r>
      <w:r w:rsidR="00FE68D3" w:rsidRPr="005F39E1">
        <w:rPr>
          <w:rFonts w:cs="Times New Roman"/>
          <w:noProof/>
        </w:rPr>
        <w:t>The Commission will take as a starting point</w:t>
      </w:r>
      <w:r w:rsidR="00DE21BC" w:rsidRPr="005F39E1">
        <w:rPr>
          <w:rFonts w:cs="Times New Roman"/>
          <w:noProof/>
        </w:rPr>
        <w:t>,</w:t>
      </w:r>
      <w:r w:rsidR="00FE68D3" w:rsidRPr="005F39E1">
        <w:rPr>
          <w:rFonts w:cs="Times New Roman"/>
          <w:noProof/>
        </w:rPr>
        <w:t xml:space="preserve"> for stakeholder consultation and </w:t>
      </w:r>
      <w:r w:rsidR="00DE21BC" w:rsidRPr="005F39E1">
        <w:rPr>
          <w:rFonts w:cs="Times New Roman"/>
          <w:noProof/>
        </w:rPr>
        <w:t xml:space="preserve">impact </w:t>
      </w:r>
      <w:r w:rsidR="00FE68D3" w:rsidRPr="005F39E1">
        <w:rPr>
          <w:rFonts w:cs="Times New Roman"/>
          <w:noProof/>
        </w:rPr>
        <w:t>assessment of options</w:t>
      </w:r>
      <w:r w:rsidR="00DE21BC" w:rsidRPr="005F39E1">
        <w:rPr>
          <w:rFonts w:cs="Times New Roman"/>
          <w:noProof/>
        </w:rPr>
        <w:t>,</w:t>
      </w:r>
      <w:r w:rsidR="00FE68D3" w:rsidRPr="005F39E1">
        <w:rPr>
          <w:rFonts w:cs="Times New Roman"/>
          <w:noProof/>
        </w:rPr>
        <w:t xml:space="preserve"> certain key features of those existing regimes</w:t>
      </w:r>
      <w:r w:rsidR="000C4D57" w:rsidRPr="005F39E1">
        <w:rPr>
          <w:rFonts w:cs="Times New Roman"/>
          <w:noProof/>
        </w:rPr>
        <w:t>,</w:t>
      </w:r>
      <w:r w:rsidR="00461B0E" w:rsidRPr="005F39E1">
        <w:rPr>
          <w:rFonts w:cs="Times New Roman"/>
          <w:noProof/>
        </w:rPr>
        <w:t xml:space="preserve"> and the experience in their application</w:t>
      </w:r>
      <w:r w:rsidR="00544C28" w:rsidRPr="005F39E1">
        <w:rPr>
          <w:rFonts w:cs="Times New Roman"/>
          <w:noProof/>
        </w:rPr>
        <w:t>, where relevant</w:t>
      </w:r>
      <w:r w:rsidR="00FE68D3" w:rsidRPr="005F39E1">
        <w:rPr>
          <w:rFonts w:cs="Times New Roman"/>
          <w:noProof/>
        </w:rPr>
        <w:t xml:space="preserve">. For example, </w:t>
      </w:r>
      <w:r w:rsidR="00B056C0" w:rsidRPr="005F39E1">
        <w:rPr>
          <w:rFonts w:cs="Times New Roman"/>
          <w:noProof/>
        </w:rPr>
        <w:t xml:space="preserve">Member States </w:t>
      </w:r>
      <w:r w:rsidR="004F4787" w:rsidRPr="005F39E1">
        <w:rPr>
          <w:rFonts w:cs="Times New Roman"/>
          <w:noProof/>
        </w:rPr>
        <w:t>c</w:t>
      </w:r>
      <w:r w:rsidR="00904646" w:rsidRPr="005F39E1">
        <w:rPr>
          <w:rFonts w:cs="Times New Roman"/>
          <w:noProof/>
        </w:rPr>
        <w:t>ould</w:t>
      </w:r>
      <w:r w:rsidR="00B056C0" w:rsidRPr="005F39E1">
        <w:rPr>
          <w:rFonts w:cs="Times New Roman"/>
          <w:noProof/>
        </w:rPr>
        <w:t xml:space="preserve"> be </w:t>
      </w:r>
      <w:r w:rsidR="00C42833" w:rsidRPr="005F39E1">
        <w:rPr>
          <w:rFonts w:cs="Times New Roman"/>
          <w:noProof/>
        </w:rPr>
        <w:t>requir</w:t>
      </w:r>
      <w:r w:rsidR="00B056C0" w:rsidRPr="005F39E1">
        <w:rPr>
          <w:rFonts w:cs="Times New Roman"/>
          <w:noProof/>
        </w:rPr>
        <w:t xml:space="preserve">ed to identify </w:t>
      </w:r>
      <w:r w:rsidR="0058440D" w:rsidRPr="005F39E1">
        <w:rPr>
          <w:rFonts w:cs="Times New Roman"/>
          <w:noProof/>
        </w:rPr>
        <w:t>essential</w:t>
      </w:r>
      <w:r w:rsidR="000A563C" w:rsidRPr="005F39E1">
        <w:rPr>
          <w:rFonts w:cs="Times New Roman"/>
          <w:noProof/>
          <w:vertAlign w:val="superscript"/>
        </w:rPr>
        <w:footnoteReference w:id="10"/>
      </w:r>
      <w:r w:rsidR="00B056C0" w:rsidRPr="005F39E1">
        <w:rPr>
          <w:rFonts w:cs="Times New Roman"/>
          <w:noProof/>
        </w:rPr>
        <w:t xml:space="preserve"> space systems and services</w:t>
      </w:r>
      <w:r w:rsidR="003E6179" w:rsidRPr="005F39E1">
        <w:rPr>
          <w:rFonts w:cs="Times New Roman"/>
          <w:noProof/>
        </w:rPr>
        <w:t>. This could include</w:t>
      </w:r>
      <w:r w:rsidR="00B056C0" w:rsidRPr="005F39E1">
        <w:rPr>
          <w:rFonts w:cs="Times New Roman"/>
          <w:noProof/>
        </w:rPr>
        <w:t xml:space="preserve"> major supply chain actors, </w:t>
      </w:r>
      <w:r w:rsidR="000A563C" w:rsidRPr="005F39E1">
        <w:rPr>
          <w:rFonts w:cs="Times New Roman"/>
          <w:noProof/>
        </w:rPr>
        <w:t xml:space="preserve">to </w:t>
      </w:r>
      <w:r w:rsidR="00D04433" w:rsidRPr="005F39E1">
        <w:rPr>
          <w:rFonts w:cs="Times New Roman"/>
          <w:noProof/>
        </w:rPr>
        <w:t>define and implement</w:t>
      </w:r>
      <w:r w:rsidR="000A563C" w:rsidRPr="005F39E1">
        <w:rPr>
          <w:rFonts w:cs="Times New Roman"/>
          <w:noProof/>
        </w:rPr>
        <w:t xml:space="preserve"> a common</w:t>
      </w:r>
      <w:r w:rsidR="00B056C0" w:rsidRPr="005F39E1">
        <w:rPr>
          <w:rFonts w:cs="Times New Roman"/>
          <w:noProof/>
        </w:rPr>
        <w:t xml:space="preserve"> minimum level of resilience for critical space services and </w:t>
      </w:r>
      <w:r w:rsidR="000A563C" w:rsidRPr="005F39E1">
        <w:rPr>
          <w:rFonts w:cs="Times New Roman"/>
          <w:noProof/>
        </w:rPr>
        <w:t>to develop</w:t>
      </w:r>
      <w:r w:rsidR="00B056C0" w:rsidRPr="005F39E1">
        <w:rPr>
          <w:rFonts w:cs="Times New Roman"/>
          <w:noProof/>
        </w:rPr>
        <w:t xml:space="preserve"> coordinated national </w:t>
      </w:r>
      <w:r w:rsidR="00BA51C8" w:rsidRPr="005F39E1">
        <w:rPr>
          <w:rFonts w:cs="Times New Roman"/>
          <w:noProof/>
        </w:rPr>
        <w:t xml:space="preserve">preparedness and </w:t>
      </w:r>
      <w:r w:rsidR="00B056C0" w:rsidRPr="005F39E1">
        <w:rPr>
          <w:rFonts w:cs="Times New Roman"/>
          <w:noProof/>
        </w:rPr>
        <w:t xml:space="preserve">resilience plans and emergency protocols. </w:t>
      </w:r>
      <w:r w:rsidR="004F4787" w:rsidRPr="005F39E1">
        <w:rPr>
          <w:rFonts w:cs="Times New Roman"/>
          <w:noProof/>
        </w:rPr>
        <w:t xml:space="preserve">The initiative could also extend to </w:t>
      </w:r>
      <w:r w:rsidR="00B056C0" w:rsidRPr="005F39E1">
        <w:rPr>
          <w:rFonts w:cs="Times New Roman"/>
          <w:noProof/>
        </w:rPr>
        <w:t>develop</w:t>
      </w:r>
      <w:r w:rsidR="008E2D51" w:rsidRPr="005F39E1">
        <w:rPr>
          <w:rFonts w:cs="Times New Roman"/>
          <w:noProof/>
        </w:rPr>
        <w:t>ing</w:t>
      </w:r>
      <w:r w:rsidR="00B056C0" w:rsidRPr="005F39E1">
        <w:rPr>
          <w:rFonts w:cs="Times New Roman"/>
          <w:noProof/>
        </w:rPr>
        <w:t xml:space="preserve"> security monitoring centres</w:t>
      </w:r>
      <w:r w:rsidR="000A563C" w:rsidRPr="005F39E1">
        <w:rPr>
          <w:rFonts w:cs="Times New Roman"/>
          <w:noProof/>
        </w:rPr>
        <w:t xml:space="preserve">, </w:t>
      </w:r>
      <w:r w:rsidR="003E6179" w:rsidRPr="005F39E1">
        <w:rPr>
          <w:rFonts w:cs="Times New Roman"/>
          <w:noProof/>
        </w:rPr>
        <w:t>to allow</w:t>
      </w:r>
      <w:r w:rsidR="00D04433" w:rsidRPr="005F39E1">
        <w:rPr>
          <w:rFonts w:cs="Times New Roman"/>
          <w:noProof/>
        </w:rPr>
        <w:t xml:space="preserve"> for</w:t>
      </w:r>
      <w:r w:rsidR="00B056C0" w:rsidRPr="005F39E1">
        <w:rPr>
          <w:rFonts w:cs="Times New Roman"/>
          <w:noProof/>
        </w:rPr>
        <w:t xml:space="preserve"> </w:t>
      </w:r>
      <w:r w:rsidR="00D04433" w:rsidRPr="005F39E1">
        <w:rPr>
          <w:rFonts w:cs="Times New Roman"/>
          <w:noProof/>
        </w:rPr>
        <w:t>the</w:t>
      </w:r>
      <w:r w:rsidR="00D04433" w:rsidRPr="00F70DEE">
        <w:rPr>
          <w:rFonts w:cs="Times New Roman"/>
          <w:noProof/>
        </w:rPr>
        <w:t xml:space="preserve"> </w:t>
      </w:r>
      <w:r w:rsidR="00B056C0" w:rsidRPr="00F70DEE">
        <w:rPr>
          <w:rFonts w:cs="Times New Roman"/>
          <w:noProof/>
        </w:rPr>
        <w:t>notif</w:t>
      </w:r>
      <w:r w:rsidR="00D04433" w:rsidRPr="00F70DEE">
        <w:rPr>
          <w:rFonts w:cs="Times New Roman"/>
          <w:noProof/>
        </w:rPr>
        <w:t>ication of</w:t>
      </w:r>
      <w:r w:rsidR="00B056C0" w:rsidRPr="00F70DEE">
        <w:rPr>
          <w:rFonts w:cs="Times New Roman"/>
          <w:noProof/>
        </w:rPr>
        <w:t xml:space="preserve"> security incidents in a </w:t>
      </w:r>
      <w:r w:rsidR="00B056C0" w:rsidRPr="000C4D57">
        <w:rPr>
          <w:rFonts w:cs="Times New Roman"/>
          <w:noProof/>
        </w:rPr>
        <w:t xml:space="preserve">systematic manner. </w:t>
      </w:r>
    </w:p>
    <w:p w14:paraId="36DEC661" w14:textId="734B7840" w:rsidR="0092604E" w:rsidRPr="00F70DEE" w:rsidRDefault="000A563C" w:rsidP="0092604E">
      <w:pPr>
        <w:rPr>
          <w:rFonts w:cs="Times New Roman"/>
          <w:noProof/>
        </w:rPr>
      </w:pPr>
      <w:r w:rsidRPr="000C4D57">
        <w:rPr>
          <w:rFonts w:cs="Times New Roman"/>
          <w:noProof/>
        </w:rPr>
        <w:t xml:space="preserve">The </w:t>
      </w:r>
      <w:r w:rsidR="00210013" w:rsidRPr="000C4D57">
        <w:rPr>
          <w:rFonts w:cs="Times New Roman"/>
          <w:noProof/>
        </w:rPr>
        <w:t>Commission</w:t>
      </w:r>
      <w:r w:rsidRPr="000C4D57">
        <w:rPr>
          <w:rFonts w:cs="Times New Roman"/>
          <w:noProof/>
        </w:rPr>
        <w:t xml:space="preserve"> </w:t>
      </w:r>
      <w:r w:rsidR="00FE68D3" w:rsidRPr="000C4D57">
        <w:rPr>
          <w:rFonts w:cs="Times New Roman"/>
          <w:noProof/>
        </w:rPr>
        <w:t>c</w:t>
      </w:r>
      <w:r w:rsidR="00C85D01" w:rsidRPr="000C4D57">
        <w:rPr>
          <w:rFonts w:cs="Times New Roman"/>
          <w:noProof/>
        </w:rPr>
        <w:t xml:space="preserve">ould </w:t>
      </w:r>
      <w:r w:rsidRPr="000C4D57">
        <w:rPr>
          <w:rFonts w:cs="Times New Roman"/>
          <w:noProof/>
        </w:rPr>
        <w:t xml:space="preserve">also </w:t>
      </w:r>
      <w:r w:rsidR="00FE68D3" w:rsidRPr="000C4D57">
        <w:rPr>
          <w:rFonts w:cs="Times New Roman"/>
          <w:noProof/>
        </w:rPr>
        <w:t>consider requirements</w:t>
      </w:r>
      <w:r w:rsidR="004419E6" w:rsidRPr="000C4D57">
        <w:rPr>
          <w:rFonts w:cs="Times New Roman"/>
          <w:noProof/>
        </w:rPr>
        <w:t xml:space="preserve"> to make sure</w:t>
      </w:r>
      <w:r w:rsidRPr="000C4D57">
        <w:rPr>
          <w:rFonts w:cs="Times New Roman"/>
          <w:noProof/>
        </w:rPr>
        <w:t xml:space="preserve"> that security, including cyber-security, is part of the design of all space</w:t>
      </w:r>
      <w:r w:rsidRPr="00F70DEE">
        <w:rPr>
          <w:rFonts w:cs="Times New Roman"/>
          <w:noProof/>
        </w:rPr>
        <w:t xml:space="preserve"> systems </w:t>
      </w:r>
      <w:r w:rsidR="00033C64" w:rsidRPr="00F70DEE">
        <w:rPr>
          <w:rFonts w:cs="Times New Roman"/>
          <w:noProof/>
        </w:rPr>
        <w:t>deliver</w:t>
      </w:r>
      <w:r w:rsidR="009320C3" w:rsidRPr="00F70DEE">
        <w:rPr>
          <w:rFonts w:cs="Times New Roman"/>
          <w:noProof/>
        </w:rPr>
        <w:t>ing</w:t>
      </w:r>
      <w:r w:rsidR="00033C64" w:rsidRPr="00F70DEE">
        <w:rPr>
          <w:rFonts w:cs="Times New Roman"/>
          <w:noProof/>
        </w:rPr>
        <w:t xml:space="preserve"> essential services</w:t>
      </w:r>
      <w:r w:rsidRPr="00F70DEE">
        <w:rPr>
          <w:rFonts w:cs="Times New Roman"/>
          <w:noProof/>
        </w:rPr>
        <w:t xml:space="preserve">. </w:t>
      </w:r>
      <w:r w:rsidR="009320C3" w:rsidRPr="00F70DEE">
        <w:rPr>
          <w:rFonts w:cs="Times New Roman"/>
          <w:noProof/>
        </w:rPr>
        <w:t>It</w:t>
      </w:r>
      <w:r w:rsidR="00210013" w:rsidRPr="00F70DEE">
        <w:rPr>
          <w:rFonts w:cs="Times New Roman"/>
          <w:noProof/>
        </w:rPr>
        <w:t xml:space="preserve"> </w:t>
      </w:r>
      <w:r w:rsidR="00C85D01">
        <w:rPr>
          <w:rFonts w:cs="Times New Roman"/>
          <w:noProof/>
        </w:rPr>
        <w:t>could</w:t>
      </w:r>
      <w:r w:rsidR="00C85D01" w:rsidRPr="00F70DEE">
        <w:rPr>
          <w:rFonts w:cs="Times New Roman"/>
          <w:noProof/>
        </w:rPr>
        <w:t xml:space="preserve"> </w:t>
      </w:r>
      <w:r w:rsidR="00210013" w:rsidRPr="00F70DEE">
        <w:rPr>
          <w:rFonts w:cs="Times New Roman"/>
          <w:noProof/>
        </w:rPr>
        <w:t xml:space="preserve">propose the </w:t>
      </w:r>
      <w:r w:rsidR="00FE68D3">
        <w:rPr>
          <w:rFonts w:cs="Times New Roman"/>
          <w:noProof/>
        </w:rPr>
        <w:t xml:space="preserve">more systematic </w:t>
      </w:r>
      <w:r w:rsidR="00210013" w:rsidRPr="00F70DEE">
        <w:rPr>
          <w:rFonts w:cs="Times New Roman"/>
          <w:noProof/>
          <w:szCs w:val="24"/>
        </w:rPr>
        <w:t>i</w:t>
      </w:r>
      <w:r w:rsidRPr="00F70DEE">
        <w:rPr>
          <w:rFonts w:cs="Times New Roman"/>
          <w:noProof/>
          <w:szCs w:val="24"/>
        </w:rPr>
        <w:t xml:space="preserve">ntegration of </w:t>
      </w:r>
      <w:r w:rsidR="009320C3" w:rsidRPr="00F70DEE">
        <w:rPr>
          <w:rFonts w:cs="Times New Roman"/>
          <w:noProof/>
          <w:szCs w:val="24"/>
        </w:rPr>
        <w:t xml:space="preserve">relevant </w:t>
      </w:r>
      <w:r w:rsidRPr="00F70DEE">
        <w:rPr>
          <w:rFonts w:cs="Times New Roman"/>
          <w:noProof/>
          <w:szCs w:val="24"/>
        </w:rPr>
        <w:t>security</w:t>
      </w:r>
      <w:r w:rsidR="009320C3" w:rsidRPr="00F70DEE">
        <w:rPr>
          <w:rFonts w:cs="Times New Roman"/>
          <w:noProof/>
          <w:szCs w:val="24"/>
        </w:rPr>
        <w:t xml:space="preserve"> standards</w:t>
      </w:r>
      <w:r w:rsidRPr="00F70DEE">
        <w:rPr>
          <w:rFonts w:cs="Times New Roman"/>
          <w:noProof/>
          <w:szCs w:val="24"/>
        </w:rPr>
        <w:t xml:space="preserve"> in the early design phase</w:t>
      </w:r>
      <w:r w:rsidR="00CE00D2">
        <w:rPr>
          <w:rFonts w:cs="Times New Roman"/>
          <w:noProof/>
          <w:szCs w:val="24"/>
        </w:rPr>
        <w:t xml:space="preserve"> of these systems</w:t>
      </w:r>
      <w:r w:rsidR="004419E6">
        <w:rPr>
          <w:rFonts w:cs="Times New Roman"/>
          <w:noProof/>
          <w:szCs w:val="24"/>
        </w:rPr>
        <w:t>.</w:t>
      </w:r>
    </w:p>
    <w:p w14:paraId="1B6D4EFB" w14:textId="41062AEE" w:rsidR="00033C64" w:rsidRPr="00F70DEE" w:rsidRDefault="00DE21BC" w:rsidP="00033C64">
      <w:pPr>
        <w:rPr>
          <w:rFonts w:cs="Times New Roman"/>
          <w:noProof/>
        </w:rPr>
      </w:pPr>
      <w:r>
        <w:rPr>
          <w:rFonts w:cs="Times New Roman"/>
          <w:noProof/>
        </w:rPr>
        <w:t>Moreover, t</w:t>
      </w:r>
      <w:r w:rsidR="00033C64" w:rsidRPr="00F70DEE">
        <w:rPr>
          <w:rFonts w:cs="Times New Roman"/>
          <w:noProof/>
        </w:rPr>
        <w:t xml:space="preserve">he </w:t>
      </w:r>
      <w:r w:rsidR="004F4A7E" w:rsidRPr="00F70DEE">
        <w:rPr>
          <w:rFonts w:cs="Times New Roman"/>
          <w:noProof/>
        </w:rPr>
        <w:t>Commission</w:t>
      </w:r>
      <w:r w:rsidR="00033C64" w:rsidRPr="00F70DEE">
        <w:rPr>
          <w:rFonts w:cs="Times New Roman"/>
          <w:noProof/>
        </w:rPr>
        <w:t xml:space="preserve"> </w:t>
      </w:r>
      <w:r w:rsidR="00651938">
        <w:rPr>
          <w:rFonts w:cs="Times New Roman"/>
          <w:noProof/>
        </w:rPr>
        <w:t xml:space="preserve">would </w:t>
      </w:r>
      <w:r w:rsidR="00033C64" w:rsidRPr="00F70DEE">
        <w:rPr>
          <w:rFonts w:cs="Times New Roman"/>
          <w:noProof/>
        </w:rPr>
        <w:t xml:space="preserve">incentivise </w:t>
      </w:r>
      <w:r w:rsidR="00F01E02">
        <w:rPr>
          <w:rFonts w:cs="Times New Roman"/>
          <w:noProof/>
        </w:rPr>
        <w:t xml:space="preserve">the </w:t>
      </w:r>
      <w:r w:rsidR="00033C64" w:rsidRPr="00F70DEE">
        <w:rPr>
          <w:rFonts w:cs="Times New Roman"/>
          <w:noProof/>
        </w:rPr>
        <w:t>exchange of information on threats targeting space assets or their supply chain, focus</w:t>
      </w:r>
      <w:r w:rsidR="008E2D51">
        <w:rPr>
          <w:rFonts w:cs="Times New Roman"/>
          <w:noProof/>
        </w:rPr>
        <w:t>ing</w:t>
      </w:r>
      <w:r w:rsidR="00033C64" w:rsidRPr="00F70DEE">
        <w:rPr>
          <w:rFonts w:cs="Times New Roman"/>
          <w:noProof/>
        </w:rPr>
        <w:t xml:space="preserve"> on actionable information to relevant </w:t>
      </w:r>
      <w:r w:rsidR="008E2D51">
        <w:rPr>
          <w:rFonts w:cs="Times New Roman"/>
          <w:noProof/>
        </w:rPr>
        <w:t>s</w:t>
      </w:r>
      <w:r w:rsidR="00033C64" w:rsidRPr="00F70DEE">
        <w:rPr>
          <w:rFonts w:cs="Times New Roman"/>
          <w:noProof/>
        </w:rPr>
        <w:t xml:space="preserve">ecurity </w:t>
      </w:r>
      <w:r w:rsidR="008E2D51">
        <w:rPr>
          <w:rFonts w:cs="Times New Roman"/>
          <w:noProof/>
        </w:rPr>
        <w:t>o</w:t>
      </w:r>
      <w:r w:rsidR="00033C64" w:rsidRPr="00F70DEE">
        <w:rPr>
          <w:rFonts w:cs="Times New Roman"/>
          <w:noProof/>
        </w:rPr>
        <w:t xml:space="preserve">peration </w:t>
      </w:r>
      <w:r w:rsidR="008E2D51">
        <w:rPr>
          <w:rFonts w:cs="Times New Roman"/>
          <w:noProof/>
        </w:rPr>
        <w:t>c</w:t>
      </w:r>
      <w:r w:rsidR="00033C64" w:rsidRPr="00F70DEE">
        <w:rPr>
          <w:rFonts w:cs="Times New Roman"/>
          <w:noProof/>
        </w:rPr>
        <w:t xml:space="preserve">entres (SOCs). Building on its </w:t>
      </w:r>
      <w:r w:rsidR="005D181D">
        <w:rPr>
          <w:rFonts w:cs="Times New Roman"/>
          <w:noProof/>
        </w:rPr>
        <w:t xml:space="preserve">experience </w:t>
      </w:r>
      <w:r w:rsidR="00033C64" w:rsidRPr="00F70DEE">
        <w:rPr>
          <w:rFonts w:cs="Times New Roman"/>
          <w:noProof/>
        </w:rPr>
        <w:t>for Galileo, the EU Space Programme Agency (</w:t>
      </w:r>
      <w:r w:rsidR="00033C64" w:rsidRPr="00452E35">
        <w:rPr>
          <w:rFonts w:cs="Times New Roman"/>
          <w:noProof/>
        </w:rPr>
        <w:t xml:space="preserve">EUSPA) </w:t>
      </w:r>
      <w:r w:rsidR="00452E35" w:rsidRPr="00452E35">
        <w:rPr>
          <w:rFonts w:cs="Times New Roman"/>
          <w:noProof/>
        </w:rPr>
        <w:t xml:space="preserve">would </w:t>
      </w:r>
      <w:r w:rsidR="00033C64" w:rsidRPr="00452E35">
        <w:rPr>
          <w:rFonts w:cs="Times New Roman"/>
          <w:noProof/>
        </w:rPr>
        <w:t>ensure a con</w:t>
      </w:r>
      <w:r w:rsidR="00033C64" w:rsidRPr="00F70DEE">
        <w:rPr>
          <w:rFonts w:cs="Times New Roman"/>
          <w:noProof/>
        </w:rPr>
        <w:t xml:space="preserve">sistent security monitoring of </w:t>
      </w:r>
      <w:r w:rsidR="00CD29AF">
        <w:rPr>
          <w:rFonts w:cs="Times New Roman"/>
          <w:noProof/>
        </w:rPr>
        <w:t xml:space="preserve">all </w:t>
      </w:r>
      <w:r w:rsidR="00033C64" w:rsidRPr="00F70DEE">
        <w:rPr>
          <w:rFonts w:cs="Times New Roman"/>
          <w:noProof/>
        </w:rPr>
        <w:t xml:space="preserve">EU </w:t>
      </w:r>
      <w:r w:rsidR="00586E3C" w:rsidRPr="00F70DEE">
        <w:rPr>
          <w:rFonts w:cs="Times New Roman"/>
          <w:noProof/>
        </w:rPr>
        <w:t>s</w:t>
      </w:r>
      <w:r w:rsidR="00033C64" w:rsidRPr="00F70DEE">
        <w:rPr>
          <w:rFonts w:cs="Times New Roman"/>
          <w:noProof/>
        </w:rPr>
        <w:t xml:space="preserve">pace </w:t>
      </w:r>
      <w:r w:rsidR="00586E3C" w:rsidRPr="00F70DEE">
        <w:rPr>
          <w:rFonts w:cs="Times New Roman"/>
          <w:noProof/>
        </w:rPr>
        <w:t>p</w:t>
      </w:r>
      <w:r w:rsidR="00033C64" w:rsidRPr="00F70DEE">
        <w:rPr>
          <w:rFonts w:cs="Times New Roman"/>
          <w:noProof/>
        </w:rPr>
        <w:t>rogramme</w:t>
      </w:r>
      <w:r w:rsidR="00586E3C" w:rsidRPr="00F70DEE">
        <w:rPr>
          <w:rFonts w:cs="Times New Roman"/>
          <w:noProof/>
        </w:rPr>
        <w:t>s</w:t>
      </w:r>
      <w:r w:rsidR="00033C64" w:rsidRPr="00F70DEE">
        <w:rPr>
          <w:rFonts w:cs="Times New Roman"/>
          <w:noProof/>
        </w:rPr>
        <w:t xml:space="preserve">. </w:t>
      </w:r>
      <w:r w:rsidR="00CD29AF" w:rsidRPr="00F70DEE">
        <w:rPr>
          <w:rFonts w:cs="Times New Roman"/>
          <w:noProof/>
        </w:rPr>
        <w:t>In close cooperation with</w:t>
      </w:r>
      <w:r w:rsidR="004E5992">
        <w:rPr>
          <w:rFonts w:cs="Times New Roman"/>
          <w:noProof/>
        </w:rPr>
        <w:t xml:space="preserve"> the Commission,</w:t>
      </w:r>
      <w:r w:rsidR="00CD29AF" w:rsidRPr="00F70DEE">
        <w:rPr>
          <w:rFonts w:cs="Times New Roman"/>
          <w:noProof/>
        </w:rPr>
        <w:t xml:space="preserve"> </w:t>
      </w:r>
      <w:r w:rsidR="00CD29AF" w:rsidRPr="00F70DEE">
        <w:rPr>
          <w:noProof/>
        </w:rPr>
        <w:t>the Computer Security Incident Response Team of all the EU institutions (</w:t>
      </w:r>
      <w:r w:rsidR="00CD29AF" w:rsidRPr="00F70DEE">
        <w:rPr>
          <w:rFonts w:cs="Times New Roman"/>
          <w:noProof/>
        </w:rPr>
        <w:t>CERT-EU) and</w:t>
      </w:r>
      <w:r w:rsidR="008E2D51">
        <w:rPr>
          <w:rFonts w:cs="Times New Roman"/>
          <w:noProof/>
        </w:rPr>
        <w:t xml:space="preserve"> </w:t>
      </w:r>
      <w:r w:rsidR="00CD29AF" w:rsidRPr="00F70DEE">
        <w:rPr>
          <w:noProof/>
        </w:rPr>
        <w:t>the European Union Agency for Cybersecurity (</w:t>
      </w:r>
      <w:r w:rsidR="00CD29AF" w:rsidRPr="00F70DEE">
        <w:rPr>
          <w:rFonts w:cs="Times New Roman"/>
          <w:noProof/>
        </w:rPr>
        <w:t>ENISA</w:t>
      </w:r>
      <w:r w:rsidR="00CD29AF" w:rsidRPr="00F70DEE">
        <w:rPr>
          <w:noProof/>
        </w:rPr>
        <w:t>)</w:t>
      </w:r>
      <w:r w:rsidR="00CD29AF" w:rsidRPr="00F70DEE">
        <w:rPr>
          <w:noProof/>
          <w:vertAlign w:val="superscript"/>
        </w:rPr>
        <w:footnoteReference w:id="11"/>
      </w:r>
      <w:r w:rsidR="00CD29AF" w:rsidRPr="00F70DEE">
        <w:rPr>
          <w:rFonts w:cs="Times New Roman"/>
          <w:noProof/>
        </w:rPr>
        <w:t xml:space="preserve">, </w:t>
      </w:r>
      <w:r w:rsidR="00033C64" w:rsidRPr="00F70DEE">
        <w:rPr>
          <w:rFonts w:cs="Times New Roman"/>
          <w:noProof/>
        </w:rPr>
        <w:t xml:space="preserve">EUSPA will play a key role as space security monitoring and operations centre in the EU. </w:t>
      </w:r>
      <w:r w:rsidR="008E2D51">
        <w:rPr>
          <w:rFonts w:cs="Times New Roman"/>
          <w:noProof/>
        </w:rPr>
        <w:t>O</w:t>
      </w:r>
      <w:r w:rsidR="00033C64" w:rsidRPr="00F70DEE">
        <w:rPr>
          <w:rFonts w:cs="Times New Roman"/>
          <w:noProof/>
        </w:rPr>
        <w:t>n request, it may</w:t>
      </w:r>
      <w:r w:rsidR="008E2D51">
        <w:rPr>
          <w:rFonts w:cs="Times New Roman"/>
          <w:noProof/>
        </w:rPr>
        <w:t xml:space="preserve"> also</w:t>
      </w:r>
      <w:r w:rsidR="00033C64" w:rsidRPr="00F70DEE">
        <w:rPr>
          <w:rFonts w:cs="Times New Roman"/>
          <w:noProof/>
        </w:rPr>
        <w:t xml:space="preserve"> assist operators of essential space systems and services in Member States.</w:t>
      </w:r>
    </w:p>
    <w:p w14:paraId="4F5D2C15" w14:textId="77777777" w:rsidR="00FA67DA" w:rsidRPr="000C4D57" w:rsidRDefault="008C75D3" w:rsidP="008C75D3">
      <w:pPr>
        <w:rPr>
          <w:rFonts w:cs="Times New Roman"/>
          <w:noProof/>
        </w:rPr>
      </w:pPr>
      <w:r w:rsidRPr="00F70DEE">
        <w:rPr>
          <w:rFonts w:cs="Times New Roman"/>
          <w:noProof/>
        </w:rPr>
        <w:t xml:space="preserve">Space services are provided by public </w:t>
      </w:r>
      <w:r w:rsidR="001F3FBD" w:rsidRPr="00F70DEE">
        <w:rPr>
          <w:rFonts w:cs="Times New Roman"/>
          <w:noProof/>
        </w:rPr>
        <w:t xml:space="preserve">and private </w:t>
      </w:r>
      <w:r w:rsidR="003C5892" w:rsidRPr="00F70DEE">
        <w:rPr>
          <w:rFonts w:cs="Times New Roman"/>
          <w:noProof/>
        </w:rPr>
        <w:t>opera</w:t>
      </w:r>
      <w:r w:rsidR="00E25CC7" w:rsidRPr="00F70DEE">
        <w:rPr>
          <w:rFonts w:cs="Times New Roman"/>
          <w:noProof/>
        </w:rPr>
        <w:t>t</w:t>
      </w:r>
      <w:r w:rsidR="001F3FBD" w:rsidRPr="00F70DEE">
        <w:rPr>
          <w:rFonts w:cs="Times New Roman"/>
          <w:noProof/>
        </w:rPr>
        <w:t>ors</w:t>
      </w:r>
      <w:r w:rsidRPr="00F70DEE">
        <w:rPr>
          <w:rFonts w:cs="Times New Roman"/>
          <w:noProof/>
        </w:rPr>
        <w:t xml:space="preserve">, </w:t>
      </w:r>
      <w:r w:rsidR="001F3FBD" w:rsidRPr="00F70DEE">
        <w:rPr>
          <w:rFonts w:cs="Times New Roman"/>
          <w:noProof/>
        </w:rPr>
        <w:t>with a</w:t>
      </w:r>
      <w:r w:rsidR="0028548C" w:rsidRPr="00F70DEE">
        <w:rPr>
          <w:rFonts w:cs="Times New Roman"/>
          <w:noProof/>
        </w:rPr>
        <w:t>n increasing and dynamic role for</w:t>
      </w:r>
      <w:r w:rsidR="00586E3C" w:rsidRPr="00F70DEE">
        <w:rPr>
          <w:rFonts w:cs="Times New Roman"/>
          <w:noProof/>
        </w:rPr>
        <w:t xml:space="preserve"> </w:t>
      </w:r>
      <w:r w:rsidR="004F4A7E" w:rsidRPr="00F70DEE">
        <w:rPr>
          <w:rFonts w:cs="Times New Roman"/>
          <w:noProof/>
        </w:rPr>
        <w:t>New</w:t>
      </w:r>
      <w:r w:rsidR="002917F1">
        <w:rPr>
          <w:rFonts w:cs="Times New Roman"/>
          <w:noProof/>
        </w:rPr>
        <w:t xml:space="preserve"> </w:t>
      </w:r>
      <w:r w:rsidR="004F4A7E" w:rsidRPr="00F70DEE">
        <w:rPr>
          <w:rFonts w:cs="Times New Roman"/>
          <w:noProof/>
        </w:rPr>
        <w:t>Space</w:t>
      </w:r>
      <w:r w:rsidR="005C5047">
        <w:rPr>
          <w:rStyle w:val="FootnoteReference"/>
          <w:rFonts w:cs="Times New Roman"/>
          <w:noProof/>
        </w:rPr>
        <w:footnoteReference w:id="12"/>
      </w:r>
      <w:r w:rsidRPr="00F70DEE">
        <w:rPr>
          <w:rFonts w:cs="Times New Roman"/>
          <w:noProof/>
        </w:rPr>
        <w:t xml:space="preserve">. </w:t>
      </w:r>
      <w:r w:rsidR="00700A0A" w:rsidRPr="00F70DEE">
        <w:rPr>
          <w:rFonts w:cs="Times New Roman"/>
          <w:noProof/>
        </w:rPr>
        <w:t>A</w:t>
      </w:r>
      <w:r w:rsidRPr="00F70DEE">
        <w:rPr>
          <w:rFonts w:cs="Times New Roman"/>
          <w:noProof/>
        </w:rPr>
        <w:t xml:space="preserve"> common understanding of </w:t>
      </w:r>
      <w:r w:rsidR="00383D84" w:rsidRPr="00F70DEE">
        <w:rPr>
          <w:rFonts w:cs="Times New Roman"/>
          <w:noProof/>
        </w:rPr>
        <w:t xml:space="preserve">what </w:t>
      </w:r>
      <w:r w:rsidR="00CD29AF">
        <w:rPr>
          <w:rFonts w:cs="Times New Roman"/>
          <w:noProof/>
        </w:rPr>
        <w:t xml:space="preserve">the </w:t>
      </w:r>
      <w:r w:rsidR="00383D84" w:rsidRPr="00F70DEE">
        <w:rPr>
          <w:rFonts w:cs="Times New Roman"/>
          <w:noProof/>
        </w:rPr>
        <w:t>essential</w:t>
      </w:r>
      <w:r w:rsidR="005C426C" w:rsidRPr="00F70DEE">
        <w:rPr>
          <w:rFonts w:cs="Times New Roman"/>
          <w:noProof/>
        </w:rPr>
        <w:t xml:space="preserve"> </w:t>
      </w:r>
      <w:r w:rsidRPr="00F70DEE">
        <w:rPr>
          <w:rFonts w:cs="Times New Roman"/>
          <w:noProof/>
        </w:rPr>
        <w:t>space services</w:t>
      </w:r>
      <w:r w:rsidR="008E2D51">
        <w:rPr>
          <w:rFonts w:cs="Times New Roman"/>
          <w:noProof/>
        </w:rPr>
        <w:t xml:space="preserve"> are</w:t>
      </w:r>
      <w:r w:rsidRPr="00F70DEE">
        <w:rPr>
          <w:rFonts w:cs="Times New Roman"/>
          <w:noProof/>
        </w:rPr>
        <w:t xml:space="preserve"> </w:t>
      </w:r>
      <w:r w:rsidR="00700A0A" w:rsidRPr="00F70DEE">
        <w:rPr>
          <w:rFonts w:cs="Times New Roman"/>
          <w:noProof/>
        </w:rPr>
        <w:t xml:space="preserve">is necessary </w:t>
      </w:r>
      <w:r w:rsidRPr="00F70DEE">
        <w:rPr>
          <w:rFonts w:cs="Times New Roman"/>
          <w:noProof/>
        </w:rPr>
        <w:t xml:space="preserve">to share relevant </w:t>
      </w:r>
      <w:r w:rsidRPr="000C4D57">
        <w:rPr>
          <w:rFonts w:cs="Times New Roman"/>
          <w:noProof/>
        </w:rPr>
        <w:t xml:space="preserve">security information, coordinate actions and </w:t>
      </w:r>
      <w:r w:rsidR="00D52996" w:rsidRPr="000C4D57">
        <w:rPr>
          <w:rFonts w:cs="Times New Roman"/>
          <w:noProof/>
        </w:rPr>
        <w:t xml:space="preserve">facilitate </w:t>
      </w:r>
      <w:r w:rsidR="008E2D51" w:rsidRPr="000C4D57">
        <w:rPr>
          <w:rFonts w:cs="Times New Roman"/>
          <w:noProof/>
        </w:rPr>
        <w:t xml:space="preserve">EU </w:t>
      </w:r>
      <w:r w:rsidRPr="000C4D57">
        <w:rPr>
          <w:rFonts w:cs="Times New Roman"/>
          <w:noProof/>
        </w:rPr>
        <w:t xml:space="preserve">cooperation. </w:t>
      </w:r>
    </w:p>
    <w:p w14:paraId="65BD64A3" w14:textId="58BC2C37" w:rsidR="008C75D3" w:rsidRPr="00F70DEE" w:rsidRDefault="00544C28" w:rsidP="008C75D3">
      <w:pPr>
        <w:rPr>
          <w:rFonts w:cs="Times New Roman"/>
          <w:noProof/>
        </w:rPr>
      </w:pPr>
      <w:r w:rsidRPr="000C4D57">
        <w:rPr>
          <w:rFonts w:cs="Times New Roman"/>
          <w:noProof/>
        </w:rPr>
        <w:t>In complement to such a possible legislative proposal, t</w:t>
      </w:r>
      <w:r w:rsidR="000A563C" w:rsidRPr="000C4D57">
        <w:rPr>
          <w:rFonts w:cs="Times New Roman"/>
          <w:noProof/>
        </w:rPr>
        <w:t xml:space="preserve">he Commission </w:t>
      </w:r>
      <w:r w:rsidR="002917F1" w:rsidRPr="000C4D57">
        <w:rPr>
          <w:rFonts w:cs="Times New Roman"/>
          <w:noProof/>
        </w:rPr>
        <w:t xml:space="preserve">would </w:t>
      </w:r>
      <w:r w:rsidR="000A563C" w:rsidRPr="000C4D57">
        <w:rPr>
          <w:rFonts w:cs="Times New Roman"/>
          <w:noProof/>
        </w:rPr>
        <w:t xml:space="preserve">raise awareness and facilitate </w:t>
      </w:r>
      <w:r w:rsidR="001A0552" w:rsidRPr="000C4D57">
        <w:rPr>
          <w:rFonts w:cs="Times New Roman"/>
          <w:noProof/>
        </w:rPr>
        <w:t xml:space="preserve">the </w:t>
      </w:r>
      <w:r w:rsidR="000A563C" w:rsidRPr="000C4D57">
        <w:rPr>
          <w:rFonts w:cs="Times New Roman"/>
          <w:noProof/>
        </w:rPr>
        <w:t>exchange of best practices</w:t>
      </w:r>
      <w:r w:rsidR="000A563C" w:rsidRPr="00771F3F">
        <w:rPr>
          <w:rFonts w:cs="Times New Roman"/>
          <w:noProof/>
        </w:rPr>
        <w:t xml:space="preserve"> among commercial </w:t>
      </w:r>
      <w:r w:rsidR="00460AF6" w:rsidRPr="00771F3F">
        <w:rPr>
          <w:rFonts w:cs="Times New Roman"/>
          <w:noProof/>
        </w:rPr>
        <w:t>entities</w:t>
      </w:r>
      <w:r w:rsidR="000A563C" w:rsidRPr="00771F3F">
        <w:rPr>
          <w:rFonts w:cs="Times New Roman"/>
          <w:noProof/>
        </w:rPr>
        <w:t xml:space="preserve"> </w:t>
      </w:r>
      <w:r w:rsidR="000A563C" w:rsidRPr="002917F1">
        <w:rPr>
          <w:rFonts w:cs="Times New Roman"/>
          <w:noProof/>
        </w:rPr>
        <w:t>on resilience</w:t>
      </w:r>
      <w:r w:rsidR="003547E3" w:rsidRPr="002917F1">
        <w:rPr>
          <w:rFonts w:cs="Times New Roman"/>
          <w:noProof/>
        </w:rPr>
        <w:t xml:space="preserve"> measures</w:t>
      </w:r>
      <w:r w:rsidR="000A563C" w:rsidRPr="002917F1">
        <w:rPr>
          <w:rFonts w:cs="Times New Roman"/>
          <w:noProof/>
        </w:rPr>
        <w:t>, including cyber-related</w:t>
      </w:r>
      <w:r w:rsidR="00802F30" w:rsidRPr="002917F1">
        <w:rPr>
          <w:rFonts w:cs="Times New Roman"/>
          <w:noProof/>
        </w:rPr>
        <w:t xml:space="preserve"> ones</w:t>
      </w:r>
      <w:r w:rsidR="000A563C" w:rsidRPr="00771F3F">
        <w:rPr>
          <w:rFonts w:cs="Times New Roman"/>
          <w:noProof/>
        </w:rPr>
        <w:t xml:space="preserve">. Such supporting measures would be </w:t>
      </w:r>
      <w:r w:rsidR="008E2D51" w:rsidRPr="00771F3F">
        <w:rPr>
          <w:rFonts w:cs="Times New Roman"/>
          <w:noProof/>
        </w:rPr>
        <w:t>especially relevant</w:t>
      </w:r>
      <w:r w:rsidR="000A563C" w:rsidRPr="00771F3F">
        <w:rPr>
          <w:rFonts w:cs="Times New Roman"/>
          <w:noProof/>
        </w:rPr>
        <w:t xml:space="preserve"> for </w:t>
      </w:r>
      <w:r w:rsidR="00460AF6" w:rsidRPr="00771F3F">
        <w:rPr>
          <w:rFonts w:cs="Times New Roman"/>
          <w:noProof/>
        </w:rPr>
        <w:t>SMEs</w:t>
      </w:r>
      <w:r w:rsidR="000A563C" w:rsidRPr="00771F3F">
        <w:rPr>
          <w:rFonts w:cs="Times New Roman"/>
          <w:noProof/>
        </w:rPr>
        <w:t>, including</w:t>
      </w:r>
      <w:r w:rsidR="001A0552" w:rsidRPr="00771F3F">
        <w:rPr>
          <w:rFonts w:cs="Times New Roman"/>
          <w:noProof/>
        </w:rPr>
        <w:t xml:space="preserve"> New</w:t>
      </w:r>
      <w:r w:rsidR="002917F1" w:rsidRPr="00771F3F">
        <w:rPr>
          <w:rFonts w:cs="Times New Roman"/>
          <w:noProof/>
        </w:rPr>
        <w:t xml:space="preserve"> </w:t>
      </w:r>
      <w:r w:rsidR="001A0552" w:rsidRPr="00771F3F">
        <w:rPr>
          <w:rFonts w:cs="Times New Roman"/>
          <w:noProof/>
        </w:rPr>
        <w:t>Space</w:t>
      </w:r>
      <w:r w:rsidR="000A563C" w:rsidRPr="00771F3F">
        <w:rPr>
          <w:rFonts w:cs="Times New Roman"/>
          <w:noProof/>
        </w:rPr>
        <w:t>. In this context, the Commission, with the support of EUSPA</w:t>
      </w:r>
      <w:r w:rsidR="000A563C" w:rsidRPr="00CD26FA">
        <w:rPr>
          <w:rFonts w:cs="Times New Roman"/>
          <w:noProof/>
        </w:rPr>
        <w:t xml:space="preserve">, </w:t>
      </w:r>
      <w:r w:rsidR="002917F1" w:rsidRPr="00CD26FA">
        <w:rPr>
          <w:rFonts w:cs="Times New Roman"/>
          <w:noProof/>
        </w:rPr>
        <w:t xml:space="preserve">would </w:t>
      </w:r>
      <w:r w:rsidR="000A563C" w:rsidRPr="002917F1">
        <w:rPr>
          <w:rFonts w:cs="Times New Roman"/>
          <w:noProof/>
        </w:rPr>
        <w:t>consider</w:t>
      </w:r>
      <w:r w:rsidR="000A563C" w:rsidRPr="00F70DEE">
        <w:rPr>
          <w:rFonts w:cs="Times New Roman"/>
          <w:noProof/>
        </w:rPr>
        <w:t xml:space="preserve"> </w:t>
      </w:r>
      <w:r w:rsidR="008E2D51">
        <w:rPr>
          <w:rFonts w:cs="Times New Roman"/>
          <w:noProof/>
        </w:rPr>
        <w:t>establishing</w:t>
      </w:r>
      <w:r w:rsidR="000A563C" w:rsidRPr="00F70DEE">
        <w:rPr>
          <w:rFonts w:cs="Times New Roman"/>
          <w:noProof/>
        </w:rPr>
        <w:t xml:space="preserve"> </w:t>
      </w:r>
      <w:r w:rsidR="009818B4" w:rsidRPr="00F70DEE">
        <w:rPr>
          <w:rFonts w:cs="Times New Roman"/>
          <w:noProof/>
        </w:rPr>
        <w:t>an Information Sharing and Analysis Centre (ISAC),</w:t>
      </w:r>
      <w:r w:rsidR="000A563C" w:rsidRPr="00F70DEE">
        <w:rPr>
          <w:rFonts w:cs="Times New Roman"/>
          <w:noProof/>
        </w:rPr>
        <w:t xml:space="preserve"> bringing together commercial entities</w:t>
      </w:r>
      <w:r w:rsidR="000A563C" w:rsidRPr="00F70DEE">
        <w:rPr>
          <w:noProof/>
        </w:rPr>
        <w:t xml:space="preserve">, and </w:t>
      </w:r>
      <w:r w:rsidR="00300D68">
        <w:rPr>
          <w:noProof/>
        </w:rPr>
        <w:t>relevant public entities</w:t>
      </w:r>
      <w:r w:rsidR="00C43CF2">
        <w:rPr>
          <w:noProof/>
        </w:rPr>
        <w:t xml:space="preserve">, including </w:t>
      </w:r>
      <w:r w:rsidR="008E2D51">
        <w:rPr>
          <w:noProof/>
        </w:rPr>
        <w:t>possibly</w:t>
      </w:r>
      <w:r w:rsidR="008E2D51" w:rsidRPr="00F70DEE">
        <w:rPr>
          <w:noProof/>
        </w:rPr>
        <w:t xml:space="preserve"> </w:t>
      </w:r>
      <w:r w:rsidR="000A563C" w:rsidRPr="00F70DEE">
        <w:rPr>
          <w:noProof/>
        </w:rPr>
        <w:t>the European Space Agency (ESA)</w:t>
      </w:r>
      <w:r w:rsidR="000A563C" w:rsidRPr="00F70DEE">
        <w:rPr>
          <w:rFonts w:cs="Times New Roman"/>
          <w:noProof/>
        </w:rPr>
        <w:t>.</w:t>
      </w:r>
    </w:p>
    <w:p w14:paraId="2DCAAB51" w14:textId="7AA683CF" w:rsidR="004B2A42" w:rsidRDefault="00DE21BC" w:rsidP="004B2A42">
      <w:pPr>
        <w:rPr>
          <w:rFonts w:cs="Times New Roman"/>
          <w:noProof/>
        </w:rPr>
      </w:pPr>
      <w:r>
        <w:rPr>
          <w:rFonts w:cs="Times New Roman"/>
          <w:noProof/>
        </w:rPr>
        <w:t>In a</w:t>
      </w:r>
      <w:r w:rsidR="009A1FA9">
        <w:rPr>
          <w:rFonts w:cs="Times New Roman"/>
          <w:noProof/>
        </w:rPr>
        <w:t>ddition</w:t>
      </w:r>
      <w:r>
        <w:rPr>
          <w:rFonts w:cs="Times New Roman"/>
          <w:noProof/>
        </w:rPr>
        <w:t xml:space="preserve">, </w:t>
      </w:r>
      <w:r w:rsidR="00E6603D">
        <w:rPr>
          <w:noProof/>
        </w:rPr>
        <w:t>t</w:t>
      </w:r>
      <w:r w:rsidR="008C75D3" w:rsidRPr="00F70DEE">
        <w:rPr>
          <w:noProof/>
        </w:rPr>
        <w:t xml:space="preserve">he implementation of the NIS </w:t>
      </w:r>
      <w:r w:rsidR="003C5892" w:rsidRPr="00F70DEE">
        <w:rPr>
          <w:noProof/>
        </w:rPr>
        <w:t>2</w:t>
      </w:r>
      <w:r w:rsidR="008C75D3" w:rsidRPr="00F70DEE">
        <w:rPr>
          <w:noProof/>
        </w:rPr>
        <w:t xml:space="preserve"> </w:t>
      </w:r>
      <w:r w:rsidR="005D181D">
        <w:rPr>
          <w:noProof/>
        </w:rPr>
        <w:t>D</w:t>
      </w:r>
      <w:r w:rsidR="008C75D3" w:rsidRPr="00F70DEE">
        <w:rPr>
          <w:noProof/>
        </w:rPr>
        <w:t xml:space="preserve">irective </w:t>
      </w:r>
      <w:r w:rsidR="00CE00D2">
        <w:rPr>
          <w:noProof/>
        </w:rPr>
        <w:t xml:space="preserve">and the upcoming </w:t>
      </w:r>
      <w:r w:rsidR="00CE00D2" w:rsidRPr="00F70DEE">
        <w:rPr>
          <w:noProof/>
        </w:rPr>
        <w:t>Cyber Resilience Act</w:t>
      </w:r>
      <w:r w:rsidR="00CE00D2" w:rsidRPr="00F70DEE">
        <w:rPr>
          <w:noProof/>
          <w:vertAlign w:val="superscript"/>
        </w:rPr>
        <w:footnoteReference w:id="13"/>
      </w:r>
      <w:r w:rsidR="00E6603D">
        <w:rPr>
          <w:noProof/>
        </w:rPr>
        <w:t xml:space="preserve">, as well as other </w:t>
      </w:r>
      <w:r w:rsidR="00E6603D" w:rsidRPr="00F70DEE">
        <w:rPr>
          <w:noProof/>
        </w:rPr>
        <w:t>existing cybersecurity framework</w:t>
      </w:r>
      <w:r>
        <w:rPr>
          <w:noProof/>
        </w:rPr>
        <w:t>s</w:t>
      </w:r>
      <w:r w:rsidR="00E6603D">
        <w:rPr>
          <w:rStyle w:val="FootnoteReference"/>
          <w:noProof/>
        </w:rPr>
        <w:footnoteReference w:id="14"/>
      </w:r>
      <w:r w:rsidR="00E6603D" w:rsidRPr="00F70DEE">
        <w:rPr>
          <w:noProof/>
        </w:rPr>
        <w:t xml:space="preserve">, </w:t>
      </w:r>
      <w:r w:rsidR="00CE00D2" w:rsidRPr="00F70DEE">
        <w:rPr>
          <w:noProof/>
        </w:rPr>
        <w:t xml:space="preserve"> </w:t>
      </w:r>
      <w:r w:rsidR="008C75D3" w:rsidRPr="00F70DEE">
        <w:rPr>
          <w:noProof/>
        </w:rPr>
        <w:t xml:space="preserve">will </w:t>
      </w:r>
      <w:r w:rsidR="00CE00D2">
        <w:rPr>
          <w:noProof/>
        </w:rPr>
        <w:t>incentivise the up</w:t>
      </w:r>
      <w:r w:rsidR="00771F3F">
        <w:rPr>
          <w:noProof/>
        </w:rPr>
        <w:t>take</w:t>
      </w:r>
      <w:r w:rsidR="00CE00D2">
        <w:rPr>
          <w:noProof/>
        </w:rPr>
        <w:t xml:space="preserve"> of </w:t>
      </w:r>
      <w:r w:rsidR="008C75D3" w:rsidRPr="00F70DEE">
        <w:rPr>
          <w:noProof/>
        </w:rPr>
        <w:t xml:space="preserve">cybersecurity requirements </w:t>
      </w:r>
      <w:r w:rsidR="000B2566" w:rsidRPr="00F70DEE">
        <w:rPr>
          <w:rFonts w:cs="Times New Roman"/>
          <w:noProof/>
        </w:rPr>
        <w:t>for</w:t>
      </w:r>
      <w:r w:rsidR="008C75D3" w:rsidRPr="00F70DEE">
        <w:rPr>
          <w:noProof/>
        </w:rPr>
        <w:t xml:space="preserve"> critical digital products </w:t>
      </w:r>
      <w:r w:rsidR="000B2566" w:rsidRPr="00F70DEE">
        <w:rPr>
          <w:rFonts w:cs="Times New Roman"/>
          <w:noProof/>
        </w:rPr>
        <w:t xml:space="preserve">that are </w:t>
      </w:r>
      <w:r w:rsidR="008C75D3" w:rsidRPr="00F70DEE">
        <w:rPr>
          <w:noProof/>
        </w:rPr>
        <w:t>used in space.</w:t>
      </w:r>
      <w:r w:rsidR="000A563C" w:rsidRPr="00F70DEE">
        <w:rPr>
          <w:noProof/>
        </w:rPr>
        <w:t xml:space="preserve"> </w:t>
      </w:r>
      <w:r w:rsidR="004B2A42" w:rsidRPr="00F70DEE">
        <w:rPr>
          <w:rFonts w:cs="Times New Roman"/>
          <w:noProof/>
        </w:rPr>
        <w:t>Specific cybersecurity standard</w:t>
      </w:r>
      <w:r w:rsidR="00460AF6" w:rsidRPr="00F70DEE">
        <w:rPr>
          <w:rFonts w:cs="Times New Roman"/>
          <w:noProof/>
        </w:rPr>
        <w:t>s</w:t>
      </w:r>
      <w:r w:rsidR="004B2A42" w:rsidRPr="00F70DEE">
        <w:rPr>
          <w:rFonts w:cs="Times New Roman"/>
          <w:noProof/>
        </w:rPr>
        <w:t xml:space="preserve"> and procedures in the space domain </w:t>
      </w:r>
      <w:r w:rsidR="00C85D01">
        <w:rPr>
          <w:rFonts w:cs="Times New Roman"/>
          <w:noProof/>
        </w:rPr>
        <w:t>could</w:t>
      </w:r>
      <w:r w:rsidR="00C85D01" w:rsidRPr="00F70DEE">
        <w:rPr>
          <w:rFonts w:cs="Times New Roman"/>
          <w:noProof/>
        </w:rPr>
        <w:t xml:space="preserve"> </w:t>
      </w:r>
      <w:r w:rsidR="004B2A42" w:rsidRPr="00F70DEE">
        <w:rPr>
          <w:rFonts w:cs="Times New Roman"/>
          <w:noProof/>
        </w:rPr>
        <w:t xml:space="preserve">be considered </w:t>
      </w:r>
      <w:r w:rsidR="00C85D01">
        <w:rPr>
          <w:rFonts w:cs="Times New Roman"/>
          <w:noProof/>
        </w:rPr>
        <w:t xml:space="preserve">as part of the EU </w:t>
      </w:r>
      <w:r w:rsidR="00A603D1">
        <w:rPr>
          <w:rFonts w:cs="Times New Roman"/>
          <w:noProof/>
        </w:rPr>
        <w:t>S</w:t>
      </w:r>
      <w:r w:rsidR="00C85D01">
        <w:rPr>
          <w:rFonts w:cs="Times New Roman"/>
          <w:noProof/>
        </w:rPr>
        <w:t xml:space="preserve">pace </w:t>
      </w:r>
      <w:r w:rsidR="00A603D1">
        <w:rPr>
          <w:rFonts w:cs="Times New Roman"/>
          <w:noProof/>
        </w:rPr>
        <w:t>L</w:t>
      </w:r>
      <w:r w:rsidR="00C85D01">
        <w:rPr>
          <w:rFonts w:cs="Times New Roman"/>
          <w:noProof/>
        </w:rPr>
        <w:t xml:space="preserve">aw </w:t>
      </w:r>
      <w:r w:rsidR="004B2A42" w:rsidRPr="00F70DEE">
        <w:rPr>
          <w:rFonts w:cs="Times New Roman"/>
          <w:noProof/>
        </w:rPr>
        <w:t>where relevant.</w:t>
      </w:r>
    </w:p>
    <w:p w14:paraId="5C107F83" w14:textId="31511980" w:rsidR="004419E6" w:rsidRPr="00F70DEE" w:rsidRDefault="004419E6" w:rsidP="004B2A42">
      <w:pPr>
        <w:rPr>
          <w:noProof/>
        </w:rPr>
      </w:pPr>
      <w:r>
        <w:rPr>
          <w:rFonts w:cs="Times New Roman"/>
          <w:noProof/>
        </w:rPr>
        <w:t xml:space="preserve">Finally, </w:t>
      </w:r>
      <w:r w:rsidRPr="00F70DEE">
        <w:rPr>
          <w:rFonts w:cs="Times New Roman"/>
          <w:noProof/>
        </w:rPr>
        <w:t xml:space="preserve">greater steering of the EU in the development of standards and its better representation in international standardisation organisations are </w:t>
      </w:r>
      <w:r>
        <w:rPr>
          <w:rFonts w:cs="Times New Roman"/>
          <w:noProof/>
        </w:rPr>
        <w:t>crucial</w:t>
      </w:r>
      <w:r w:rsidRPr="00F70DEE">
        <w:rPr>
          <w:rFonts w:cs="Times New Roman"/>
          <w:noProof/>
        </w:rPr>
        <w:t xml:space="preserve">, in particular to </w:t>
      </w:r>
      <w:r>
        <w:rPr>
          <w:rFonts w:cs="Times New Roman"/>
          <w:noProof/>
        </w:rPr>
        <w:t xml:space="preserve">protect </w:t>
      </w:r>
      <w:r w:rsidRPr="00F70DEE">
        <w:rPr>
          <w:rFonts w:cs="Times New Roman"/>
          <w:noProof/>
        </w:rPr>
        <w:t>the security interests of the EU and its Member States. Coherence with North Atlantic Treaty Organization (NATO) standards will be encouraged</w:t>
      </w:r>
      <w:r w:rsidR="000C4D57">
        <w:rPr>
          <w:rFonts w:cs="Times New Roman"/>
          <w:noProof/>
        </w:rPr>
        <w:t>.</w:t>
      </w:r>
    </w:p>
    <w:p w14:paraId="4D836324" w14:textId="040D2FD6" w:rsidR="008C75D3" w:rsidRPr="00F70DEE" w:rsidRDefault="00AE0A9C" w:rsidP="00415D95">
      <w:pPr>
        <w:keepNext/>
        <w:keepLines/>
        <w:numPr>
          <w:ilvl w:val="1"/>
          <w:numId w:val="3"/>
        </w:numPr>
        <w:spacing w:before="40"/>
        <w:ind w:left="576" w:hanging="576"/>
        <w:outlineLvl w:val="1"/>
        <w:rPr>
          <w:rFonts w:cs="Times New Roman"/>
          <w:b/>
          <w:noProof/>
          <w:szCs w:val="24"/>
        </w:rPr>
      </w:pPr>
      <w:bookmarkStart w:id="487" w:name="_Toc123037711"/>
      <w:bookmarkStart w:id="488" w:name="_Toc123037944"/>
      <w:bookmarkStart w:id="489" w:name="_Toc123385835"/>
      <w:bookmarkStart w:id="490" w:name="_Toc120137965"/>
      <w:bookmarkStart w:id="491" w:name="_Toc121409646"/>
      <w:bookmarkStart w:id="492" w:name="_Toc123037712"/>
      <w:bookmarkStart w:id="493" w:name="_Toc125732826"/>
      <w:bookmarkEnd w:id="486"/>
      <w:bookmarkEnd w:id="487"/>
      <w:bookmarkEnd w:id="488"/>
      <w:bookmarkEnd w:id="489"/>
      <w:r>
        <w:rPr>
          <w:rFonts w:cs="Times New Roman"/>
          <w:b/>
          <w:noProof/>
          <w:szCs w:val="24"/>
        </w:rPr>
        <w:t xml:space="preserve">Strengthening </w:t>
      </w:r>
      <w:r w:rsidR="008C75D3" w:rsidRPr="00F70DEE">
        <w:rPr>
          <w:rFonts w:cs="Times New Roman"/>
          <w:b/>
          <w:noProof/>
          <w:szCs w:val="24"/>
        </w:rPr>
        <w:t xml:space="preserve">the </w:t>
      </w:r>
      <w:r w:rsidR="008D1F78" w:rsidRPr="00F70DEE">
        <w:rPr>
          <w:rFonts w:cs="Times New Roman"/>
          <w:b/>
          <w:noProof/>
          <w:szCs w:val="24"/>
        </w:rPr>
        <w:t xml:space="preserve">technological </w:t>
      </w:r>
      <w:r w:rsidR="00010C74">
        <w:rPr>
          <w:rFonts w:cs="Times New Roman"/>
          <w:b/>
          <w:noProof/>
          <w:szCs w:val="24"/>
        </w:rPr>
        <w:t>sovereignty</w:t>
      </w:r>
      <w:r w:rsidR="008C75D3" w:rsidRPr="00F70DEE">
        <w:rPr>
          <w:rFonts w:cs="Times New Roman"/>
          <w:b/>
          <w:noProof/>
          <w:szCs w:val="24"/>
        </w:rPr>
        <w:t xml:space="preserve"> </w:t>
      </w:r>
      <w:r w:rsidR="008D1F78" w:rsidRPr="00F70DEE">
        <w:rPr>
          <w:rFonts w:cs="Times New Roman"/>
          <w:b/>
          <w:noProof/>
          <w:szCs w:val="24"/>
        </w:rPr>
        <w:t>of the EU space sector</w:t>
      </w:r>
      <w:bookmarkEnd w:id="490"/>
      <w:bookmarkEnd w:id="491"/>
      <w:bookmarkEnd w:id="492"/>
      <w:bookmarkEnd w:id="493"/>
    </w:p>
    <w:p w14:paraId="447F2EE0" w14:textId="77777777" w:rsidR="008C75D3" w:rsidRPr="00F70DEE" w:rsidRDefault="008C75D3" w:rsidP="008C75D3">
      <w:pPr>
        <w:rPr>
          <w:rFonts w:cs="Times New Roman"/>
          <w:noProof/>
        </w:rPr>
      </w:pPr>
      <w:r w:rsidRPr="00F70DEE">
        <w:rPr>
          <w:rFonts w:cs="Times New Roman"/>
          <w:noProof/>
        </w:rPr>
        <w:t xml:space="preserve">To increase </w:t>
      </w:r>
      <w:r w:rsidR="008D093A">
        <w:rPr>
          <w:rFonts w:cs="Times New Roman"/>
          <w:noProof/>
        </w:rPr>
        <w:t xml:space="preserve">the </w:t>
      </w:r>
      <w:r w:rsidRPr="00F70DEE">
        <w:rPr>
          <w:rFonts w:cs="Times New Roman"/>
          <w:noProof/>
        </w:rPr>
        <w:t>resilience of space infrastructure</w:t>
      </w:r>
      <w:r w:rsidR="008D093A">
        <w:rPr>
          <w:rFonts w:cs="Times New Roman"/>
          <w:noProof/>
        </w:rPr>
        <w:t xml:space="preserve"> and ensure security of supply</w:t>
      </w:r>
      <w:r w:rsidR="008D093A" w:rsidRPr="00F70DEE">
        <w:rPr>
          <w:noProof/>
          <w:vertAlign w:val="superscript"/>
        </w:rPr>
        <w:footnoteReference w:id="15"/>
      </w:r>
      <w:r w:rsidRPr="00F70DEE">
        <w:rPr>
          <w:rFonts w:cs="Times New Roman"/>
          <w:noProof/>
        </w:rPr>
        <w:t xml:space="preserve">, the EU will </w:t>
      </w:r>
      <w:r w:rsidR="00AE0A9C">
        <w:rPr>
          <w:rFonts w:cs="Times New Roman"/>
          <w:noProof/>
        </w:rPr>
        <w:t>strengthen</w:t>
      </w:r>
      <w:r w:rsidR="00AE0A9C" w:rsidRPr="00F70DEE">
        <w:rPr>
          <w:rFonts w:cs="Times New Roman"/>
          <w:noProof/>
        </w:rPr>
        <w:t xml:space="preserve"> </w:t>
      </w:r>
      <w:r w:rsidR="00460AF6" w:rsidRPr="00F70DEE">
        <w:rPr>
          <w:rFonts w:cs="Times New Roman"/>
          <w:noProof/>
        </w:rPr>
        <w:t>its technological sovereignty by r</w:t>
      </w:r>
      <w:r w:rsidRPr="00F70DEE">
        <w:rPr>
          <w:rFonts w:cs="Times New Roman"/>
          <w:noProof/>
        </w:rPr>
        <w:t>educ</w:t>
      </w:r>
      <w:r w:rsidR="00460AF6" w:rsidRPr="00F70DEE">
        <w:rPr>
          <w:rFonts w:cs="Times New Roman"/>
          <w:noProof/>
        </w:rPr>
        <w:t>ing</w:t>
      </w:r>
      <w:r w:rsidRPr="00F70DEE">
        <w:rPr>
          <w:rFonts w:cs="Times New Roman"/>
          <w:noProof/>
        </w:rPr>
        <w:t xml:space="preserve"> </w:t>
      </w:r>
      <w:r w:rsidR="00460AF6" w:rsidRPr="00F70DEE">
        <w:rPr>
          <w:rFonts w:cs="Times New Roman"/>
          <w:noProof/>
        </w:rPr>
        <w:t xml:space="preserve">strategic </w:t>
      </w:r>
      <w:r w:rsidRPr="00F70DEE">
        <w:rPr>
          <w:rFonts w:cs="Times New Roman"/>
          <w:noProof/>
        </w:rPr>
        <w:t>dependenc</w:t>
      </w:r>
      <w:r w:rsidR="00765931" w:rsidRPr="00F70DEE">
        <w:rPr>
          <w:rFonts w:cs="Times New Roman"/>
          <w:noProof/>
        </w:rPr>
        <w:t>ies</w:t>
      </w:r>
      <w:r w:rsidRPr="00F70DEE">
        <w:rPr>
          <w:rFonts w:cs="Times New Roman"/>
          <w:noProof/>
        </w:rPr>
        <w:t xml:space="preserve"> on third countr</w:t>
      </w:r>
      <w:r w:rsidR="00765931" w:rsidRPr="00F70DEE">
        <w:rPr>
          <w:rFonts w:cs="Times New Roman"/>
          <w:noProof/>
        </w:rPr>
        <w:t>ies</w:t>
      </w:r>
      <w:r w:rsidRPr="00F70DEE">
        <w:rPr>
          <w:rFonts w:cs="Times New Roman"/>
          <w:noProof/>
        </w:rPr>
        <w:t xml:space="preserve"> </w:t>
      </w:r>
      <w:r w:rsidR="00765931" w:rsidRPr="00F70DEE">
        <w:rPr>
          <w:rFonts w:cs="Times New Roman"/>
          <w:noProof/>
        </w:rPr>
        <w:t xml:space="preserve">and </w:t>
      </w:r>
      <w:r w:rsidR="00AE0A9C">
        <w:rPr>
          <w:rFonts w:cs="Times New Roman"/>
          <w:noProof/>
        </w:rPr>
        <w:t>boosting</w:t>
      </w:r>
      <w:r w:rsidR="00765931" w:rsidRPr="00F70DEE">
        <w:rPr>
          <w:rFonts w:cs="Times New Roman"/>
          <w:noProof/>
        </w:rPr>
        <w:t xml:space="preserve"> the</w:t>
      </w:r>
      <w:r w:rsidRPr="00F70DEE">
        <w:rPr>
          <w:rFonts w:cs="Times New Roman"/>
          <w:noProof/>
        </w:rPr>
        <w:t xml:space="preserve"> resilience of critical industrial value chains.</w:t>
      </w:r>
    </w:p>
    <w:p w14:paraId="5E361633" w14:textId="2ACE4444" w:rsidR="00845855" w:rsidRDefault="008C75D3" w:rsidP="008C75D3">
      <w:pPr>
        <w:rPr>
          <w:rFonts w:cs="Times New Roman"/>
          <w:noProof/>
        </w:rPr>
      </w:pPr>
      <w:r w:rsidRPr="00F70DEE">
        <w:rPr>
          <w:rFonts w:cs="Times New Roman"/>
          <w:noProof/>
        </w:rPr>
        <w:t>Horizon Europe and the European Defence Fund</w:t>
      </w:r>
      <w:r w:rsidR="004C7B9E" w:rsidRPr="00F70DEE">
        <w:rPr>
          <w:rFonts w:cs="Times New Roman"/>
          <w:noProof/>
        </w:rPr>
        <w:t xml:space="preserve"> (EDF)</w:t>
      </w:r>
      <w:r w:rsidRPr="00F70DEE">
        <w:rPr>
          <w:noProof/>
          <w:vertAlign w:val="superscript"/>
        </w:rPr>
        <w:footnoteReference w:id="16"/>
      </w:r>
      <w:r w:rsidRPr="00F70DEE">
        <w:rPr>
          <w:rFonts w:cs="Times New Roman"/>
          <w:noProof/>
          <w:vertAlign w:val="superscript"/>
        </w:rPr>
        <w:t xml:space="preserve"> </w:t>
      </w:r>
      <w:r w:rsidRPr="00F70DEE">
        <w:rPr>
          <w:rFonts w:cs="Times New Roman"/>
          <w:noProof/>
        </w:rPr>
        <w:t xml:space="preserve">will be fully leveraged to </w:t>
      </w:r>
      <w:r w:rsidR="008D093A">
        <w:rPr>
          <w:rFonts w:cs="Times New Roman"/>
          <w:noProof/>
        </w:rPr>
        <w:t>achieve this</w:t>
      </w:r>
      <w:r w:rsidRPr="00F70DEE">
        <w:rPr>
          <w:rFonts w:cs="Times New Roman"/>
          <w:noProof/>
        </w:rPr>
        <w:t>. The Commission, the European Defence Agency (EDA) and ESA will coordinate and synchronise activities in critical space technologies, building on a re-energised Joint Task Force (JTF)</w:t>
      </w:r>
      <w:r w:rsidR="003E0647" w:rsidRPr="00F70DEE">
        <w:rPr>
          <w:rStyle w:val="FootnoteReference"/>
          <w:rFonts w:cs="Times New Roman"/>
          <w:noProof/>
        </w:rPr>
        <w:footnoteReference w:id="17"/>
      </w:r>
      <w:r w:rsidR="004B2A42" w:rsidRPr="00F70DEE">
        <w:rPr>
          <w:rFonts w:cs="Times New Roman"/>
          <w:noProof/>
        </w:rPr>
        <w:t xml:space="preserve">. </w:t>
      </w:r>
      <w:r w:rsidR="00C8730B">
        <w:rPr>
          <w:rFonts w:cs="Times New Roman"/>
          <w:noProof/>
        </w:rPr>
        <w:t xml:space="preserve">Building upon its expertise, the EUSPA </w:t>
      </w:r>
      <w:r w:rsidR="00C43CF2">
        <w:rPr>
          <w:rFonts w:cs="Times New Roman"/>
          <w:noProof/>
        </w:rPr>
        <w:t>could</w:t>
      </w:r>
      <w:r w:rsidR="00C8730B">
        <w:rPr>
          <w:rFonts w:cs="Times New Roman"/>
          <w:noProof/>
        </w:rPr>
        <w:t xml:space="preserve"> also contribute to this work. </w:t>
      </w:r>
      <w:r w:rsidR="004B2A42" w:rsidRPr="00F70DEE">
        <w:rPr>
          <w:rFonts w:cs="Times New Roman"/>
          <w:noProof/>
        </w:rPr>
        <w:t>The activities of the JTF</w:t>
      </w:r>
      <w:r w:rsidRPr="00F70DEE">
        <w:rPr>
          <w:rFonts w:cs="Times New Roman"/>
          <w:noProof/>
        </w:rPr>
        <w:t xml:space="preserve"> will </w:t>
      </w:r>
      <w:r w:rsidR="004B2A42" w:rsidRPr="00F70DEE">
        <w:rPr>
          <w:rFonts w:cs="Times New Roman"/>
          <w:noProof/>
        </w:rPr>
        <w:t>also</w:t>
      </w:r>
      <w:r w:rsidRPr="00F70DEE">
        <w:rPr>
          <w:rFonts w:cs="Times New Roman"/>
          <w:noProof/>
        </w:rPr>
        <w:t xml:space="preserve"> feed </w:t>
      </w:r>
      <w:r w:rsidR="00D437B3" w:rsidRPr="00F70DEE">
        <w:rPr>
          <w:rFonts w:cs="Times New Roman"/>
          <w:noProof/>
        </w:rPr>
        <w:t xml:space="preserve">into </w:t>
      </w:r>
      <w:r w:rsidRPr="00F70DEE">
        <w:rPr>
          <w:rFonts w:cs="Times New Roman"/>
          <w:noProof/>
        </w:rPr>
        <w:t xml:space="preserve">the </w:t>
      </w:r>
      <w:r w:rsidR="00CD29AF">
        <w:rPr>
          <w:rFonts w:cs="Times New Roman"/>
          <w:noProof/>
        </w:rPr>
        <w:t xml:space="preserve">EU </w:t>
      </w:r>
      <w:r w:rsidRPr="00F70DEE">
        <w:rPr>
          <w:rFonts w:cs="Times New Roman"/>
          <w:noProof/>
        </w:rPr>
        <w:t xml:space="preserve">Observatory </w:t>
      </w:r>
      <w:r w:rsidR="003C5892" w:rsidRPr="00F70DEE">
        <w:rPr>
          <w:rFonts w:cs="Times New Roman"/>
          <w:noProof/>
        </w:rPr>
        <w:t>of</w:t>
      </w:r>
      <w:r w:rsidRPr="00F70DEE">
        <w:rPr>
          <w:rFonts w:cs="Times New Roman"/>
          <w:noProof/>
        </w:rPr>
        <w:t xml:space="preserve"> Critical Technologies</w:t>
      </w:r>
      <w:r w:rsidR="00D437B3" w:rsidRPr="00F70DEE">
        <w:rPr>
          <w:rStyle w:val="FootnoteReference"/>
          <w:rFonts w:cs="Times New Roman"/>
          <w:noProof/>
        </w:rPr>
        <w:footnoteReference w:id="18"/>
      </w:r>
      <w:r w:rsidR="00E6603D">
        <w:rPr>
          <w:rFonts w:cs="Times New Roman"/>
          <w:noProof/>
        </w:rPr>
        <w:t>.</w:t>
      </w:r>
    </w:p>
    <w:p w14:paraId="5EC5951F" w14:textId="61D6D9EA" w:rsidR="00E6603D" w:rsidRPr="000C4D57" w:rsidRDefault="00E6603D" w:rsidP="00E6603D">
      <w:pPr>
        <w:rPr>
          <w:rFonts w:cs="Times New Roman"/>
          <w:noProof/>
        </w:rPr>
      </w:pPr>
      <w:r>
        <w:rPr>
          <w:rFonts w:cs="Times New Roman"/>
          <w:noProof/>
        </w:rPr>
        <w:t>On the basis of</w:t>
      </w:r>
      <w:r w:rsidRPr="00F70DEE">
        <w:rPr>
          <w:rFonts w:cs="Times New Roman"/>
          <w:noProof/>
        </w:rPr>
        <w:t xml:space="preserve"> the activities of the JTF and the </w:t>
      </w:r>
      <w:r>
        <w:rPr>
          <w:rFonts w:cs="Times New Roman"/>
          <w:noProof/>
        </w:rPr>
        <w:t xml:space="preserve">EU </w:t>
      </w:r>
      <w:r w:rsidRPr="00F70DEE">
        <w:rPr>
          <w:rFonts w:cs="Times New Roman"/>
          <w:noProof/>
        </w:rPr>
        <w:t>Observatory of Critical Technologies, the Commission, together with Member States and industry, will assess the need to establish new industrial alliances related to technologies that are relevant for space and defence</w:t>
      </w:r>
      <w:r>
        <w:rPr>
          <w:rFonts w:cs="Times New Roman"/>
          <w:noProof/>
        </w:rPr>
        <w:t xml:space="preserve">, in compliance with the EU competition rules. The Important Projects of Common European Interests (IPCEI) are also a tool that </w:t>
      </w:r>
      <w:r w:rsidRPr="000C4D57">
        <w:rPr>
          <w:rFonts w:cs="Times New Roman"/>
          <w:noProof/>
        </w:rPr>
        <w:t xml:space="preserve">industry and Member States can use to develop space technologies in areas where </w:t>
      </w:r>
      <w:r w:rsidR="00FA67DA" w:rsidRPr="000C4D57">
        <w:rPr>
          <w:noProof/>
        </w:rPr>
        <w:t>it addresses a clearly identified and significant strategic dependency</w:t>
      </w:r>
      <w:r w:rsidR="00DE21BC" w:rsidRPr="000C4D57">
        <w:rPr>
          <w:rFonts w:cs="Times New Roman"/>
          <w:noProof/>
        </w:rPr>
        <w:t>, while ensuring important positive spillovers beyond the participating countries and firms</w:t>
      </w:r>
      <w:r w:rsidRPr="000C4D57">
        <w:rPr>
          <w:rFonts w:cs="Times New Roman"/>
          <w:noProof/>
        </w:rPr>
        <w:t>.</w:t>
      </w:r>
    </w:p>
    <w:p w14:paraId="5BFE7FA9" w14:textId="77777777" w:rsidR="00036042" w:rsidRPr="00EF591A" w:rsidRDefault="00036042" w:rsidP="008C75D3">
      <w:pPr>
        <w:rPr>
          <w:noProof/>
        </w:rPr>
      </w:pPr>
      <w:r>
        <w:rPr>
          <w:rFonts w:cs="Times New Roman"/>
          <w:noProof/>
        </w:rPr>
        <w:t>T</w:t>
      </w:r>
      <w:r w:rsidRPr="00F70DEE">
        <w:rPr>
          <w:rFonts w:cs="Times New Roman"/>
          <w:noProof/>
        </w:rPr>
        <w:t xml:space="preserve">he Space </w:t>
      </w:r>
      <w:r>
        <w:rPr>
          <w:rFonts w:cs="Times New Roman"/>
          <w:noProof/>
        </w:rPr>
        <w:t>P</w:t>
      </w:r>
      <w:r w:rsidRPr="00F70DEE">
        <w:rPr>
          <w:rFonts w:cs="Times New Roman"/>
          <w:noProof/>
        </w:rPr>
        <w:t xml:space="preserve">rogramme, the EDF and Horizon Europe, as well as Member States’ collaborative projects and programmes support the technological maturation of resilience-related capabilities. </w:t>
      </w:r>
      <w:r w:rsidRPr="00452E35">
        <w:rPr>
          <w:rFonts w:cs="Times New Roman"/>
          <w:noProof/>
        </w:rPr>
        <w:t xml:space="preserve">Developing further synergies in programming and funding can ensure continuity in the development of technologies up to systems. </w:t>
      </w:r>
      <w:r w:rsidRPr="00452E35">
        <w:rPr>
          <w:noProof/>
        </w:rPr>
        <w:t>To strengthen</w:t>
      </w:r>
      <w:r w:rsidRPr="00F70DEE">
        <w:rPr>
          <w:noProof/>
        </w:rPr>
        <w:t xml:space="preserve"> the protection and resilience of EU space systems, the Commission will promote joint programming through enhanced coordination between relevant EU programmes.</w:t>
      </w:r>
    </w:p>
    <w:p w14:paraId="3C9F8EA2" w14:textId="76EEC2CB" w:rsidR="00E6603D" w:rsidRPr="00F70DEE" w:rsidRDefault="00E6603D" w:rsidP="00E6603D">
      <w:pPr>
        <w:rPr>
          <w:rFonts w:cs="Times New Roman"/>
          <w:noProof/>
        </w:rPr>
      </w:pPr>
      <w:r w:rsidRPr="00F70DEE">
        <w:rPr>
          <w:rFonts w:cs="Times New Roman"/>
          <w:noProof/>
        </w:rPr>
        <w:t>The Commission should be able to</w:t>
      </w:r>
      <w:r w:rsidR="00DE21BC">
        <w:rPr>
          <w:rFonts w:cs="Times New Roman"/>
          <w:noProof/>
        </w:rPr>
        <w:t xml:space="preserve"> avail of the possibility to</w:t>
      </w:r>
      <w:r w:rsidRPr="00F70DEE">
        <w:rPr>
          <w:rFonts w:cs="Times New Roman"/>
          <w:noProof/>
        </w:rPr>
        <w:t xml:space="preserve"> re-program</w:t>
      </w:r>
      <w:r>
        <w:rPr>
          <w:rFonts w:cs="Times New Roman"/>
          <w:noProof/>
        </w:rPr>
        <w:t>me</w:t>
      </w:r>
      <w:r w:rsidRPr="00F70DEE">
        <w:rPr>
          <w:rFonts w:cs="Times New Roman"/>
          <w:noProof/>
        </w:rPr>
        <w:t xml:space="preserve"> short-term actions in support of critical technologies </w:t>
      </w:r>
      <w:r>
        <w:rPr>
          <w:rFonts w:cs="Times New Roman"/>
          <w:noProof/>
        </w:rPr>
        <w:t>in the face of</w:t>
      </w:r>
      <w:r w:rsidRPr="00F70DEE">
        <w:rPr>
          <w:rFonts w:cs="Times New Roman"/>
          <w:noProof/>
        </w:rPr>
        <w:t xml:space="preserve"> major crises. It will </w:t>
      </w:r>
      <w:r>
        <w:rPr>
          <w:rFonts w:cs="Times New Roman"/>
          <w:noProof/>
        </w:rPr>
        <w:t>ensure that</w:t>
      </w:r>
      <w:r w:rsidRPr="00F70DEE">
        <w:rPr>
          <w:rFonts w:cs="Times New Roman"/>
          <w:noProof/>
        </w:rPr>
        <w:t xml:space="preserve"> </w:t>
      </w:r>
      <w:r>
        <w:rPr>
          <w:noProof/>
        </w:rPr>
        <w:t>space is more systematically taken into account in relevant EU policies and initiatives, such as</w:t>
      </w:r>
      <w:r>
        <w:rPr>
          <w:rFonts w:cs="Times New Roman"/>
          <w:noProof/>
        </w:rPr>
        <w:t xml:space="preserve"> on </w:t>
      </w:r>
      <w:r w:rsidRPr="00F70DEE">
        <w:rPr>
          <w:noProof/>
        </w:rPr>
        <w:t>quantum</w:t>
      </w:r>
      <w:r>
        <w:rPr>
          <w:noProof/>
        </w:rPr>
        <w:t xml:space="preserve"> technologies, or </w:t>
      </w:r>
      <w:r w:rsidRPr="00F70DEE">
        <w:rPr>
          <w:noProof/>
        </w:rPr>
        <w:t>artificial intelligence</w:t>
      </w:r>
      <w:r>
        <w:rPr>
          <w:rFonts w:cs="Times New Roman"/>
          <w:noProof/>
        </w:rPr>
        <w:t xml:space="preserve">, but also </w:t>
      </w:r>
      <w:r w:rsidRPr="00F70DEE">
        <w:rPr>
          <w:rFonts w:cs="Times New Roman"/>
          <w:noProof/>
        </w:rPr>
        <w:t xml:space="preserve">by ensuring access to raw, advanced, and processed materials </w:t>
      </w:r>
      <w:r>
        <w:rPr>
          <w:rFonts w:cs="Times New Roman"/>
          <w:noProof/>
        </w:rPr>
        <w:t>and</w:t>
      </w:r>
      <w:r w:rsidRPr="00F70DEE">
        <w:rPr>
          <w:rFonts w:cs="Times New Roman"/>
          <w:noProof/>
        </w:rPr>
        <w:t xml:space="preserve"> to semi-conductors</w:t>
      </w:r>
      <w:r>
        <w:rPr>
          <w:rFonts w:cs="Times New Roman"/>
          <w:noProof/>
        </w:rPr>
        <w:t xml:space="preserve"> </w:t>
      </w:r>
      <w:r w:rsidRPr="00F70DEE">
        <w:rPr>
          <w:noProof/>
        </w:rPr>
        <w:t xml:space="preserve">through </w:t>
      </w:r>
      <w:r>
        <w:rPr>
          <w:noProof/>
        </w:rPr>
        <w:t xml:space="preserve">for instance </w:t>
      </w:r>
      <w:r w:rsidRPr="00F70DEE">
        <w:rPr>
          <w:noProof/>
        </w:rPr>
        <w:t>the European Critical Raw Materials Act</w:t>
      </w:r>
      <w:r w:rsidRPr="00F70DEE">
        <w:rPr>
          <w:rStyle w:val="FootnoteReference"/>
          <w:noProof/>
        </w:rPr>
        <w:footnoteReference w:id="19"/>
      </w:r>
      <w:r w:rsidRPr="00F70DEE">
        <w:rPr>
          <w:noProof/>
        </w:rPr>
        <w:t xml:space="preserve"> and the Chips Act</w:t>
      </w:r>
      <w:r w:rsidRPr="00F70DEE">
        <w:rPr>
          <w:rStyle w:val="FootnoteReference"/>
          <w:noProof/>
        </w:rPr>
        <w:footnoteReference w:id="20"/>
      </w:r>
      <w:r w:rsidRPr="00F70DEE">
        <w:rPr>
          <w:noProof/>
        </w:rPr>
        <w:t>.</w:t>
      </w:r>
    </w:p>
    <w:p w14:paraId="4D86ADAD" w14:textId="0A72CD6A" w:rsidR="00036042" w:rsidRDefault="00036042" w:rsidP="000D1EC6">
      <w:pPr>
        <w:rPr>
          <w:noProof/>
        </w:rPr>
      </w:pPr>
      <w:r w:rsidRPr="00CD26FA">
        <w:rPr>
          <w:noProof/>
        </w:rPr>
        <w:t xml:space="preserve">The Commission will continue working with ESA </w:t>
      </w:r>
      <w:r w:rsidR="00DE21BC">
        <w:rPr>
          <w:noProof/>
        </w:rPr>
        <w:t>on</w:t>
      </w:r>
      <w:r w:rsidR="00DE21BC" w:rsidRPr="00CD26FA">
        <w:rPr>
          <w:noProof/>
        </w:rPr>
        <w:t xml:space="preserve"> </w:t>
      </w:r>
      <w:r w:rsidRPr="00CD26FA">
        <w:rPr>
          <w:noProof/>
        </w:rPr>
        <w:t xml:space="preserve">the development of EU space technologies, including security-related ones. </w:t>
      </w:r>
      <w:r w:rsidR="007A5F19" w:rsidRPr="00CD26FA">
        <w:rPr>
          <w:noProof/>
        </w:rPr>
        <w:t>To enhance this role</w:t>
      </w:r>
      <w:r w:rsidR="000D1EC6" w:rsidRPr="00CD26FA">
        <w:rPr>
          <w:noProof/>
        </w:rPr>
        <w:t>, i</w:t>
      </w:r>
      <w:r w:rsidR="000D1EC6" w:rsidRPr="00CD26FA">
        <w:rPr>
          <w:rFonts w:cs="Times New Roman"/>
          <w:noProof/>
          <w:szCs w:val="24"/>
          <w:lang w:eastAsia="en-GB"/>
        </w:rPr>
        <w:t xml:space="preserve">t is </w:t>
      </w:r>
      <w:r w:rsidR="007A5F19" w:rsidRPr="00CD26FA">
        <w:rPr>
          <w:rFonts w:cs="Times New Roman"/>
          <w:noProof/>
          <w:szCs w:val="24"/>
          <w:lang w:eastAsia="en-GB"/>
        </w:rPr>
        <w:t>crucial</w:t>
      </w:r>
      <w:r w:rsidR="000D1EC6" w:rsidRPr="00CD26FA">
        <w:rPr>
          <w:rFonts w:cs="Times New Roman"/>
          <w:noProof/>
          <w:szCs w:val="24"/>
          <w:lang w:eastAsia="en-GB"/>
        </w:rPr>
        <w:t xml:space="preserve"> that </w:t>
      </w:r>
      <w:r w:rsidR="007A5F19" w:rsidRPr="00CD26FA">
        <w:rPr>
          <w:rFonts w:cs="Times New Roman"/>
          <w:noProof/>
          <w:szCs w:val="24"/>
          <w:lang w:eastAsia="en-GB"/>
        </w:rPr>
        <w:t xml:space="preserve">ESA puts in place </w:t>
      </w:r>
      <w:r w:rsidR="000D1EC6" w:rsidRPr="00CD26FA">
        <w:rPr>
          <w:rFonts w:cs="Times New Roman"/>
          <w:noProof/>
          <w:szCs w:val="24"/>
          <w:lang w:eastAsia="en-GB"/>
        </w:rPr>
        <w:t xml:space="preserve">relevant measures and mechanisms to ensure the protection of </w:t>
      </w:r>
      <w:r w:rsidR="00DE21BC">
        <w:rPr>
          <w:rFonts w:cs="Times New Roman"/>
          <w:noProof/>
          <w:szCs w:val="24"/>
          <w:lang w:eastAsia="en-GB"/>
        </w:rPr>
        <w:t xml:space="preserve">the </w:t>
      </w:r>
      <w:r w:rsidR="000D1EC6" w:rsidRPr="00CD26FA">
        <w:rPr>
          <w:rFonts w:cs="Times New Roman"/>
          <w:noProof/>
          <w:szCs w:val="24"/>
          <w:lang w:eastAsia="en-GB"/>
        </w:rPr>
        <w:t>security interest</w:t>
      </w:r>
      <w:r w:rsidR="00DE21BC">
        <w:rPr>
          <w:rFonts w:cs="Times New Roman"/>
          <w:noProof/>
          <w:szCs w:val="24"/>
          <w:lang w:eastAsia="en-GB"/>
        </w:rPr>
        <w:t>s</w:t>
      </w:r>
      <w:r w:rsidR="000D1EC6" w:rsidRPr="00CD26FA">
        <w:rPr>
          <w:rFonts w:cs="Times New Roman"/>
          <w:noProof/>
          <w:szCs w:val="24"/>
          <w:lang w:eastAsia="en-GB"/>
        </w:rPr>
        <w:t xml:space="preserve"> of the EU and its Member States. </w:t>
      </w:r>
      <w:r w:rsidRPr="00CD26FA">
        <w:rPr>
          <w:noProof/>
        </w:rPr>
        <w:t>Close cooperation will ensure the complementarity and synchronisation of activities.</w:t>
      </w:r>
    </w:p>
    <w:p w14:paraId="42C19FFD" w14:textId="77777777" w:rsidR="00BC6C80" w:rsidRPr="006610BB" w:rsidRDefault="00BC6C80" w:rsidP="00415D95">
      <w:pPr>
        <w:keepNext/>
        <w:keepLines/>
        <w:numPr>
          <w:ilvl w:val="1"/>
          <w:numId w:val="3"/>
        </w:numPr>
        <w:spacing w:before="40"/>
        <w:ind w:left="576" w:hanging="576"/>
        <w:outlineLvl w:val="1"/>
        <w:rPr>
          <w:rFonts w:cs="Times New Roman"/>
          <w:b/>
          <w:noProof/>
          <w:szCs w:val="24"/>
        </w:rPr>
      </w:pPr>
      <w:r w:rsidRPr="006610BB">
        <w:rPr>
          <w:rFonts w:cs="Times New Roman"/>
          <w:b/>
          <w:noProof/>
          <w:szCs w:val="24"/>
        </w:rPr>
        <w:t xml:space="preserve">Addressing risks to security in the </w:t>
      </w:r>
      <w:r w:rsidR="007A5F19">
        <w:rPr>
          <w:rFonts w:cs="Times New Roman"/>
          <w:b/>
          <w:noProof/>
          <w:szCs w:val="24"/>
        </w:rPr>
        <w:t>s</w:t>
      </w:r>
      <w:r w:rsidR="007A5F19" w:rsidRPr="006610BB">
        <w:rPr>
          <w:rFonts w:cs="Times New Roman"/>
          <w:b/>
          <w:noProof/>
          <w:szCs w:val="24"/>
        </w:rPr>
        <w:t xml:space="preserve">pace </w:t>
      </w:r>
      <w:r w:rsidRPr="006610BB">
        <w:rPr>
          <w:rFonts w:cs="Times New Roman"/>
          <w:b/>
          <w:noProof/>
          <w:szCs w:val="24"/>
        </w:rPr>
        <w:t>sector</w:t>
      </w:r>
      <w:r w:rsidR="007A5F19">
        <w:rPr>
          <w:rFonts w:cs="Times New Roman"/>
          <w:b/>
          <w:noProof/>
          <w:szCs w:val="24"/>
        </w:rPr>
        <w:t xml:space="preserve"> in the EU</w:t>
      </w:r>
    </w:p>
    <w:p w14:paraId="19237418" w14:textId="684B1B9C" w:rsidR="001D5DA7" w:rsidRPr="00F70DEE" w:rsidRDefault="008C75D3" w:rsidP="007A5F19">
      <w:pPr>
        <w:rPr>
          <w:noProof/>
        </w:rPr>
      </w:pPr>
      <w:r w:rsidRPr="00F70DEE">
        <w:rPr>
          <w:rFonts w:cstheme="minorHAnsi"/>
          <w:noProof/>
        </w:rPr>
        <w:t>Ensuring</w:t>
      </w:r>
      <w:r w:rsidR="00D437B3" w:rsidRPr="00F70DEE">
        <w:rPr>
          <w:rFonts w:cstheme="minorHAnsi"/>
          <w:noProof/>
        </w:rPr>
        <w:t xml:space="preserve"> the </w:t>
      </w:r>
      <w:r w:rsidRPr="00F70DEE">
        <w:rPr>
          <w:rFonts w:cstheme="minorHAnsi"/>
          <w:noProof/>
        </w:rPr>
        <w:t xml:space="preserve">EU’s security also relies on the protection of its supply chains. To that </w:t>
      </w:r>
      <w:r w:rsidR="005F144D">
        <w:rPr>
          <w:rFonts w:cstheme="minorHAnsi"/>
          <w:noProof/>
        </w:rPr>
        <w:t>end</w:t>
      </w:r>
      <w:r w:rsidRPr="00F70DEE">
        <w:rPr>
          <w:rFonts w:cstheme="minorHAnsi"/>
          <w:noProof/>
        </w:rPr>
        <w:t xml:space="preserve">, certain </w:t>
      </w:r>
      <w:r w:rsidR="0075205D">
        <w:rPr>
          <w:rFonts w:cstheme="minorHAnsi"/>
          <w:noProof/>
        </w:rPr>
        <w:t xml:space="preserve">controls </w:t>
      </w:r>
      <w:r w:rsidRPr="00F70DEE">
        <w:rPr>
          <w:rFonts w:cstheme="minorHAnsi"/>
          <w:noProof/>
        </w:rPr>
        <w:t xml:space="preserve">are already in place, </w:t>
      </w:r>
      <w:r w:rsidR="003E68B6">
        <w:rPr>
          <w:rFonts w:cstheme="minorHAnsi"/>
          <w:noProof/>
        </w:rPr>
        <w:t>i.e.</w:t>
      </w:r>
      <w:r w:rsidR="00AB13F2">
        <w:rPr>
          <w:rFonts w:cstheme="minorHAnsi"/>
          <w:noProof/>
        </w:rPr>
        <w:t xml:space="preserve"> dual-use</w:t>
      </w:r>
      <w:r w:rsidRPr="00F70DEE">
        <w:rPr>
          <w:rFonts w:cstheme="minorHAnsi"/>
          <w:noProof/>
        </w:rPr>
        <w:t xml:space="preserve"> export control and Foreign Direct Investments (FDI)</w:t>
      </w:r>
      <w:r w:rsidRPr="00F70DEE">
        <w:rPr>
          <w:rFonts w:cstheme="minorHAnsi"/>
          <w:noProof/>
          <w:shd w:val="clear" w:color="auto" w:fill="FFFFFF"/>
          <w:vertAlign w:val="superscript"/>
        </w:rPr>
        <w:footnoteReference w:id="21"/>
      </w:r>
      <w:r w:rsidR="00D02248" w:rsidRPr="00F70DEE">
        <w:rPr>
          <w:rFonts w:cstheme="minorHAnsi"/>
          <w:noProof/>
        </w:rPr>
        <w:t xml:space="preserve"> </w:t>
      </w:r>
      <w:r w:rsidR="00AE0A9C">
        <w:rPr>
          <w:rFonts w:cstheme="minorHAnsi"/>
          <w:noProof/>
        </w:rPr>
        <w:t>s</w:t>
      </w:r>
      <w:r w:rsidR="00D02248" w:rsidRPr="00F70DEE">
        <w:rPr>
          <w:rFonts w:cstheme="minorHAnsi"/>
          <w:noProof/>
        </w:rPr>
        <w:t>creening</w:t>
      </w:r>
      <w:r w:rsidRPr="00F70DEE">
        <w:rPr>
          <w:rFonts w:cstheme="minorHAnsi"/>
          <w:noProof/>
        </w:rPr>
        <w:t xml:space="preserve">. </w:t>
      </w:r>
      <w:r w:rsidR="00A93906" w:rsidRPr="00F70DEE">
        <w:rPr>
          <w:rFonts w:cstheme="minorHAnsi"/>
          <w:noProof/>
        </w:rPr>
        <w:t>T</w:t>
      </w:r>
      <w:r w:rsidRPr="00F70DEE">
        <w:rPr>
          <w:rFonts w:cstheme="minorHAnsi"/>
          <w:noProof/>
        </w:rPr>
        <w:t xml:space="preserve">he Commission </w:t>
      </w:r>
      <w:r w:rsidR="00532ABC" w:rsidRPr="00F70DEE">
        <w:rPr>
          <w:rFonts w:cstheme="minorHAnsi"/>
          <w:noProof/>
        </w:rPr>
        <w:t>will</w:t>
      </w:r>
      <w:r w:rsidRPr="00F70DEE">
        <w:rPr>
          <w:rFonts w:cstheme="minorHAnsi"/>
          <w:noProof/>
        </w:rPr>
        <w:t xml:space="preserve"> evaluate the FDI </w:t>
      </w:r>
      <w:r w:rsidR="00D02248" w:rsidRPr="00F70DEE">
        <w:rPr>
          <w:rFonts w:cstheme="minorHAnsi"/>
          <w:noProof/>
        </w:rPr>
        <w:t xml:space="preserve">Screening </w:t>
      </w:r>
      <w:r w:rsidRPr="00F70DEE">
        <w:rPr>
          <w:rFonts w:cstheme="minorHAnsi"/>
          <w:noProof/>
        </w:rPr>
        <w:t>Regulation by October 2023</w:t>
      </w:r>
      <w:r w:rsidR="00532ABC" w:rsidRPr="00F70DEE">
        <w:rPr>
          <w:rFonts w:cstheme="minorHAnsi"/>
          <w:noProof/>
          <w:vertAlign w:val="superscript"/>
        </w:rPr>
        <w:footnoteReference w:id="22"/>
      </w:r>
      <w:r w:rsidR="00E6603D">
        <w:rPr>
          <w:noProof/>
        </w:rPr>
        <w:t>.</w:t>
      </w:r>
    </w:p>
    <w:p w14:paraId="002985A1" w14:textId="03121E58" w:rsidR="008C75D3" w:rsidRPr="00F70DEE" w:rsidRDefault="005D1B43" w:rsidP="008C75D3">
      <w:pPr>
        <w:rPr>
          <w:rFonts w:eastAsiaTheme="minorHAnsi"/>
          <w:noProof/>
          <w:sz w:val="22"/>
        </w:rPr>
      </w:pPr>
      <w:r w:rsidRPr="00CD26FA">
        <w:rPr>
          <w:noProof/>
        </w:rPr>
        <w:t xml:space="preserve">To </w:t>
      </w:r>
      <w:r w:rsidR="00AE0A9C" w:rsidRPr="00CD26FA">
        <w:rPr>
          <w:noProof/>
        </w:rPr>
        <w:t>be able to better</w:t>
      </w:r>
      <w:r w:rsidR="00BC6E5A">
        <w:rPr>
          <w:noProof/>
        </w:rPr>
        <w:t xml:space="preserve"> </w:t>
      </w:r>
      <w:r w:rsidRPr="00CD26FA">
        <w:rPr>
          <w:noProof/>
        </w:rPr>
        <w:t>assess</w:t>
      </w:r>
      <w:r w:rsidR="00AE0A9C" w:rsidRPr="00CD26FA">
        <w:rPr>
          <w:noProof/>
        </w:rPr>
        <w:t xml:space="preserve"> the</w:t>
      </w:r>
      <w:r w:rsidRPr="00CD26FA">
        <w:rPr>
          <w:noProof/>
        </w:rPr>
        <w:t xml:space="preserve"> risks </w:t>
      </w:r>
      <w:r w:rsidR="00AB13F2" w:rsidRPr="00CD26FA">
        <w:rPr>
          <w:noProof/>
        </w:rPr>
        <w:t>associated to</w:t>
      </w:r>
      <w:r w:rsidRPr="00CD26FA">
        <w:rPr>
          <w:noProof/>
        </w:rPr>
        <w:t xml:space="preserve"> FDI transactions in the space sector, the Commission will ensure it has access to information </w:t>
      </w:r>
      <w:r w:rsidR="00AE0A9C" w:rsidRPr="00CD26FA">
        <w:rPr>
          <w:noProof/>
        </w:rPr>
        <w:t>on</w:t>
      </w:r>
      <w:r w:rsidRPr="00CD26FA">
        <w:rPr>
          <w:noProof/>
        </w:rPr>
        <w:t xml:space="preserve"> direct and indirect providers of goods and services to </w:t>
      </w:r>
      <w:r w:rsidR="00151999" w:rsidRPr="00CD26FA">
        <w:rPr>
          <w:noProof/>
        </w:rPr>
        <w:t>EU</w:t>
      </w:r>
      <w:r w:rsidRPr="00CD26FA">
        <w:rPr>
          <w:noProof/>
        </w:rPr>
        <w:t xml:space="preserve"> spa</w:t>
      </w:r>
      <w:r w:rsidRPr="00BC6E5A">
        <w:rPr>
          <w:noProof/>
        </w:rPr>
        <w:t>ce programmes</w:t>
      </w:r>
      <w:r w:rsidR="00EC536D" w:rsidRPr="00BC6E5A">
        <w:rPr>
          <w:noProof/>
        </w:rPr>
        <w:t>, including when managed by ESA</w:t>
      </w:r>
      <w:r w:rsidR="00D11D30" w:rsidRPr="00BC6E5A">
        <w:rPr>
          <w:noProof/>
        </w:rPr>
        <w:t xml:space="preserve">. </w:t>
      </w:r>
      <w:r w:rsidR="00BC6E5A">
        <w:rPr>
          <w:noProof/>
        </w:rPr>
        <w:t>R</w:t>
      </w:r>
      <w:r w:rsidR="00182AD9" w:rsidRPr="00BC6E5A">
        <w:rPr>
          <w:noProof/>
        </w:rPr>
        <w:t xml:space="preserve">isks </w:t>
      </w:r>
      <w:r w:rsidR="00AE0A9C" w:rsidRPr="00BC6E5A">
        <w:rPr>
          <w:noProof/>
        </w:rPr>
        <w:t xml:space="preserve">for </w:t>
      </w:r>
      <w:r w:rsidR="00182AD9" w:rsidRPr="00BC6E5A">
        <w:rPr>
          <w:noProof/>
        </w:rPr>
        <w:t>the</w:t>
      </w:r>
      <w:r w:rsidR="00A93906" w:rsidRPr="00BC6E5A">
        <w:rPr>
          <w:noProof/>
        </w:rPr>
        <w:t xml:space="preserve"> </w:t>
      </w:r>
      <w:r w:rsidR="00E74342" w:rsidRPr="00BC6E5A">
        <w:rPr>
          <w:noProof/>
        </w:rPr>
        <w:t>EU</w:t>
      </w:r>
      <w:r w:rsidR="004D69E5" w:rsidRPr="00BC6E5A">
        <w:rPr>
          <w:noProof/>
        </w:rPr>
        <w:t>’s</w:t>
      </w:r>
      <w:r w:rsidR="00E74342" w:rsidRPr="00BC6E5A">
        <w:rPr>
          <w:noProof/>
        </w:rPr>
        <w:t xml:space="preserve"> security </w:t>
      </w:r>
      <w:r w:rsidR="00AB13F2" w:rsidRPr="00BC6E5A">
        <w:rPr>
          <w:noProof/>
        </w:rPr>
        <w:t>and public order</w:t>
      </w:r>
      <w:r w:rsidR="00A93906" w:rsidRPr="00BC6E5A">
        <w:rPr>
          <w:noProof/>
        </w:rPr>
        <w:t xml:space="preserve"> relating notably to emerging and critical technologies for its space infrastructure </w:t>
      </w:r>
      <w:r w:rsidR="00182AD9" w:rsidRPr="00BC6E5A">
        <w:rPr>
          <w:noProof/>
        </w:rPr>
        <w:t>should also be</w:t>
      </w:r>
      <w:r w:rsidR="00A93906" w:rsidRPr="00BC6E5A">
        <w:rPr>
          <w:noProof/>
        </w:rPr>
        <w:t xml:space="preserve"> </w:t>
      </w:r>
      <w:r w:rsidR="00E74342" w:rsidRPr="00BC6E5A">
        <w:rPr>
          <w:noProof/>
        </w:rPr>
        <w:t>better detected and mitigated</w:t>
      </w:r>
      <w:r w:rsidR="00AB13F2" w:rsidRPr="00BC6E5A">
        <w:rPr>
          <w:noProof/>
        </w:rPr>
        <w:t>.</w:t>
      </w:r>
      <w:r w:rsidR="008A584C" w:rsidRPr="00BC6E5A">
        <w:rPr>
          <w:noProof/>
        </w:rPr>
        <w:t xml:space="preserve"> </w:t>
      </w:r>
      <w:r w:rsidR="00EA5C12" w:rsidRPr="00BC6E5A">
        <w:rPr>
          <w:noProof/>
        </w:rPr>
        <w:t>Consideration should also be</w:t>
      </w:r>
      <w:r w:rsidR="00BC6E5A">
        <w:rPr>
          <w:noProof/>
        </w:rPr>
        <w:t xml:space="preserve"> given</w:t>
      </w:r>
      <w:r w:rsidR="00EA5C12" w:rsidRPr="00BC6E5A">
        <w:rPr>
          <w:noProof/>
        </w:rPr>
        <w:t xml:space="preserve"> to</w:t>
      </w:r>
      <w:r w:rsidR="008A584C" w:rsidRPr="00BC6E5A">
        <w:rPr>
          <w:noProof/>
        </w:rPr>
        <w:t xml:space="preserve"> the economic and financial circumstances in which EU </w:t>
      </w:r>
      <w:r w:rsidR="00EA5C12" w:rsidRPr="00BC6E5A">
        <w:rPr>
          <w:noProof/>
        </w:rPr>
        <w:t xml:space="preserve">companies </w:t>
      </w:r>
      <w:r w:rsidR="008A584C" w:rsidRPr="00BC6E5A">
        <w:rPr>
          <w:noProof/>
        </w:rPr>
        <w:t xml:space="preserve">with strategic technologies may be vulnerable to </w:t>
      </w:r>
      <w:r w:rsidR="00570B5F" w:rsidRPr="00BC6E5A">
        <w:rPr>
          <w:noProof/>
        </w:rPr>
        <w:t xml:space="preserve">foreign investments representing risks for security or </w:t>
      </w:r>
      <w:r w:rsidR="008A584C" w:rsidRPr="00BC6E5A">
        <w:rPr>
          <w:noProof/>
        </w:rPr>
        <w:t>public order</w:t>
      </w:r>
      <w:r w:rsidR="00A27F1D">
        <w:rPr>
          <w:noProof/>
        </w:rPr>
        <w:t>; as well as to security of supply</w:t>
      </w:r>
      <w:r w:rsidR="00A603D1" w:rsidRPr="00BC6E5A">
        <w:rPr>
          <w:noProof/>
        </w:rPr>
        <w:t>.</w:t>
      </w:r>
      <w:r w:rsidR="008A584C" w:rsidRPr="00BC6E5A">
        <w:rPr>
          <w:noProof/>
        </w:rPr>
        <w:t xml:space="preserve"> </w:t>
      </w:r>
      <w:r w:rsidR="008B2222" w:rsidRPr="00BC6E5A">
        <w:rPr>
          <w:noProof/>
        </w:rPr>
        <w:t xml:space="preserve">As </w:t>
      </w:r>
      <w:r w:rsidR="00EF1C24" w:rsidRPr="00BC6E5A">
        <w:rPr>
          <w:noProof/>
        </w:rPr>
        <w:t xml:space="preserve">a mitigating </w:t>
      </w:r>
      <w:r w:rsidR="008B2222" w:rsidRPr="00BC6E5A">
        <w:rPr>
          <w:noProof/>
        </w:rPr>
        <w:t xml:space="preserve">measure, </w:t>
      </w:r>
      <w:r w:rsidR="001F30A4" w:rsidRPr="00BC6E5A">
        <w:rPr>
          <w:noProof/>
        </w:rPr>
        <w:t>multiple</w:t>
      </w:r>
      <w:r w:rsidR="008B2222" w:rsidRPr="00BC6E5A">
        <w:rPr>
          <w:noProof/>
        </w:rPr>
        <w:t xml:space="preserve"> sourcing of the most</w:t>
      </w:r>
      <w:r w:rsidR="008B2222" w:rsidRPr="00F70DEE">
        <w:rPr>
          <w:noProof/>
        </w:rPr>
        <w:t xml:space="preserve"> critical technologies </w:t>
      </w:r>
      <w:r w:rsidR="00A47BBE" w:rsidRPr="00F70DEE">
        <w:rPr>
          <w:noProof/>
        </w:rPr>
        <w:t xml:space="preserve">and components </w:t>
      </w:r>
      <w:r w:rsidR="008B2222" w:rsidRPr="00F70DEE">
        <w:rPr>
          <w:noProof/>
        </w:rPr>
        <w:t xml:space="preserve">will reduce </w:t>
      </w:r>
      <w:r w:rsidR="00EA5C12">
        <w:rPr>
          <w:noProof/>
        </w:rPr>
        <w:t xml:space="preserve">the </w:t>
      </w:r>
      <w:r w:rsidR="008B2222" w:rsidRPr="00F70DEE">
        <w:rPr>
          <w:noProof/>
        </w:rPr>
        <w:t xml:space="preserve">risks posed by </w:t>
      </w:r>
      <w:r w:rsidR="00570B5F">
        <w:rPr>
          <w:noProof/>
        </w:rPr>
        <w:t xml:space="preserve">certain </w:t>
      </w:r>
      <w:r w:rsidR="008B2222" w:rsidRPr="00F70DEE">
        <w:rPr>
          <w:noProof/>
        </w:rPr>
        <w:t>foreign acquisition and ensure internal competitiveness.</w:t>
      </w:r>
      <w:r w:rsidR="00A77E17" w:rsidRPr="00F70DEE">
        <w:rPr>
          <w:noProof/>
        </w:rPr>
        <w:t xml:space="preserve"> </w:t>
      </w:r>
    </w:p>
    <w:p w14:paraId="702ADADC" w14:textId="4B0BE131" w:rsidR="008C75D3" w:rsidRPr="00F70DEE" w:rsidRDefault="00E6603D" w:rsidP="008C75D3">
      <w:pPr>
        <w:rPr>
          <w:rFonts w:cs="Times New Roman"/>
          <w:noProof/>
        </w:rPr>
      </w:pPr>
      <w:r>
        <w:rPr>
          <w:rFonts w:cs="Times New Roman"/>
          <w:noProof/>
        </w:rPr>
        <w:t>Additionally, p</w:t>
      </w:r>
      <w:r w:rsidR="00EA5C12">
        <w:rPr>
          <w:rFonts w:cs="Times New Roman"/>
          <w:noProof/>
        </w:rPr>
        <w:t>rotecting</w:t>
      </w:r>
      <w:r w:rsidR="008C75D3" w:rsidRPr="00F70DEE">
        <w:rPr>
          <w:rFonts w:cs="Times New Roman"/>
          <w:noProof/>
        </w:rPr>
        <w:t xml:space="preserve"> EU security and </w:t>
      </w:r>
      <w:r w:rsidR="00EA5C12">
        <w:rPr>
          <w:rFonts w:cs="Times New Roman"/>
          <w:noProof/>
        </w:rPr>
        <w:t xml:space="preserve">its </w:t>
      </w:r>
      <w:r w:rsidR="008C75D3" w:rsidRPr="00F70DEE">
        <w:rPr>
          <w:rFonts w:cs="Times New Roman"/>
          <w:noProof/>
        </w:rPr>
        <w:t xml:space="preserve">strategic interests requires procurement rules that fully guarantee security of supply. The Commission will ensure that </w:t>
      </w:r>
      <w:r w:rsidR="00B57C7F" w:rsidRPr="00F70DEE">
        <w:rPr>
          <w:rFonts w:cs="Times New Roman"/>
          <w:noProof/>
        </w:rPr>
        <w:t>EU</w:t>
      </w:r>
      <w:r w:rsidR="008C75D3" w:rsidRPr="00F70DEE">
        <w:rPr>
          <w:rFonts w:cs="Times New Roman"/>
          <w:noProof/>
        </w:rPr>
        <w:t xml:space="preserve"> competition rules and </w:t>
      </w:r>
      <w:r w:rsidR="00081EA0" w:rsidRPr="00F70DEE">
        <w:rPr>
          <w:rFonts w:cs="Times New Roman"/>
          <w:noProof/>
        </w:rPr>
        <w:t>international trade</w:t>
      </w:r>
      <w:r w:rsidR="008C75D3" w:rsidRPr="00F70DEE">
        <w:rPr>
          <w:rFonts w:cs="Times New Roman"/>
          <w:noProof/>
        </w:rPr>
        <w:t xml:space="preserve"> instruments are </w:t>
      </w:r>
      <w:r w:rsidR="00BC6E5A">
        <w:rPr>
          <w:rFonts w:cs="Times New Roman"/>
          <w:noProof/>
        </w:rPr>
        <w:t xml:space="preserve">fully </w:t>
      </w:r>
      <w:r w:rsidR="009709BD">
        <w:rPr>
          <w:rFonts w:cs="Times New Roman"/>
          <w:noProof/>
        </w:rPr>
        <w:t>applied</w:t>
      </w:r>
      <w:r w:rsidR="008C75D3" w:rsidRPr="00F70DEE">
        <w:rPr>
          <w:rFonts w:cs="Times New Roman"/>
          <w:noProof/>
        </w:rPr>
        <w:t xml:space="preserve"> to </w:t>
      </w:r>
      <w:r w:rsidR="00EA5C12">
        <w:rPr>
          <w:rFonts w:cs="Times New Roman"/>
          <w:noProof/>
        </w:rPr>
        <w:t>tackle</w:t>
      </w:r>
      <w:r w:rsidR="00EA5C12" w:rsidRPr="00F70DEE">
        <w:rPr>
          <w:rFonts w:cs="Times New Roman"/>
          <w:noProof/>
        </w:rPr>
        <w:t xml:space="preserve"> </w:t>
      </w:r>
      <w:r w:rsidR="008C75D3" w:rsidRPr="00F70DEE">
        <w:rPr>
          <w:rFonts w:cs="Times New Roman"/>
          <w:noProof/>
        </w:rPr>
        <w:t xml:space="preserve">new challenges </w:t>
      </w:r>
      <w:r w:rsidR="00081EA0" w:rsidRPr="00F70DEE">
        <w:rPr>
          <w:rFonts w:cs="Times New Roman"/>
          <w:noProof/>
        </w:rPr>
        <w:t>faced by</w:t>
      </w:r>
      <w:r w:rsidR="008C75D3" w:rsidRPr="00F70DEE">
        <w:rPr>
          <w:rFonts w:cs="Times New Roman"/>
          <w:noProof/>
        </w:rPr>
        <w:t xml:space="preserve"> the </w:t>
      </w:r>
      <w:r w:rsidR="00081EA0" w:rsidRPr="00F70DEE">
        <w:rPr>
          <w:rFonts w:cs="Times New Roman"/>
          <w:noProof/>
        </w:rPr>
        <w:t xml:space="preserve">EU </w:t>
      </w:r>
      <w:r w:rsidR="008C75D3" w:rsidRPr="00F70DEE">
        <w:rPr>
          <w:rFonts w:cs="Times New Roman"/>
          <w:noProof/>
        </w:rPr>
        <w:t xml:space="preserve">space </w:t>
      </w:r>
      <w:r w:rsidR="00081EA0" w:rsidRPr="00F70DEE">
        <w:rPr>
          <w:rFonts w:cs="Times New Roman"/>
          <w:noProof/>
        </w:rPr>
        <w:t xml:space="preserve">and defence </w:t>
      </w:r>
      <w:r w:rsidR="008C75D3" w:rsidRPr="00F70DEE">
        <w:rPr>
          <w:rFonts w:cs="Times New Roman"/>
          <w:noProof/>
        </w:rPr>
        <w:t>sector</w:t>
      </w:r>
      <w:r w:rsidR="00081EA0" w:rsidRPr="00F70DEE">
        <w:rPr>
          <w:rFonts w:cs="Times New Roman"/>
          <w:noProof/>
        </w:rPr>
        <w:t>s</w:t>
      </w:r>
      <w:r w:rsidR="008C75D3" w:rsidRPr="00F70DEE">
        <w:rPr>
          <w:rFonts w:cs="Times New Roman"/>
          <w:noProof/>
        </w:rPr>
        <w:t xml:space="preserve">, </w:t>
      </w:r>
      <w:r w:rsidR="008D0169" w:rsidRPr="00F70DEE">
        <w:rPr>
          <w:rFonts w:cs="Times New Roman"/>
          <w:noProof/>
        </w:rPr>
        <w:t xml:space="preserve">such as the risk of distortive foreign subsidies. This </w:t>
      </w:r>
      <w:r w:rsidR="00BC6E5A">
        <w:rPr>
          <w:rFonts w:cs="Times New Roman"/>
          <w:noProof/>
        </w:rPr>
        <w:t>should</w:t>
      </w:r>
      <w:r w:rsidR="008D0169" w:rsidRPr="00F70DEE">
        <w:rPr>
          <w:rFonts w:cs="Times New Roman"/>
          <w:noProof/>
        </w:rPr>
        <w:t xml:space="preserve"> include investigating </w:t>
      </w:r>
      <w:r w:rsidR="00C141FD">
        <w:rPr>
          <w:rFonts w:cs="Times New Roman"/>
          <w:noProof/>
        </w:rPr>
        <w:t xml:space="preserve">certain </w:t>
      </w:r>
      <w:r w:rsidR="008C75D3" w:rsidRPr="00F70DEE">
        <w:rPr>
          <w:rFonts w:cs="Times New Roman"/>
          <w:noProof/>
        </w:rPr>
        <w:t>acquisitions of EU companies</w:t>
      </w:r>
      <w:r w:rsidR="00502F24" w:rsidRPr="00F70DEE">
        <w:rPr>
          <w:rFonts w:cs="Times New Roman"/>
          <w:noProof/>
        </w:rPr>
        <w:t xml:space="preserve"> </w:t>
      </w:r>
      <w:r w:rsidR="008D0169" w:rsidRPr="00F70DEE">
        <w:rPr>
          <w:rFonts w:cs="Times New Roman"/>
          <w:noProof/>
        </w:rPr>
        <w:t xml:space="preserve">active in these sectors, which may </w:t>
      </w:r>
      <w:r w:rsidR="008C75D3" w:rsidRPr="00F70DEE">
        <w:rPr>
          <w:rFonts w:cs="Times New Roman"/>
          <w:noProof/>
        </w:rPr>
        <w:t xml:space="preserve">be facilitated by </w:t>
      </w:r>
      <w:r w:rsidR="009709BD">
        <w:rPr>
          <w:rFonts w:cs="Times New Roman"/>
          <w:noProof/>
        </w:rPr>
        <w:t xml:space="preserve">illegal </w:t>
      </w:r>
      <w:r w:rsidR="008C75D3" w:rsidRPr="00F70DEE">
        <w:rPr>
          <w:rFonts w:cs="Times New Roman"/>
          <w:noProof/>
        </w:rPr>
        <w:t>third</w:t>
      </w:r>
      <w:r w:rsidR="001D22C3" w:rsidRPr="00F70DEE">
        <w:rPr>
          <w:rFonts w:cs="Times New Roman"/>
          <w:noProof/>
        </w:rPr>
        <w:t xml:space="preserve"> </w:t>
      </w:r>
      <w:r w:rsidR="008C75D3" w:rsidRPr="00F70DEE">
        <w:rPr>
          <w:rFonts w:cs="Times New Roman"/>
          <w:noProof/>
        </w:rPr>
        <w:t>country subsidies</w:t>
      </w:r>
      <w:r w:rsidR="00EA5C12">
        <w:rPr>
          <w:rFonts w:cs="Times New Roman"/>
          <w:noProof/>
        </w:rPr>
        <w:t>.</w:t>
      </w:r>
      <w:r w:rsidR="00BC6E5A">
        <w:rPr>
          <w:rFonts w:cs="Times New Roman"/>
          <w:noProof/>
        </w:rPr>
        <w:t xml:space="preserve"> </w:t>
      </w:r>
      <w:r w:rsidR="00EA5C12">
        <w:rPr>
          <w:rFonts w:cs="Times New Roman"/>
          <w:noProof/>
        </w:rPr>
        <w:t>I</w:t>
      </w:r>
      <w:r w:rsidR="008D0169" w:rsidRPr="64705236">
        <w:rPr>
          <w:rFonts w:cs="Times New Roman"/>
          <w:noProof/>
        </w:rPr>
        <w:t xml:space="preserve">f needed, prohibiting the acquisition or accepting binding commitments </w:t>
      </w:r>
      <w:r w:rsidR="008D0169" w:rsidRPr="00F70DEE">
        <w:rPr>
          <w:rFonts w:cs="Times New Roman"/>
          <w:noProof/>
        </w:rPr>
        <w:t>from the companies concern</w:t>
      </w:r>
      <w:r w:rsidR="008D0169">
        <w:rPr>
          <w:rFonts w:cs="Times New Roman"/>
          <w:noProof/>
        </w:rPr>
        <w:t>ed</w:t>
      </w:r>
      <w:r w:rsidR="008C75D3" w:rsidRPr="00F70DEE">
        <w:rPr>
          <w:rFonts w:cs="Times New Roman"/>
          <w:noProof/>
        </w:rPr>
        <w:t xml:space="preserve"> </w:t>
      </w:r>
      <w:r w:rsidR="00EA5C12">
        <w:rPr>
          <w:rFonts w:cs="Times New Roman"/>
          <w:noProof/>
        </w:rPr>
        <w:t xml:space="preserve">could be considered </w:t>
      </w:r>
      <w:r w:rsidR="008C75D3" w:rsidRPr="00F70DEE">
        <w:rPr>
          <w:rFonts w:cs="Times New Roman"/>
          <w:noProof/>
        </w:rPr>
        <w:t>to remedy</w:t>
      </w:r>
      <w:r w:rsidR="008D0169">
        <w:rPr>
          <w:rFonts w:cs="Times New Roman"/>
          <w:noProof/>
        </w:rPr>
        <w:t xml:space="preserve"> the</w:t>
      </w:r>
      <w:r w:rsidR="008C75D3" w:rsidRPr="00F70DEE">
        <w:rPr>
          <w:rFonts w:cs="Times New Roman"/>
          <w:noProof/>
        </w:rPr>
        <w:t xml:space="preserve"> distortions</w:t>
      </w:r>
      <w:r w:rsidR="008D0169">
        <w:rPr>
          <w:rFonts w:cs="Times New Roman"/>
          <w:noProof/>
        </w:rPr>
        <w:t xml:space="preserve"> caused by these foreign subsidies</w:t>
      </w:r>
      <w:r w:rsidR="0034776A" w:rsidRPr="00F70DEE">
        <w:rPr>
          <w:rFonts w:cs="Times New Roman"/>
          <w:noProof/>
        </w:rPr>
        <w:t>.</w:t>
      </w:r>
      <w:r w:rsidR="008D0169" w:rsidRPr="008D0169">
        <w:rPr>
          <w:rStyle w:val="FootnoteReference"/>
          <w:rFonts w:cs="Times New Roman"/>
          <w:noProof/>
        </w:rPr>
        <w:t xml:space="preserve"> </w:t>
      </w:r>
      <w:r w:rsidR="008D0169" w:rsidRPr="00F70DEE">
        <w:rPr>
          <w:rStyle w:val="FootnoteReference"/>
          <w:rFonts w:cs="Times New Roman"/>
          <w:noProof/>
        </w:rPr>
        <w:footnoteReference w:id="23"/>
      </w:r>
    </w:p>
    <w:p w14:paraId="371B24F4" w14:textId="77777777" w:rsidR="008C75D3" w:rsidRPr="00F70DEE" w:rsidRDefault="008C75D3" w:rsidP="00415D95">
      <w:pPr>
        <w:keepNext/>
        <w:keepLines/>
        <w:numPr>
          <w:ilvl w:val="1"/>
          <w:numId w:val="3"/>
        </w:numPr>
        <w:spacing w:before="40"/>
        <w:ind w:left="576" w:hanging="576"/>
        <w:outlineLvl w:val="1"/>
        <w:rPr>
          <w:rFonts w:cs="Times New Roman"/>
          <w:b/>
          <w:noProof/>
          <w:szCs w:val="24"/>
        </w:rPr>
      </w:pPr>
      <w:bookmarkStart w:id="494" w:name="_Toc123037713"/>
      <w:bookmarkStart w:id="495" w:name="_Toc123037946"/>
      <w:bookmarkStart w:id="496" w:name="_Toc123385837"/>
      <w:bookmarkStart w:id="497" w:name="_Toc120137993"/>
      <w:bookmarkStart w:id="498" w:name="_Toc121409235"/>
      <w:bookmarkStart w:id="499" w:name="_Toc121409647"/>
      <w:bookmarkStart w:id="500" w:name="_Toc123037714"/>
      <w:bookmarkStart w:id="501" w:name="_Toc125732827"/>
      <w:bookmarkEnd w:id="494"/>
      <w:bookmarkEnd w:id="495"/>
      <w:bookmarkEnd w:id="496"/>
      <w:r w:rsidRPr="00F70DEE">
        <w:rPr>
          <w:rFonts w:cs="Times New Roman"/>
          <w:b/>
          <w:noProof/>
          <w:szCs w:val="24"/>
        </w:rPr>
        <w:t>D</w:t>
      </w:r>
      <w:bookmarkEnd w:id="497"/>
      <w:bookmarkEnd w:id="498"/>
      <w:r w:rsidRPr="00F70DEE">
        <w:rPr>
          <w:rFonts w:cs="Times New Roman"/>
          <w:b/>
          <w:noProof/>
          <w:szCs w:val="24"/>
        </w:rPr>
        <w:t>eveloping capabilities</w:t>
      </w:r>
      <w:r w:rsidR="00BC6E5A">
        <w:rPr>
          <w:rFonts w:cs="Times New Roman"/>
          <w:b/>
          <w:noProof/>
          <w:szCs w:val="24"/>
        </w:rPr>
        <w:t>, including EU autonomous access to space,</w:t>
      </w:r>
      <w:r w:rsidRPr="00F70DEE">
        <w:rPr>
          <w:rFonts w:cs="Times New Roman"/>
          <w:b/>
          <w:noProof/>
          <w:szCs w:val="24"/>
        </w:rPr>
        <w:t xml:space="preserve"> to increase resilience</w:t>
      </w:r>
      <w:bookmarkEnd w:id="499"/>
      <w:bookmarkEnd w:id="500"/>
      <w:bookmarkEnd w:id="501"/>
    </w:p>
    <w:p w14:paraId="2765885F" w14:textId="713F0218" w:rsidR="008C75D3" w:rsidRPr="00F70DEE" w:rsidRDefault="008C75D3" w:rsidP="008C75D3">
      <w:pPr>
        <w:rPr>
          <w:rFonts w:cs="Times New Roman"/>
          <w:noProof/>
        </w:rPr>
      </w:pPr>
      <w:r w:rsidRPr="00F70DEE">
        <w:rPr>
          <w:rFonts w:cs="Times New Roman"/>
          <w:noProof/>
        </w:rPr>
        <w:t xml:space="preserve">There are many capabilities that can enhance the resilience of space systems and services such as </w:t>
      </w:r>
      <w:r w:rsidR="008D0169" w:rsidRPr="00F70DEE">
        <w:rPr>
          <w:rFonts w:cs="Times New Roman"/>
          <w:noProof/>
        </w:rPr>
        <w:t>self-protective infrastructure, versatile and responsive launchers, space situational awareness services, in-orbit servicing</w:t>
      </w:r>
      <w:r w:rsidR="008D0169" w:rsidRPr="00F70DEE">
        <w:rPr>
          <w:noProof/>
        </w:rPr>
        <w:t xml:space="preserve"> </w:t>
      </w:r>
      <w:r w:rsidR="00BC6E5A">
        <w:rPr>
          <w:noProof/>
        </w:rPr>
        <w:t xml:space="preserve">and </w:t>
      </w:r>
      <w:r w:rsidR="008D0169" w:rsidRPr="00F70DEE">
        <w:rPr>
          <w:rFonts w:cs="Times New Roman"/>
          <w:noProof/>
        </w:rPr>
        <w:t>secured sovereign cloud dedicated to space services</w:t>
      </w:r>
      <w:r w:rsidRPr="00F70DEE">
        <w:rPr>
          <w:rFonts w:cs="Times New Roman"/>
          <w:noProof/>
        </w:rPr>
        <w:t xml:space="preserve">. Such capabilities can </w:t>
      </w:r>
      <w:r w:rsidR="00EA5C12">
        <w:rPr>
          <w:rFonts w:cs="Times New Roman"/>
          <w:noProof/>
        </w:rPr>
        <w:t>make space assets stronger</w:t>
      </w:r>
      <w:r w:rsidRPr="00F70DEE">
        <w:rPr>
          <w:rFonts w:cs="Times New Roman"/>
          <w:noProof/>
        </w:rPr>
        <w:t xml:space="preserve">, </w:t>
      </w:r>
      <w:r w:rsidR="00EA5C12">
        <w:rPr>
          <w:rFonts w:cs="Times New Roman"/>
          <w:noProof/>
        </w:rPr>
        <w:t>protect them better</w:t>
      </w:r>
      <w:r w:rsidRPr="00F70DEE">
        <w:rPr>
          <w:rFonts w:cs="Times New Roman"/>
          <w:noProof/>
        </w:rPr>
        <w:t xml:space="preserve">, extend their </w:t>
      </w:r>
      <w:r w:rsidR="00A30E7A" w:rsidRPr="00F70DEE">
        <w:rPr>
          <w:rFonts w:cs="Times New Roman"/>
          <w:noProof/>
        </w:rPr>
        <w:t>lifetime</w:t>
      </w:r>
      <w:r w:rsidR="00A507DC" w:rsidRPr="00F70DEE">
        <w:rPr>
          <w:rFonts w:cs="Times New Roman"/>
          <w:noProof/>
        </w:rPr>
        <w:t>,</w:t>
      </w:r>
      <w:r w:rsidRPr="00F70DEE">
        <w:rPr>
          <w:rFonts w:cs="Times New Roman"/>
          <w:noProof/>
        </w:rPr>
        <w:t xml:space="preserve"> or replace them quickly</w:t>
      </w:r>
      <w:r w:rsidR="00EA5C12">
        <w:rPr>
          <w:rFonts w:cs="Times New Roman"/>
          <w:noProof/>
        </w:rPr>
        <w:t>.</w:t>
      </w:r>
    </w:p>
    <w:p w14:paraId="7D2D7548" w14:textId="77777777" w:rsidR="00F27F96" w:rsidRPr="00F70DEE" w:rsidRDefault="00460AF6" w:rsidP="008C75D3">
      <w:pPr>
        <w:rPr>
          <w:rFonts w:cs="Times New Roman"/>
          <w:noProof/>
        </w:rPr>
      </w:pPr>
      <w:r w:rsidRPr="00F70DEE">
        <w:rPr>
          <w:rFonts w:cs="Times New Roman"/>
          <w:noProof/>
        </w:rPr>
        <w:t>EU a</w:t>
      </w:r>
      <w:r w:rsidR="008C75D3" w:rsidRPr="00F70DEE">
        <w:rPr>
          <w:rFonts w:cs="Times New Roman"/>
          <w:noProof/>
        </w:rPr>
        <w:t xml:space="preserve">utonomous access to space is </w:t>
      </w:r>
      <w:r w:rsidR="0058440D" w:rsidRPr="00F70DEE">
        <w:rPr>
          <w:rFonts w:cs="Times New Roman"/>
          <w:noProof/>
        </w:rPr>
        <w:t>essential</w:t>
      </w:r>
      <w:r w:rsidR="008C75D3" w:rsidRPr="00F70DEE">
        <w:rPr>
          <w:rFonts w:cs="Times New Roman"/>
          <w:noProof/>
        </w:rPr>
        <w:t xml:space="preserve"> </w:t>
      </w:r>
      <w:r w:rsidR="00EA5C12">
        <w:rPr>
          <w:rFonts w:cs="Times New Roman"/>
          <w:noProof/>
        </w:rPr>
        <w:t>for</w:t>
      </w:r>
      <w:r w:rsidR="008C75D3" w:rsidRPr="00F70DEE">
        <w:rPr>
          <w:rFonts w:cs="Times New Roman"/>
          <w:noProof/>
        </w:rPr>
        <w:t xml:space="preserve"> </w:t>
      </w:r>
      <w:r w:rsidR="00210013" w:rsidRPr="00F70DEE">
        <w:rPr>
          <w:rFonts w:cs="Times New Roman"/>
          <w:noProof/>
        </w:rPr>
        <w:t xml:space="preserve">the resilience of </w:t>
      </w:r>
      <w:r w:rsidR="008C75D3" w:rsidRPr="00F70DEE">
        <w:rPr>
          <w:rFonts w:cs="Times New Roman"/>
          <w:noProof/>
        </w:rPr>
        <w:t>space infrastructure in the EU</w:t>
      </w:r>
      <w:r w:rsidR="00643128" w:rsidRPr="00F70DEE">
        <w:rPr>
          <w:rFonts w:cs="Times New Roman"/>
          <w:noProof/>
        </w:rPr>
        <w:t>,</w:t>
      </w:r>
      <w:r w:rsidR="00210013" w:rsidRPr="00F70DEE">
        <w:rPr>
          <w:rFonts w:cs="Times New Roman"/>
          <w:noProof/>
        </w:rPr>
        <w:t xml:space="preserve"> including</w:t>
      </w:r>
      <w:r w:rsidR="008C75D3" w:rsidRPr="00F70DEE">
        <w:rPr>
          <w:rFonts w:cs="Times New Roman"/>
          <w:noProof/>
        </w:rPr>
        <w:t xml:space="preserve"> </w:t>
      </w:r>
      <w:r w:rsidR="00210013" w:rsidRPr="00F70DEE">
        <w:rPr>
          <w:rFonts w:cs="Times New Roman"/>
          <w:noProof/>
        </w:rPr>
        <w:t>f</w:t>
      </w:r>
      <w:r w:rsidR="008C75D3" w:rsidRPr="00F70DEE">
        <w:rPr>
          <w:rFonts w:cs="Times New Roman"/>
          <w:noProof/>
        </w:rPr>
        <w:t>or the replenishment of constellations, the replacement of individual satellites or the deployment of future constellations</w:t>
      </w:r>
      <w:r w:rsidR="00643128" w:rsidRPr="00F70DEE">
        <w:rPr>
          <w:rFonts w:cs="Times New Roman"/>
          <w:noProof/>
        </w:rPr>
        <w:t>.</w:t>
      </w:r>
    </w:p>
    <w:p w14:paraId="3DCF8E34" w14:textId="63108104" w:rsidR="00A27F1D" w:rsidRDefault="008C75D3" w:rsidP="00A27F1D">
      <w:pPr>
        <w:rPr>
          <w:rFonts w:cs="Times New Roman"/>
          <w:noProof/>
        </w:rPr>
      </w:pPr>
      <w:r w:rsidRPr="00F70DEE">
        <w:rPr>
          <w:rFonts w:cs="Times New Roman"/>
          <w:noProof/>
        </w:rPr>
        <w:t xml:space="preserve">Responsiveness and </w:t>
      </w:r>
      <w:r w:rsidR="003F11B3" w:rsidRPr="00F70DEE">
        <w:rPr>
          <w:rFonts w:cs="Times New Roman"/>
          <w:noProof/>
        </w:rPr>
        <w:t xml:space="preserve">versatility </w:t>
      </w:r>
      <w:r w:rsidRPr="00F70DEE">
        <w:rPr>
          <w:rFonts w:cs="Times New Roman"/>
          <w:noProof/>
        </w:rPr>
        <w:t xml:space="preserve">in access to space are essential </w:t>
      </w:r>
      <w:r w:rsidR="003D4810">
        <w:rPr>
          <w:rFonts w:cs="Times New Roman"/>
          <w:noProof/>
        </w:rPr>
        <w:t xml:space="preserve">for </w:t>
      </w:r>
      <w:r w:rsidRPr="00F70DEE">
        <w:rPr>
          <w:rFonts w:cs="Times New Roman"/>
          <w:noProof/>
        </w:rPr>
        <w:t>ensur</w:t>
      </w:r>
      <w:r w:rsidR="003D4810">
        <w:rPr>
          <w:rFonts w:cs="Times New Roman"/>
          <w:noProof/>
        </w:rPr>
        <w:t xml:space="preserve">ing that growing </w:t>
      </w:r>
      <w:r w:rsidRPr="00F70DEE">
        <w:rPr>
          <w:rFonts w:cs="Times New Roman"/>
          <w:noProof/>
        </w:rPr>
        <w:t>military and defence</w:t>
      </w:r>
      <w:r w:rsidR="003D4810">
        <w:rPr>
          <w:rFonts w:cs="Times New Roman"/>
          <w:noProof/>
        </w:rPr>
        <w:t xml:space="preserve"> needs are met</w:t>
      </w:r>
      <w:r w:rsidRPr="00F70DEE">
        <w:rPr>
          <w:rFonts w:cs="Times New Roman"/>
          <w:noProof/>
        </w:rPr>
        <w:t>.</w:t>
      </w:r>
      <w:r w:rsidRPr="00F70DEE">
        <w:rPr>
          <w:rFonts w:ascii="Marianne" w:hAnsi="Marianne"/>
          <w:noProof/>
        </w:rPr>
        <w:t xml:space="preserve"> </w:t>
      </w:r>
      <w:r w:rsidR="005F08AB" w:rsidRPr="00F70DEE">
        <w:rPr>
          <w:rFonts w:cs="Times New Roman"/>
          <w:noProof/>
        </w:rPr>
        <w:t>Beyond</w:t>
      </w:r>
      <w:r w:rsidR="00210013" w:rsidRPr="00F70DEE">
        <w:rPr>
          <w:rFonts w:cs="Times New Roman"/>
          <w:noProof/>
        </w:rPr>
        <w:t xml:space="preserve"> consolidati</w:t>
      </w:r>
      <w:r w:rsidR="005F08AB" w:rsidRPr="00F70DEE">
        <w:rPr>
          <w:rFonts w:cs="Times New Roman"/>
          <w:noProof/>
        </w:rPr>
        <w:t>ng</w:t>
      </w:r>
      <w:r w:rsidR="00210013" w:rsidRPr="00F70DEE">
        <w:rPr>
          <w:rFonts w:cs="Times New Roman"/>
          <w:noProof/>
        </w:rPr>
        <w:t xml:space="preserve"> </w:t>
      </w:r>
      <w:r w:rsidR="003F11B3" w:rsidRPr="00F70DEE">
        <w:rPr>
          <w:rFonts w:cs="Times New Roman"/>
          <w:noProof/>
        </w:rPr>
        <w:t xml:space="preserve">current </w:t>
      </w:r>
      <w:r w:rsidR="00210013" w:rsidRPr="00F70DEE">
        <w:rPr>
          <w:rFonts w:cs="Times New Roman"/>
          <w:noProof/>
        </w:rPr>
        <w:t>launch</w:t>
      </w:r>
      <w:r w:rsidR="003F11B3" w:rsidRPr="00F70DEE">
        <w:rPr>
          <w:rFonts w:cs="Times New Roman"/>
          <w:noProof/>
        </w:rPr>
        <w:t xml:space="preserve"> capabilit</w:t>
      </w:r>
      <w:r w:rsidR="00023EDF" w:rsidRPr="00F70DEE">
        <w:rPr>
          <w:rFonts w:cs="Times New Roman"/>
          <w:noProof/>
        </w:rPr>
        <w:t>ies</w:t>
      </w:r>
      <w:r w:rsidR="00210013" w:rsidRPr="00F70DEE">
        <w:rPr>
          <w:rFonts w:cs="Times New Roman"/>
          <w:noProof/>
        </w:rPr>
        <w:t>, the development of launch systems</w:t>
      </w:r>
      <w:r w:rsidR="00456F85" w:rsidRPr="00F70DEE">
        <w:rPr>
          <w:rFonts w:cs="Times New Roman"/>
          <w:noProof/>
        </w:rPr>
        <w:t xml:space="preserve"> in the EU</w:t>
      </w:r>
      <w:r w:rsidR="005F08AB" w:rsidRPr="00F70DEE">
        <w:rPr>
          <w:rFonts w:cs="Times New Roman"/>
          <w:noProof/>
        </w:rPr>
        <w:t xml:space="preserve"> needs to be stimulated</w:t>
      </w:r>
      <w:r w:rsidR="00210013" w:rsidRPr="00F70DEE">
        <w:rPr>
          <w:rFonts w:cs="Times New Roman"/>
          <w:noProof/>
        </w:rPr>
        <w:t xml:space="preserve">, </w:t>
      </w:r>
      <w:r w:rsidR="00571432" w:rsidRPr="00F70DEE">
        <w:rPr>
          <w:rFonts w:cs="Times New Roman"/>
          <w:noProof/>
        </w:rPr>
        <w:t xml:space="preserve">including </w:t>
      </w:r>
      <w:r w:rsidR="00210013" w:rsidRPr="00F70DEE">
        <w:rPr>
          <w:rFonts w:cs="Times New Roman"/>
          <w:noProof/>
        </w:rPr>
        <w:t>micro-launchers and reusable launchers</w:t>
      </w:r>
      <w:r w:rsidR="00DA2BB1" w:rsidRPr="00F70DEE">
        <w:rPr>
          <w:rFonts w:cs="Times New Roman"/>
          <w:noProof/>
        </w:rPr>
        <w:t>,</w:t>
      </w:r>
      <w:r w:rsidR="00210013" w:rsidRPr="00F70DEE">
        <w:rPr>
          <w:rFonts w:cs="Times New Roman"/>
          <w:noProof/>
        </w:rPr>
        <w:t xml:space="preserve"> along with a</w:t>
      </w:r>
      <w:r w:rsidR="00DA2BB1" w:rsidRPr="00F70DEE">
        <w:rPr>
          <w:rFonts w:cs="Times New Roman"/>
          <w:noProof/>
        </w:rPr>
        <w:t xml:space="preserve">n agile </w:t>
      </w:r>
      <w:r w:rsidR="00210013" w:rsidRPr="00F70DEE">
        <w:rPr>
          <w:rFonts w:cs="Times New Roman"/>
          <w:noProof/>
        </w:rPr>
        <w:t>manufacturing industry</w:t>
      </w:r>
      <w:r w:rsidR="00456F85" w:rsidRPr="00F70DEE">
        <w:rPr>
          <w:rFonts w:cs="Times New Roman"/>
          <w:noProof/>
        </w:rPr>
        <w:t>. The Commission will</w:t>
      </w:r>
      <w:r w:rsidR="00210013" w:rsidRPr="00F70DEE">
        <w:rPr>
          <w:rFonts w:cs="Times New Roman"/>
          <w:noProof/>
        </w:rPr>
        <w:t xml:space="preserve"> </w:t>
      </w:r>
      <w:r w:rsidRPr="00F70DEE">
        <w:rPr>
          <w:rFonts w:cs="Times New Roman"/>
          <w:noProof/>
        </w:rPr>
        <w:t>incentivise the development of standardised interfaces</w:t>
      </w:r>
      <w:r w:rsidR="00E92907" w:rsidRPr="00F70DEE">
        <w:rPr>
          <w:rFonts w:cs="Times New Roman"/>
          <w:noProof/>
        </w:rPr>
        <w:t xml:space="preserve"> (</w:t>
      </w:r>
      <w:r w:rsidR="00023EDF" w:rsidRPr="00F70DEE">
        <w:rPr>
          <w:rFonts w:cs="Times New Roman"/>
          <w:noProof/>
        </w:rPr>
        <w:t xml:space="preserve">covering </w:t>
      </w:r>
      <w:r w:rsidR="00E92907" w:rsidRPr="00F70DEE">
        <w:rPr>
          <w:rFonts w:cs="Times New Roman"/>
          <w:noProof/>
        </w:rPr>
        <w:t>security aspects)</w:t>
      </w:r>
      <w:r w:rsidRPr="00F70DEE">
        <w:rPr>
          <w:rFonts w:cs="Times New Roman"/>
          <w:noProof/>
        </w:rPr>
        <w:t xml:space="preserve"> between satellites and responsive launch systems </w:t>
      </w:r>
      <w:r w:rsidR="00BA4799" w:rsidRPr="00F70DEE">
        <w:rPr>
          <w:rFonts w:cs="Times New Roman"/>
          <w:noProof/>
        </w:rPr>
        <w:t>to</w:t>
      </w:r>
      <w:r w:rsidRPr="00F70DEE">
        <w:rPr>
          <w:rFonts w:cs="Times New Roman"/>
          <w:noProof/>
        </w:rPr>
        <w:t xml:space="preserve"> </w:t>
      </w:r>
      <w:r w:rsidR="009E5299" w:rsidRPr="00F70DEE">
        <w:rPr>
          <w:rFonts w:cs="Times New Roman"/>
          <w:noProof/>
        </w:rPr>
        <w:t xml:space="preserve">ensure </w:t>
      </w:r>
      <w:r w:rsidR="003D4810">
        <w:rPr>
          <w:rFonts w:cs="Times New Roman"/>
          <w:noProof/>
        </w:rPr>
        <w:t xml:space="preserve">future satellites’ </w:t>
      </w:r>
      <w:r w:rsidRPr="00F70DEE">
        <w:rPr>
          <w:rFonts w:cs="Times New Roman"/>
          <w:noProof/>
        </w:rPr>
        <w:t>interoperability and access to space solutions</w:t>
      </w:r>
      <w:r w:rsidR="003D4810">
        <w:rPr>
          <w:rFonts w:cs="Times New Roman"/>
          <w:noProof/>
        </w:rPr>
        <w:t>,</w:t>
      </w:r>
      <w:r w:rsidR="009E5299" w:rsidRPr="00F70DEE">
        <w:rPr>
          <w:rFonts w:cs="Times New Roman"/>
          <w:noProof/>
        </w:rPr>
        <w:t xml:space="preserve"> and to </w:t>
      </w:r>
      <w:r w:rsidR="003D4810">
        <w:rPr>
          <w:rFonts w:cs="Times New Roman"/>
          <w:noProof/>
        </w:rPr>
        <w:t>support</w:t>
      </w:r>
      <w:r w:rsidR="003D4810" w:rsidRPr="00F70DEE">
        <w:rPr>
          <w:rFonts w:cs="Times New Roman"/>
          <w:noProof/>
        </w:rPr>
        <w:t xml:space="preserve"> </w:t>
      </w:r>
      <w:r w:rsidR="009E5299" w:rsidRPr="00F70DEE">
        <w:rPr>
          <w:rFonts w:cs="Times New Roman"/>
          <w:noProof/>
        </w:rPr>
        <w:t xml:space="preserve">the development of innovative </w:t>
      </w:r>
      <w:r w:rsidR="00571432" w:rsidRPr="00F70DEE">
        <w:rPr>
          <w:rFonts w:cs="Times New Roman"/>
          <w:noProof/>
        </w:rPr>
        <w:t>in</w:t>
      </w:r>
      <w:r w:rsidR="003D4810">
        <w:rPr>
          <w:rFonts w:cs="Times New Roman"/>
          <w:noProof/>
        </w:rPr>
        <w:t>-</w:t>
      </w:r>
      <w:r w:rsidR="00571432" w:rsidRPr="00F70DEE">
        <w:rPr>
          <w:rFonts w:cs="Times New Roman"/>
          <w:noProof/>
        </w:rPr>
        <w:t xml:space="preserve">orbit transportation </w:t>
      </w:r>
      <w:r w:rsidR="009E5299" w:rsidRPr="00F70DEE">
        <w:rPr>
          <w:rFonts w:cs="Times New Roman"/>
          <w:noProof/>
        </w:rPr>
        <w:t>solutions.</w:t>
      </w:r>
      <w:r w:rsidR="00A27F1D">
        <w:rPr>
          <w:rFonts w:cs="Times New Roman"/>
          <w:noProof/>
        </w:rPr>
        <w:t xml:space="preserve"> The EU’s outermost regions of interest for automous access to space should be fully exploited.</w:t>
      </w:r>
    </w:p>
    <w:p w14:paraId="17031704" w14:textId="77777777" w:rsidR="00A27F1D" w:rsidRPr="00F70DEE" w:rsidRDefault="00A27F1D" w:rsidP="008C75D3">
      <w:pPr>
        <w:rPr>
          <w:rFonts w:cs="Times New Roman"/>
          <w:noProof/>
        </w:rPr>
      </w:pPr>
    </w:p>
    <w:tbl>
      <w:tblPr>
        <w:tblStyle w:val="TableGrid"/>
        <w:tblW w:w="0" w:type="auto"/>
        <w:tblLook w:val="04A0" w:firstRow="1" w:lastRow="0" w:firstColumn="1" w:lastColumn="0" w:noHBand="0" w:noVBand="1"/>
      </w:tblPr>
      <w:tblGrid>
        <w:gridCol w:w="8636"/>
      </w:tblGrid>
      <w:tr w:rsidR="001E3D1E" w:rsidRPr="00F70DEE" w14:paraId="153F4173" w14:textId="77777777" w:rsidTr="001E3D1E">
        <w:tc>
          <w:tcPr>
            <w:tcW w:w="8636" w:type="dxa"/>
            <w:shd w:val="clear" w:color="auto" w:fill="D9D9D9" w:themeFill="background1" w:themeFillShade="D9"/>
          </w:tcPr>
          <w:p w14:paraId="1CB326D8" w14:textId="77777777" w:rsidR="001E3D1E" w:rsidRPr="00F70DEE" w:rsidRDefault="001E3D1E" w:rsidP="00493F54">
            <w:pPr>
              <w:pStyle w:val="Wayforward"/>
              <w:numPr>
                <w:ilvl w:val="0"/>
                <w:numId w:val="0"/>
              </w:numPr>
              <w:ind w:left="357" w:hanging="357"/>
              <w:rPr>
                <w:b/>
                <w:bCs/>
                <w:i/>
                <w:iCs/>
                <w:noProof/>
                <w:lang w:val="en-GB"/>
              </w:rPr>
            </w:pPr>
            <w:r w:rsidRPr="00F70DEE">
              <w:rPr>
                <w:b/>
                <w:bCs/>
                <w:i/>
                <w:iCs/>
                <w:noProof/>
                <w:lang w:val="en-GB"/>
              </w:rPr>
              <w:t>Way forward</w:t>
            </w:r>
          </w:p>
          <w:p w14:paraId="54CF4A6A" w14:textId="77777777" w:rsidR="001E3D1E" w:rsidRPr="00F70DEE" w:rsidRDefault="003D4810" w:rsidP="00415D95">
            <w:pPr>
              <w:pStyle w:val="Wayforward"/>
              <w:rPr>
                <w:noProof/>
                <w:lang w:val="en-GB"/>
              </w:rPr>
            </w:pPr>
            <w:bookmarkStart w:id="502" w:name="_Toc121409233"/>
            <w:r>
              <w:rPr>
                <w:noProof/>
                <w:lang w:val="en-GB"/>
              </w:rPr>
              <w:t>To</w:t>
            </w:r>
            <w:r w:rsidR="008A58B0" w:rsidRPr="00F70DEE">
              <w:rPr>
                <w:noProof/>
                <w:lang w:val="en-GB"/>
              </w:rPr>
              <w:t xml:space="preserve"> enhance the level of security and resilience of space operations and services in the EU,</w:t>
            </w:r>
            <w:r w:rsidR="002F5FAA">
              <w:rPr>
                <w:noProof/>
                <w:lang w:val="en-GB"/>
              </w:rPr>
              <w:t xml:space="preserve"> as well as their safety and sustainability,</w:t>
            </w:r>
            <w:r w:rsidR="008A58B0" w:rsidRPr="00F70DEE">
              <w:rPr>
                <w:noProof/>
                <w:lang w:val="en-GB"/>
              </w:rPr>
              <w:t xml:space="preserve"> </w:t>
            </w:r>
            <w:r w:rsidR="001E3D1E" w:rsidRPr="00F70DEE">
              <w:rPr>
                <w:noProof/>
                <w:lang w:val="en-GB"/>
              </w:rPr>
              <w:t>the Commission will</w:t>
            </w:r>
            <w:r w:rsidR="005A0142" w:rsidRPr="00F70DEE">
              <w:rPr>
                <w:noProof/>
                <w:lang w:val="en-GB"/>
              </w:rPr>
              <w:t xml:space="preserve"> consider</w:t>
            </w:r>
            <w:r w:rsidR="008A58B0" w:rsidRPr="00F70DEE">
              <w:rPr>
                <w:noProof/>
                <w:lang w:val="en-GB"/>
              </w:rPr>
              <w:t xml:space="preserve"> </w:t>
            </w:r>
            <w:r w:rsidR="001E3D1E" w:rsidRPr="00F70DEE">
              <w:rPr>
                <w:noProof/>
                <w:lang w:val="en-GB"/>
              </w:rPr>
              <w:t>propos</w:t>
            </w:r>
            <w:r w:rsidR="005A0142" w:rsidRPr="00F70DEE">
              <w:rPr>
                <w:noProof/>
                <w:lang w:val="en-GB"/>
              </w:rPr>
              <w:t>ing</w:t>
            </w:r>
            <w:r w:rsidR="001E3D1E" w:rsidRPr="00F70DEE">
              <w:rPr>
                <w:noProof/>
                <w:lang w:val="en-GB"/>
              </w:rPr>
              <w:t xml:space="preserve"> an EU Space Law. It will encourage the development of resilience measures in the EU, foster information-exchange on incidents as well as cross-border coordination and cooperation.</w:t>
            </w:r>
          </w:p>
          <w:p w14:paraId="2F66B6DA" w14:textId="77777777" w:rsidR="001E3D1E" w:rsidRPr="00F70DEE" w:rsidRDefault="001E3D1E" w:rsidP="00415D95">
            <w:pPr>
              <w:pStyle w:val="Wayforward"/>
              <w:rPr>
                <w:noProof/>
                <w:lang w:val="en-GB"/>
              </w:rPr>
            </w:pPr>
            <w:r w:rsidRPr="00F70DEE">
              <w:rPr>
                <w:noProof/>
                <w:lang w:val="en-GB"/>
              </w:rPr>
              <w:t xml:space="preserve">By </w:t>
            </w:r>
            <w:r w:rsidR="00FB6791">
              <w:rPr>
                <w:noProof/>
                <w:lang w:val="en-GB"/>
              </w:rPr>
              <w:t xml:space="preserve">the </w:t>
            </w:r>
            <w:r w:rsidRPr="00F70DEE">
              <w:rPr>
                <w:noProof/>
                <w:lang w:val="en-GB"/>
              </w:rPr>
              <w:t>end</w:t>
            </w:r>
            <w:r w:rsidR="00FB6791">
              <w:rPr>
                <w:noProof/>
                <w:lang w:val="en-GB"/>
              </w:rPr>
              <w:t xml:space="preserve"> of</w:t>
            </w:r>
            <w:r w:rsidRPr="00F70DEE">
              <w:rPr>
                <w:noProof/>
                <w:lang w:val="en-GB"/>
              </w:rPr>
              <w:t xml:space="preserve"> 2023, the Commission</w:t>
            </w:r>
            <w:r w:rsidR="003D4810">
              <w:rPr>
                <w:noProof/>
                <w:lang w:val="en-GB"/>
              </w:rPr>
              <w:t>,</w:t>
            </w:r>
            <w:r w:rsidRPr="00F70DEE">
              <w:rPr>
                <w:noProof/>
                <w:lang w:val="en-GB"/>
              </w:rPr>
              <w:t xml:space="preserve"> with the support of EUSPA</w:t>
            </w:r>
            <w:r w:rsidR="003D4810">
              <w:rPr>
                <w:noProof/>
                <w:lang w:val="en-GB"/>
              </w:rPr>
              <w:t>,</w:t>
            </w:r>
            <w:r w:rsidRPr="00F70DEE">
              <w:rPr>
                <w:noProof/>
                <w:lang w:val="en-GB"/>
              </w:rPr>
              <w:t xml:space="preserve"> will establish an Information Sharing and Analysis Centre (EU Space ISAC) to </w:t>
            </w:r>
            <w:r w:rsidR="003D4810">
              <w:rPr>
                <w:noProof/>
                <w:lang w:val="en-GB"/>
              </w:rPr>
              <w:t>strengthen the</w:t>
            </w:r>
            <w:r w:rsidR="003D4810" w:rsidRPr="00F70DEE">
              <w:rPr>
                <w:noProof/>
                <w:lang w:val="en-GB"/>
              </w:rPr>
              <w:t xml:space="preserve"> </w:t>
            </w:r>
            <w:r w:rsidRPr="00F70DEE">
              <w:rPr>
                <w:noProof/>
                <w:lang w:val="en-GB"/>
              </w:rPr>
              <w:t xml:space="preserve">resilience </w:t>
            </w:r>
            <w:r w:rsidR="003D4810">
              <w:rPr>
                <w:noProof/>
                <w:lang w:val="en-GB"/>
              </w:rPr>
              <w:t xml:space="preserve">of </w:t>
            </w:r>
            <w:r w:rsidRPr="00F70DEE">
              <w:rPr>
                <w:noProof/>
                <w:lang w:val="en-GB"/>
              </w:rPr>
              <w:t xml:space="preserve">capabilities of </w:t>
            </w:r>
            <w:r w:rsidR="003D4810">
              <w:rPr>
                <w:noProof/>
                <w:lang w:val="en-GB"/>
              </w:rPr>
              <w:t xml:space="preserve">the EU </w:t>
            </w:r>
            <w:r w:rsidRPr="00F70DEE">
              <w:rPr>
                <w:noProof/>
                <w:lang w:val="en-GB"/>
              </w:rPr>
              <w:t xml:space="preserve">space industry (upstream and downstream), including </w:t>
            </w:r>
            <w:r w:rsidR="00586E3C" w:rsidRPr="00F70DEE">
              <w:rPr>
                <w:noProof/>
                <w:lang w:val="en-GB"/>
              </w:rPr>
              <w:t>New</w:t>
            </w:r>
            <w:r w:rsidR="00FB6791">
              <w:rPr>
                <w:noProof/>
                <w:lang w:val="en-GB"/>
              </w:rPr>
              <w:t xml:space="preserve"> </w:t>
            </w:r>
            <w:r w:rsidR="00586E3C" w:rsidRPr="00F70DEE">
              <w:rPr>
                <w:noProof/>
                <w:lang w:val="en-GB"/>
              </w:rPr>
              <w:t>Space</w:t>
            </w:r>
            <w:r w:rsidRPr="00F70DEE">
              <w:rPr>
                <w:noProof/>
                <w:lang w:val="en-GB"/>
              </w:rPr>
              <w:t>.</w:t>
            </w:r>
            <w:bookmarkEnd w:id="502"/>
          </w:p>
          <w:p w14:paraId="128183B8" w14:textId="77777777" w:rsidR="00D94F9B" w:rsidRDefault="00D94F9B" w:rsidP="00415D95">
            <w:pPr>
              <w:pStyle w:val="Wayforward"/>
              <w:rPr>
                <w:noProof/>
                <w:lang w:val="en-GB"/>
              </w:rPr>
            </w:pPr>
            <w:bookmarkStart w:id="503" w:name="_Toc120137992"/>
            <w:bookmarkStart w:id="504" w:name="_Toc121409234"/>
            <w:r>
              <w:rPr>
                <w:noProof/>
                <w:lang w:val="en-GB"/>
              </w:rPr>
              <w:t>By mid-</w:t>
            </w:r>
            <w:r w:rsidR="00ED412B" w:rsidRPr="00F70DEE">
              <w:rPr>
                <w:noProof/>
                <w:lang w:val="en-GB"/>
              </w:rPr>
              <w:t xml:space="preserve"> 2024</w:t>
            </w:r>
            <w:r w:rsidR="001E3D1E" w:rsidRPr="00F70DEE">
              <w:rPr>
                <w:noProof/>
                <w:lang w:val="en-GB"/>
              </w:rPr>
              <w:t>, the Commission</w:t>
            </w:r>
            <w:r w:rsidR="006021EC" w:rsidRPr="00F70DEE">
              <w:rPr>
                <w:noProof/>
                <w:lang w:val="en-GB"/>
              </w:rPr>
              <w:t xml:space="preserve">, </w:t>
            </w:r>
            <w:r w:rsidR="00F30F67" w:rsidRPr="00F70DEE">
              <w:rPr>
                <w:noProof/>
                <w:lang w:val="en-GB"/>
              </w:rPr>
              <w:t>in close coordination with EDA</w:t>
            </w:r>
            <w:r w:rsidR="006021EC" w:rsidRPr="00F70DEE">
              <w:rPr>
                <w:noProof/>
                <w:lang w:val="en-GB"/>
              </w:rPr>
              <w:t xml:space="preserve"> </w:t>
            </w:r>
            <w:r w:rsidR="00F30F67" w:rsidRPr="00F70DEE">
              <w:rPr>
                <w:noProof/>
                <w:lang w:val="en-GB"/>
              </w:rPr>
              <w:t xml:space="preserve">under the </w:t>
            </w:r>
            <w:r w:rsidR="009661F5" w:rsidRPr="00F70DEE">
              <w:rPr>
                <w:noProof/>
                <w:lang w:val="en-GB"/>
              </w:rPr>
              <w:t xml:space="preserve">authority </w:t>
            </w:r>
            <w:r w:rsidR="00F30F67" w:rsidRPr="00F70DEE">
              <w:rPr>
                <w:noProof/>
                <w:lang w:val="en-GB"/>
              </w:rPr>
              <w:t>of the High Representative</w:t>
            </w:r>
            <w:r w:rsidR="006021EC" w:rsidRPr="00F70DEE">
              <w:rPr>
                <w:noProof/>
                <w:lang w:val="en-GB"/>
              </w:rPr>
              <w:t xml:space="preserve"> </w:t>
            </w:r>
            <w:r w:rsidR="00F30F67" w:rsidRPr="00F70DEE">
              <w:rPr>
                <w:noProof/>
                <w:lang w:val="en-GB"/>
              </w:rPr>
              <w:t xml:space="preserve">and </w:t>
            </w:r>
            <w:r w:rsidR="005D3EE4" w:rsidRPr="00F70DEE">
              <w:rPr>
                <w:noProof/>
                <w:lang w:val="en-GB"/>
              </w:rPr>
              <w:t xml:space="preserve">with </w:t>
            </w:r>
            <w:r w:rsidR="00F30F67" w:rsidRPr="00F70DEE">
              <w:rPr>
                <w:noProof/>
                <w:lang w:val="en-GB"/>
              </w:rPr>
              <w:t>ESA</w:t>
            </w:r>
            <w:r w:rsidR="006021EC" w:rsidRPr="00F70DEE">
              <w:rPr>
                <w:noProof/>
                <w:lang w:val="en-GB"/>
              </w:rPr>
              <w:t>,</w:t>
            </w:r>
            <w:r w:rsidR="004D5B1B" w:rsidRPr="00F70DEE">
              <w:rPr>
                <w:noProof/>
                <w:lang w:val="en-GB"/>
              </w:rPr>
              <w:t xml:space="preserve"> </w:t>
            </w:r>
            <w:r w:rsidR="001E3D1E" w:rsidRPr="00F70DEE">
              <w:rPr>
                <w:noProof/>
                <w:lang w:val="en-GB"/>
              </w:rPr>
              <w:t xml:space="preserve">will propose a roadmap to reduce </w:t>
            </w:r>
            <w:r w:rsidR="00D437B3" w:rsidRPr="00F70DEE">
              <w:rPr>
                <w:noProof/>
                <w:lang w:val="en-GB"/>
              </w:rPr>
              <w:t xml:space="preserve">strategic </w:t>
            </w:r>
            <w:r w:rsidR="001E3D1E" w:rsidRPr="00F70DEE">
              <w:rPr>
                <w:noProof/>
                <w:lang w:val="en-GB"/>
              </w:rPr>
              <w:t>dependencies o</w:t>
            </w:r>
            <w:r w:rsidR="00D437B3" w:rsidRPr="00F70DEE">
              <w:rPr>
                <w:noProof/>
                <w:lang w:val="en-GB"/>
              </w:rPr>
              <w:t>n</w:t>
            </w:r>
            <w:r w:rsidR="001E3D1E" w:rsidRPr="00F70DEE">
              <w:rPr>
                <w:noProof/>
                <w:lang w:val="en-GB"/>
              </w:rPr>
              <w:t xml:space="preserve"> technologies that are critical for ongoing and future space projects in the EU and EU space programmes</w:t>
            </w:r>
            <w:bookmarkEnd w:id="503"/>
            <w:bookmarkEnd w:id="504"/>
            <w:r w:rsidR="001E3D1E" w:rsidRPr="00F70DEE">
              <w:rPr>
                <w:noProof/>
                <w:lang w:val="en-GB"/>
              </w:rPr>
              <w:t xml:space="preserve">. </w:t>
            </w:r>
          </w:p>
          <w:p w14:paraId="0DA6D801" w14:textId="4A1B8FDB" w:rsidR="001E3D1E" w:rsidRPr="00F70DEE" w:rsidRDefault="00A749B5" w:rsidP="00415D95">
            <w:pPr>
              <w:pStyle w:val="Wayforward"/>
              <w:rPr>
                <w:noProof/>
                <w:lang w:val="en-GB"/>
              </w:rPr>
            </w:pPr>
            <w:r>
              <w:rPr>
                <w:noProof/>
                <w:lang w:val="en-GB"/>
              </w:rPr>
              <w:t>The Commission</w:t>
            </w:r>
            <w:r w:rsidRPr="00F70DEE">
              <w:rPr>
                <w:noProof/>
                <w:lang w:val="en-GB"/>
              </w:rPr>
              <w:t xml:space="preserve"> </w:t>
            </w:r>
            <w:r w:rsidR="001E3D1E" w:rsidRPr="00F70DEE">
              <w:rPr>
                <w:noProof/>
                <w:lang w:val="en-GB"/>
              </w:rPr>
              <w:t xml:space="preserve">will develop joint programming between the </w:t>
            </w:r>
            <w:r w:rsidR="003D4810">
              <w:rPr>
                <w:noProof/>
                <w:lang w:val="en-GB"/>
              </w:rPr>
              <w:t>EDF</w:t>
            </w:r>
            <w:r w:rsidR="003E68B6">
              <w:rPr>
                <w:noProof/>
                <w:lang w:val="en-GB"/>
              </w:rPr>
              <w:t>, the EU Space Programme</w:t>
            </w:r>
            <w:r w:rsidR="001E3D1E" w:rsidRPr="00F70DEE">
              <w:rPr>
                <w:noProof/>
                <w:lang w:val="en-GB"/>
              </w:rPr>
              <w:t xml:space="preserve"> and Horizon Europe to accelerate the development of capabilities that are relevant for the resilience of space systems.</w:t>
            </w:r>
          </w:p>
          <w:p w14:paraId="54B94DA4" w14:textId="6CD6B149" w:rsidR="001E3D1E" w:rsidRPr="00452E35" w:rsidRDefault="008E3A60" w:rsidP="00415D95">
            <w:pPr>
              <w:pStyle w:val="Wayforward"/>
              <w:rPr>
                <w:noProof/>
                <w:lang w:val="en-GB"/>
              </w:rPr>
            </w:pPr>
            <w:r>
              <w:rPr>
                <w:noProof/>
                <w:lang w:val="en-GB"/>
              </w:rPr>
              <w:t>T</w:t>
            </w:r>
            <w:r w:rsidR="001E3D1E" w:rsidRPr="00F70DEE">
              <w:rPr>
                <w:noProof/>
                <w:lang w:val="en-GB"/>
              </w:rPr>
              <w:t>he Commission will take space and defence needs</w:t>
            </w:r>
            <w:r w:rsidR="00D94F9B">
              <w:rPr>
                <w:noProof/>
                <w:lang w:val="en-GB"/>
              </w:rPr>
              <w:t xml:space="preserve"> systematically</w:t>
            </w:r>
            <w:r w:rsidR="001E3D1E" w:rsidRPr="00F70DEE">
              <w:rPr>
                <w:noProof/>
                <w:lang w:val="en-GB"/>
              </w:rPr>
              <w:t xml:space="preserve"> into account in future</w:t>
            </w:r>
            <w:r w:rsidR="00A51383" w:rsidRPr="00F70DEE">
              <w:rPr>
                <w:noProof/>
                <w:lang w:val="en-GB"/>
              </w:rPr>
              <w:t xml:space="preserve"> initiatives, including</w:t>
            </w:r>
            <w:r>
              <w:rPr>
                <w:noProof/>
                <w:lang w:val="en-GB"/>
              </w:rPr>
              <w:t xml:space="preserve"> assessing the need to establish</w:t>
            </w:r>
            <w:r w:rsidR="001E3D1E" w:rsidRPr="00F70DEE">
              <w:rPr>
                <w:noProof/>
                <w:lang w:val="en-GB"/>
              </w:rPr>
              <w:t xml:space="preserve"> industrial alliances</w:t>
            </w:r>
            <w:r w:rsidR="00FB6791">
              <w:rPr>
                <w:noProof/>
                <w:lang w:val="en-GB"/>
              </w:rPr>
              <w:t xml:space="preserve">. </w:t>
            </w:r>
          </w:p>
          <w:p w14:paraId="63E47E05" w14:textId="44279430" w:rsidR="001E3D1E" w:rsidRPr="00452E35" w:rsidRDefault="001E3D1E" w:rsidP="00415D95">
            <w:pPr>
              <w:pStyle w:val="Wayforward"/>
              <w:rPr>
                <w:noProof/>
                <w:lang w:val="en-GB"/>
              </w:rPr>
            </w:pPr>
            <w:bookmarkStart w:id="505" w:name="_Toc120137994"/>
            <w:bookmarkStart w:id="506" w:name="_Toc121409236"/>
            <w:r w:rsidRPr="00452E35">
              <w:rPr>
                <w:noProof/>
                <w:lang w:val="en-GB"/>
              </w:rPr>
              <w:t xml:space="preserve">The Commission will ensure that </w:t>
            </w:r>
            <w:r w:rsidR="003D4810" w:rsidRPr="00452E35">
              <w:rPr>
                <w:noProof/>
                <w:lang w:val="en-GB"/>
              </w:rPr>
              <w:t xml:space="preserve">broader </w:t>
            </w:r>
            <w:r w:rsidRPr="00452E35">
              <w:rPr>
                <w:noProof/>
                <w:lang w:val="en-GB"/>
              </w:rPr>
              <w:t xml:space="preserve">EU initiatives, </w:t>
            </w:r>
            <w:r w:rsidR="00E94019" w:rsidRPr="00452E35">
              <w:rPr>
                <w:noProof/>
                <w:lang w:val="en-GB"/>
              </w:rPr>
              <w:t xml:space="preserve">including </w:t>
            </w:r>
            <w:r w:rsidRPr="00452E35">
              <w:rPr>
                <w:noProof/>
                <w:lang w:val="en-GB"/>
              </w:rPr>
              <w:t>the Chips Act</w:t>
            </w:r>
            <w:r w:rsidR="00A27F1D">
              <w:rPr>
                <w:noProof/>
                <w:lang w:val="en-GB"/>
              </w:rPr>
              <w:t xml:space="preserve"> and</w:t>
            </w:r>
            <w:r w:rsidRPr="00452E35">
              <w:rPr>
                <w:noProof/>
                <w:lang w:val="en-GB"/>
              </w:rPr>
              <w:t xml:space="preserve"> the </w:t>
            </w:r>
            <w:r w:rsidR="00230BF3" w:rsidRPr="00452E35">
              <w:rPr>
                <w:noProof/>
                <w:lang w:val="en-GB"/>
              </w:rPr>
              <w:t xml:space="preserve">Critical </w:t>
            </w:r>
            <w:r w:rsidRPr="00452E35">
              <w:rPr>
                <w:noProof/>
                <w:lang w:val="en-GB"/>
              </w:rPr>
              <w:t>Raw Material</w:t>
            </w:r>
            <w:r w:rsidR="00230BF3" w:rsidRPr="00452E35">
              <w:rPr>
                <w:noProof/>
                <w:lang w:val="en-GB"/>
              </w:rPr>
              <w:t>s</w:t>
            </w:r>
            <w:r w:rsidRPr="00452E35">
              <w:rPr>
                <w:noProof/>
                <w:lang w:val="en-GB"/>
              </w:rPr>
              <w:t xml:space="preserve"> Act</w:t>
            </w:r>
            <w:r w:rsidR="00A27F1D">
              <w:rPr>
                <w:noProof/>
                <w:lang w:val="en-GB"/>
              </w:rPr>
              <w:t>,</w:t>
            </w:r>
            <w:r w:rsidRPr="00452E35">
              <w:rPr>
                <w:noProof/>
                <w:lang w:val="en-GB"/>
              </w:rPr>
              <w:t xml:space="preserve"> </w:t>
            </w:r>
            <w:r w:rsidR="009B1ABB">
              <w:rPr>
                <w:noProof/>
                <w:lang w:val="en-GB"/>
              </w:rPr>
              <w:t>are applied in a manner that</w:t>
            </w:r>
            <w:r w:rsidR="009B1ABB" w:rsidRPr="00452E35">
              <w:rPr>
                <w:noProof/>
                <w:lang w:val="en-GB"/>
              </w:rPr>
              <w:t xml:space="preserve"> </w:t>
            </w:r>
            <w:r w:rsidR="003D4810" w:rsidRPr="00452E35">
              <w:rPr>
                <w:noProof/>
                <w:lang w:val="en-GB"/>
              </w:rPr>
              <w:t>strengthen</w:t>
            </w:r>
            <w:r w:rsidR="009B1ABB">
              <w:rPr>
                <w:noProof/>
                <w:lang w:val="en-GB"/>
              </w:rPr>
              <w:t>s</w:t>
            </w:r>
            <w:r w:rsidR="003D4810" w:rsidRPr="00452E35">
              <w:rPr>
                <w:noProof/>
                <w:lang w:val="en-GB"/>
              </w:rPr>
              <w:t xml:space="preserve"> </w:t>
            </w:r>
            <w:r w:rsidRPr="00452E35">
              <w:rPr>
                <w:noProof/>
                <w:lang w:val="en-GB"/>
              </w:rPr>
              <w:t xml:space="preserve">security of supply and </w:t>
            </w:r>
            <w:r w:rsidR="003D4810" w:rsidRPr="00452E35">
              <w:rPr>
                <w:noProof/>
                <w:lang w:val="en-GB"/>
              </w:rPr>
              <w:t xml:space="preserve">the </w:t>
            </w:r>
            <w:r w:rsidRPr="00452E35">
              <w:rPr>
                <w:noProof/>
                <w:lang w:val="en-GB"/>
              </w:rPr>
              <w:t>resilience of space systems and services.</w:t>
            </w:r>
          </w:p>
          <w:p w14:paraId="4FC35FCE" w14:textId="207F8AF7" w:rsidR="001E3D1E" w:rsidRPr="00F70DEE" w:rsidRDefault="00A749B5" w:rsidP="00351C9A">
            <w:pPr>
              <w:pStyle w:val="Wayforward"/>
              <w:rPr>
                <w:noProof/>
                <w:lang w:val="en-GB"/>
              </w:rPr>
            </w:pPr>
            <w:bookmarkStart w:id="507" w:name="_Toc120137995"/>
            <w:bookmarkStart w:id="508" w:name="_Toc121409237"/>
            <w:bookmarkEnd w:id="505"/>
            <w:bookmarkEnd w:id="506"/>
            <w:r>
              <w:rPr>
                <w:noProof/>
                <w:lang w:val="en-GB"/>
              </w:rPr>
              <w:t>T</w:t>
            </w:r>
            <w:r w:rsidR="001E3D1E" w:rsidRPr="00F70DEE">
              <w:rPr>
                <w:noProof/>
                <w:lang w:val="en-GB"/>
              </w:rPr>
              <w:t>he Commission will take actions to stimulate the responsiveness</w:t>
            </w:r>
            <w:r w:rsidR="00D8743C">
              <w:rPr>
                <w:noProof/>
                <w:lang w:val="en-GB"/>
              </w:rPr>
              <w:t>,</w:t>
            </w:r>
            <w:r w:rsidR="001E3D1E" w:rsidRPr="00F70DEE">
              <w:rPr>
                <w:noProof/>
                <w:lang w:val="en-GB"/>
              </w:rPr>
              <w:t xml:space="preserve"> versatility of </w:t>
            </w:r>
            <w:r w:rsidR="00FB7A5D" w:rsidRPr="00F70DEE">
              <w:rPr>
                <w:noProof/>
                <w:lang w:val="en-GB"/>
              </w:rPr>
              <w:t xml:space="preserve">EU </w:t>
            </w:r>
            <w:r w:rsidR="001E3D1E" w:rsidRPr="00F70DEE">
              <w:rPr>
                <w:noProof/>
                <w:lang w:val="en-GB"/>
              </w:rPr>
              <w:t xml:space="preserve">access to space </w:t>
            </w:r>
            <w:r w:rsidR="00D8743C">
              <w:rPr>
                <w:noProof/>
                <w:lang w:val="en-GB"/>
              </w:rPr>
              <w:t>by</w:t>
            </w:r>
            <w:r w:rsidR="001E3D1E" w:rsidRPr="00F70DEE">
              <w:rPr>
                <w:noProof/>
                <w:lang w:val="en-GB"/>
              </w:rPr>
              <w:t xml:space="preserve"> boost</w:t>
            </w:r>
            <w:r w:rsidR="00D8743C">
              <w:rPr>
                <w:noProof/>
                <w:lang w:val="en-GB"/>
              </w:rPr>
              <w:t>ing</w:t>
            </w:r>
            <w:r w:rsidR="001E3D1E" w:rsidRPr="00F70DEE">
              <w:rPr>
                <w:noProof/>
                <w:lang w:val="en-GB"/>
              </w:rPr>
              <w:t xml:space="preserve"> </w:t>
            </w:r>
            <w:r w:rsidR="0039777A" w:rsidRPr="00F70DEE">
              <w:rPr>
                <w:noProof/>
                <w:lang w:val="en-GB"/>
              </w:rPr>
              <w:t>n</w:t>
            </w:r>
            <w:r w:rsidR="001E3D1E" w:rsidRPr="00F70DEE">
              <w:rPr>
                <w:noProof/>
                <w:lang w:val="en-GB"/>
              </w:rPr>
              <w:t>ew</w:t>
            </w:r>
            <w:r w:rsidR="00351C9A">
              <w:rPr>
                <w:noProof/>
                <w:lang w:val="en-GB"/>
              </w:rPr>
              <w:t xml:space="preserve"> EU</w:t>
            </w:r>
            <w:r w:rsidR="001E3D1E" w:rsidRPr="00F70DEE">
              <w:rPr>
                <w:noProof/>
                <w:lang w:val="en-GB"/>
              </w:rPr>
              <w:t xml:space="preserve"> </w:t>
            </w:r>
            <w:r w:rsidR="00351C9A">
              <w:rPr>
                <w:noProof/>
                <w:lang w:val="en-GB"/>
              </w:rPr>
              <w:t>launcher systems,</w:t>
            </w:r>
            <w:r w:rsidR="001E3D1E" w:rsidRPr="00F70DEE">
              <w:rPr>
                <w:noProof/>
                <w:lang w:val="en-GB"/>
              </w:rPr>
              <w:t xml:space="preserve"> </w:t>
            </w:r>
            <w:r w:rsidR="00351C9A">
              <w:rPr>
                <w:noProof/>
                <w:lang w:val="en-GB"/>
              </w:rPr>
              <w:t xml:space="preserve">by </w:t>
            </w:r>
            <w:r w:rsidR="001E3D1E" w:rsidRPr="00F70DEE">
              <w:rPr>
                <w:noProof/>
                <w:lang w:val="en-GB"/>
              </w:rPr>
              <w:t>propos</w:t>
            </w:r>
            <w:r w:rsidR="00351C9A">
              <w:rPr>
                <w:noProof/>
                <w:lang w:val="en-GB"/>
              </w:rPr>
              <w:t>ing</w:t>
            </w:r>
            <w:r w:rsidR="001E3D1E" w:rsidRPr="00F70DEE">
              <w:rPr>
                <w:noProof/>
                <w:lang w:val="en-GB"/>
              </w:rPr>
              <w:t xml:space="preserve"> </w:t>
            </w:r>
            <w:r w:rsidR="00460AF6" w:rsidRPr="00F70DEE">
              <w:rPr>
                <w:noProof/>
                <w:lang w:val="en-GB"/>
              </w:rPr>
              <w:t>preparatory action</w:t>
            </w:r>
            <w:r w:rsidR="006C11AC" w:rsidRPr="00F70DEE">
              <w:rPr>
                <w:noProof/>
                <w:lang w:val="en-GB"/>
              </w:rPr>
              <w:t>s</w:t>
            </w:r>
            <w:r w:rsidR="00460AF6" w:rsidRPr="00F70DEE">
              <w:rPr>
                <w:noProof/>
                <w:lang w:val="en-GB"/>
              </w:rPr>
              <w:t xml:space="preserve"> </w:t>
            </w:r>
            <w:r w:rsidR="001E3D1E" w:rsidRPr="00F70DEE">
              <w:rPr>
                <w:noProof/>
                <w:lang w:val="en-GB"/>
              </w:rPr>
              <w:t>to ensure long-term EU autonomous access to space</w:t>
            </w:r>
            <w:r w:rsidR="00351C9A">
              <w:rPr>
                <w:noProof/>
                <w:lang w:val="en-GB"/>
              </w:rPr>
              <w:t xml:space="preserve"> and by </w:t>
            </w:r>
            <w:r w:rsidR="001E3D1E" w:rsidRPr="00F70DEE">
              <w:rPr>
                <w:noProof/>
                <w:lang w:val="en-GB"/>
              </w:rPr>
              <w:t>addressing</w:t>
            </w:r>
            <w:r w:rsidR="009B1ABB">
              <w:rPr>
                <w:noProof/>
                <w:lang w:val="en-GB"/>
              </w:rPr>
              <w:t>,</w:t>
            </w:r>
            <w:r w:rsidR="001E3D1E" w:rsidRPr="00F70DEE">
              <w:rPr>
                <w:noProof/>
                <w:lang w:val="en-GB"/>
              </w:rPr>
              <w:t xml:space="preserve"> </w:t>
            </w:r>
            <w:r w:rsidR="00460AF6" w:rsidRPr="00F70DEE">
              <w:rPr>
                <w:noProof/>
                <w:lang w:val="en-GB"/>
              </w:rPr>
              <w:t>in particular</w:t>
            </w:r>
            <w:r w:rsidR="009B1ABB">
              <w:rPr>
                <w:noProof/>
                <w:lang w:val="en-GB"/>
              </w:rPr>
              <w:t>,</w:t>
            </w:r>
            <w:r w:rsidR="00460AF6" w:rsidRPr="00F70DEE">
              <w:rPr>
                <w:noProof/>
                <w:lang w:val="en-GB"/>
              </w:rPr>
              <w:t xml:space="preserve"> </w:t>
            </w:r>
            <w:r w:rsidR="001E3D1E" w:rsidRPr="00F70DEE">
              <w:rPr>
                <w:noProof/>
                <w:lang w:val="en-GB"/>
              </w:rPr>
              <w:t>security and defence needs</w:t>
            </w:r>
            <w:r w:rsidR="00351C9A">
              <w:rPr>
                <w:noProof/>
                <w:lang w:val="en-GB"/>
              </w:rPr>
              <w:t xml:space="preserve">, </w:t>
            </w:r>
            <w:r w:rsidR="00351C9A" w:rsidRPr="00F70DEE">
              <w:rPr>
                <w:noProof/>
                <w:lang w:val="en-GB"/>
              </w:rPr>
              <w:t>together with Member States</w:t>
            </w:r>
            <w:r w:rsidR="001E3D1E" w:rsidRPr="00F70DEE">
              <w:rPr>
                <w:noProof/>
                <w:lang w:val="en-GB"/>
              </w:rPr>
              <w:t>.</w:t>
            </w:r>
            <w:bookmarkEnd w:id="507"/>
            <w:bookmarkEnd w:id="508"/>
          </w:p>
        </w:tc>
      </w:tr>
    </w:tbl>
    <w:p w14:paraId="36BE8390" w14:textId="77777777" w:rsidR="008C75D3" w:rsidRPr="00FF2291" w:rsidRDefault="008C75D3" w:rsidP="00FF2291">
      <w:pPr>
        <w:keepNext/>
        <w:keepLines/>
        <w:numPr>
          <w:ilvl w:val="0"/>
          <w:numId w:val="1"/>
        </w:numPr>
        <w:spacing w:before="240" w:after="240"/>
        <w:ind w:left="357" w:hanging="357"/>
        <w:outlineLvl w:val="0"/>
        <w:rPr>
          <w:rFonts w:eastAsiaTheme="majorEastAsia" w:cstheme="majorBidi"/>
          <w:b/>
          <w:caps/>
          <w:noProof/>
          <w:szCs w:val="32"/>
        </w:rPr>
      </w:pPr>
      <w:bookmarkStart w:id="509" w:name="_Toc123037715"/>
      <w:bookmarkStart w:id="510" w:name="_Toc123037834"/>
      <w:bookmarkStart w:id="511" w:name="_Toc123037948"/>
      <w:bookmarkStart w:id="512" w:name="_Toc118669495"/>
      <w:bookmarkStart w:id="513" w:name="_Toc121409648"/>
      <w:bookmarkStart w:id="514" w:name="_Toc123037716"/>
      <w:bookmarkStart w:id="515" w:name="_Toc125635215"/>
      <w:bookmarkStart w:id="516" w:name="_Toc125732828"/>
      <w:bookmarkEnd w:id="509"/>
      <w:bookmarkEnd w:id="510"/>
      <w:bookmarkEnd w:id="511"/>
      <w:r w:rsidRPr="00F70DEE">
        <w:rPr>
          <w:rFonts w:eastAsiaTheme="majorEastAsia" w:cstheme="majorBidi"/>
          <w:b/>
          <w:caps/>
          <w:noProof/>
          <w:szCs w:val="32"/>
        </w:rPr>
        <w:t>RESPONDING TO SPACE THREATS</w:t>
      </w:r>
      <w:bookmarkEnd w:id="512"/>
      <w:bookmarkEnd w:id="513"/>
      <w:bookmarkEnd w:id="514"/>
      <w:bookmarkEnd w:id="515"/>
      <w:bookmarkEnd w:id="516"/>
    </w:p>
    <w:p w14:paraId="45C9FA49" w14:textId="77777777" w:rsidR="008C75D3" w:rsidRPr="00F70DEE" w:rsidRDefault="003D4810" w:rsidP="008C75D3">
      <w:pPr>
        <w:rPr>
          <w:noProof/>
        </w:rPr>
      </w:pPr>
      <w:bookmarkStart w:id="517" w:name="_Toc117700622"/>
      <w:bookmarkEnd w:id="517"/>
      <w:r>
        <w:rPr>
          <w:noProof/>
        </w:rPr>
        <w:t>Given the increase in</w:t>
      </w:r>
      <w:r w:rsidR="008C75D3" w:rsidRPr="00F70DEE">
        <w:rPr>
          <w:noProof/>
        </w:rPr>
        <w:t xml:space="preserve"> space threats and counterspace, there is a need to </w:t>
      </w:r>
      <w:r w:rsidR="00EF1C24">
        <w:rPr>
          <w:noProof/>
        </w:rPr>
        <w:t>enhance</w:t>
      </w:r>
      <w:r w:rsidR="00EF1C24" w:rsidRPr="00F70DEE">
        <w:rPr>
          <w:noProof/>
        </w:rPr>
        <w:t xml:space="preserve"> </w:t>
      </w:r>
      <w:r w:rsidR="008C75D3" w:rsidRPr="00F70DEE">
        <w:rPr>
          <w:noProof/>
        </w:rPr>
        <w:t xml:space="preserve">the </w:t>
      </w:r>
      <w:r w:rsidR="00EF1C24">
        <w:rPr>
          <w:noProof/>
        </w:rPr>
        <w:t>cap</w:t>
      </w:r>
      <w:r w:rsidR="008C75D3" w:rsidRPr="00F70DEE">
        <w:rPr>
          <w:noProof/>
        </w:rPr>
        <w:t>ability to detect, characteri</w:t>
      </w:r>
      <w:r>
        <w:rPr>
          <w:noProof/>
        </w:rPr>
        <w:t>s</w:t>
      </w:r>
      <w:r w:rsidR="008C75D3" w:rsidRPr="00F70DEE">
        <w:rPr>
          <w:noProof/>
        </w:rPr>
        <w:t xml:space="preserve">e and attribute a threat in the space domain and to react </w:t>
      </w:r>
      <w:r>
        <w:rPr>
          <w:noProof/>
        </w:rPr>
        <w:t xml:space="preserve">to it </w:t>
      </w:r>
      <w:r w:rsidR="008C75D3" w:rsidRPr="00F70DEE">
        <w:rPr>
          <w:noProof/>
        </w:rPr>
        <w:t>in a timely, proportionate</w:t>
      </w:r>
      <w:r w:rsidR="00A507DC" w:rsidRPr="00F70DEE">
        <w:rPr>
          <w:noProof/>
        </w:rPr>
        <w:t>,</w:t>
      </w:r>
      <w:r w:rsidR="008C75D3" w:rsidRPr="00F70DEE">
        <w:rPr>
          <w:noProof/>
        </w:rPr>
        <w:t xml:space="preserve"> and coherent manner both</w:t>
      </w:r>
      <w:r w:rsidR="0074140C">
        <w:rPr>
          <w:noProof/>
        </w:rPr>
        <w:t xml:space="preserve"> nationally and at</w:t>
      </w:r>
      <w:r w:rsidR="008C75D3" w:rsidRPr="00F70DEE">
        <w:rPr>
          <w:noProof/>
        </w:rPr>
        <w:t xml:space="preserve"> EU level.</w:t>
      </w:r>
    </w:p>
    <w:p w14:paraId="7093AD97" w14:textId="77777777" w:rsidR="008C75D3" w:rsidRPr="00F70DEE" w:rsidRDefault="008C75D3" w:rsidP="00415D95">
      <w:pPr>
        <w:keepNext/>
        <w:keepLines/>
        <w:numPr>
          <w:ilvl w:val="1"/>
          <w:numId w:val="3"/>
        </w:numPr>
        <w:spacing w:before="40"/>
        <w:ind w:left="576" w:hanging="576"/>
        <w:outlineLvl w:val="1"/>
        <w:rPr>
          <w:rFonts w:cs="Times New Roman"/>
          <w:b/>
          <w:noProof/>
          <w:szCs w:val="24"/>
        </w:rPr>
      </w:pPr>
      <w:bookmarkStart w:id="518" w:name="_Ref118126409"/>
      <w:bookmarkStart w:id="519" w:name="_Toc118669496"/>
      <w:bookmarkStart w:id="520" w:name="_Toc121409649"/>
      <w:bookmarkStart w:id="521" w:name="_Toc123037717"/>
      <w:bookmarkStart w:id="522" w:name="_Toc125732829"/>
      <w:r w:rsidRPr="00F70DEE">
        <w:rPr>
          <w:rFonts w:cs="Times New Roman"/>
          <w:b/>
          <w:noProof/>
          <w:szCs w:val="24"/>
        </w:rPr>
        <w:t>Detecting and characteri</w:t>
      </w:r>
      <w:r w:rsidR="0074140C">
        <w:rPr>
          <w:rFonts w:cs="Times New Roman"/>
          <w:b/>
          <w:noProof/>
          <w:szCs w:val="24"/>
        </w:rPr>
        <w:t>s</w:t>
      </w:r>
      <w:r w:rsidRPr="00F70DEE">
        <w:rPr>
          <w:rFonts w:cs="Times New Roman"/>
          <w:b/>
          <w:noProof/>
          <w:szCs w:val="24"/>
        </w:rPr>
        <w:t>ing space threats</w:t>
      </w:r>
      <w:bookmarkEnd w:id="518"/>
      <w:bookmarkEnd w:id="519"/>
      <w:bookmarkEnd w:id="520"/>
      <w:bookmarkEnd w:id="521"/>
      <w:bookmarkEnd w:id="522"/>
    </w:p>
    <w:p w14:paraId="3C115FF6" w14:textId="351B4258" w:rsidR="00E93F3D" w:rsidRDefault="008C75D3" w:rsidP="00E93F3D">
      <w:pPr>
        <w:rPr>
          <w:noProof/>
        </w:rPr>
      </w:pPr>
      <w:r w:rsidRPr="00F70DEE">
        <w:rPr>
          <w:noProof/>
        </w:rPr>
        <w:t xml:space="preserve">Any EU response to a space threat requires </w:t>
      </w:r>
      <w:r w:rsidR="00F03D3D">
        <w:rPr>
          <w:noProof/>
        </w:rPr>
        <w:t>both the</w:t>
      </w:r>
      <w:r w:rsidRPr="00F70DEE">
        <w:rPr>
          <w:noProof/>
        </w:rPr>
        <w:t xml:space="preserve"> </w:t>
      </w:r>
      <w:r w:rsidR="00261E0B" w:rsidRPr="00F70DEE">
        <w:rPr>
          <w:noProof/>
        </w:rPr>
        <w:t>E</w:t>
      </w:r>
      <w:r w:rsidRPr="00F70DEE">
        <w:rPr>
          <w:noProof/>
        </w:rPr>
        <w:t xml:space="preserve">U </w:t>
      </w:r>
      <w:r w:rsidRPr="00F03D3D">
        <w:rPr>
          <w:noProof/>
        </w:rPr>
        <w:t>and its Member States</w:t>
      </w:r>
      <w:r w:rsidR="002F1868">
        <w:rPr>
          <w:noProof/>
        </w:rPr>
        <w:t>,</w:t>
      </w:r>
      <w:r w:rsidR="00F03D3D" w:rsidRPr="00F03D3D">
        <w:rPr>
          <w:noProof/>
        </w:rPr>
        <w:t xml:space="preserve"> as</w:t>
      </w:r>
      <w:r w:rsidR="00F03D3D">
        <w:rPr>
          <w:noProof/>
        </w:rPr>
        <w:t xml:space="preserve"> appropriate,</w:t>
      </w:r>
      <w:r w:rsidRPr="00F70DEE">
        <w:rPr>
          <w:noProof/>
        </w:rPr>
        <w:t xml:space="preserve"> </w:t>
      </w:r>
      <w:r w:rsidR="0074140C">
        <w:rPr>
          <w:noProof/>
        </w:rPr>
        <w:t xml:space="preserve">to </w:t>
      </w:r>
      <w:r w:rsidRPr="00F70DEE">
        <w:rPr>
          <w:noProof/>
        </w:rPr>
        <w:t xml:space="preserve">have access to </w:t>
      </w:r>
      <w:r w:rsidR="00EF749E" w:rsidRPr="00F70DEE">
        <w:rPr>
          <w:noProof/>
        </w:rPr>
        <w:t>timely</w:t>
      </w:r>
      <w:r w:rsidR="00A433E5" w:rsidRPr="00F70DEE">
        <w:rPr>
          <w:noProof/>
        </w:rPr>
        <w:t>,</w:t>
      </w:r>
      <w:r w:rsidR="00EF749E" w:rsidRPr="00F70DEE">
        <w:rPr>
          <w:noProof/>
        </w:rPr>
        <w:t xml:space="preserve"> accurate and actionable</w:t>
      </w:r>
      <w:r w:rsidRPr="00F70DEE">
        <w:rPr>
          <w:noProof/>
        </w:rPr>
        <w:t xml:space="preserve"> information as a basis for their decision-making.</w:t>
      </w:r>
      <w:r w:rsidR="00E93F3D" w:rsidRPr="00E93F3D">
        <w:rPr>
          <w:noProof/>
        </w:rPr>
        <w:t xml:space="preserve"> </w:t>
      </w:r>
    </w:p>
    <w:p w14:paraId="019B381D" w14:textId="71CCEC81" w:rsidR="008C75D3" w:rsidRPr="00F70DEE" w:rsidRDefault="0074140C" w:rsidP="008C75D3">
      <w:pPr>
        <w:rPr>
          <w:noProof/>
        </w:rPr>
      </w:pPr>
      <w:r w:rsidRPr="00CD26FA">
        <w:rPr>
          <w:noProof/>
        </w:rPr>
        <w:t xml:space="preserve">Besides </w:t>
      </w:r>
      <w:r w:rsidR="008C75D3" w:rsidRPr="00CD26FA">
        <w:rPr>
          <w:noProof/>
        </w:rPr>
        <w:t xml:space="preserve">the need to regularly update the space threat landscape, it is necessary to collect and analyse in near real time security incidents </w:t>
      </w:r>
      <w:r w:rsidR="008D1512" w:rsidRPr="00CD26FA">
        <w:rPr>
          <w:noProof/>
        </w:rPr>
        <w:t xml:space="preserve">that </w:t>
      </w:r>
      <w:r w:rsidR="008C75D3" w:rsidRPr="00CD26FA">
        <w:rPr>
          <w:noProof/>
        </w:rPr>
        <w:t xml:space="preserve">affect the space systems </w:t>
      </w:r>
      <w:r w:rsidR="008D1512" w:rsidRPr="00CD26FA">
        <w:rPr>
          <w:noProof/>
        </w:rPr>
        <w:t>and</w:t>
      </w:r>
      <w:r w:rsidR="00784B83">
        <w:rPr>
          <w:noProof/>
        </w:rPr>
        <w:t xml:space="preserve"> </w:t>
      </w:r>
      <w:r w:rsidR="008C75D3" w:rsidRPr="00CD26FA">
        <w:rPr>
          <w:noProof/>
        </w:rPr>
        <w:t xml:space="preserve">could </w:t>
      </w:r>
      <w:r w:rsidR="005A7BD9" w:rsidRPr="00CD26FA">
        <w:rPr>
          <w:noProof/>
        </w:rPr>
        <w:t>signal</w:t>
      </w:r>
      <w:r w:rsidR="008C75D3" w:rsidRPr="00CD26FA">
        <w:rPr>
          <w:noProof/>
        </w:rPr>
        <w:t xml:space="preserve"> a space threat.</w:t>
      </w:r>
      <w:r w:rsidR="008C75D3" w:rsidRPr="00784B83">
        <w:rPr>
          <w:noProof/>
        </w:rPr>
        <w:t xml:space="preserve"> </w:t>
      </w:r>
      <w:r w:rsidR="00784B83" w:rsidRPr="00784B83">
        <w:rPr>
          <w:noProof/>
        </w:rPr>
        <w:t>Complementary</w:t>
      </w:r>
      <w:r w:rsidR="00784B83">
        <w:rPr>
          <w:noProof/>
        </w:rPr>
        <w:t xml:space="preserve"> to security information collected through the monitoring of the EU space programme, </w:t>
      </w:r>
      <w:r w:rsidR="00A749B5">
        <w:rPr>
          <w:noProof/>
        </w:rPr>
        <w:t>an</w:t>
      </w:r>
      <w:r w:rsidR="00A749B5" w:rsidRPr="00F70DEE">
        <w:rPr>
          <w:noProof/>
        </w:rPr>
        <w:t xml:space="preserve"> </w:t>
      </w:r>
      <w:r w:rsidR="008C75D3" w:rsidRPr="00F70DEE">
        <w:rPr>
          <w:noProof/>
        </w:rPr>
        <w:t>information exchange network</w:t>
      </w:r>
      <w:r w:rsidR="00D153C1">
        <w:rPr>
          <w:noProof/>
        </w:rPr>
        <w:t xml:space="preserve"> </w:t>
      </w:r>
      <w:r w:rsidR="002F1868">
        <w:rPr>
          <w:noProof/>
        </w:rPr>
        <w:t>c</w:t>
      </w:r>
      <w:r w:rsidR="00D153C1">
        <w:rPr>
          <w:noProof/>
        </w:rPr>
        <w:t>ould be established through the EU Space Law and</w:t>
      </w:r>
      <w:r w:rsidR="008C75D3" w:rsidRPr="00F70DEE">
        <w:rPr>
          <w:noProof/>
        </w:rPr>
        <w:t xml:space="preserve"> </w:t>
      </w:r>
      <w:r w:rsidR="00291EF1">
        <w:rPr>
          <w:noProof/>
        </w:rPr>
        <w:t xml:space="preserve">would </w:t>
      </w:r>
      <w:r>
        <w:rPr>
          <w:noProof/>
        </w:rPr>
        <w:t>provide</w:t>
      </w:r>
      <w:r w:rsidRPr="00F70DEE">
        <w:rPr>
          <w:noProof/>
        </w:rPr>
        <w:t xml:space="preserve"> </w:t>
      </w:r>
      <w:r w:rsidR="00784B83">
        <w:rPr>
          <w:noProof/>
        </w:rPr>
        <w:t xml:space="preserve">through EUSPA </w:t>
      </w:r>
      <w:r w:rsidR="008C75D3" w:rsidRPr="00F70DEE">
        <w:rPr>
          <w:noProof/>
        </w:rPr>
        <w:t>a first level o</w:t>
      </w:r>
      <w:r w:rsidR="008D1512" w:rsidRPr="00F70DEE">
        <w:rPr>
          <w:noProof/>
        </w:rPr>
        <w:t>f</w:t>
      </w:r>
      <w:r w:rsidR="008C75D3" w:rsidRPr="00F70DEE">
        <w:rPr>
          <w:noProof/>
        </w:rPr>
        <w:t xml:space="preserve"> analysis and reporting of these weak signals.</w:t>
      </w:r>
    </w:p>
    <w:p w14:paraId="3AC4588C" w14:textId="77777777" w:rsidR="008C75D3" w:rsidRPr="00F70DEE" w:rsidRDefault="008C75D3" w:rsidP="008C75D3">
      <w:pPr>
        <w:rPr>
          <w:noProof/>
        </w:rPr>
      </w:pPr>
      <w:r w:rsidRPr="00F70DEE">
        <w:rPr>
          <w:noProof/>
        </w:rPr>
        <w:t xml:space="preserve">The EU and its Member States also need </w:t>
      </w:r>
      <w:r w:rsidR="0074140C">
        <w:rPr>
          <w:noProof/>
        </w:rPr>
        <w:t xml:space="preserve">to develop </w:t>
      </w:r>
      <w:r w:rsidR="00D00E84" w:rsidRPr="00F70DEE">
        <w:rPr>
          <w:noProof/>
        </w:rPr>
        <w:t xml:space="preserve">a </w:t>
      </w:r>
      <w:r w:rsidRPr="00F70DEE">
        <w:rPr>
          <w:noProof/>
        </w:rPr>
        <w:t>share</w:t>
      </w:r>
      <w:r w:rsidR="00D00E84" w:rsidRPr="00F70DEE">
        <w:rPr>
          <w:noProof/>
        </w:rPr>
        <w:t>d</w:t>
      </w:r>
      <w:r w:rsidRPr="00F70DEE">
        <w:rPr>
          <w:noProof/>
        </w:rPr>
        <w:t xml:space="preserve"> understanding of the overall situation in orbit to address </w:t>
      </w:r>
      <w:r w:rsidR="00C7658E">
        <w:rPr>
          <w:noProof/>
        </w:rPr>
        <w:t>irresponsible</w:t>
      </w:r>
      <w:r w:rsidR="00C7658E" w:rsidRPr="00F70DEE">
        <w:rPr>
          <w:noProof/>
        </w:rPr>
        <w:t xml:space="preserve"> </w:t>
      </w:r>
      <w:r w:rsidRPr="00F70DEE">
        <w:rPr>
          <w:noProof/>
        </w:rPr>
        <w:t>or hostile behaviours in outer space.</w:t>
      </w:r>
    </w:p>
    <w:p w14:paraId="1985CC8D" w14:textId="77777777" w:rsidR="0034505E" w:rsidRPr="00F70DEE" w:rsidRDefault="008C75D3" w:rsidP="008C75D3">
      <w:pPr>
        <w:rPr>
          <w:noProof/>
        </w:rPr>
      </w:pPr>
      <w:r w:rsidRPr="00F70DEE">
        <w:rPr>
          <w:noProof/>
        </w:rPr>
        <w:t>Space Domain Awareness (SDA) consists of detecting, identifying and characteri</w:t>
      </w:r>
      <w:r w:rsidR="001B35F8">
        <w:rPr>
          <w:noProof/>
        </w:rPr>
        <w:t>s</w:t>
      </w:r>
      <w:r w:rsidRPr="00F70DEE">
        <w:rPr>
          <w:noProof/>
        </w:rPr>
        <w:t>ing space objects of interest in near real</w:t>
      </w:r>
      <w:r w:rsidR="0074140C">
        <w:rPr>
          <w:noProof/>
        </w:rPr>
        <w:t xml:space="preserve"> </w:t>
      </w:r>
      <w:r w:rsidRPr="00F70DEE">
        <w:rPr>
          <w:noProof/>
        </w:rPr>
        <w:t>time, describing and understanding their behaviours</w:t>
      </w:r>
      <w:r w:rsidRPr="00F70DEE">
        <w:rPr>
          <w:noProof/>
          <w:vertAlign w:val="superscript"/>
        </w:rPr>
        <w:footnoteReference w:id="24"/>
      </w:r>
      <w:r w:rsidR="007C0C8F" w:rsidRPr="00F70DEE">
        <w:rPr>
          <w:noProof/>
        </w:rPr>
        <w:t>,</w:t>
      </w:r>
      <w:r w:rsidRPr="00F70DEE">
        <w:rPr>
          <w:noProof/>
        </w:rPr>
        <w:t xml:space="preserve"> and connecting this information to underlying doctrines and related space systems</w:t>
      </w:r>
      <w:r w:rsidR="00843F21" w:rsidRPr="00F70DEE">
        <w:rPr>
          <w:noProof/>
        </w:rPr>
        <w:t xml:space="preserve">. </w:t>
      </w:r>
      <w:r w:rsidR="0034505E" w:rsidRPr="00F70DEE">
        <w:rPr>
          <w:noProof/>
        </w:rPr>
        <w:t xml:space="preserve">SDA feeds in real time the </w:t>
      </w:r>
      <w:r w:rsidR="0034505E" w:rsidRPr="00F70DEE">
        <w:rPr>
          <w:i/>
          <w:iCs/>
          <w:noProof/>
        </w:rPr>
        <w:t>recognised space pictures</w:t>
      </w:r>
      <w:r w:rsidR="0034505E" w:rsidRPr="00F70DEE">
        <w:rPr>
          <w:noProof/>
        </w:rPr>
        <w:t xml:space="preserve"> of space commands, relying on intelligence on space manoeuvres and intents.</w:t>
      </w:r>
      <w:r w:rsidR="00EF1C24">
        <w:rPr>
          <w:noProof/>
        </w:rPr>
        <w:t xml:space="preserve"> </w:t>
      </w:r>
    </w:p>
    <w:p w14:paraId="3D050C6C" w14:textId="3DEECCB4" w:rsidR="0034505E" w:rsidRPr="00F70DEE" w:rsidRDefault="0034505E" w:rsidP="0034505E">
      <w:pPr>
        <w:rPr>
          <w:noProof/>
        </w:rPr>
      </w:pPr>
      <w:r w:rsidRPr="00F70DEE">
        <w:rPr>
          <w:noProof/>
        </w:rPr>
        <w:t xml:space="preserve">SDA is key for </w:t>
      </w:r>
      <w:r w:rsidR="0074140C">
        <w:rPr>
          <w:noProof/>
        </w:rPr>
        <w:t xml:space="preserve">attributing </w:t>
      </w:r>
      <w:r w:rsidRPr="00F70DEE">
        <w:rPr>
          <w:noProof/>
        </w:rPr>
        <w:t xml:space="preserve">space threats in orbit and triggering </w:t>
      </w:r>
      <w:r w:rsidR="00784B83">
        <w:rPr>
          <w:noProof/>
        </w:rPr>
        <w:t>a</w:t>
      </w:r>
      <w:r w:rsidR="00A749B5">
        <w:rPr>
          <w:noProof/>
        </w:rPr>
        <w:t xml:space="preserve"> potential</w:t>
      </w:r>
      <w:r w:rsidR="00784B83" w:rsidRPr="00F70DEE">
        <w:rPr>
          <w:noProof/>
        </w:rPr>
        <w:t xml:space="preserve"> </w:t>
      </w:r>
      <w:r w:rsidRPr="00F70DEE">
        <w:rPr>
          <w:noProof/>
        </w:rPr>
        <w:t xml:space="preserve">EU response. Member States </w:t>
      </w:r>
      <w:r w:rsidR="0074140C">
        <w:rPr>
          <w:noProof/>
        </w:rPr>
        <w:t>that own</w:t>
      </w:r>
      <w:r w:rsidR="0074140C" w:rsidRPr="00F70DEE">
        <w:rPr>
          <w:noProof/>
        </w:rPr>
        <w:t xml:space="preserve"> </w:t>
      </w:r>
      <w:r w:rsidRPr="00F70DEE">
        <w:rPr>
          <w:noProof/>
        </w:rPr>
        <w:t xml:space="preserve">and develop the relevant capabilities should provide the necessary SDA services to the EU to ensure its strategic autonomy in the space domain. </w:t>
      </w:r>
    </w:p>
    <w:p w14:paraId="05BA64DA" w14:textId="77777777" w:rsidR="00701E75" w:rsidRPr="00F70DEE" w:rsidRDefault="00701E75" w:rsidP="00415D95">
      <w:pPr>
        <w:keepNext/>
        <w:keepLines/>
        <w:numPr>
          <w:ilvl w:val="1"/>
          <w:numId w:val="3"/>
        </w:numPr>
        <w:spacing w:before="40"/>
        <w:ind w:left="576" w:hanging="576"/>
        <w:outlineLvl w:val="1"/>
        <w:rPr>
          <w:rFonts w:cs="Times New Roman"/>
          <w:b/>
          <w:noProof/>
          <w:szCs w:val="24"/>
        </w:rPr>
      </w:pPr>
      <w:bookmarkStart w:id="523" w:name="_Toc118750144"/>
      <w:bookmarkStart w:id="524" w:name="_Toc121409650"/>
      <w:bookmarkStart w:id="525" w:name="_Toc123037718"/>
      <w:bookmarkStart w:id="526" w:name="_Toc125732830"/>
      <w:bookmarkEnd w:id="523"/>
      <w:r w:rsidRPr="00F70DEE">
        <w:rPr>
          <w:rFonts w:cs="Times New Roman"/>
          <w:b/>
          <w:noProof/>
          <w:szCs w:val="24"/>
        </w:rPr>
        <w:t xml:space="preserve">Attributing and reacting to hostile behaviours in the space domain </w:t>
      </w:r>
    </w:p>
    <w:bookmarkEnd w:id="524"/>
    <w:bookmarkEnd w:id="525"/>
    <w:bookmarkEnd w:id="526"/>
    <w:p w14:paraId="5ABBBBF6" w14:textId="77777777" w:rsidR="008C75D3" w:rsidRPr="00F70DEE" w:rsidRDefault="00BB50DE" w:rsidP="008C75D3">
      <w:pPr>
        <w:rPr>
          <w:noProof/>
        </w:rPr>
      </w:pPr>
      <w:r w:rsidRPr="00F70DEE">
        <w:rPr>
          <w:noProof/>
        </w:rPr>
        <w:t>A</w:t>
      </w:r>
      <w:r w:rsidR="008C75D3" w:rsidRPr="00F70DEE">
        <w:rPr>
          <w:noProof/>
        </w:rPr>
        <w:t xml:space="preserve">ttributing a space threat to a third </w:t>
      </w:r>
      <w:r w:rsidR="00D00E84" w:rsidRPr="00F70DEE">
        <w:rPr>
          <w:noProof/>
        </w:rPr>
        <w:t>country</w:t>
      </w:r>
      <w:r w:rsidR="008C75D3" w:rsidRPr="00F70DEE">
        <w:rPr>
          <w:noProof/>
        </w:rPr>
        <w:t xml:space="preserve"> and deciding on a possible response is a highly political </w:t>
      </w:r>
      <w:r w:rsidR="00D205DA">
        <w:rPr>
          <w:noProof/>
        </w:rPr>
        <w:t>decision</w:t>
      </w:r>
      <w:r w:rsidR="008C75D3" w:rsidRPr="00F70DEE">
        <w:rPr>
          <w:noProof/>
        </w:rPr>
        <w:t>.</w:t>
      </w:r>
    </w:p>
    <w:p w14:paraId="6F26B21E" w14:textId="1F42D7A9" w:rsidR="008C75D3" w:rsidRPr="00F03D3D" w:rsidRDefault="008C75D3" w:rsidP="008C75D3">
      <w:pPr>
        <w:rPr>
          <w:noProof/>
        </w:rPr>
      </w:pPr>
      <w:r w:rsidRPr="00F70DEE">
        <w:rPr>
          <w:noProof/>
        </w:rPr>
        <w:t xml:space="preserve">The Council Decision on the security of systems and services deployed, </w:t>
      </w:r>
      <w:r w:rsidR="00A507DC" w:rsidRPr="00F70DEE">
        <w:rPr>
          <w:noProof/>
        </w:rPr>
        <w:t>operated</w:t>
      </w:r>
      <w:r w:rsidRPr="00F70DEE">
        <w:rPr>
          <w:noProof/>
        </w:rPr>
        <w:t xml:space="preserve"> and used under the Space Programme</w:t>
      </w:r>
      <w:r w:rsidRPr="00F70DEE">
        <w:rPr>
          <w:noProof/>
          <w:vertAlign w:val="superscript"/>
        </w:rPr>
        <w:footnoteReference w:id="25"/>
      </w:r>
      <w:r w:rsidRPr="00F70DEE">
        <w:rPr>
          <w:noProof/>
        </w:rPr>
        <w:t xml:space="preserve"> lays down operational provisions enabling the EU</w:t>
      </w:r>
      <w:r w:rsidR="007F5CEC">
        <w:rPr>
          <w:rStyle w:val="FootnoteReference"/>
          <w:noProof/>
        </w:rPr>
        <w:footnoteReference w:id="26"/>
      </w:r>
      <w:r w:rsidR="007F5CEC">
        <w:rPr>
          <w:noProof/>
        </w:rPr>
        <w:t xml:space="preserve"> </w:t>
      </w:r>
      <w:r w:rsidRPr="00F70DEE">
        <w:rPr>
          <w:noProof/>
        </w:rPr>
        <w:t>to attribute and respond to threats to</w:t>
      </w:r>
      <w:r w:rsidR="003B42DF">
        <w:rPr>
          <w:noProof/>
        </w:rPr>
        <w:t xml:space="preserve"> </w:t>
      </w:r>
      <w:r w:rsidR="007F5CEC">
        <w:rPr>
          <w:noProof/>
        </w:rPr>
        <w:t xml:space="preserve">or through </w:t>
      </w:r>
      <w:r w:rsidRPr="00F70DEE">
        <w:rPr>
          <w:noProof/>
        </w:rPr>
        <w:t xml:space="preserve">systems set up and services of the EU </w:t>
      </w:r>
      <w:r w:rsidR="00ED1B6E" w:rsidRPr="00F70DEE">
        <w:rPr>
          <w:noProof/>
        </w:rPr>
        <w:t>S</w:t>
      </w:r>
      <w:r w:rsidRPr="00F70DEE">
        <w:rPr>
          <w:noProof/>
        </w:rPr>
        <w:t xml:space="preserve">pace </w:t>
      </w:r>
      <w:r w:rsidR="00ED1B6E" w:rsidRPr="00F70DEE">
        <w:rPr>
          <w:noProof/>
        </w:rPr>
        <w:t>P</w:t>
      </w:r>
      <w:r w:rsidRPr="00F70DEE">
        <w:rPr>
          <w:noProof/>
        </w:rPr>
        <w:t xml:space="preserve">rogramme, </w:t>
      </w:r>
      <w:r w:rsidR="00D205DA">
        <w:rPr>
          <w:noProof/>
        </w:rPr>
        <w:t>if</w:t>
      </w:r>
      <w:r w:rsidR="00D205DA" w:rsidRPr="00F70DEE">
        <w:rPr>
          <w:noProof/>
        </w:rPr>
        <w:t xml:space="preserve"> </w:t>
      </w:r>
      <w:r w:rsidRPr="00F70DEE">
        <w:rPr>
          <w:noProof/>
        </w:rPr>
        <w:t>such threat</w:t>
      </w:r>
      <w:r w:rsidR="00D205DA">
        <w:rPr>
          <w:noProof/>
        </w:rPr>
        <w:t>s</w:t>
      </w:r>
      <w:r w:rsidRPr="00F70DEE">
        <w:rPr>
          <w:noProof/>
        </w:rPr>
        <w:t xml:space="preserve"> would affect </w:t>
      </w:r>
      <w:r w:rsidRPr="00F03D3D">
        <w:rPr>
          <w:noProof/>
        </w:rPr>
        <w:t xml:space="preserve">the security of the EU and/or </w:t>
      </w:r>
      <w:r w:rsidR="002B3597" w:rsidRPr="00F03D3D">
        <w:rPr>
          <w:noProof/>
        </w:rPr>
        <w:t xml:space="preserve">of </w:t>
      </w:r>
      <w:r w:rsidRPr="00F03D3D">
        <w:rPr>
          <w:noProof/>
        </w:rPr>
        <w:t>its Member States.</w:t>
      </w:r>
      <w:r w:rsidR="007F5CEC">
        <w:rPr>
          <w:noProof/>
        </w:rPr>
        <w:t xml:space="preserve"> The Decision foresees the possibility for the H</w:t>
      </w:r>
      <w:r w:rsidR="003B42DF">
        <w:rPr>
          <w:noProof/>
        </w:rPr>
        <w:t xml:space="preserve">igh </w:t>
      </w:r>
      <w:r w:rsidR="007F5CEC">
        <w:rPr>
          <w:noProof/>
        </w:rPr>
        <w:t>R</w:t>
      </w:r>
      <w:r w:rsidR="003B42DF">
        <w:rPr>
          <w:noProof/>
        </w:rPr>
        <w:t>epresentative</w:t>
      </w:r>
      <w:r w:rsidR="007F5CEC">
        <w:rPr>
          <w:noProof/>
        </w:rPr>
        <w:t xml:space="preserve"> to take urgent provisional action.</w:t>
      </w:r>
      <w:r w:rsidR="003B42DF">
        <w:rPr>
          <w:noProof/>
        </w:rPr>
        <w:t xml:space="preserve"> </w:t>
      </w:r>
      <w:r w:rsidR="007F5CEC">
        <w:rPr>
          <w:noProof/>
        </w:rPr>
        <w:t xml:space="preserve">The </w:t>
      </w:r>
      <w:r w:rsidR="007F5CEC" w:rsidRPr="00F70DEE">
        <w:rPr>
          <w:noProof/>
        </w:rPr>
        <w:t>European External Action Service (EEAS)</w:t>
      </w:r>
      <w:r w:rsidR="007F5CEC">
        <w:rPr>
          <w:noProof/>
        </w:rPr>
        <w:t xml:space="preserve"> operates the</w:t>
      </w:r>
      <w:r w:rsidR="007F5CEC" w:rsidRPr="00F70DEE">
        <w:rPr>
          <w:noProof/>
        </w:rPr>
        <w:t xml:space="preserve"> </w:t>
      </w:r>
      <w:r w:rsidR="003B42DF">
        <w:rPr>
          <w:noProof/>
        </w:rPr>
        <w:t>S</w:t>
      </w:r>
      <w:r w:rsidR="007F5CEC" w:rsidRPr="00F70DEE">
        <w:rPr>
          <w:noProof/>
        </w:rPr>
        <w:t xml:space="preserve">pace </w:t>
      </w:r>
      <w:r w:rsidR="003B42DF">
        <w:rPr>
          <w:noProof/>
        </w:rPr>
        <w:t>T</w:t>
      </w:r>
      <w:r w:rsidR="007F5CEC" w:rsidRPr="00F70DEE">
        <w:rPr>
          <w:noProof/>
        </w:rPr>
        <w:t xml:space="preserve">hreat </w:t>
      </w:r>
      <w:r w:rsidR="007F5CEC">
        <w:rPr>
          <w:noProof/>
        </w:rPr>
        <w:t>R</w:t>
      </w:r>
      <w:r w:rsidR="007F5CEC" w:rsidRPr="00F70DEE">
        <w:rPr>
          <w:noProof/>
        </w:rPr>
        <w:t xml:space="preserve">esponse </w:t>
      </w:r>
      <w:r w:rsidR="007F5CEC">
        <w:rPr>
          <w:noProof/>
        </w:rPr>
        <w:t>A</w:t>
      </w:r>
      <w:r w:rsidR="007F5CEC" w:rsidRPr="00F70DEE">
        <w:rPr>
          <w:noProof/>
        </w:rPr>
        <w:t>rchitecture</w:t>
      </w:r>
      <w:r w:rsidR="007F5CEC">
        <w:rPr>
          <w:noProof/>
        </w:rPr>
        <w:t xml:space="preserve"> supporting the implementation of the Decision</w:t>
      </w:r>
      <w:r w:rsidR="003B42DF">
        <w:rPr>
          <w:noProof/>
        </w:rPr>
        <w:t>.</w:t>
      </w:r>
      <w:r w:rsidR="007F5CEC">
        <w:rPr>
          <w:noProof/>
        </w:rPr>
        <w:t xml:space="preserve"> </w:t>
      </w:r>
    </w:p>
    <w:p w14:paraId="39DF92BF" w14:textId="4624CDB2" w:rsidR="008C75D3" w:rsidRPr="00F70DEE" w:rsidRDefault="007F5CEC" w:rsidP="008C75D3">
      <w:pPr>
        <w:rPr>
          <w:bCs/>
          <w:noProof/>
        </w:rPr>
      </w:pPr>
      <w:r>
        <w:rPr>
          <w:noProof/>
        </w:rPr>
        <w:t xml:space="preserve">In view of the growing threats, </w:t>
      </w:r>
      <w:r w:rsidR="00A749B5">
        <w:rPr>
          <w:bCs/>
          <w:noProof/>
        </w:rPr>
        <w:t>t</w:t>
      </w:r>
      <w:r w:rsidR="008C75D3" w:rsidRPr="00F70DEE">
        <w:rPr>
          <w:bCs/>
          <w:noProof/>
        </w:rPr>
        <w:t>h</w:t>
      </w:r>
      <w:r w:rsidR="00C72557" w:rsidRPr="00F70DEE">
        <w:rPr>
          <w:bCs/>
          <w:noProof/>
        </w:rPr>
        <w:t xml:space="preserve">e High Representative </w:t>
      </w:r>
      <w:r w:rsidR="00605AD3">
        <w:rPr>
          <w:bCs/>
          <w:noProof/>
        </w:rPr>
        <w:t>would</w:t>
      </w:r>
      <w:r w:rsidR="00605AD3" w:rsidRPr="00F70DEE">
        <w:rPr>
          <w:bCs/>
          <w:noProof/>
        </w:rPr>
        <w:t xml:space="preserve"> </w:t>
      </w:r>
      <w:r w:rsidR="00C72557" w:rsidRPr="00F70DEE">
        <w:rPr>
          <w:bCs/>
          <w:noProof/>
        </w:rPr>
        <w:t xml:space="preserve">propose </w:t>
      </w:r>
      <w:r w:rsidR="00D205DA">
        <w:rPr>
          <w:bCs/>
          <w:noProof/>
        </w:rPr>
        <w:t>amending</w:t>
      </w:r>
      <w:r w:rsidR="00C72557" w:rsidRPr="00F70DEE">
        <w:rPr>
          <w:bCs/>
          <w:noProof/>
        </w:rPr>
        <w:t xml:space="preserve"> the </w:t>
      </w:r>
      <w:r w:rsidR="008C75D3" w:rsidRPr="00F70DEE">
        <w:rPr>
          <w:bCs/>
          <w:noProof/>
        </w:rPr>
        <w:t xml:space="preserve">Council Decision </w:t>
      </w:r>
      <w:r w:rsidR="00C72557" w:rsidRPr="00F70DEE">
        <w:rPr>
          <w:bCs/>
          <w:noProof/>
        </w:rPr>
        <w:t xml:space="preserve">so that it </w:t>
      </w:r>
      <w:r w:rsidR="008C75D3" w:rsidRPr="00F70DEE">
        <w:rPr>
          <w:bCs/>
          <w:noProof/>
        </w:rPr>
        <w:t>become</w:t>
      </w:r>
      <w:r w:rsidR="00C72557" w:rsidRPr="00F70DEE">
        <w:rPr>
          <w:bCs/>
          <w:noProof/>
        </w:rPr>
        <w:t>s</w:t>
      </w:r>
      <w:r w:rsidR="008C75D3" w:rsidRPr="00F70DEE">
        <w:rPr>
          <w:bCs/>
          <w:noProof/>
        </w:rPr>
        <w:t xml:space="preserve"> the cornerstone of the EU response in the </w:t>
      </w:r>
      <w:r w:rsidR="008822E7" w:rsidRPr="00F70DEE">
        <w:rPr>
          <w:bCs/>
          <w:noProof/>
        </w:rPr>
        <w:t>s</w:t>
      </w:r>
      <w:r w:rsidR="008C75D3" w:rsidRPr="00F70DEE">
        <w:rPr>
          <w:bCs/>
          <w:noProof/>
        </w:rPr>
        <w:t xml:space="preserve">pace </w:t>
      </w:r>
      <w:r w:rsidR="008822E7" w:rsidRPr="00F70DEE">
        <w:rPr>
          <w:bCs/>
          <w:noProof/>
        </w:rPr>
        <w:t>do</w:t>
      </w:r>
      <w:r w:rsidR="008C75D3" w:rsidRPr="00F70DEE">
        <w:rPr>
          <w:bCs/>
          <w:noProof/>
        </w:rPr>
        <w:t>main.</w:t>
      </w:r>
      <w:r w:rsidRPr="007F5CEC">
        <w:rPr>
          <w:noProof/>
        </w:rPr>
        <w:t xml:space="preserve"> </w:t>
      </w:r>
    </w:p>
    <w:p w14:paraId="510D8087" w14:textId="77777777" w:rsidR="008C75D3" w:rsidRPr="00F70DEE" w:rsidRDefault="00605AD3" w:rsidP="00477A54">
      <w:pPr>
        <w:rPr>
          <w:noProof/>
          <w:szCs w:val="24"/>
        </w:rPr>
      </w:pPr>
      <w:r>
        <w:rPr>
          <w:bCs/>
          <w:noProof/>
        </w:rPr>
        <w:t>The</w:t>
      </w:r>
      <w:r w:rsidR="008C75D3" w:rsidRPr="00F70DEE">
        <w:rPr>
          <w:bCs/>
          <w:noProof/>
        </w:rPr>
        <w:t xml:space="preserve"> scope of</w:t>
      </w:r>
      <w:r w:rsidR="008C75D3" w:rsidRPr="00F70DEE">
        <w:rPr>
          <w:noProof/>
        </w:rPr>
        <w:t xml:space="preserve"> the Decision should be </w:t>
      </w:r>
      <w:r w:rsidR="00ED7645">
        <w:rPr>
          <w:noProof/>
        </w:rPr>
        <w:t>extended</w:t>
      </w:r>
      <w:r w:rsidR="00ED7645" w:rsidRPr="00F70DEE">
        <w:rPr>
          <w:noProof/>
        </w:rPr>
        <w:t xml:space="preserve"> </w:t>
      </w:r>
      <w:r w:rsidR="008C75D3" w:rsidRPr="00F70DEE">
        <w:rPr>
          <w:noProof/>
        </w:rPr>
        <w:t xml:space="preserve">to cover threats in the space domain that may affect the security of the </w:t>
      </w:r>
      <w:r w:rsidR="00111C2F" w:rsidRPr="00F70DEE">
        <w:rPr>
          <w:noProof/>
        </w:rPr>
        <w:t>E</w:t>
      </w:r>
      <w:r w:rsidR="008C75D3" w:rsidRPr="00F70DEE">
        <w:rPr>
          <w:noProof/>
        </w:rPr>
        <w:t>U. The Space Threat Response Architecture could become the recipient at EU level of</w:t>
      </w:r>
      <w:r w:rsidR="00365FFF" w:rsidRPr="00F70DEE">
        <w:rPr>
          <w:noProof/>
        </w:rPr>
        <w:t xml:space="preserve"> </w:t>
      </w:r>
      <w:r w:rsidR="008C75D3" w:rsidRPr="00F70DEE">
        <w:rPr>
          <w:noProof/>
          <w:szCs w:val="24"/>
        </w:rPr>
        <w:t xml:space="preserve">space security incidents </w:t>
      </w:r>
      <w:r w:rsidR="00ED7645">
        <w:rPr>
          <w:noProof/>
          <w:szCs w:val="24"/>
        </w:rPr>
        <w:t>through</w:t>
      </w:r>
      <w:r w:rsidR="008C75D3" w:rsidRPr="00F70DEE">
        <w:rPr>
          <w:noProof/>
          <w:szCs w:val="24"/>
        </w:rPr>
        <w:t xml:space="preserve"> the </w:t>
      </w:r>
      <w:r w:rsidR="00ED7645">
        <w:rPr>
          <w:noProof/>
          <w:szCs w:val="24"/>
        </w:rPr>
        <w:t xml:space="preserve">Space Programme’s </w:t>
      </w:r>
      <w:r w:rsidR="008C75D3" w:rsidRPr="00F70DEE">
        <w:rPr>
          <w:noProof/>
          <w:szCs w:val="24"/>
        </w:rPr>
        <w:t xml:space="preserve">Security Monitoring Centre </w:t>
      </w:r>
      <w:r w:rsidR="00365FFF" w:rsidRPr="00F70DEE">
        <w:rPr>
          <w:noProof/>
          <w:szCs w:val="24"/>
        </w:rPr>
        <w:t xml:space="preserve">and </w:t>
      </w:r>
      <w:r w:rsidR="008C75D3" w:rsidRPr="00F70DEE">
        <w:rPr>
          <w:noProof/>
          <w:szCs w:val="24"/>
        </w:rPr>
        <w:t xml:space="preserve">the </w:t>
      </w:r>
      <w:r w:rsidR="008822E7" w:rsidRPr="00F70DEE">
        <w:rPr>
          <w:noProof/>
          <w:szCs w:val="24"/>
        </w:rPr>
        <w:t>SDA</w:t>
      </w:r>
      <w:r w:rsidR="008C75D3" w:rsidRPr="00F70DEE">
        <w:rPr>
          <w:noProof/>
          <w:szCs w:val="24"/>
        </w:rPr>
        <w:t xml:space="preserve"> services</w:t>
      </w:r>
      <w:r w:rsidR="00365FFF" w:rsidRPr="00F70DEE">
        <w:rPr>
          <w:noProof/>
          <w:szCs w:val="24"/>
        </w:rPr>
        <w:t xml:space="preserve">. It </w:t>
      </w:r>
      <w:r w:rsidR="008C75D3" w:rsidRPr="00F70DEE">
        <w:rPr>
          <w:noProof/>
          <w:szCs w:val="24"/>
        </w:rPr>
        <w:t xml:space="preserve">would partner with the SIAC to support the </w:t>
      </w:r>
      <w:r w:rsidR="00356F16" w:rsidRPr="00F70DEE">
        <w:rPr>
          <w:noProof/>
          <w:szCs w:val="24"/>
        </w:rPr>
        <w:t>attribution of s</w:t>
      </w:r>
      <w:r w:rsidR="008C75D3" w:rsidRPr="00F70DEE">
        <w:rPr>
          <w:noProof/>
          <w:szCs w:val="24"/>
        </w:rPr>
        <w:t>pace threat</w:t>
      </w:r>
      <w:r w:rsidR="00356F16" w:rsidRPr="00F70DEE">
        <w:rPr>
          <w:noProof/>
          <w:szCs w:val="24"/>
        </w:rPr>
        <w:t>s</w:t>
      </w:r>
      <w:r w:rsidR="008C75D3" w:rsidRPr="00F70DEE">
        <w:rPr>
          <w:noProof/>
          <w:szCs w:val="24"/>
        </w:rPr>
        <w:t xml:space="preserve"> and the </w:t>
      </w:r>
      <w:r w:rsidR="00356F16" w:rsidRPr="00F70DEE">
        <w:rPr>
          <w:noProof/>
          <w:szCs w:val="24"/>
        </w:rPr>
        <w:t xml:space="preserve">adequate </w:t>
      </w:r>
      <w:r w:rsidR="008C75D3" w:rsidRPr="00F70DEE">
        <w:rPr>
          <w:noProof/>
          <w:szCs w:val="24"/>
        </w:rPr>
        <w:t>response.</w:t>
      </w:r>
    </w:p>
    <w:p w14:paraId="0E089E67" w14:textId="77777777" w:rsidR="008C75D3" w:rsidRPr="00F70DEE" w:rsidRDefault="00605AD3" w:rsidP="008C75D3">
      <w:pPr>
        <w:rPr>
          <w:noProof/>
        </w:rPr>
      </w:pPr>
      <w:r>
        <w:rPr>
          <w:noProof/>
        </w:rPr>
        <w:t>C</w:t>
      </w:r>
      <w:r w:rsidR="00B737E5" w:rsidRPr="00F70DEE">
        <w:rPr>
          <w:noProof/>
        </w:rPr>
        <w:t>omplementary to the cyber diplomacy toolbox and</w:t>
      </w:r>
      <w:r w:rsidR="00ED7645">
        <w:rPr>
          <w:noProof/>
        </w:rPr>
        <w:t xml:space="preserve"> </w:t>
      </w:r>
      <w:r w:rsidR="00B737E5" w:rsidRPr="00F70DEE">
        <w:rPr>
          <w:noProof/>
        </w:rPr>
        <w:t xml:space="preserve">the hybrid toolbox, </w:t>
      </w:r>
      <w:r w:rsidR="008C75D3" w:rsidRPr="00F70DEE">
        <w:rPr>
          <w:noProof/>
        </w:rPr>
        <w:t xml:space="preserve">the </w:t>
      </w:r>
      <w:r w:rsidR="00E76CB5" w:rsidRPr="00F70DEE">
        <w:rPr>
          <w:noProof/>
        </w:rPr>
        <w:t>amend</w:t>
      </w:r>
      <w:r w:rsidR="004B1C56" w:rsidRPr="00F70DEE">
        <w:rPr>
          <w:noProof/>
        </w:rPr>
        <w:t xml:space="preserve">ed </w:t>
      </w:r>
      <w:r w:rsidR="00E76CB5" w:rsidRPr="00F70DEE">
        <w:rPr>
          <w:noProof/>
        </w:rPr>
        <w:t xml:space="preserve">Council </w:t>
      </w:r>
      <w:r w:rsidR="008C75D3" w:rsidRPr="00F70DEE">
        <w:rPr>
          <w:noProof/>
        </w:rPr>
        <w:t xml:space="preserve">Decision </w:t>
      </w:r>
      <w:r w:rsidR="00E76CB5" w:rsidRPr="00F70DEE">
        <w:rPr>
          <w:noProof/>
        </w:rPr>
        <w:t>w</w:t>
      </w:r>
      <w:r w:rsidR="004B1C56" w:rsidRPr="00F70DEE">
        <w:rPr>
          <w:noProof/>
        </w:rPr>
        <w:t>ould</w:t>
      </w:r>
      <w:r w:rsidR="008C75D3" w:rsidRPr="00F70DEE">
        <w:rPr>
          <w:noProof/>
        </w:rPr>
        <w:t xml:space="preserve"> also facilitate the mobilisation of a </w:t>
      </w:r>
      <w:r w:rsidR="004C3DC7" w:rsidRPr="00F70DEE">
        <w:rPr>
          <w:noProof/>
        </w:rPr>
        <w:t>dedicated</w:t>
      </w:r>
      <w:r w:rsidR="008C75D3" w:rsidRPr="00F70DEE">
        <w:rPr>
          <w:noProof/>
        </w:rPr>
        <w:t xml:space="preserve"> toolbox</w:t>
      </w:r>
      <w:r w:rsidR="00275E8A">
        <w:rPr>
          <w:noProof/>
        </w:rPr>
        <w:t>. As part of the response, relevant EU tools could</w:t>
      </w:r>
      <w:r w:rsidR="008C75D3" w:rsidRPr="00F70DEE">
        <w:rPr>
          <w:noProof/>
        </w:rPr>
        <w:t xml:space="preserve"> </w:t>
      </w:r>
      <w:r w:rsidR="00275E8A" w:rsidRPr="00F70DEE">
        <w:rPr>
          <w:noProof/>
        </w:rPr>
        <w:t>includ</w:t>
      </w:r>
      <w:r w:rsidR="00275E8A">
        <w:rPr>
          <w:noProof/>
        </w:rPr>
        <w:t>e</w:t>
      </w:r>
      <w:r w:rsidR="008C75D3" w:rsidRPr="00F70DEE">
        <w:rPr>
          <w:noProof/>
        </w:rPr>
        <w:t>:</w:t>
      </w:r>
    </w:p>
    <w:p w14:paraId="7BB18358" w14:textId="77777777" w:rsidR="008C75D3" w:rsidRPr="00F70DEE" w:rsidRDefault="004B1C56" w:rsidP="008C75D3">
      <w:pPr>
        <w:numPr>
          <w:ilvl w:val="0"/>
          <w:numId w:val="2"/>
        </w:numPr>
        <w:spacing w:line="240" w:lineRule="auto"/>
        <w:ind w:left="426" w:hanging="357"/>
        <w:rPr>
          <w:noProof/>
          <w:szCs w:val="24"/>
        </w:rPr>
      </w:pPr>
      <w:r w:rsidRPr="00F70DEE">
        <w:rPr>
          <w:noProof/>
          <w:szCs w:val="24"/>
        </w:rPr>
        <w:t>a</w:t>
      </w:r>
      <w:r w:rsidR="008C75D3" w:rsidRPr="00F70DEE">
        <w:rPr>
          <w:noProof/>
          <w:szCs w:val="24"/>
        </w:rPr>
        <w:t>t technical level,</w:t>
      </w:r>
      <w:r w:rsidR="0034398D" w:rsidRPr="00F70DEE">
        <w:rPr>
          <w:noProof/>
          <w:szCs w:val="24"/>
        </w:rPr>
        <w:t xml:space="preserve"> the </w:t>
      </w:r>
      <w:r w:rsidR="00B737E5" w:rsidRPr="00F70DEE">
        <w:rPr>
          <w:noProof/>
          <w:szCs w:val="24"/>
        </w:rPr>
        <w:t>use of</w:t>
      </w:r>
      <w:r w:rsidR="0034398D" w:rsidRPr="00F70DEE">
        <w:rPr>
          <w:noProof/>
          <w:szCs w:val="24"/>
        </w:rPr>
        <w:t xml:space="preserve"> </w:t>
      </w:r>
      <w:r w:rsidR="00B737E5" w:rsidRPr="00F70DEE">
        <w:rPr>
          <w:noProof/>
          <w:szCs w:val="24"/>
        </w:rPr>
        <w:t>specific operational response modes developed as part of the security design of the space systems</w:t>
      </w:r>
      <w:r w:rsidRPr="00F70DEE">
        <w:rPr>
          <w:noProof/>
          <w:szCs w:val="24"/>
        </w:rPr>
        <w:t>;</w:t>
      </w:r>
    </w:p>
    <w:p w14:paraId="6408D46E" w14:textId="77777777" w:rsidR="008C75D3" w:rsidRPr="00F70DEE" w:rsidRDefault="004B1C56" w:rsidP="0034398D">
      <w:pPr>
        <w:pStyle w:val="Bulletnormakl"/>
        <w:rPr>
          <w:noProof/>
        </w:rPr>
      </w:pPr>
      <w:r w:rsidRPr="00F70DEE">
        <w:rPr>
          <w:noProof/>
        </w:rPr>
        <w:t>a</w:t>
      </w:r>
      <w:r w:rsidR="008C75D3" w:rsidRPr="00F70DEE">
        <w:rPr>
          <w:noProof/>
        </w:rPr>
        <w:t xml:space="preserve">t diplomatic level, </w:t>
      </w:r>
      <w:r w:rsidR="00B737E5" w:rsidRPr="00F70DEE">
        <w:rPr>
          <w:noProof/>
        </w:rPr>
        <w:t xml:space="preserve">discussions in multilateral </w:t>
      </w:r>
      <w:r w:rsidR="00275E8A" w:rsidRPr="00F70DEE">
        <w:rPr>
          <w:noProof/>
        </w:rPr>
        <w:t>for</w:t>
      </w:r>
      <w:r w:rsidR="00275E8A">
        <w:rPr>
          <w:noProof/>
        </w:rPr>
        <w:t>ums</w:t>
      </w:r>
      <w:r w:rsidR="00B737E5" w:rsidRPr="00F70DEE">
        <w:rPr>
          <w:noProof/>
        </w:rPr>
        <w:t xml:space="preserve">, </w:t>
      </w:r>
      <w:r w:rsidR="00ED7645">
        <w:rPr>
          <w:noProof/>
        </w:rPr>
        <w:t>outreach</w:t>
      </w:r>
      <w:r w:rsidR="00ED7645" w:rsidRPr="00F70DEE">
        <w:rPr>
          <w:noProof/>
        </w:rPr>
        <w:t xml:space="preserve"> </w:t>
      </w:r>
      <w:r w:rsidR="00B737E5" w:rsidRPr="00F70DEE">
        <w:rPr>
          <w:noProof/>
        </w:rPr>
        <w:t xml:space="preserve">through appropriate channels, </w:t>
      </w:r>
      <w:r w:rsidR="00ED7645">
        <w:rPr>
          <w:noProof/>
        </w:rPr>
        <w:t xml:space="preserve">and </w:t>
      </w:r>
      <w:r w:rsidR="00B737E5" w:rsidRPr="00F70DEE">
        <w:rPr>
          <w:noProof/>
        </w:rPr>
        <w:t xml:space="preserve">statements by the EU and </w:t>
      </w:r>
      <w:r w:rsidR="00356F16" w:rsidRPr="00F70DEE">
        <w:rPr>
          <w:noProof/>
        </w:rPr>
        <w:t>by</w:t>
      </w:r>
      <w:r w:rsidR="00B737E5" w:rsidRPr="00F70DEE">
        <w:rPr>
          <w:noProof/>
        </w:rPr>
        <w:t xml:space="preserve"> Member States</w:t>
      </w:r>
      <w:r w:rsidR="008C75D3" w:rsidRPr="00F70DEE">
        <w:rPr>
          <w:noProof/>
        </w:rPr>
        <w:t xml:space="preserve"> to prevent and respond to irresponsible behaviours in the space domain</w:t>
      </w:r>
      <w:r w:rsidRPr="00F70DEE">
        <w:rPr>
          <w:noProof/>
        </w:rPr>
        <w:t>;</w:t>
      </w:r>
    </w:p>
    <w:p w14:paraId="41CA7DC4" w14:textId="10127775" w:rsidR="008C75D3" w:rsidRPr="00F70DEE" w:rsidRDefault="008B795F" w:rsidP="008C75D3">
      <w:pPr>
        <w:numPr>
          <w:ilvl w:val="0"/>
          <w:numId w:val="2"/>
        </w:numPr>
        <w:spacing w:line="240" w:lineRule="auto"/>
        <w:ind w:left="426" w:hanging="357"/>
        <w:rPr>
          <w:noProof/>
          <w:szCs w:val="24"/>
        </w:rPr>
      </w:pPr>
      <w:r w:rsidRPr="00F70DEE">
        <w:rPr>
          <w:noProof/>
          <w:szCs w:val="24"/>
        </w:rPr>
        <w:t xml:space="preserve">at </w:t>
      </w:r>
      <w:r w:rsidR="004B1C56" w:rsidRPr="00F70DEE">
        <w:rPr>
          <w:noProof/>
          <w:szCs w:val="24"/>
        </w:rPr>
        <w:t>e</w:t>
      </w:r>
      <w:r w:rsidR="008C75D3" w:rsidRPr="00F70DEE">
        <w:rPr>
          <w:noProof/>
          <w:szCs w:val="24"/>
        </w:rPr>
        <w:t xml:space="preserve">conomic </w:t>
      </w:r>
      <w:r w:rsidRPr="00F70DEE">
        <w:rPr>
          <w:noProof/>
          <w:szCs w:val="24"/>
        </w:rPr>
        <w:t xml:space="preserve">level, </w:t>
      </w:r>
      <w:r w:rsidR="008C75D3" w:rsidRPr="00F70DEE">
        <w:rPr>
          <w:noProof/>
          <w:szCs w:val="24"/>
        </w:rPr>
        <w:t>tools including sanctions</w:t>
      </w:r>
      <w:r w:rsidR="00177289">
        <w:rPr>
          <w:rStyle w:val="FootnoteReference"/>
          <w:noProof/>
          <w:szCs w:val="24"/>
        </w:rPr>
        <w:footnoteReference w:id="27"/>
      </w:r>
      <w:r w:rsidRPr="00F70DEE">
        <w:rPr>
          <w:noProof/>
          <w:szCs w:val="24"/>
        </w:rPr>
        <w:t>.</w:t>
      </w:r>
    </w:p>
    <w:p w14:paraId="1047A112" w14:textId="77777777" w:rsidR="008C75D3" w:rsidRPr="00F70DEE" w:rsidRDefault="008B795F" w:rsidP="008B795F">
      <w:pPr>
        <w:spacing w:line="240" w:lineRule="auto"/>
        <w:rPr>
          <w:noProof/>
          <w:szCs w:val="24"/>
        </w:rPr>
      </w:pPr>
      <w:r w:rsidRPr="00F70DEE">
        <w:rPr>
          <w:noProof/>
          <w:szCs w:val="24"/>
        </w:rPr>
        <w:t xml:space="preserve">EU </w:t>
      </w:r>
      <w:r w:rsidR="005D3EE4" w:rsidRPr="00F70DEE">
        <w:rPr>
          <w:noProof/>
          <w:szCs w:val="24"/>
        </w:rPr>
        <w:t xml:space="preserve">Military Staff </w:t>
      </w:r>
      <w:r w:rsidR="00275E8A">
        <w:rPr>
          <w:noProof/>
          <w:szCs w:val="24"/>
        </w:rPr>
        <w:t>would</w:t>
      </w:r>
      <w:r w:rsidR="00ED7645">
        <w:rPr>
          <w:noProof/>
          <w:szCs w:val="24"/>
        </w:rPr>
        <w:t xml:space="preserve"> also</w:t>
      </w:r>
      <w:r w:rsidR="00275E8A">
        <w:rPr>
          <w:noProof/>
          <w:szCs w:val="24"/>
        </w:rPr>
        <w:t xml:space="preserve"> prepare </w:t>
      </w:r>
      <w:r w:rsidR="00ED7645">
        <w:rPr>
          <w:noProof/>
          <w:szCs w:val="24"/>
        </w:rPr>
        <w:t>a</w:t>
      </w:r>
      <w:r w:rsidR="00B45EA7" w:rsidRPr="00F70DEE">
        <w:rPr>
          <w:noProof/>
          <w:szCs w:val="24"/>
        </w:rPr>
        <w:t xml:space="preserve"> military contribution to the EU</w:t>
      </w:r>
      <w:r w:rsidR="00ED7645">
        <w:rPr>
          <w:noProof/>
          <w:szCs w:val="24"/>
        </w:rPr>
        <w:t>’s</w:t>
      </w:r>
      <w:r w:rsidR="00B45EA7" w:rsidRPr="00F70DEE">
        <w:rPr>
          <w:noProof/>
          <w:szCs w:val="24"/>
        </w:rPr>
        <w:t xml:space="preserve"> response in the space domain.</w:t>
      </w:r>
    </w:p>
    <w:p w14:paraId="26FAF35A" w14:textId="77777777" w:rsidR="00895029" w:rsidRPr="00F70DEE" w:rsidRDefault="00605AD3" w:rsidP="008C75D3">
      <w:pPr>
        <w:rPr>
          <w:noProof/>
        </w:rPr>
      </w:pPr>
      <w:r>
        <w:rPr>
          <w:noProof/>
        </w:rPr>
        <w:t>The</w:t>
      </w:r>
      <w:r w:rsidR="008C75D3" w:rsidRPr="00F70DEE">
        <w:rPr>
          <w:noProof/>
        </w:rPr>
        <w:t xml:space="preserve"> </w:t>
      </w:r>
      <w:r w:rsidR="00DC5DE9">
        <w:rPr>
          <w:noProof/>
        </w:rPr>
        <w:t>creation</w:t>
      </w:r>
      <w:r w:rsidR="008C75D3" w:rsidRPr="00F70DEE">
        <w:rPr>
          <w:noProof/>
        </w:rPr>
        <w:t xml:space="preserve"> of a horizontal group under the Common Foreign and Security Policy </w:t>
      </w:r>
      <w:r w:rsidR="00ED7645">
        <w:rPr>
          <w:noProof/>
        </w:rPr>
        <w:t xml:space="preserve">(CFSP) </w:t>
      </w:r>
      <w:r w:rsidR="00B83FB0" w:rsidRPr="00F70DEE">
        <w:rPr>
          <w:noProof/>
        </w:rPr>
        <w:t xml:space="preserve">would enable the </w:t>
      </w:r>
      <w:r w:rsidR="00ED7645">
        <w:rPr>
          <w:noProof/>
        </w:rPr>
        <w:t xml:space="preserve">prompt </w:t>
      </w:r>
      <w:r w:rsidR="00B83FB0" w:rsidRPr="00F70DEE">
        <w:rPr>
          <w:noProof/>
        </w:rPr>
        <w:t>mobili</w:t>
      </w:r>
      <w:r w:rsidR="00DC5DE9">
        <w:rPr>
          <w:noProof/>
        </w:rPr>
        <w:t>s</w:t>
      </w:r>
      <w:r w:rsidR="00B83FB0" w:rsidRPr="00F70DEE">
        <w:rPr>
          <w:noProof/>
        </w:rPr>
        <w:t xml:space="preserve">ation of relevant expertise when confronted with a space threat. It would </w:t>
      </w:r>
      <w:r w:rsidR="008C75D3" w:rsidRPr="00F70DEE">
        <w:rPr>
          <w:noProof/>
        </w:rPr>
        <w:t xml:space="preserve">support the Council </w:t>
      </w:r>
      <w:r w:rsidR="005A7532" w:rsidRPr="00F70DEE">
        <w:rPr>
          <w:noProof/>
        </w:rPr>
        <w:t xml:space="preserve">in </w:t>
      </w:r>
      <w:r w:rsidR="00ED7645">
        <w:rPr>
          <w:noProof/>
        </w:rPr>
        <w:t xml:space="preserve">its </w:t>
      </w:r>
      <w:r w:rsidR="005A7532" w:rsidRPr="00F70DEE">
        <w:rPr>
          <w:noProof/>
        </w:rPr>
        <w:t xml:space="preserve">response to </w:t>
      </w:r>
      <w:r w:rsidR="008C75D3" w:rsidRPr="00F70DEE">
        <w:rPr>
          <w:noProof/>
        </w:rPr>
        <w:t>space threats</w:t>
      </w:r>
      <w:r w:rsidR="005A7532" w:rsidRPr="00F70DEE">
        <w:rPr>
          <w:noProof/>
        </w:rPr>
        <w:t xml:space="preserve">, including for </w:t>
      </w:r>
      <w:r w:rsidR="00ED7645">
        <w:rPr>
          <w:noProof/>
        </w:rPr>
        <w:t xml:space="preserve">their </w:t>
      </w:r>
      <w:r w:rsidR="005A7532" w:rsidRPr="00F70DEE">
        <w:rPr>
          <w:noProof/>
        </w:rPr>
        <w:t>attribution</w:t>
      </w:r>
      <w:r w:rsidR="008C75D3" w:rsidRPr="00F70DEE">
        <w:rPr>
          <w:noProof/>
        </w:rPr>
        <w:t>.</w:t>
      </w:r>
    </w:p>
    <w:p w14:paraId="045685F0" w14:textId="77777777" w:rsidR="008C75D3" w:rsidRPr="00F70DEE" w:rsidRDefault="00275E8A" w:rsidP="008C75D3">
      <w:pPr>
        <w:rPr>
          <w:noProof/>
        </w:rPr>
      </w:pPr>
      <w:r>
        <w:rPr>
          <w:noProof/>
        </w:rPr>
        <w:t>A</w:t>
      </w:r>
      <w:r w:rsidR="00895029" w:rsidRPr="00F70DEE">
        <w:rPr>
          <w:noProof/>
        </w:rPr>
        <w:t xml:space="preserve">ny Member State can invoke the mutual assistance clause enshrined in </w:t>
      </w:r>
      <w:r w:rsidR="00DC5DE9">
        <w:rPr>
          <w:noProof/>
        </w:rPr>
        <w:t xml:space="preserve">the </w:t>
      </w:r>
      <w:r w:rsidR="00895029" w:rsidRPr="00F70DEE">
        <w:rPr>
          <w:noProof/>
        </w:rPr>
        <w:t xml:space="preserve">EU Treaties (Article 42.7 </w:t>
      </w:r>
      <w:r w:rsidR="00DC5DE9">
        <w:rPr>
          <w:noProof/>
        </w:rPr>
        <w:t xml:space="preserve">of the </w:t>
      </w:r>
      <w:r w:rsidR="00895029" w:rsidRPr="00F70DEE">
        <w:rPr>
          <w:noProof/>
        </w:rPr>
        <w:t>T</w:t>
      </w:r>
      <w:r w:rsidR="00DC5DE9">
        <w:rPr>
          <w:noProof/>
        </w:rPr>
        <w:t xml:space="preserve">reaty of the </w:t>
      </w:r>
      <w:r w:rsidR="00895029" w:rsidRPr="00F70DEE">
        <w:rPr>
          <w:noProof/>
        </w:rPr>
        <w:t>E</w:t>
      </w:r>
      <w:r w:rsidR="00DC5DE9">
        <w:rPr>
          <w:noProof/>
        </w:rPr>
        <w:t xml:space="preserve">uropean </w:t>
      </w:r>
      <w:r w:rsidR="00895029" w:rsidRPr="00F70DEE">
        <w:rPr>
          <w:noProof/>
        </w:rPr>
        <w:t>U</w:t>
      </w:r>
      <w:r w:rsidR="00DC5DE9">
        <w:rPr>
          <w:noProof/>
        </w:rPr>
        <w:t>nion</w:t>
      </w:r>
      <w:r w:rsidR="00895029" w:rsidRPr="00F70DEE">
        <w:rPr>
          <w:noProof/>
        </w:rPr>
        <w:t xml:space="preserve">), should a space threat or incident amount to an armed </w:t>
      </w:r>
      <w:r w:rsidR="00ED7645">
        <w:rPr>
          <w:noProof/>
        </w:rPr>
        <w:t>attack</w:t>
      </w:r>
      <w:r w:rsidR="00ED7645" w:rsidRPr="00F70DEE">
        <w:rPr>
          <w:noProof/>
        </w:rPr>
        <w:t xml:space="preserve"> </w:t>
      </w:r>
      <w:r w:rsidR="00AC773D" w:rsidRPr="00F70DEE">
        <w:rPr>
          <w:noProof/>
        </w:rPr>
        <w:t>on its territory</w:t>
      </w:r>
      <w:r w:rsidR="00895029" w:rsidRPr="00F70DEE">
        <w:rPr>
          <w:noProof/>
        </w:rPr>
        <w:t>.</w:t>
      </w:r>
    </w:p>
    <w:p w14:paraId="065CEB2F" w14:textId="77777777" w:rsidR="008C75D3" w:rsidRPr="00F70DEE" w:rsidRDefault="0039777A" w:rsidP="00415D95">
      <w:pPr>
        <w:keepNext/>
        <w:keepLines/>
        <w:numPr>
          <w:ilvl w:val="1"/>
          <w:numId w:val="3"/>
        </w:numPr>
        <w:spacing w:before="40"/>
        <w:ind w:left="576" w:hanging="576"/>
        <w:outlineLvl w:val="1"/>
        <w:rPr>
          <w:rFonts w:cs="Times New Roman"/>
          <w:b/>
          <w:noProof/>
          <w:szCs w:val="24"/>
        </w:rPr>
      </w:pPr>
      <w:bookmarkStart w:id="527" w:name="_Ref119441220"/>
      <w:bookmarkStart w:id="528" w:name="_Toc121409651"/>
      <w:bookmarkStart w:id="529" w:name="_Toc123037719"/>
      <w:bookmarkStart w:id="530" w:name="_Toc118669503"/>
      <w:bookmarkStart w:id="531" w:name="_Toc125732831"/>
      <w:r w:rsidRPr="00F70DEE">
        <w:rPr>
          <w:rFonts w:cs="Times New Roman"/>
          <w:b/>
          <w:noProof/>
          <w:szCs w:val="24"/>
        </w:rPr>
        <w:t>S</w:t>
      </w:r>
      <w:r w:rsidR="008C75D3" w:rsidRPr="00F70DEE">
        <w:rPr>
          <w:rFonts w:cs="Times New Roman"/>
          <w:b/>
          <w:noProof/>
          <w:szCs w:val="24"/>
        </w:rPr>
        <w:t>pace exercises</w:t>
      </w:r>
      <w:bookmarkEnd w:id="527"/>
      <w:bookmarkEnd w:id="528"/>
      <w:bookmarkEnd w:id="529"/>
      <w:r w:rsidR="008C75D3" w:rsidRPr="00F70DEE">
        <w:rPr>
          <w:rFonts w:cs="Times New Roman"/>
          <w:b/>
          <w:noProof/>
          <w:szCs w:val="24"/>
        </w:rPr>
        <w:t xml:space="preserve"> </w:t>
      </w:r>
      <w:bookmarkEnd w:id="530"/>
      <w:r w:rsidR="00895029" w:rsidRPr="00F70DEE">
        <w:rPr>
          <w:rFonts w:cs="Times New Roman"/>
          <w:b/>
          <w:noProof/>
          <w:szCs w:val="24"/>
        </w:rPr>
        <w:t xml:space="preserve">for </w:t>
      </w:r>
      <w:r w:rsidR="00BC4615" w:rsidRPr="00F70DEE">
        <w:rPr>
          <w:rFonts w:cs="Times New Roman"/>
          <w:b/>
          <w:noProof/>
          <w:szCs w:val="24"/>
        </w:rPr>
        <w:t>readiness and interoperability</w:t>
      </w:r>
      <w:bookmarkEnd w:id="531"/>
    </w:p>
    <w:p w14:paraId="35B716E2" w14:textId="77777777" w:rsidR="009954C6" w:rsidRPr="00F70DEE" w:rsidRDefault="0082344F" w:rsidP="008C75D3">
      <w:pPr>
        <w:rPr>
          <w:noProof/>
        </w:rPr>
      </w:pPr>
      <w:r w:rsidRPr="00F70DEE">
        <w:rPr>
          <w:noProof/>
        </w:rPr>
        <w:t>The High Representative, together with the Commission and the Member States, will set up regular e</w:t>
      </w:r>
      <w:r w:rsidR="008C75D3" w:rsidRPr="00F70DEE">
        <w:rPr>
          <w:noProof/>
        </w:rPr>
        <w:t xml:space="preserve">xercises in the space domain or </w:t>
      </w:r>
      <w:r w:rsidR="00ED7645">
        <w:rPr>
          <w:noProof/>
        </w:rPr>
        <w:t>exercises with</w:t>
      </w:r>
      <w:r w:rsidR="00ED7645" w:rsidRPr="00F70DEE">
        <w:rPr>
          <w:noProof/>
        </w:rPr>
        <w:t xml:space="preserve"> </w:t>
      </w:r>
      <w:r w:rsidR="008C75D3" w:rsidRPr="00F70DEE">
        <w:rPr>
          <w:noProof/>
        </w:rPr>
        <w:t>a space domain component to</w:t>
      </w:r>
      <w:r w:rsidR="009954C6" w:rsidRPr="00F70DEE">
        <w:rPr>
          <w:noProof/>
        </w:rPr>
        <w:t>:</w:t>
      </w:r>
    </w:p>
    <w:p w14:paraId="4BF5A767" w14:textId="77777777" w:rsidR="00115E14" w:rsidRPr="00F70DEE" w:rsidRDefault="00115E14" w:rsidP="00115E14">
      <w:pPr>
        <w:pStyle w:val="Bulletnormakl"/>
        <w:rPr>
          <w:noProof/>
        </w:rPr>
      </w:pPr>
      <w:r w:rsidRPr="00F70DEE">
        <w:rPr>
          <w:noProof/>
        </w:rPr>
        <w:t>test, develop and validate the EU</w:t>
      </w:r>
      <w:r w:rsidR="00ED7645">
        <w:rPr>
          <w:noProof/>
        </w:rPr>
        <w:t>’s</w:t>
      </w:r>
      <w:r w:rsidRPr="00F70DEE">
        <w:rPr>
          <w:noProof/>
        </w:rPr>
        <w:t xml:space="preserve"> response to space threats,</w:t>
      </w:r>
    </w:p>
    <w:p w14:paraId="2A240950" w14:textId="77777777" w:rsidR="00115E14" w:rsidRPr="00F70DEE" w:rsidRDefault="00115E14" w:rsidP="00115E14">
      <w:pPr>
        <w:pStyle w:val="Bulletnormakl"/>
        <w:rPr>
          <w:noProof/>
        </w:rPr>
      </w:pPr>
      <w:r w:rsidRPr="00F70DEE">
        <w:rPr>
          <w:noProof/>
        </w:rPr>
        <w:t xml:space="preserve">test and explore concrete solidarity mechanisms in case of attacks </w:t>
      </w:r>
      <w:r w:rsidR="00701E75" w:rsidRPr="00F70DEE">
        <w:rPr>
          <w:noProof/>
        </w:rPr>
        <w:t>from space or threats to space systems,</w:t>
      </w:r>
      <w:r w:rsidR="00275E8A">
        <w:rPr>
          <w:noProof/>
        </w:rPr>
        <w:t xml:space="preserve"> and</w:t>
      </w:r>
    </w:p>
    <w:p w14:paraId="4386154F" w14:textId="77777777" w:rsidR="008C75D3" w:rsidRPr="00F70DEE" w:rsidRDefault="00115E14" w:rsidP="009954C6">
      <w:pPr>
        <w:pStyle w:val="Bulletnormakl"/>
        <w:rPr>
          <w:noProof/>
        </w:rPr>
      </w:pPr>
      <w:r w:rsidRPr="00F70DEE">
        <w:rPr>
          <w:noProof/>
        </w:rPr>
        <w:t>develop synergies with partner</w:t>
      </w:r>
      <w:r w:rsidR="00E571B9" w:rsidRPr="00F70DEE">
        <w:rPr>
          <w:noProof/>
        </w:rPr>
        <w:t>s</w:t>
      </w:r>
      <w:r w:rsidRPr="00F70DEE">
        <w:rPr>
          <w:noProof/>
        </w:rPr>
        <w:t xml:space="preserve"> and </w:t>
      </w:r>
      <w:r w:rsidR="00ED7645">
        <w:rPr>
          <w:noProof/>
        </w:rPr>
        <w:t>a</w:t>
      </w:r>
      <w:r w:rsidRPr="00F70DEE">
        <w:rPr>
          <w:noProof/>
        </w:rPr>
        <w:t>llies in space security and defence.</w:t>
      </w:r>
    </w:p>
    <w:tbl>
      <w:tblPr>
        <w:tblStyle w:val="TableGrid"/>
        <w:tblW w:w="0" w:type="auto"/>
        <w:tblLook w:val="04A0" w:firstRow="1" w:lastRow="0" w:firstColumn="1" w:lastColumn="0" w:noHBand="0" w:noVBand="1"/>
      </w:tblPr>
      <w:tblGrid>
        <w:gridCol w:w="8636"/>
      </w:tblGrid>
      <w:tr w:rsidR="00493F54" w:rsidRPr="00F70DEE" w14:paraId="17DC6E19" w14:textId="77777777" w:rsidTr="00493F54">
        <w:tc>
          <w:tcPr>
            <w:tcW w:w="8636" w:type="dxa"/>
            <w:shd w:val="clear" w:color="auto" w:fill="D9D9D9" w:themeFill="background1" w:themeFillShade="D9"/>
          </w:tcPr>
          <w:p w14:paraId="09EC49F9" w14:textId="77777777" w:rsidR="00493F54" w:rsidRPr="00F70DEE" w:rsidRDefault="00493F54" w:rsidP="00493F54">
            <w:pPr>
              <w:pStyle w:val="Bulletnormakl"/>
              <w:numPr>
                <w:ilvl w:val="0"/>
                <w:numId w:val="0"/>
              </w:numPr>
              <w:ind w:left="69"/>
              <w:rPr>
                <w:b/>
                <w:bCs/>
                <w:i/>
                <w:iCs/>
                <w:noProof/>
                <w:lang w:eastAsia="en-GB"/>
              </w:rPr>
            </w:pPr>
            <w:bookmarkStart w:id="532" w:name="_Toc118563849"/>
            <w:bookmarkStart w:id="533" w:name="_Toc118564469"/>
            <w:bookmarkStart w:id="534" w:name="_Toc118565789"/>
            <w:bookmarkStart w:id="535" w:name="_Toc118749765"/>
            <w:bookmarkStart w:id="536" w:name="_Toc118749886"/>
            <w:bookmarkStart w:id="537" w:name="_Toc118750007"/>
            <w:bookmarkStart w:id="538" w:name="_Toc118563854"/>
            <w:bookmarkStart w:id="539" w:name="_Toc118564474"/>
            <w:bookmarkStart w:id="540" w:name="_Toc118563856"/>
            <w:bookmarkStart w:id="541" w:name="_Toc118564476"/>
            <w:bookmarkStart w:id="542" w:name="_Toc118565796"/>
            <w:bookmarkStart w:id="543" w:name="_Toc118563857"/>
            <w:bookmarkStart w:id="544" w:name="_Toc118564477"/>
            <w:bookmarkStart w:id="545" w:name="_Toc118565797"/>
            <w:bookmarkStart w:id="546" w:name="_Toc118563859"/>
            <w:bookmarkStart w:id="547" w:name="_Toc118564479"/>
            <w:bookmarkStart w:id="548" w:name="_Toc118565799"/>
            <w:bookmarkStart w:id="549" w:name="_Toc118563863"/>
            <w:bookmarkStart w:id="550" w:name="_Toc118564483"/>
            <w:bookmarkStart w:id="551" w:name="_Toc123037720"/>
            <w:bookmarkStart w:id="552" w:name="_Toc123037840"/>
            <w:bookmarkStart w:id="553" w:name="_Toc123037953"/>
            <w:bookmarkStart w:id="554" w:name="_Toc118649418"/>
            <w:bookmarkStart w:id="555" w:name="_Toc118669504"/>
            <w:bookmarkStart w:id="556" w:name="_Toc118743692"/>
            <w:bookmarkStart w:id="557" w:name="_Toc118750150"/>
            <w:bookmarkStart w:id="558" w:name="_Toc118128438"/>
            <w:bookmarkStart w:id="559" w:name="_Toc118561423"/>
            <w:bookmarkStart w:id="560" w:name="_Toc118561650"/>
            <w:bookmarkStart w:id="561" w:name="_Toc118561817"/>
            <w:bookmarkStart w:id="562" w:name="_Toc118562375"/>
            <w:bookmarkStart w:id="563" w:name="_Toc118645206"/>
            <w:bookmarkStart w:id="564" w:name="_Toc118645320"/>
            <w:bookmarkStart w:id="565" w:name="_Toc118649419"/>
            <w:bookmarkStart w:id="566" w:name="_Toc118669505"/>
            <w:bookmarkStart w:id="567" w:name="_Toc118743693"/>
            <w:bookmarkStart w:id="568" w:name="_Toc118750151"/>
            <w:bookmarkStart w:id="569" w:name="_Toc118128439"/>
            <w:bookmarkStart w:id="570" w:name="_Toc118561424"/>
            <w:bookmarkStart w:id="571" w:name="_Toc118561651"/>
            <w:bookmarkStart w:id="572" w:name="_Toc118561818"/>
            <w:bookmarkStart w:id="573" w:name="_Toc118562376"/>
            <w:bookmarkStart w:id="574" w:name="_Toc118645207"/>
            <w:bookmarkStart w:id="575" w:name="_Toc118645321"/>
            <w:bookmarkStart w:id="576" w:name="_Toc118649420"/>
            <w:bookmarkStart w:id="577" w:name="_Toc118669506"/>
            <w:bookmarkStart w:id="578" w:name="_Toc118743694"/>
            <w:bookmarkStart w:id="579" w:name="_Toc118750152"/>
            <w:bookmarkStart w:id="580" w:name="_Toc118128440"/>
            <w:bookmarkStart w:id="581" w:name="_Toc118561425"/>
            <w:bookmarkStart w:id="582" w:name="_Toc118561652"/>
            <w:bookmarkStart w:id="583" w:name="_Toc118561819"/>
            <w:bookmarkStart w:id="584" w:name="_Toc118562377"/>
            <w:bookmarkStart w:id="585" w:name="_Toc118645208"/>
            <w:bookmarkStart w:id="586" w:name="_Toc118645322"/>
            <w:bookmarkStart w:id="587" w:name="_Toc118649421"/>
            <w:bookmarkStart w:id="588" w:name="_Toc118669507"/>
            <w:bookmarkStart w:id="589" w:name="_Toc118743695"/>
            <w:bookmarkStart w:id="590" w:name="_Toc118750153"/>
            <w:bookmarkStart w:id="591" w:name="_Toc118128441"/>
            <w:bookmarkStart w:id="592" w:name="_Toc118561426"/>
            <w:bookmarkStart w:id="593" w:name="_Toc118561653"/>
            <w:bookmarkStart w:id="594" w:name="_Toc118561820"/>
            <w:bookmarkStart w:id="595" w:name="_Toc118562378"/>
            <w:bookmarkStart w:id="596" w:name="_Toc118645209"/>
            <w:bookmarkStart w:id="597" w:name="_Toc118645323"/>
            <w:bookmarkStart w:id="598" w:name="_Toc118649422"/>
            <w:bookmarkStart w:id="599" w:name="_Toc118669508"/>
            <w:bookmarkStart w:id="600" w:name="_Toc118743696"/>
            <w:bookmarkStart w:id="601" w:name="_Toc118750154"/>
            <w:bookmarkStart w:id="602" w:name="_Toc118128442"/>
            <w:bookmarkStart w:id="603" w:name="_Toc118561427"/>
            <w:bookmarkStart w:id="604" w:name="_Toc118561654"/>
            <w:bookmarkStart w:id="605" w:name="_Toc118561821"/>
            <w:bookmarkStart w:id="606" w:name="_Toc118562379"/>
            <w:bookmarkStart w:id="607" w:name="_Toc118645210"/>
            <w:bookmarkStart w:id="608" w:name="_Toc118645324"/>
            <w:bookmarkStart w:id="609" w:name="_Toc118649423"/>
            <w:bookmarkStart w:id="610" w:name="_Toc118669509"/>
            <w:bookmarkStart w:id="611" w:name="_Toc118743697"/>
            <w:bookmarkStart w:id="612" w:name="_Toc118750155"/>
            <w:bookmarkStart w:id="613" w:name="_Toc118128443"/>
            <w:bookmarkStart w:id="614" w:name="_Toc118561428"/>
            <w:bookmarkStart w:id="615" w:name="_Toc118561655"/>
            <w:bookmarkStart w:id="616" w:name="_Toc118561822"/>
            <w:bookmarkStart w:id="617" w:name="_Toc118562380"/>
            <w:bookmarkStart w:id="618" w:name="_Toc118645211"/>
            <w:bookmarkStart w:id="619" w:name="_Toc118645325"/>
            <w:bookmarkStart w:id="620" w:name="_Toc118649424"/>
            <w:bookmarkStart w:id="621" w:name="_Toc118669510"/>
            <w:bookmarkStart w:id="622" w:name="_Toc118743698"/>
            <w:bookmarkStart w:id="623" w:name="_Toc118750156"/>
            <w:bookmarkStart w:id="624" w:name="_Toc118128444"/>
            <w:bookmarkStart w:id="625" w:name="_Toc118561429"/>
            <w:bookmarkStart w:id="626" w:name="_Toc118561656"/>
            <w:bookmarkStart w:id="627" w:name="_Toc118561823"/>
            <w:bookmarkStart w:id="628" w:name="_Toc118562381"/>
            <w:bookmarkStart w:id="629" w:name="_Toc118645212"/>
            <w:bookmarkStart w:id="630" w:name="_Toc118645326"/>
            <w:bookmarkStart w:id="631" w:name="_Toc118649425"/>
            <w:bookmarkStart w:id="632" w:name="_Toc118669511"/>
            <w:bookmarkStart w:id="633" w:name="_Toc118743699"/>
            <w:bookmarkStart w:id="634" w:name="_Toc118750157"/>
            <w:bookmarkStart w:id="635" w:name="_Toc118128445"/>
            <w:bookmarkStart w:id="636" w:name="_Toc118561430"/>
            <w:bookmarkStart w:id="637" w:name="_Toc118561657"/>
            <w:bookmarkStart w:id="638" w:name="_Toc118561824"/>
            <w:bookmarkStart w:id="639" w:name="_Toc118562382"/>
            <w:bookmarkStart w:id="640" w:name="_Toc118645213"/>
            <w:bookmarkStart w:id="641" w:name="_Toc118645327"/>
            <w:bookmarkStart w:id="642" w:name="_Toc118649426"/>
            <w:bookmarkStart w:id="643" w:name="_Toc118669512"/>
            <w:bookmarkStart w:id="644" w:name="_Toc118743700"/>
            <w:bookmarkStart w:id="645" w:name="_Toc118750158"/>
            <w:bookmarkStart w:id="646" w:name="_Toc118128446"/>
            <w:bookmarkStart w:id="647" w:name="_Toc118561431"/>
            <w:bookmarkStart w:id="648" w:name="_Toc118561658"/>
            <w:bookmarkStart w:id="649" w:name="_Toc118561825"/>
            <w:bookmarkStart w:id="650" w:name="_Toc118562383"/>
            <w:bookmarkStart w:id="651" w:name="_Toc118645214"/>
            <w:bookmarkStart w:id="652" w:name="_Toc118645328"/>
            <w:bookmarkStart w:id="653" w:name="_Toc118649427"/>
            <w:bookmarkStart w:id="654" w:name="_Toc118669513"/>
            <w:bookmarkStart w:id="655" w:name="_Toc118743701"/>
            <w:bookmarkStart w:id="656" w:name="_Toc118750159"/>
            <w:bookmarkStart w:id="657" w:name="_Toc118128447"/>
            <w:bookmarkStart w:id="658" w:name="_Toc118561432"/>
            <w:bookmarkStart w:id="659" w:name="_Toc118561659"/>
            <w:bookmarkStart w:id="660" w:name="_Toc118561826"/>
            <w:bookmarkStart w:id="661" w:name="_Toc118562384"/>
            <w:bookmarkStart w:id="662" w:name="_Toc118645215"/>
            <w:bookmarkStart w:id="663" w:name="_Toc118645329"/>
            <w:bookmarkStart w:id="664" w:name="_Toc118649428"/>
            <w:bookmarkStart w:id="665" w:name="_Toc118669514"/>
            <w:bookmarkStart w:id="666" w:name="_Toc118743702"/>
            <w:bookmarkStart w:id="667" w:name="_Toc118750160"/>
            <w:bookmarkStart w:id="668" w:name="_Toc118128448"/>
            <w:bookmarkStart w:id="669" w:name="_Toc118561433"/>
            <w:bookmarkStart w:id="670" w:name="_Toc118561660"/>
            <w:bookmarkStart w:id="671" w:name="_Toc118561827"/>
            <w:bookmarkStart w:id="672" w:name="_Toc118562385"/>
            <w:bookmarkStart w:id="673" w:name="_Toc118645216"/>
            <w:bookmarkStart w:id="674" w:name="_Toc118645330"/>
            <w:bookmarkStart w:id="675" w:name="_Toc118649429"/>
            <w:bookmarkStart w:id="676" w:name="_Toc118669515"/>
            <w:bookmarkStart w:id="677" w:name="_Toc118743703"/>
            <w:bookmarkStart w:id="678" w:name="_Toc118750161"/>
            <w:bookmarkStart w:id="679" w:name="_Toc118128449"/>
            <w:bookmarkStart w:id="680" w:name="_Toc118561434"/>
            <w:bookmarkStart w:id="681" w:name="_Toc118561661"/>
            <w:bookmarkStart w:id="682" w:name="_Toc118561828"/>
            <w:bookmarkStart w:id="683" w:name="_Toc118562386"/>
            <w:bookmarkStart w:id="684" w:name="_Toc118645217"/>
            <w:bookmarkStart w:id="685" w:name="_Toc118645331"/>
            <w:bookmarkStart w:id="686" w:name="_Toc118649430"/>
            <w:bookmarkStart w:id="687" w:name="_Toc118669516"/>
            <w:bookmarkStart w:id="688" w:name="_Toc118743704"/>
            <w:bookmarkStart w:id="689" w:name="_Toc118750162"/>
            <w:bookmarkStart w:id="690" w:name="_Toc118128450"/>
            <w:bookmarkStart w:id="691" w:name="_Toc118561435"/>
            <w:bookmarkStart w:id="692" w:name="_Toc118561662"/>
            <w:bookmarkStart w:id="693" w:name="_Toc118561829"/>
            <w:bookmarkStart w:id="694" w:name="_Toc118562387"/>
            <w:bookmarkStart w:id="695" w:name="_Toc118645218"/>
            <w:bookmarkStart w:id="696" w:name="_Toc118645332"/>
            <w:bookmarkStart w:id="697" w:name="_Toc118649431"/>
            <w:bookmarkStart w:id="698" w:name="_Toc118669517"/>
            <w:bookmarkStart w:id="699" w:name="_Toc118743705"/>
            <w:bookmarkStart w:id="700" w:name="_Toc118750163"/>
            <w:bookmarkStart w:id="701" w:name="_Toc118128451"/>
            <w:bookmarkStart w:id="702" w:name="_Toc118561436"/>
            <w:bookmarkStart w:id="703" w:name="_Toc118561663"/>
            <w:bookmarkStart w:id="704" w:name="_Toc118561830"/>
            <w:bookmarkStart w:id="705" w:name="_Toc118562388"/>
            <w:bookmarkStart w:id="706" w:name="_Toc118645219"/>
            <w:bookmarkStart w:id="707" w:name="_Toc118645333"/>
            <w:bookmarkStart w:id="708" w:name="_Toc118649432"/>
            <w:bookmarkStart w:id="709" w:name="_Toc118669518"/>
            <w:bookmarkStart w:id="710" w:name="_Toc118743706"/>
            <w:bookmarkStart w:id="711" w:name="_Toc118750164"/>
            <w:bookmarkStart w:id="712" w:name="_Toc118128452"/>
            <w:bookmarkStart w:id="713" w:name="_Toc118561437"/>
            <w:bookmarkStart w:id="714" w:name="_Toc118561664"/>
            <w:bookmarkStart w:id="715" w:name="_Toc118561831"/>
            <w:bookmarkStart w:id="716" w:name="_Toc118562389"/>
            <w:bookmarkStart w:id="717" w:name="_Toc118645220"/>
            <w:bookmarkStart w:id="718" w:name="_Toc118645334"/>
            <w:bookmarkStart w:id="719" w:name="_Toc118649433"/>
            <w:bookmarkStart w:id="720" w:name="_Toc118669519"/>
            <w:bookmarkStart w:id="721" w:name="_Toc118743707"/>
            <w:bookmarkStart w:id="722" w:name="_Toc118750165"/>
            <w:bookmarkStart w:id="723" w:name="_Toc121409652"/>
            <w:bookmarkStart w:id="724" w:name="_Toc123037721"/>
            <w:bookmarkStart w:id="725" w:name="_Ref99457160"/>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F70DEE">
              <w:rPr>
                <w:b/>
                <w:bCs/>
                <w:i/>
                <w:iCs/>
                <w:noProof/>
                <w:lang w:eastAsia="en-GB"/>
              </w:rPr>
              <w:t>Way forward</w:t>
            </w:r>
          </w:p>
          <w:p w14:paraId="48DE99DE" w14:textId="77777777" w:rsidR="00493F54" w:rsidRPr="00F70DEE" w:rsidRDefault="00493F54" w:rsidP="00415D95">
            <w:pPr>
              <w:pStyle w:val="Wayforward"/>
              <w:rPr>
                <w:noProof/>
                <w:lang w:val="en-GB"/>
              </w:rPr>
            </w:pPr>
            <w:bookmarkStart w:id="726" w:name="_Toc121409238"/>
            <w:r w:rsidRPr="00F70DEE">
              <w:rPr>
                <w:noProof/>
                <w:lang w:val="en-GB"/>
              </w:rPr>
              <w:t xml:space="preserve">The High Representative and the Commission will </w:t>
            </w:r>
            <w:r w:rsidR="008F024C" w:rsidRPr="00F70DEE">
              <w:rPr>
                <w:noProof/>
                <w:lang w:val="en-GB"/>
              </w:rPr>
              <w:t>explore</w:t>
            </w:r>
            <w:r w:rsidRPr="00F70DEE">
              <w:rPr>
                <w:noProof/>
                <w:lang w:val="en-GB"/>
              </w:rPr>
              <w:t xml:space="preserve"> with Member States owning SDA capabilities the modalities to use SDA </w:t>
            </w:r>
            <w:bookmarkEnd w:id="726"/>
            <w:r w:rsidRPr="00F70DEE">
              <w:rPr>
                <w:noProof/>
                <w:lang w:val="en-GB"/>
              </w:rPr>
              <w:t>in support</w:t>
            </w:r>
            <w:r w:rsidR="00701E75" w:rsidRPr="00F70DEE">
              <w:rPr>
                <w:noProof/>
                <w:lang w:val="en-GB"/>
              </w:rPr>
              <w:t xml:space="preserve"> </w:t>
            </w:r>
            <w:r w:rsidR="00DC5DE9">
              <w:rPr>
                <w:noProof/>
                <w:lang w:val="en-GB"/>
              </w:rPr>
              <w:t xml:space="preserve">of an </w:t>
            </w:r>
            <w:r w:rsidRPr="00F70DEE">
              <w:rPr>
                <w:noProof/>
                <w:lang w:val="en-GB"/>
              </w:rPr>
              <w:t>EU response.</w:t>
            </w:r>
          </w:p>
          <w:p w14:paraId="1EC1AD45" w14:textId="700FC0CA" w:rsidR="00493F54" w:rsidRPr="00F70DEE" w:rsidRDefault="00275E8A" w:rsidP="00415D95">
            <w:pPr>
              <w:pStyle w:val="Wayforward"/>
              <w:rPr>
                <w:noProof/>
                <w:lang w:val="en-GB"/>
              </w:rPr>
            </w:pPr>
            <w:bookmarkStart w:id="727" w:name="_Toc121409239"/>
            <w:r>
              <w:rPr>
                <w:noProof/>
                <w:lang w:val="en-GB"/>
              </w:rPr>
              <w:t xml:space="preserve"> </w:t>
            </w:r>
            <w:r w:rsidR="00A37046">
              <w:rPr>
                <w:noProof/>
                <w:lang w:val="en-GB"/>
              </w:rPr>
              <w:t>T</w:t>
            </w:r>
            <w:r w:rsidR="00493F54" w:rsidRPr="00F70DEE">
              <w:rPr>
                <w:noProof/>
                <w:lang w:val="en-GB"/>
              </w:rPr>
              <w:t xml:space="preserve">he High Representative will propose </w:t>
            </w:r>
            <w:r w:rsidR="00ED7645">
              <w:rPr>
                <w:noProof/>
                <w:lang w:val="en-GB"/>
              </w:rPr>
              <w:t>amending</w:t>
            </w:r>
            <w:r w:rsidR="00493F54" w:rsidRPr="00F70DEE">
              <w:rPr>
                <w:noProof/>
                <w:lang w:val="en-GB"/>
              </w:rPr>
              <w:t xml:space="preserve"> Council Decision (CFSP) 2021/698 to </w:t>
            </w:r>
            <w:r w:rsidR="00ED7645">
              <w:rPr>
                <w:noProof/>
                <w:lang w:val="en-GB"/>
              </w:rPr>
              <w:t>respond to all</w:t>
            </w:r>
            <w:r w:rsidR="00493F54" w:rsidRPr="00F70DEE">
              <w:rPr>
                <w:noProof/>
                <w:lang w:val="en-GB"/>
              </w:rPr>
              <w:t xml:space="preserve"> threats in the space domain </w:t>
            </w:r>
            <w:r w:rsidR="00ED7645">
              <w:rPr>
                <w:noProof/>
                <w:lang w:val="en-GB"/>
              </w:rPr>
              <w:t>that</w:t>
            </w:r>
            <w:r w:rsidR="00ED7645" w:rsidRPr="00F70DEE">
              <w:rPr>
                <w:noProof/>
                <w:lang w:val="en-GB"/>
              </w:rPr>
              <w:t xml:space="preserve"> </w:t>
            </w:r>
            <w:r w:rsidR="00493F54" w:rsidRPr="00F70DEE">
              <w:rPr>
                <w:noProof/>
                <w:lang w:val="en-GB"/>
              </w:rPr>
              <w:t xml:space="preserve">may affect the security of the </w:t>
            </w:r>
            <w:r w:rsidR="00A30BE1" w:rsidRPr="00F70DEE">
              <w:rPr>
                <w:noProof/>
                <w:lang w:val="en-GB"/>
              </w:rPr>
              <w:t>E</w:t>
            </w:r>
            <w:r w:rsidR="00493F54" w:rsidRPr="00F70DEE">
              <w:rPr>
                <w:noProof/>
                <w:lang w:val="en-GB"/>
              </w:rPr>
              <w:t>U and its Member States</w:t>
            </w:r>
            <w:r w:rsidR="00ED7645">
              <w:rPr>
                <w:noProof/>
                <w:lang w:val="en-GB"/>
              </w:rPr>
              <w:t>,</w:t>
            </w:r>
            <w:r>
              <w:rPr>
                <w:noProof/>
                <w:lang w:val="en-GB"/>
              </w:rPr>
              <w:t xml:space="preserve"> </w:t>
            </w:r>
            <w:r w:rsidR="00493F54" w:rsidRPr="00F70DEE">
              <w:rPr>
                <w:noProof/>
                <w:lang w:val="en-GB"/>
              </w:rPr>
              <w:t>with a view to ensure that all available EU tools can</w:t>
            </w:r>
            <w:r w:rsidR="00C630EE" w:rsidRPr="00F70DEE">
              <w:rPr>
                <w:noProof/>
                <w:lang w:val="en-GB"/>
              </w:rPr>
              <w:t xml:space="preserve"> </w:t>
            </w:r>
            <w:r w:rsidR="00493F54" w:rsidRPr="00F70DEE">
              <w:rPr>
                <w:noProof/>
                <w:lang w:val="en-GB"/>
              </w:rPr>
              <w:t xml:space="preserve">rapidly </w:t>
            </w:r>
            <w:r w:rsidR="00C630EE" w:rsidRPr="00F70DEE">
              <w:rPr>
                <w:noProof/>
                <w:lang w:val="en-GB"/>
              </w:rPr>
              <w:t xml:space="preserve">be </w:t>
            </w:r>
            <w:r w:rsidR="00493F54" w:rsidRPr="00F70DEE">
              <w:rPr>
                <w:noProof/>
                <w:lang w:val="en-GB"/>
              </w:rPr>
              <w:t xml:space="preserve">mobilised, </w:t>
            </w:r>
            <w:r w:rsidR="00ED7645">
              <w:rPr>
                <w:noProof/>
                <w:lang w:val="en-GB"/>
              </w:rPr>
              <w:t>thereby</w:t>
            </w:r>
            <w:r w:rsidR="00ED7645" w:rsidRPr="00F70DEE">
              <w:rPr>
                <w:noProof/>
                <w:lang w:val="en-GB"/>
              </w:rPr>
              <w:t xml:space="preserve"> </w:t>
            </w:r>
            <w:r w:rsidR="00493F54" w:rsidRPr="00F70DEE">
              <w:rPr>
                <w:noProof/>
                <w:lang w:val="en-GB"/>
              </w:rPr>
              <w:t xml:space="preserve">improving its </w:t>
            </w:r>
            <w:r w:rsidR="007F5CEC">
              <w:rPr>
                <w:noProof/>
                <w:lang w:val="en-GB"/>
              </w:rPr>
              <w:t>S</w:t>
            </w:r>
            <w:r w:rsidR="00493F54" w:rsidRPr="00F70DEE">
              <w:rPr>
                <w:noProof/>
                <w:lang w:val="en-GB"/>
              </w:rPr>
              <w:t xml:space="preserve">pace </w:t>
            </w:r>
            <w:r w:rsidR="007F5CEC">
              <w:rPr>
                <w:noProof/>
                <w:lang w:val="en-GB"/>
              </w:rPr>
              <w:t>T</w:t>
            </w:r>
            <w:r w:rsidR="00493F54" w:rsidRPr="00F70DEE">
              <w:rPr>
                <w:noProof/>
                <w:lang w:val="en-GB"/>
              </w:rPr>
              <w:t xml:space="preserve">hreat </w:t>
            </w:r>
            <w:r w:rsidR="007F5CEC">
              <w:rPr>
                <w:noProof/>
                <w:lang w:val="en-GB"/>
              </w:rPr>
              <w:t>R</w:t>
            </w:r>
            <w:r w:rsidR="00493F54" w:rsidRPr="00F70DEE">
              <w:rPr>
                <w:noProof/>
                <w:lang w:val="en-GB"/>
              </w:rPr>
              <w:t xml:space="preserve">esponse </w:t>
            </w:r>
            <w:r w:rsidR="007F5CEC">
              <w:rPr>
                <w:noProof/>
                <w:lang w:val="en-GB"/>
              </w:rPr>
              <w:t>A</w:t>
            </w:r>
            <w:r w:rsidR="00493F54" w:rsidRPr="00F70DEE">
              <w:rPr>
                <w:noProof/>
                <w:lang w:val="en-GB"/>
              </w:rPr>
              <w:t>rchitecture</w:t>
            </w:r>
            <w:bookmarkEnd w:id="727"/>
            <w:r w:rsidR="00493F54" w:rsidRPr="00F70DEE">
              <w:rPr>
                <w:noProof/>
                <w:lang w:val="en-GB"/>
              </w:rPr>
              <w:t>.</w:t>
            </w:r>
          </w:p>
          <w:p w14:paraId="0720FED2" w14:textId="77777777" w:rsidR="00493F54" w:rsidRPr="00F70DEE" w:rsidRDefault="00493F54" w:rsidP="00415D95">
            <w:pPr>
              <w:pStyle w:val="Wayforward"/>
              <w:rPr>
                <w:noProof/>
              </w:rPr>
            </w:pPr>
            <w:bookmarkStart w:id="728" w:name="_Toc118563861"/>
            <w:bookmarkStart w:id="729" w:name="_Toc118564481"/>
            <w:bookmarkStart w:id="730" w:name="_Toc118565801"/>
            <w:bookmarkStart w:id="731" w:name="_Toc121409240"/>
            <w:bookmarkEnd w:id="728"/>
            <w:bookmarkEnd w:id="729"/>
            <w:bookmarkEnd w:id="730"/>
            <w:r w:rsidRPr="00F70DEE">
              <w:rPr>
                <w:noProof/>
              </w:rPr>
              <w:t xml:space="preserve">The </w:t>
            </w:r>
            <w:r w:rsidR="00BD1110" w:rsidRPr="00F70DEE">
              <w:rPr>
                <w:noProof/>
              </w:rPr>
              <w:t>High Representative</w:t>
            </w:r>
            <w:r w:rsidR="00254B67">
              <w:rPr>
                <w:noProof/>
              </w:rPr>
              <w:t>,</w:t>
            </w:r>
            <w:r w:rsidR="00BD1110" w:rsidRPr="00F70DEE">
              <w:rPr>
                <w:noProof/>
              </w:rPr>
              <w:t xml:space="preserve"> </w:t>
            </w:r>
            <w:r w:rsidR="00A93906" w:rsidRPr="00F70DEE">
              <w:rPr>
                <w:noProof/>
              </w:rPr>
              <w:t xml:space="preserve">the </w:t>
            </w:r>
            <w:r w:rsidRPr="00F70DEE">
              <w:rPr>
                <w:noProof/>
              </w:rPr>
              <w:t>Commission and Member States</w:t>
            </w:r>
            <w:r w:rsidR="000B6C2C" w:rsidRPr="00F70DEE">
              <w:rPr>
                <w:noProof/>
              </w:rPr>
              <w:t xml:space="preserve"> will </w:t>
            </w:r>
            <w:r w:rsidRPr="00F70DEE">
              <w:rPr>
                <w:noProof/>
              </w:rPr>
              <w:t xml:space="preserve">participate in, </w:t>
            </w:r>
            <w:bookmarkStart w:id="732" w:name="_Toc118563860"/>
            <w:bookmarkStart w:id="733" w:name="_Toc118564480"/>
            <w:r w:rsidRPr="00F70DEE">
              <w:rPr>
                <w:noProof/>
              </w:rPr>
              <w:t>develop, and conduct</w:t>
            </w:r>
            <w:r w:rsidR="000B6C2C" w:rsidRPr="00F70DEE">
              <w:rPr>
                <w:noProof/>
              </w:rPr>
              <w:t xml:space="preserve"> relevant </w:t>
            </w:r>
            <w:r w:rsidRPr="00F70DEE">
              <w:rPr>
                <w:noProof/>
              </w:rPr>
              <w:t>space exercises</w:t>
            </w:r>
            <w:r w:rsidR="005D3EE4" w:rsidRPr="00F70DEE">
              <w:rPr>
                <w:noProof/>
              </w:rPr>
              <w:t xml:space="preserve"> including t</w:t>
            </w:r>
            <w:r w:rsidR="00DC5DE9">
              <w:rPr>
                <w:noProof/>
              </w:rPr>
              <w:t>he use of</w:t>
            </w:r>
            <w:bookmarkEnd w:id="731"/>
            <w:bookmarkEnd w:id="732"/>
            <w:bookmarkEnd w:id="733"/>
            <w:r w:rsidR="005D3EE4" w:rsidRPr="00F70DEE">
              <w:rPr>
                <w:noProof/>
              </w:rPr>
              <w:t xml:space="preserve"> </w:t>
            </w:r>
            <w:r w:rsidR="005D3EE4" w:rsidRPr="00F70DEE">
              <w:rPr>
                <w:noProof/>
                <w:lang w:val="en-GB"/>
              </w:rPr>
              <w:t>solidarity mechanisms</w:t>
            </w:r>
            <w:r w:rsidR="005D3EE4" w:rsidRPr="00F70DEE">
              <w:rPr>
                <w:noProof/>
              </w:rPr>
              <w:t>.</w:t>
            </w:r>
          </w:p>
        </w:tc>
      </w:tr>
    </w:tbl>
    <w:p w14:paraId="7E786435" w14:textId="77777777" w:rsidR="008C75D3" w:rsidRPr="00FF2291" w:rsidRDefault="008C75D3" w:rsidP="00FF2291">
      <w:pPr>
        <w:keepNext/>
        <w:keepLines/>
        <w:numPr>
          <w:ilvl w:val="0"/>
          <w:numId w:val="1"/>
        </w:numPr>
        <w:spacing w:before="240" w:after="240"/>
        <w:ind w:left="357" w:hanging="357"/>
        <w:outlineLvl w:val="0"/>
        <w:rPr>
          <w:rFonts w:eastAsiaTheme="majorEastAsia" w:cstheme="majorBidi"/>
          <w:b/>
          <w:caps/>
          <w:noProof/>
          <w:szCs w:val="32"/>
        </w:rPr>
      </w:pPr>
      <w:bookmarkStart w:id="734" w:name="_Toc125635216"/>
      <w:bookmarkStart w:id="735" w:name="_Toc125732832"/>
      <w:r w:rsidRPr="00FF2291">
        <w:rPr>
          <w:rFonts w:eastAsiaTheme="majorEastAsia" w:cstheme="majorBidi"/>
          <w:b/>
          <w:caps/>
          <w:noProof/>
          <w:szCs w:val="32"/>
        </w:rPr>
        <w:t>ENHANCING THE USE OF SPACE FOR SECURITY AND DEFENCE</w:t>
      </w:r>
      <w:bookmarkEnd w:id="723"/>
      <w:bookmarkEnd w:id="724"/>
      <w:bookmarkEnd w:id="734"/>
      <w:bookmarkEnd w:id="735"/>
    </w:p>
    <w:p w14:paraId="6BA94F1F" w14:textId="64D4F586" w:rsidR="008C75D3" w:rsidRPr="00F70DEE" w:rsidRDefault="0013721E" w:rsidP="008C75D3">
      <w:pPr>
        <w:rPr>
          <w:rFonts w:cs="Times New Roman"/>
          <w:noProof/>
        </w:rPr>
      </w:pPr>
      <w:r w:rsidRPr="00F70DEE">
        <w:rPr>
          <w:rFonts w:cs="Times New Roman"/>
          <w:noProof/>
        </w:rPr>
        <w:t>S</w:t>
      </w:r>
      <w:r w:rsidR="008C75D3" w:rsidRPr="00F70DEE">
        <w:rPr>
          <w:rFonts w:cs="Times New Roman"/>
          <w:noProof/>
        </w:rPr>
        <w:t xml:space="preserve">pace systems and services play an increasing role in support of defence and security. </w:t>
      </w:r>
      <w:r w:rsidR="000410AC" w:rsidRPr="00F70DEE">
        <w:rPr>
          <w:rFonts w:cs="Times New Roman"/>
          <w:noProof/>
        </w:rPr>
        <w:t xml:space="preserve">Dual-use </w:t>
      </w:r>
      <w:r w:rsidR="0039777A" w:rsidRPr="00F70DEE">
        <w:rPr>
          <w:rFonts w:cs="Times New Roman"/>
          <w:noProof/>
        </w:rPr>
        <w:t>s</w:t>
      </w:r>
      <w:r w:rsidR="008C75D3" w:rsidRPr="00F70DEE">
        <w:rPr>
          <w:rFonts w:cs="Times New Roman"/>
          <w:noProof/>
        </w:rPr>
        <w:t xml:space="preserve">ervices </w:t>
      </w:r>
      <w:r w:rsidR="00B17B54">
        <w:rPr>
          <w:rFonts w:cs="Times New Roman"/>
          <w:noProof/>
        </w:rPr>
        <w:t>provided</w:t>
      </w:r>
      <w:r w:rsidR="00B17B54" w:rsidRPr="00F70DEE">
        <w:rPr>
          <w:rFonts w:cs="Times New Roman"/>
          <w:noProof/>
        </w:rPr>
        <w:t xml:space="preserve"> </w:t>
      </w:r>
      <w:r w:rsidR="008C75D3" w:rsidRPr="00F70DEE">
        <w:rPr>
          <w:rFonts w:cs="Times New Roman"/>
          <w:noProof/>
        </w:rPr>
        <w:t xml:space="preserve">by EU </w:t>
      </w:r>
      <w:r w:rsidR="00586E3C" w:rsidRPr="00F70DEE">
        <w:rPr>
          <w:rFonts w:cs="Times New Roman"/>
          <w:noProof/>
        </w:rPr>
        <w:t>s</w:t>
      </w:r>
      <w:r w:rsidR="008C75D3" w:rsidRPr="00F70DEE">
        <w:rPr>
          <w:rFonts w:cs="Times New Roman"/>
          <w:noProof/>
        </w:rPr>
        <w:t xml:space="preserve">pace </w:t>
      </w:r>
      <w:r w:rsidR="00586E3C" w:rsidRPr="00F70DEE">
        <w:rPr>
          <w:rFonts w:cs="Times New Roman"/>
          <w:noProof/>
        </w:rPr>
        <w:t>p</w:t>
      </w:r>
      <w:r w:rsidR="008C75D3" w:rsidRPr="00F70DEE">
        <w:rPr>
          <w:rFonts w:cs="Times New Roman"/>
          <w:noProof/>
        </w:rPr>
        <w:t>rogramme</w:t>
      </w:r>
      <w:r w:rsidR="0039777A" w:rsidRPr="00F70DEE">
        <w:rPr>
          <w:rFonts w:cs="Times New Roman"/>
          <w:noProof/>
        </w:rPr>
        <w:t>s</w:t>
      </w:r>
      <w:r w:rsidR="008C75D3" w:rsidRPr="00F70DEE">
        <w:rPr>
          <w:rFonts w:cs="Times New Roman"/>
          <w:noProof/>
        </w:rPr>
        <w:t xml:space="preserve"> and </w:t>
      </w:r>
      <w:r w:rsidR="00BF7C85" w:rsidRPr="00F70DEE">
        <w:rPr>
          <w:rFonts w:cs="Times New Roman"/>
          <w:noProof/>
        </w:rPr>
        <w:t xml:space="preserve">by </w:t>
      </w:r>
      <w:r w:rsidR="008C75D3" w:rsidRPr="00F70DEE">
        <w:rPr>
          <w:rFonts w:cs="Times New Roman"/>
          <w:noProof/>
        </w:rPr>
        <w:t xml:space="preserve">commercial </w:t>
      </w:r>
      <w:r w:rsidR="00586E3C" w:rsidRPr="00F70DEE">
        <w:rPr>
          <w:rFonts w:cs="Times New Roman"/>
          <w:noProof/>
        </w:rPr>
        <w:t>entitie</w:t>
      </w:r>
      <w:r w:rsidR="008C75D3" w:rsidRPr="00F70DEE">
        <w:rPr>
          <w:rFonts w:cs="Times New Roman"/>
          <w:noProof/>
        </w:rPr>
        <w:t>s</w:t>
      </w:r>
      <w:r w:rsidR="000410AC" w:rsidRPr="00F70DEE">
        <w:rPr>
          <w:rFonts w:cs="Times New Roman"/>
          <w:noProof/>
        </w:rPr>
        <w:t>, including New</w:t>
      </w:r>
      <w:r w:rsidR="00B62FA3">
        <w:rPr>
          <w:rFonts w:cs="Times New Roman"/>
          <w:noProof/>
        </w:rPr>
        <w:t xml:space="preserve"> </w:t>
      </w:r>
      <w:r w:rsidR="000410AC" w:rsidRPr="00F70DEE">
        <w:rPr>
          <w:rFonts w:cs="Times New Roman"/>
          <w:noProof/>
        </w:rPr>
        <w:t xml:space="preserve">Space, </w:t>
      </w:r>
      <w:r w:rsidR="008C75D3" w:rsidRPr="00F70DEE">
        <w:rPr>
          <w:rFonts w:cs="Times New Roman"/>
          <w:noProof/>
        </w:rPr>
        <w:t xml:space="preserve">will be further developed to </w:t>
      </w:r>
      <w:r w:rsidR="00B17B54">
        <w:rPr>
          <w:rFonts w:cs="Times New Roman"/>
          <w:noProof/>
        </w:rPr>
        <w:t>increase</w:t>
      </w:r>
      <w:r w:rsidR="00B17B54" w:rsidRPr="00F70DEE">
        <w:rPr>
          <w:rFonts w:cs="Times New Roman"/>
          <w:noProof/>
        </w:rPr>
        <w:t xml:space="preserve"> </w:t>
      </w:r>
      <w:r w:rsidR="008C75D3" w:rsidRPr="00F70DEE">
        <w:rPr>
          <w:rFonts w:cs="Times New Roman"/>
          <w:noProof/>
        </w:rPr>
        <w:t xml:space="preserve">the strategic autonomy of the </w:t>
      </w:r>
      <w:r w:rsidR="00111C2F" w:rsidRPr="00F70DEE">
        <w:rPr>
          <w:rFonts w:cs="Times New Roman"/>
          <w:noProof/>
        </w:rPr>
        <w:t>E</w:t>
      </w:r>
      <w:r w:rsidR="008C75D3" w:rsidRPr="00F70DEE">
        <w:rPr>
          <w:rFonts w:cs="Times New Roman"/>
          <w:noProof/>
        </w:rPr>
        <w:t>U and its Member States.</w:t>
      </w:r>
    </w:p>
    <w:p w14:paraId="594D3A7E" w14:textId="434C05D3" w:rsidR="008C75D3" w:rsidRPr="00F70DEE" w:rsidRDefault="008C75D3" w:rsidP="00415D95">
      <w:pPr>
        <w:keepNext/>
        <w:keepLines/>
        <w:numPr>
          <w:ilvl w:val="1"/>
          <w:numId w:val="3"/>
        </w:numPr>
        <w:spacing w:before="40"/>
        <w:ind w:left="576" w:hanging="576"/>
        <w:outlineLvl w:val="1"/>
        <w:rPr>
          <w:rFonts w:cs="Times New Roman"/>
          <w:b/>
          <w:noProof/>
          <w:szCs w:val="24"/>
        </w:rPr>
      </w:pPr>
      <w:r w:rsidRPr="00F70DEE">
        <w:rPr>
          <w:rFonts w:cs="Times New Roman"/>
          <w:b/>
          <w:noProof/>
          <w:szCs w:val="24"/>
        </w:rPr>
        <w:t xml:space="preserve"> </w:t>
      </w:r>
      <w:bookmarkStart w:id="736" w:name="_Toc118115097"/>
      <w:bookmarkStart w:id="737" w:name="_Toc118120712"/>
      <w:bookmarkStart w:id="738" w:name="_Toc118121543"/>
      <w:bookmarkStart w:id="739" w:name="_Toc118128454"/>
      <w:bookmarkStart w:id="740" w:name="_Toc118561439"/>
      <w:bookmarkStart w:id="741" w:name="_Toc118561666"/>
      <w:bookmarkStart w:id="742" w:name="_Toc118561833"/>
      <w:bookmarkStart w:id="743" w:name="_Toc118562391"/>
      <w:bookmarkStart w:id="744" w:name="_Toc118645222"/>
      <w:bookmarkStart w:id="745" w:name="_Toc118645336"/>
      <w:bookmarkStart w:id="746" w:name="_Toc118649435"/>
      <w:bookmarkStart w:id="747" w:name="_Toc118669521"/>
      <w:bookmarkStart w:id="748" w:name="_Toc118743709"/>
      <w:bookmarkStart w:id="749" w:name="_Toc118750167"/>
      <w:bookmarkStart w:id="750" w:name="_Toc118115098"/>
      <w:bookmarkStart w:id="751" w:name="_Toc118120713"/>
      <w:bookmarkStart w:id="752" w:name="_Toc118121544"/>
      <w:bookmarkStart w:id="753" w:name="_Toc118128455"/>
      <w:bookmarkStart w:id="754" w:name="_Toc118561440"/>
      <w:bookmarkStart w:id="755" w:name="_Toc118561667"/>
      <w:bookmarkStart w:id="756" w:name="_Toc118561834"/>
      <w:bookmarkStart w:id="757" w:name="_Toc118562392"/>
      <w:bookmarkStart w:id="758" w:name="_Toc118645223"/>
      <w:bookmarkStart w:id="759" w:name="_Toc118645337"/>
      <w:bookmarkStart w:id="760" w:name="_Toc118649436"/>
      <w:bookmarkStart w:id="761" w:name="_Toc118669522"/>
      <w:bookmarkStart w:id="762" w:name="_Toc118743710"/>
      <w:bookmarkStart w:id="763" w:name="_Toc118750168"/>
      <w:bookmarkStart w:id="764" w:name="_Toc118115099"/>
      <w:bookmarkStart w:id="765" w:name="_Toc118120714"/>
      <w:bookmarkStart w:id="766" w:name="_Toc118121545"/>
      <w:bookmarkStart w:id="767" w:name="_Toc118128456"/>
      <w:bookmarkStart w:id="768" w:name="_Toc118561441"/>
      <w:bookmarkStart w:id="769" w:name="_Toc118561668"/>
      <w:bookmarkStart w:id="770" w:name="_Toc118561835"/>
      <w:bookmarkStart w:id="771" w:name="_Toc118562393"/>
      <w:bookmarkStart w:id="772" w:name="_Toc118645224"/>
      <w:bookmarkStart w:id="773" w:name="_Toc118645338"/>
      <w:bookmarkStart w:id="774" w:name="_Toc118649437"/>
      <w:bookmarkStart w:id="775" w:name="_Toc118669523"/>
      <w:bookmarkStart w:id="776" w:name="_Toc118743711"/>
      <w:bookmarkStart w:id="777" w:name="_Toc118750169"/>
      <w:bookmarkStart w:id="778" w:name="_Toc120137972"/>
      <w:bookmarkStart w:id="779" w:name="_Toc121409653"/>
      <w:bookmarkStart w:id="780" w:name="_Toc123037722"/>
      <w:bookmarkStart w:id="781" w:name="_Toc125732833"/>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sidR="00B62FD0">
        <w:rPr>
          <w:rFonts w:cs="Times New Roman"/>
          <w:b/>
          <w:noProof/>
          <w:szCs w:val="24"/>
        </w:rPr>
        <w:t xml:space="preserve">EU space systems and services supporting security and defence </w:t>
      </w:r>
      <w:bookmarkEnd w:id="778"/>
      <w:bookmarkEnd w:id="779"/>
      <w:bookmarkEnd w:id="780"/>
      <w:bookmarkEnd w:id="781"/>
    </w:p>
    <w:p w14:paraId="02C9D2B6" w14:textId="77777777" w:rsidR="00477A54" w:rsidRPr="00F70DEE" w:rsidRDefault="001F648F" w:rsidP="008C75D3">
      <w:pPr>
        <w:rPr>
          <w:rFonts w:cs="Times New Roman"/>
          <w:noProof/>
        </w:rPr>
      </w:pPr>
      <w:r>
        <w:rPr>
          <w:rFonts w:cs="Times New Roman"/>
          <w:noProof/>
        </w:rPr>
        <w:t>M</w:t>
      </w:r>
      <w:r w:rsidR="008C75D3" w:rsidRPr="00F70DEE">
        <w:rPr>
          <w:rFonts w:cs="Times New Roman"/>
          <w:noProof/>
        </w:rPr>
        <w:t xml:space="preserve">ore systematic cross-fertilisation between EU </w:t>
      </w:r>
      <w:r w:rsidR="00F61719" w:rsidRPr="00F70DEE">
        <w:rPr>
          <w:rFonts w:cs="Times New Roman"/>
          <w:noProof/>
        </w:rPr>
        <w:t>s</w:t>
      </w:r>
      <w:r w:rsidR="008C75D3" w:rsidRPr="00F70DEE">
        <w:rPr>
          <w:rFonts w:cs="Times New Roman"/>
          <w:noProof/>
        </w:rPr>
        <w:t xml:space="preserve">pace, defence and security </w:t>
      </w:r>
      <w:r w:rsidR="001D737A" w:rsidRPr="00F70DEE">
        <w:rPr>
          <w:rFonts w:cs="Times New Roman"/>
          <w:noProof/>
        </w:rPr>
        <w:t xml:space="preserve">initiatives </w:t>
      </w:r>
      <w:r w:rsidR="008C75D3" w:rsidRPr="00F70DEE">
        <w:rPr>
          <w:rFonts w:cs="Times New Roman"/>
          <w:noProof/>
        </w:rPr>
        <w:t xml:space="preserve">would facilitate the development of </w:t>
      </w:r>
      <w:r w:rsidR="000410AC" w:rsidRPr="00F70DEE">
        <w:rPr>
          <w:rFonts w:cs="Times New Roman"/>
          <w:noProof/>
        </w:rPr>
        <w:t xml:space="preserve">dual-use EU </w:t>
      </w:r>
      <w:r w:rsidR="008C75D3" w:rsidRPr="00F70DEE">
        <w:rPr>
          <w:rFonts w:cs="Times New Roman"/>
          <w:noProof/>
        </w:rPr>
        <w:t xml:space="preserve">space components </w:t>
      </w:r>
      <w:r w:rsidR="00BF7C85" w:rsidRPr="00F70DEE">
        <w:rPr>
          <w:rFonts w:cs="Times New Roman"/>
          <w:noProof/>
        </w:rPr>
        <w:t xml:space="preserve">taking into account </w:t>
      </w:r>
      <w:r w:rsidR="00BF7C85" w:rsidRPr="005F39E1">
        <w:rPr>
          <w:rFonts w:cs="Times New Roman"/>
          <w:noProof/>
        </w:rPr>
        <w:t>d</w:t>
      </w:r>
      <w:r w:rsidR="008C75D3" w:rsidRPr="005F39E1">
        <w:rPr>
          <w:rFonts w:cs="Times New Roman"/>
          <w:noProof/>
        </w:rPr>
        <w:t xml:space="preserve">efence </w:t>
      </w:r>
      <w:r w:rsidRPr="005F39E1">
        <w:rPr>
          <w:rFonts w:cs="Times New Roman"/>
          <w:noProof/>
        </w:rPr>
        <w:t xml:space="preserve">and security </w:t>
      </w:r>
      <w:r w:rsidR="008C75D3" w:rsidRPr="005F39E1">
        <w:rPr>
          <w:rFonts w:cs="Times New Roman"/>
          <w:noProof/>
        </w:rPr>
        <w:t>needs</w:t>
      </w:r>
      <w:r w:rsidR="00B62FA3">
        <w:rPr>
          <w:rFonts w:cs="Times New Roman"/>
          <w:noProof/>
        </w:rPr>
        <w:t xml:space="preserve"> under </w:t>
      </w:r>
      <w:r w:rsidR="008C75D3" w:rsidRPr="00F70DEE">
        <w:rPr>
          <w:rFonts w:cs="Times New Roman"/>
          <w:noProof/>
        </w:rPr>
        <w:t>a</w:t>
      </w:r>
      <w:r w:rsidR="00105E8A">
        <w:rPr>
          <w:rFonts w:cs="Times New Roman"/>
          <w:noProof/>
        </w:rPr>
        <w:t>n</w:t>
      </w:r>
      <w:r w:rsidR="008C75D3" w:rsidRPr="00F70DEE">
        <w:rPr>
          <w:rFonts w:cs="Times New Roman"/>
          <w:noProof/>
        </w:rPr>
        <w:t xml:space="preserve"> overarching capability-driven approach</w:t>
      </w:r>
      <w:r w:rsidR="00B62FA3">
        <w:rPr>
          <w:rStyle w:val="FootnoteReference"/>
          <w:rFonts w:cs="Times New Roman"/>
          <w:noProof/>
        </w:rPr>
        <w:footnoteReference w:id="28"/>
      </w:r>
      <w:r w:rsidR="008C75D3" w:rsidRPr="00F70DEE">
        <w:rPr>
          <w:rFonts w:cs="Times New Roman"/>
          <w:noProof/>
        </w:rPr>
        <w:t>.</w:t>
      </w:r>
    </w:p>
    <w:p w14:paraId="3CE9C726" w14:textId="57435FC5" w:rsidR="00B62FD0" w:rsidRDefault="00B62FD0" w:rsidP="00B62FD0">
      <w:pPr>
        <w:rPr>
          <w:rFonts w:cs="Times New Roman"/>
          <w:noProof/>
        </w:rPr>
      </w:pPr>
      <w:r w:rsidRPr="00F70DEE">
        <w:rPr>
          <w:rFonts w:cs="Times New Roman"/>
          <w:noProof/>
        </w:rPr>
        <w:t>EU space flagship initiatives can support security and defence capabilities. It is therefore necessary to explore to what extent they can provide secure and reliable services.</w:t>
      </w:r>
    </w:p>
    <w:p w14:paraId="4BB46572" w14:textId="42101A69" w:rsidR="00B62FD0" w:rsidRDefault="00B62FD0" w:rsidP="00B62FD0">
      <w:pPr>
        <w:rPr>
          <w:rFonts w:cs="Times New Roman"/>
          <w:noProof/>
        </w:rPr>
      </w:pPr>
      <w:r w:rsidRPr="00F70DEE">
        <w:rPr>
          <w:rFonts w:cs="Times New Roman"/>
          <w:noProof/>
        </w:rPr>
        <w:t xml:space="preserve">While respecting the civilian nature of EU space programmes, specific and tailor-made rules </w:t>
      </w:r>
      <w:r>
        <w:rPr>
          <w:rFonts w:cs="Times New Roman"/>
          <w:noProof/>
        </w:rPr>
        <w:t>for</w:t>
      </w:r>
      <w:r w:rsidRPr="00F70DEE">
        <w:rPr>
          <w:rFonts w:cs="Times New Roman"/>
          <w:noProof/>
        </w:rPr>
        <w:t xml:space="preserve"> the delivery of security-sensitive services, applications and data will be established to provide the appropriate level of trust </w:t>
      </w:r>
      <w:r>
        <w:rPr>
          <w:rFonts w:cs="Times New Roman"/>
          <w:noProof/>
        </w:rPr>
        <w:t>for</w:t>
      </w:r>
      <w:r w:rsidRPr="00F70DEE">
        <w:rPr>
          <w:rFonts w:cs="Times New Roman"/>
          <w:noProof/>
        </w:rPr>
        <w:t xml:space="preserve"> security and defence users (such as priority rights </w:t>
      </w:r>
      <w:r w:rsidRPr="00F70DEE">
        <w:rPr>
          <w:noProof/>
        </w:rPr>
        <w:t>and access control</w:t>
      </w:r>
      <w:r w:rsidRPr="00F70DEE">
        <w:rPr>
          <w:rFonts w:cs="Times New Roman"/>
          <w:noProof/>
        </w:rPr>
        <w:t xml:space="preserve"> - including in the context of military operations, </w:t>
      </w:r>
      <w:r>
        <w:rPr>
          <w:rFonts w:cs="Times New Roman"/>
          <w:noProof/>
        </w:rPr>
        <w:t xml:space="preserve">the </w:t>
      </w:r>
      <w:r w:rsidRPr="00F70DEE">
        <w:rPr>
          <w:rFonts w:cs="Times New Roman"/>
          <w:noProof/>
        </w:rPr>
        <w:t>anonymi</w:t>
      </w:r>
      <w:r>
        <w:rPr>
          <w:rFonts w:cs="Times New Roman"/>
          <w:noProof/>
        </w:rPr>
        <w:t>s</w:t>
      </w:r>
      <w:r w:rsidRPr="00F70DEE">
        <w:rPr>
          <w:rFonts w:cs="Times New Roman"/>
          <w:noProof/>
        </w:rPr>
        <w:t xml:space="preserve">ation of requests, </w:t>
      </w:r>
      <w:r>
        <w:rPr>
          <w:rFonts w:cs="Times New Roman"/>
          <w:noProof/>
        </w:rPr>
        <w:t xml:space="preserve">the </w:t>
      </w:r>
      <w:r w:rsidRPr="00F70DEE">
        <w:rPr>
          <w:rFonts w:cs="Times New Roman"/>
          <w:noProof/>
        </w:rPr>
        <w:t>restriction of the dissemination policy).</w:t>
      </w:r>
    </w:p>
    <w:p w14:paraId="5D702867" w14:textId="2F7D79FA" w:rsidR="00B62FD0" w:rsidRPr="00F70DEE" w:rsidRDefault="009A2BCC" w:rsidP="00B62FD0">
      <w:pPr>
        <w:rPr>
          <w:noProof/>
        </w:rPr>
      </w:pPr>
      <w:r>
        <w:rPr>
          <w:rFonts w:cs="Times New Roman"/>
          <w:noProof/>
        </w:rPr>
        <w:t>T</w:t>
      </w:r>
      <w:r w:rsidR="008C75D3" w:rsidRPr="00F70DEE">
        <w:rPr>
          <w:rFonts w:cs="Times New Roman"/>
          <w:noProof/>
        </w:rPr>
        <w:t>he Commission will embed military and security user requirements</w:t>
      </w:r>
      <w:r w:rsidR="00643128" w:rsidRPr="00F70DEE">
        <w:rPr>
          <w:rFonts w:cs="Times New Roman"/>
          <w:noProof/>
        </w:rPr>
        <w:t xml:space="preserve"> </w:t>
      </w:r>
      <w:r w:rsidR="008C75D3" w:rsidRPr="00F70DEE">
        <w:rPr>
          <w:rFonts w:cs="Times New Roman"/>
          <w:noProof/>
        </w:rPr>
        <w:t xml:space="preserve">in the design of </w:t>
      </w:r>
      <w:r w:rsidR="004332AB" w:rsidRPr="00F70DEE">
        <w:rPr>
          <w:rFonts w:cs="Times New Roman"/>
          <w:noProof/>
        </w:rPr>
        <w:t xml:space="preserve">relevant </w:t>
      </w:r>
      <w:r w:rsidR="008C75D3" w:rsidRPr="00F70DEE">
        <w:rPr>
          <w:rFonts w:cs="Times New Roman"/>
          <w:noProof/>
        </w:rPr>
        <w:t xml:space="preserve">new </w:t>
      </w:r>
      <w:r w:rsidR="00643128" w:rsidRPr="00F70DEE">
        <w:rPr>
          <w:rFonts w:cs="Times New Roman"/>
          <w:noProof/>
        </w:rPr>
        <w:t xml:space="preserve">EU </w:t>
      </w:r>
      <w:r w:rsidR="008C75D3" w:rsidRPr="00F70DEE">
        <w:rPr>
          <w:rFonts w:cs="Times New Roman"/>
          <w:noProof/>
        </w:rPr>
        <w:t xml:space="preserve">space </w:t>
      </w:r>
      <w:r w:rsidR="00C440EC" w:rsidRPr="00F70DEE">
        <w:rPr>
          <w:rFonts w:cs="Times New Roman"/>
          <w:noProof/>
        </w:rPr>
        <w:t>systems</w:t>
      </w:r>
      <w:r w:rsidR="008C75D3" w:rsidRPr="00F70DEE">
        <w:rPr>
          <w:rFonts w:cs="Times New Roman"/>
          <w:noProof/>
        </w:rPr>
        <w:t xml:space="preserve"> </w:t>
      </w:r>
      <w:r w:rsidR="004332AB" w:rsidRPr="00F70DEE">
        <w:rPr>
          <w:rFonts w:cs="Times New Roman"/>
          <w:noProof/>
        </w:rPr>
        <w:t xml:space="preserve">and </w:t>
      </w:r>
      <w:r w:rsidR="008C75D3" w:rsidRPr="00F70DEE">
        <w:rPr>
          <w:rFonts w:cs="Times New Roman"/>
          <w:noProof/>
        </w:rPr>
        <w:t xml:space="preserve">the upgrade of </w:t>
      </w:r>
      <w:r w:rsidR="004332AB" w:rsidRPr="00F70DEE">
        <w:rPr>
          <w:rFonts w:cs="Times New Roman"/>
          <w:noProof/>
        </w:rPr>
        <w:t xml:space="preserve">relevant </w:t>
      </w:r>
      <w:r w:rsidR="008C75D3" w:rsidRPr="00F70DEE">
        <w:rPr>
          <w:rFonts w:cs="Times New Roman"/>
          <w:noProof/>
        </w:rPr>
        <w:t>existing systems</w:t>
      </w:r>
      <w:r w:rsidR="00643128" w:rsidRPr="00F70DEE">
        <w:rPr>
          <w:rFonts w:cs="Times New Roman"/>
          <w:noProof/>
        </w:rPr>
        <w:t>.</w:t>
      </w:r>
      <w:r w:rsidR="00105E8A">
        <w:rPr>
          <w:rFonts w:cs="Times New Roman"/>
          <w:noProof/>
        </w:rPr>
        <w:t xml:space="preserve"> It</w:t>
      </w:r>
      <w:r w:rsidR="008C75D3" w:rsidRPr="00F70DEE">
        <w:rPr>
          <w:rFonts w:cs="Times New Roman"/>
          <w:noProof/>
        </w:rPr>
        <w:t xml:space="preserve"> </w:t>
      </w:r>
      <w:r w:rsidR="00643128" w:rsidRPr="00F70DEE">
        <w:rPr>
          <w:rFonts w:cs="Times New Roman"/>
          <w:noProof/>
        </w:rPr>
        <w:t>will</w:t>
      </w:r>
      <w:r w:rsidR="008C75D3" w:rsidRPr="00F70DEE">
        <w:rPr>
          <w:rFonts w:cs="Times New Roman"/>
          <w:noProof/>
        </w:rPr>
        <w:t xml:space="preserve"> rely on the support </w:t>
      </w:r>
      <w:r w:rsidR="00701E75">
        <w:rPr>
          <w:rFonts w:cs="Times New Roman"/>
          <w:noProof/>
        </w:rPr>
        <w:t>from</w:t>
      </w:r>
      <w:r w:rsidR="00701E75" w:rsidRPr="00F70DEE">
        <w:rPr>
          <w:rFonts w:cs="Times New Roman"/>
          <w:noProof/>
        </w:rPr>
        <w:t xml:space="preserve"> </w:t>
      </w:r>
      <w:r w:rsidR="008C75D3" w:rsidRPr="00F70DEE">
        <w:rPr>
          <w:rFonts w:cs="Times New Roman"/>
          <w:noProof/>
        </w:rPr>
        <w:t>relevant EU agencies</w:t>
      </w:r>
      <w:r w:rsidR="00105E8A">
        <w:rPr>
          <w:rFonts w:cs="Times New Roman"/>
          <w:noProof/>
        </w:rPr>
        <w:t>, namely EDA</w:t>
      </w:r>
      <w:r w:rsidR="00B62FD0">
        <w:rPr>
          <w:rFonts w:cs="Times New Roman"/>
          <w:noProof/>
        </w:rPr>
        <w:t xml:space="preserve"> </w:t>
      </w:r>
      <w:r w:rsidR="00105E8A">
        <w:rPr>
          <w:rFonts w:cs="Times New Roman"/>
          <w:noProof/>
        </w:rPr>
        <w:t>and EUSP</w:t>
      </w:r>
      <w:r w:rsidR="00105E8A" w:rsidRPr="00B62FA3">
        <w:rPr>
          <w:rFonts w:cs="Times New Roman"/>
          <w:noProof/>
        </w:rPr>
        <w:t>A</w:t>
      </w:r>
      <w:r w:rsidR="00A506CE">
        <w:rPr>
          <w:rFonts w:cs="Times New Roman"/>
          <w:noProof/>
        </w:rPr>
        <w:t xml:space="preserve">. EDA will continue to play </w:t>
      </w:r>
      <w:r w:rsidR="008B3C82">
        <w:rPr>
          <w:rFonts w:cs="Times New Roman"/>
          <w:noProof/>
        </w:rPr>
        <w:t xml:space="preserve">a </w:t>
      </w:r>
      <w:r w:rsidR="00A506CE">
        <w:rPr>
          <w:rFonts w:cs="Times New Roman"/>
          <w:noProof/>
        </w:rPr>
        <w:t xml:space="preserve">key role in </w:t>
      </w:r>
      <w:r w:rsidR="008B3C82">
        <w:rPr>
          <w:rFonts w:cs="Times New Roman"/>
          <w:noProof/>
        </w:rPr>
        <w:t>identifying</w:t>
      </w:r>
      <w:r w:rsidR="00A506CE">
        <w:rPr>
          <w:rFonts w:cs="Times New Roman"/>
          <w:noProof/>
        </w:rPr>
        <w:t xml:space="preserve"> military requirements</w:t>
      </w:r>
      <w:r w:rsidR="00E85689">
        <w:rPr>
          <w:rStyle w:val="FootnoteReference"/>
          <w:rFonts w:cs="Times New Roman"/>
          <w:noProof/>
        </w:rPr>
        <w:footnoteReference w:id="29"/>
      </w:r>
      <w:r w:rsidR="004679CA">
        <w:rPr>
          <w:rFonts w:cs="Times New Roman"/>
          <w:noProof/>
        </w:rPr>
        <w:t xml:space="preserve">, </w:t>
      </w:r>
      <w:r w:rsidR="00A506CE">
        <w:rPr>
          <w:rFonts w:cs="Times New Roman"/>
          <w:noProof/>
        </w:rPr>
        <w:t>defini</w:t>
      </w:r>
      <w:r w:rsidR="008B3C82">
        <w:rPr>
          <w:rFonts w:cs="Times New Roman"/>
          <w:noProof/>
        </w:rPr>
        <w:t>ng</w:t>
      </w:r>
      <w:r w:rsidR="00A506CE">
        <w:rPr>
          <w:rFonts w:cs="Times New Roman"/>
          <w:noProof/>
        </w:rPr>
        <w:t xml:space="preserve"> capability priorities</w:t>
      </w:r>
      <w:r w:rsidR="008B3C82">
        <w:rPr>
          <w:rFonts w:cs="Times New Roman"/>
          <w:noProof/>
        </w:rPr>
        <w:t xml:space="preserve"> and fostering cooperation among Member States,</w:t>
      </w:r>
      <w:r w:rsidR="00A506CE">
        <w:rPr>
          <w:rFonts w:cs="Times New Roman"/>
          <w:noProof/>
        </w:rPr>
        <w:t xml:space="preserve"> including through</w:t>
      </w:r>
      <w:r w:rsidR="00447EEB">
        <w:rPr>
          <w:rFonts w:cs="Times New Roman"/>
          <w:noProof/>
        </w:rPr>
        <w:t xml:space="preserve"> the ‘Defence in Space Forum’</w:t>
      </w:r>
      <w:r w:rsidR="00431156">
        <w:rPr>
          <w:rFonts w:cs="Times New Roman"/>
          <w:noProof/>
        </w:rPr>
        <w:t xml:space="preserve">. </w:t>
      </w:r>
      <w:r w:rsidR="00447EEB">
        <w:rPr>
          <w:rFonts w:cs="Times New Roman"/>
          <w:noProof/>
        </w:rPr>
        <w:t>EUSPA will support the identification of security-related needs, the accreditation and exploitation of dual</w:t>
      </w:r>
      <w:r w:rsidR="00815821">
        <w:rPr>
          <w:rFonts w:cs="Times New Roman"/>
          <w:noProof/>
        </w:rPr>
        <w:t>-</w:t>
      </w:r>
      <w:r w:rsidR="00447EEB">
        <w:rPr>
          <w:rFonts w:cs="Times New Roman"/>
          <w:noProof/>
        </w:rPr>
        <w:t xml:space="preserve">use systems and services. In addition, the </w:t>
      </w:r>
      <w:r w:rsidR="00B62FD0" w:rsidRPr="00F70DEE">
        <w:rPr>
          <w:noProof/>
        </w:rPr>
        <w:t>EU Military Staff will take forward the conceptual developments required at military level for the use of space in EU operational engagements.</w:t>
      </w:r>
    </w:p>
    <w:p w14:paraId="6C2F4084" w14:textId="646B84E9" w:rsidR="009A2BCC" w:rsidRDefault="00ED1B5B" w:rsidP="009A2BCC">
      <w:pPr>
        <w:rPr>
          <w:rFonts w:cs="Times New Roman"/>
          <w:noProof/>
        </w:rPr>
      </w:pPr>
      <w:r w:rsidRPr="00F70DEE">
        <w:rPr>
          <w:rFonts w:cs="Times New Roman"/>
          <w:noProof/>
        </w:rPr>
        <w:t xml:space="preserve">When preparing the </w:t>
      </w:r>
      <w:r w:rsidR="00105E8A">
        <w:rPr>
          <w:rFonts w:cs="Times New Roman"/>
          <w:noProof/>
        </w:rPr>
        <w:t xml:space="preserve">future development </w:t>
      </w:r>
      <w:r w:rsidRPr="00F70DEE">
        <w:rPr>
          <w:rFonts w:cs="Times New Roman"/>
          <w:noProof/>
        </w:rPr>
        <w:t xml:space="preserve">of the EU </w:t>
      </w:r>
      <w:r w:rsidR="00935528" w:rsidRPr="00F70DEE">
        <w:rPr>
          <w:rFonts w:cs="Times New Roman"/>
          <w:noProof/>
        </w:rPr>
        <w:t>s</w:t>
      </w:r>
      <w:r w:rsidRPr="00F70DEE">
        <w:rPr>
          <w:rFonts w:cs="Times New Roman"/>
          <w:noProof/>
        </w:rPr>
        <w:t xml:space="preserve">pace </w:t>
      </w:r>
      <w:r w:rsidR="00935528" w:rsidRPr="00F70DEE">
        <w:rPr>
          <w:rFonts w:cs="Times New Roman"/>
          <w:noProof/>
        </w:rPr>
        <w:t>p</w:t>
      </w:r>
      <w:r w:rsidRPr="00F70DEE">
        <w:rPr>
          <w:rFonts w:cs="Times New Roman"/>
          <w:noProof/>
        </w:rPr>
        <w:t>rogramme</w:t>
      </w:r>
      <w:r w:rsidR="000C298F" w:rsidRPr="00F70DEE">
        <w:rPr>
          <w:rFonts w:cs="Times New Roman"/>
          <w:noProof/>
        </w:rPr>
        <w:t>s</w:t>
      </w:r>
      <w:r w:rsidRPr="00F70DEE">
        <w:rPr>
          <w:rFonts w:cs="Times New Roman"/>
          <w:noProof/>
        </w:rPr>
        <w:t>, t</w:t>
      </w:r>
      <w:r w:rsidR="0013721E" w:rsidRPr="00F70DEE">
        <w:rPr>
          <w:rFonts w:cs="Times New Roman"/>
          <w:noProof/>
        </w:rPr>
        <w:t xml:space="preserve">he Commission </w:t>
      </w:r>
      <w:r w:rsidR="008C75D3" w:rsidRPr="00F70DEE">
        <w:rPr>
          <w:rFonts w:cs="Times New Roman"/>
          <w:noProof/>
        </w:rPr>
        <w:t>will</w:t>
      </w:r>
      <w:r w:rsidRPr="00F70DEE">
        <w:rPr>
          <w:rFonts w:cs="Times New Roman"/>
          <w:noProof/>
        </w:rPr>
        <w:t xml:space="preserve"> consider </w:t>
      </w:r>
      <w:r w:rsidR="008C75D3" w:rsidRPr="00F70DEE">
        <w:rPr>
          <w:rFonts w:cs="Times New Roman"/>
          <w:noProof/>
        </w:rPr>
        <w:t xml:space="preserve">the </w:t>
      </w:r>
      <w:r w:rsidR="00701E75" w:rsidRPr="00F70DEE">
        <w:rPr>
          <w:rFonts w:cs="Times New Roman"/>
          <w:noProof/>
        </w:rPr>
        <w:t xml:space="preserve">long-term </w:t>
      </w:r>
      <w:r w:rsidR="008C75D3" w:rsidRPr="00F70DEE">
        <w:rPr>
          <w:rFonts w:cs="Times New Roman"/>
          <w:noProof/>
        </w:rPr>
        <w:t xml:space="preserve">defence and security </w:t>
      </w:r>
      <w:r w:rsidR="000832CA">
        <w:rPr>
          <w:rFonts w:cs="Times New Roman"/>
          <w:noProof/>
        </w:rPr>
        <w:t xml:space="preserve">user </w:t>
      </w:r>
      <w:r w:rsidR="00B17B54">
        <w:rPr>
          <w:rFonts w:cs="Times New Roman"/>
          <w:noProof/>
        </w:rPr>
        <w:t xml:space="preserve">requirements </w:t>
      </w:r>
      <w:r w:rsidR="008C75D3" w:rsidRPr="00F70DEE">
        <w:rPr>
          <w:rFonts w:cs="Times New Roman"/>
          <w:noProof/>
        </w:rPr>
        <w:t>(</w:t>
      </w:r>
      <w:r w:rsidR="00935528" w:rsidRPr="00F70DEE">
        <w:rPr>
          <w:rFonts w:cs="Times New Roman"/>
          <w:noProof/>
        </w:rPr>
        <w:t xml:space="preserve">time </w:t>
      </w:r>
      <w:r w:rsidR="008C75D3" w:rsidRPr="00F70DEE">
        <w:rPr>
          <w:rFonts w:cs="Times New Roman"/>
          <w:noProof/>
        </w:rPr>
        <w:t>horizon 2035</w:t>
      </w:r>
      <w:r w:rsidRPr="00F70DEE">
        <w:rPr>
          <w:rFonts w:cs="Times New Roman"/>
          <w:noProof/>
        </w:rPr>
        <w:t>),</w:t>
      </w:r>
      <w:r w:rsidR="00A30E7A" w:rsidRPr="00F70DEE">
        <w:rPr>
          <w:rFonts w:cs="Times New Roman"/>
          <w:noProof/>
        </w:rPr>
        <w:t xml:space="preserve"> </w:t>
      </w:r>
      <w:r w:rsidRPr="00F70DEE">
        <w:rPr>
          <w:rFonts w:cs="Times New Roman"/>
          <w:noProof/>
        </w:rPr>
        <w:t>in close cooperation with Member States</w:t>
      </w:r>
      <w:r w:rsidR="008C75D3" w:rsidRPr="00F70DEE">
        <w:rPr>
          <w:rFonts w:cs="Times New Roman"/>
          <w:noProof/>
        </w:rPr>
        <w:t xml:space="preserve">. </w:t>
      </w:r>
      <w:r w:rsidR="00B17B54">
        <w:rPr>
          <w:rFonts w:cs="Times New Roman"/>
          <w:noProof/>
        </w:rPr>
        <w:t xml:space="preserve">It will consider </w:t>
      </w:r>
      <w:r w:rsidR="00B17B54">
        <w:rPr>
          <w:rFonts w:cs="Times New Roman"/>
          <w:noProof/>
          <w:szCs w:val="24"/>
        </w:rPr>
        <w:t>s</w:t>
      </w:r>
      <w:r w:rsidR="008C75D3" w:rsidRPr="00F70DEE">
        <w:rPr>
          <w:rFonts w:cs="Times New Roman"/>
          <w:noProof/>
          <w:szCs w:val="24"/>
        </w:rPr>
        <w:t xml:space="preserve">ystem interoperability and piggy backing </w:t>
      </w:r>
      <w:r w:rsidR="000832CA">
        <w:rPr>
          <w:rFonts w:cs="Times New Roman"/>
          <w:noProof/>
          <w:szCs w:val="24"/>
        </w:rPr>
        <w:t xml:space="preserve">payload </w:t>
      </w:r>
      <w:r w:rsidR="008C75D3" w:rsidRPr="00F70DEE">
        <w:rPr>
          <w:rFonts w:cs="Times New Roman"/>
          <w:noProof/>
          <w:szCs w:val="24"/>
        </w:rPr>
        <w:t>options for defence as well as security on existing or future space systems</w:t>
      </w:r>
      <w:r w:rsidR="00B17B54">
        <w:rPr>
          <w:rFonts w:cs="Times New Roman"/>
          <w:noProof/>
          <w:szCs w:val="24"/>
        </w:rPr>
        <w:t>.</w:t>
      </w:r>
      <w:bookmarkStart w:id="782" w:name="_Toc120138000"/>
      <w:r w:rsidR="009A2BCC" w:rsidRPr="009A2BCC">
        <w:rPr>
          <w:rFonts w:cs="Times New Roman"/>
          <w:noProof/>
        </w:rPr>
        <w:t xml:space="preserve"> </w:t>
      </w:r>
    </w:p>
    <w:p w14:paraId="416D4C75" w14:textId="70548FF3" w:rsidR="008C75D3" w:rsidRPr="00F70DEE" w:rsidRDefault="009A2BCC" w:rsidP="008C75D3">
      <w:pPr>
        <w:rPr>
          <w:rFonts w:cs="Times New Roman"/>
          <w:noProof/>
          <w:szCs w:val="24"/>
        </w:rPr>
      </w:pPr>
      <w:r>
        <w:rPr>
          <w:rFonts w:cs="Times New Roman"/>
          <w:noProof/>
        </w:rPr>
        <w:t>To this end, s</w:t>
      </w:r>
      <w:r w:rsidRPr="00F70DEE">
        <w:rPr>
          <w:rFonts w:cs="Times New Roman"/>
          <w:noProof/>
        </w:rPr>
        <w:t xml:space="preserve">ynergies will be encouraged through EDF, so that defence research and development can accelerate the deployment of payloads enabling services for defence. </w:t>
      </w:r>
      <w:r w:rsidRPr="00F70DEE">
        <w:rPr>
          <w:noProof/>
        </w:rPr>
        <w:t xml:space="preserve">In addition, the different governmental services enabled by EU space programmes will be </w:t>
      </w:r>
      <w:r>
        <w:rPr>
          <w:noProof/>
        </w:rPr>
        <w:t xml:space="preserve">consistently </w:t>
      </w:r>
      <w:r w:rsidRPr="00F70DEE">
        <w:rPr>
          <w:noProof/>
        </w:rPr>
        <w:t>operated and exploited</w:t>
      </w:r>
      <w:r>
        <w:rPr>
          <w:noProof/>
        </w:rPr>
        <w:t>.</w:t>
      </w:r>
    </w:p>
    <w:p w14:paraId="7D8391F3" w14:textId="77777777" w:rsidR="008C75D3" w:rsidRPr="00F70DEE" w:rsidRDefault="008C75D3" w:rsidP="00415D95">
      <w:pPr>
        <w:keepNext/>
        <w:keepLines/>
        <w:numPr>
          <w:ilvl w:val="2"/>
          <w:numId w:val="3"/>
        </w:numPr>
        <w:spacing w:before="40"/>
        <w:outlineLvl w:val="1"/>
        <w:rPr>
          <w:rFonts w:cs="Times New Roman"/>
          <w:b/>
          <w:i/>
          <w:iCs/>
          <w:noProof/>
          <w:szCs w:val="24"/>
        </w:rPr>
      </w:pPr>
      <w:bookmarkStart w:id="783" w:name="_Toc123037723"/>
      <w:bookmarkStart w:id="784" w:name="_Toc123037956"/>
      <w:bookmarkStart w:id="785" w:name="_Toc123385845"/>
      <w:bookmarkStart w:id="786" w:name="_Toc123037725"/>
      <w:bookmarkStart w:id="787" w:name="_Toc123037958"/>
      <w:bookmarkStart w:id="788" w:name="_Toc123385847"/>
      <w:bookmarkStart w:id="789" w:name="_Toc123037726"/>
      <w:bookmarkStart w:id="790" w:name="_Toc123037959"/>
      <w:bookmarkStart w:id="791" w:name="_Toc123385848"/>
      <w:bookmarkStart w:id="792" w:name="_Toc123037727"/>
      <w:bookmarkStart w:id="793" w:name="_Toc123037960"/>
      <w:bookmarkStart w:id="794" w:name="_Toc123385849"/>
      <w:bookmarkStart w:id="795" w:name="_Toc121266258"/>
      <w:bookmarkStart w:id="796" w:name="_Toc121295800"/>
      <w:bookmarkStart w:id="797" w:name="_Toc121266259"/>
      <w:bookmarkStart w:id="798" w:name="_Toc121295801"/>
      <w:bookmarkStart w:id="799" w:name="_Toc121266260"/>
      <w:bookmarkStart w:id="800" w:name="_Toc121295802"/>
      <w:bookmarkStart w:id="801" w:name="_Toc121266261"/>
      <w:bookmarkStart w:id="802" w:name="_Toc121295803"/>
      <w:bookmarkStart w:id="803" w:name="_Toc123037729"/>
      <w:bookmarkStart w:id="804" w:name="_Toc123037962"/>
      <w:bookmarkStart w:id="805" w:name="_Toc123385851"/>
      <w:bookmarkStart w:id="806" w:name="_Toc123037730"/>
      <w:bookmarkStart w:id="807" w:name="_Toc123037963"/>
      <w:bookmarkStart w:id="808" w:name="_Toc123385852"/>
      <w:bookmarkStart w:id="809" w:name="_Toc123037731"/>
      <w:bookmarkStart w:id="810" w:name="_Toc123037964"/>
      <w:bookmarkStart w:id="811" w:name="_Toc123385853"/>
      <w:bookmarkStart w:id="812" w:name="_Toc121409657"/>
      <w:bookmarkStart w:id="813" w:name="_Toc123037733"/>
      <w:bookmarkStart w:id="814" w:name="_Toc123037966"/>
      <w:bookmarkStart w:id="815" w:name="_Toc125732835"/>
      <w:bookmarkStart w:id="816" w:name="_Ref99457438"/>
      <w:bookmarkEnd w:id="725"/>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r w:rsidRPr="00F70DEE">
        <w:rPr>
          <w:rFonts w:cs="Times New Roman"/>
          <w:b/>
          <w:i/>
          <w:iCs/>
          <w:noProof/>
          <w:szCs w:val="24"/>
        </w:rPr>
        <w:t>Positioning Navigation and Timing (PNT)</w:t>
      </w:r>
      <w:bookmarkEnd w:id="812"/>
      <w:bookmarkEnd w:id="813"/>
      <w:bookmarkEnd w:id="814"/>
      <w:bookmarkEnd w:id="815"/>
    </w:p>
    <w:p w14:paraId="3B8314EF" w14:textId="77777777" w:rsidR="008C75D3" w:rsidRPr="00F70DEE" w:rsidRDefault="008C75D3" w:rsidP="008C75D3">
      <w:pPr>
        <w:rPr>
          <w:noProof/>
        </w:rPr>
      </w:pPr>
      <w:r w:rsidRPr="00F70DEE">
        <w:rPr>
          <w:rFonts w:cs="Times New Roman"/>
          <w:noProof/>
        </w:rPr>
        <w:t xml:space="preserve">Resilient PNT services such as </w:t>
      </w:r>
      <w:r w:rsidR="00E14388">
        <w:rPr>
          <w:rFonts w:cs="Times New Roman"/>
          <w:noProof/>
        </w:rPr>
        <w:t xml:space="preserve">the </w:t>
      </w:r>
      <w:r w:rsidRPr="00F70DEE">
        <w:rPr>
          <w:rFonts w:cs="Times New Roman"/>
          <w:noProof/>
        </w:rPr>
        <w:t>Galileo Public Regulated Service</w:t>
      </w:r>
      <w:r w:rsidR="00B7061B" w:rsidRPr="00F70DEE">
        <w:rPr>
          <w:rFonts w:cs="Times New Roman"/>
          <w:noProof/>
        </w:rPr>
        <w:t xml:space="preserve"> </w:t>
      </w:r>
      <w:r w:rsidRPr="00F70DEE">
        <w:rPr>
          <w:rFonts w:cs="Times New Roman"/>
          <w:noProof/>
        </w:rPr>
        <w:t>(PRS)</w:t>
      </w:r>
      <w:r w:rsidR="00E14388">
        <w:rPr>
          <w:rFonts w:cs="Times New Roman"/>
          <w:noProof/>
        </w:rPr>
        <w:t>,</w:t>
      </w:r>
      <w:r w:rsidRPr="00F70DEE">
        <w:rPr>
          <w:rFonts w:cs="Times New Roman"/>
          <w:noProof/>
        </w:rPr>
        <w:t xml:space="preserve"> are critical enablers for military operations. </w:t>
      </w:r>
      <w:r w:rsidRPr="00F70DEE">
        <w:rPr>
          <w:noProof/>
        </w:rPr>
        <w:t xml:space="preserve">The </w:t>
      </w:r>
      <w:r w:rsidRPr="000832CA">
        <w:rPr>
          <w:noProof/>
        </w:rPr>
        <w:t>c</w:t>
      </w:r>
      <w:r w:rsidRPr="000832CA">
        <w:rPr>
          <w:rFonts w:cs="Times New Roman"/>
          <w:noProof/>
        </w:rPr>
        <w:t xml:space="preserve">ontinuous evolution of PRS and complementary payloads in orbit will </w:t>
      </w:r>
      <w:r w:rsidR="00E14388" w:rsidRPr="000832CA">
        <w:rPr>
          <w:rFonts w:cs="Times New Roman"/>
          <w:noProof/>
        </w:rPr>
        <w:t>make it more robust</w:t>
      </w:r>
      <w:r w:rsidRPr="000832CA">
        <w:rPr>
          <w:rFonts w:cs="Times New Roman"/>
          <w:noProof/>
        </w:rPr>
        <w:t xml:space="preserve">. </w:t>
      </w:r>
      <w:r w:rsidRPr="00CD26FA">
        <w:rPr>
          <w:rFonts w:cs="Times New Roman"/>
          <w:noProof/>
        </w:rPr>
        <w:t>Building on PESCO projects such as</w:t>
      </w:r>
      <w:r w:rsidRPr="00CD26FA">
        <w:rPr>
          <w:noProof/>
        </w:rPr>
        <w:t xml:space="preserve"> </w:t>
      </w:r>
      <w:r w:rsidR="006972B7" w:rsidRPr="00CD26FA">
        <w:rPr>
          <w:noProof/>
        </w:rPr>
        <w:t xml:space="preserve">the </w:t>
      </w:r>
      <w:r w:rsidRPr="00CD26FA">
        <w:rPr>
          <w:rFonts w:cs="Times New Roman"/>
          <w:noProof/>
        </w:rPr>
        <w:t xml:space="preserve">EU Radio </w:t>
      </w:r>
      <w:r w:rsidR="006972B7" w:rsidRPr="00CD26FA">
        <w:rPr>
          <w:rFonts w:cs="Times New Roman"/>
          <w:noProof/>
        </w:rPr>
        <w:t>N</w:t>
      </w:r>
      <w:r w:rsidRPr="00CD26FA">
        <w:rPr>
          <w:rFonts w:cs="Times New Roman"/>
          <w:noProof/>
        </w:rPr>
        <w:t>avigation Solution (EURAS)</w:t>
      </w:r>
      <w:r w:rsidR="001046F1" w:rsidRPr="00CD26FA">
        <w:rPr>
          <w:rFonts w:cs="Times New Roman"/>
          <w:noProof/>
        </w:rPr>
        <w:t xml:space="preserve"> or</w:t>
      </w:r>
      <w:r w:rsidRPr="00CD26FA">
        <w:rPr>
          <w:rFonts w:cs="Times New Roman"/>
          <w:noProof/>
        </w:rPr>
        <w:t xml:space="preserve"> future defence Navigation Warfare (NAVWAR)</w:t>
      </w:r>
      <w:r w:rsidR="001046F1" w:rsidRPr="00CD26FA">
        <w:rPr>
          <w:rFonts w:cs="Times New Roman"/>
          <w:noProof/>
        </w:rPr>
        <w:t>,</w:t>
      </w:r>
      <w:r w:rsidRPr="00CD26FA">
        <w:rPr>
          <w:rFonts w:cs="Times New Roman"/>
          <w:noProof/>
        </w:rPr>
        <w:t xml:space="preserve"> surveillance capa</w:t>
      </w:r>
      <w:r w:rsidR="00870734" w:rsidRPr="00CD26FA">
        <w:rPr>
          <w:rFonts w:cs="Times New Roman"/>
          <w:noProof/>
        </w:rPr>
        <w:t>bilities</w:t>
      </w:r>
      <w:r w:rsidRPr="00CD26FA">
        <w:rPr>
          <w:rFonts w:cs="Times New Roman"/>
          <w:noProof/>
        </w:rPr>
        <w:t xml:space="preserve"> will </w:t>
      </w:r>
      <w:r w:rsidR="006972B7" w:rsidRPr="00CD26FA">
        <w:rPr>
          <w:rFonts w:cs="Times New Roman"/>
          <w:noProof/>
        </w:rPr>
        <w:t xml:space="preserve">enable </w:t>
      </w:r>
      <w:r w:rsidRPr="00CD26FA">
        <w:rPr>
          <w:rFonts w:cs="Times New Roman"/>
          <w:noProof/>
        </w:rPr>
        <w:t>the creation of a consolidated situational picture, and to cope with situations where access to PRS is contested. In this context, the</w:t>
      </w:r>
      <w:r w:rsidRPr="00F70DEE">
        <w:rPr>
          <w:rFonts w:cs="Times New Roman"/>
          <w:noProof/>
        </w:rPr>
        <w:t xml:space="preserve"> E</w:t>
      </w:r>
      <w:r w:rsidR="00F17A02" w:rsidRPr="00F70DEE">
        <w:rPr>
          <w:rFonts w:cs="Times New Roman"/>
          <w:noProof/>
        </w:rPr>
        <w:t>DF</w:t>
      </w:r>
      <w:r w:rsidRPr="00F70DEE">
        <w:rPr>
          <w:rFonts w:cs="Times New Roman"/>
          <w:noProof/>
        </w:rPr>
        <w:t xml:space="preserve"> supports activities</w:t>
      </w:r>
      <w:r w:rsidRPr="00F70DEE">
        <w:rPr>
          <w:noProof/>
        </w:rPr>
        <w:t xml:space="preserve"> related to an unlimited and uninterrupted access to PRS worldwide to </w:t>
      </w:r>
      <w:r w:rsidR="006972B7">
        <w:rPr>
          <w:noProof/>
        </w:rPr>
        <w:t>strengthen</w:t>
      </w:r>
      <w:r w:rsidR="006972B7" w:rsidRPr="00F70DEE">
        <w:rPr>
          <w:noProof/>
        </w:rPr>
        <w:t xml:space="preserve"> </w:t>
      </w:r>
      <w:r w:rsidRPr="00F70DEE">
        <w:rPr>
          <w:noProof/>
        </w:rPr>
        <w:t xml:space="preserve">the security and defence component of the EU’s </w:t>
      </w:r>
      <w:r w:rsidR="00A40266" w:rsidRPr="00F70DEE">
        <w:rPr>
          <w:noProof/>
        </w:rPr>
        <w:t>PNT</w:t>
      </w:r>
      <w:r w:rsidRPr="00F70DEE">
        <w:rPr>
          <w:noProof/>
        </w:rPr>
        <w:t xml:space="preserve"> capabilities.</w:t>
      </w:r>
    </w:p>
    <w:p w14:paraId="2EC6DFD4" w14:textId="77777777" w:rsidR="008C75D3" w:rsidRPr="00F70DEE" w:rsidRDefault="008C75D3" w:rsidP="00415D95">
      <w:pPr>
        <w:keepNext/>
        <w:keepLines/>
        <w:numPr>
          <w:ilvl w:val="2"/>
          <w:numId w:val="3"/>
        </w:numPr>
        <w:spacing w:before="40"/>
        <w:outlineLvl w:val="1"/>
        <w:rPr>
          <w:rFonts w:cs="Times New Roman"/>
          <w:b/>
          <w:i/>
          <w:iCs/>
          <w:noProof/>
          <w:szCs w:val="24"/>
        </w:rPr>
      </w:pPr>
      <w:bookmarkStart w:id="817" w:name="_Toc120137977"/>
      <w:bookmarkStart w:id="818" w:name="_Toc121409658"/>
      <w:bookmarkStart w:id="819" w:name="_Toc123037734"/>
      <w:bookmarkStart w:id="820" w:name="_Toc123037967"/>
      <w:bookmarkStart w:id="821" w:name="_Toc125732836"/>
      <w:bookmarkStart w:id="822" w:name="_Hlk126572131"/>
      <w:r w:rsidRPr="00F70DEE">
        <w:rPr>
          <w:rFonts w:cs="Times New Roman"/>
          <w:b/>
          <w:i/>
          <w:iCs/>
          <w:noProof/>
          <w:szCs w:val="24"/>
        </w:rPr>
        <w:t>Earth Observation</w:t>
      </w:r>
      <w:bookmarkEnd w:id="817"/>
      <w:bookmarkEnd w:id="818"/>
      <w:bookmarkEnd w:id="819"/>
      <w:bookmarkEnd w:id="820"/>
      <w:bookmarkEnd w:id="821"/>
      <w:r w:rsidR="00ED1B5B" w:rsidRPr="00F70DEE">
        <w:rPr>
          <w:rFonts w:cs="Times New Roman"/>
          <w:b/>
          <w:i/>
          <w:iCs/>
          <w:noProof/>
          <w:szCs w:val="24"/>
        </w:rPr>
        <w:t xml:space="preserve"> </w:t>
      </w:r>
    </w:p>
    <w:p w14:paraId="1E859B0A" w14:textId="77777777" w:rsidR="008C75D3" w:rsidRPr="00F70DEE" w:rsidRDefault="008C75D3" w:rsidP="00A30E7A">
      <w:pPr>
        <w:shd w:val="clear" w:color="auto" w:fill="FFFFFF" w:themeFill="background1"/>
        <w:rPr>
          <w:rFonts w:cs="Times New Roman"/>
          <w:noProof/>
        </w:rPr>
      </w:pPr>
      <w:r w:rsidRPr="00F70DEE">
        <w:rPr>
          <w:rFonts w:cs="Times New Roman"/>
          <w:noProof/>
        </w:rPr>
        <w:t>Space-based Earth Observation support</w:t>
      </w:r>
      <w:r w:rsidR="004870BE">
        <w:rPr>
          <w:rFonts w:cs="Times New Roman"/>
          <w:noProof/>
        </w:rPr>
        <w:t>s</w:t>
      </w:r>
      <w:r w:rsidRPr="00F70DEE">
        <w:rPr>
          <w:rFonts w:cs="Times New Roman"/>
          <w:noProof/>
        </w:rPr>
        <w:t xml:space="preserve"> autonomous assessment and decision–making. It is a key enabler for security and defence.</w:t>
      </w:r>
      <w:r w:rsidR="00643128" w:rsidRPr="00F70DEE">
        <w:rPr>
          <w:rFonts w:cs="Times New Roman"/>
          <w:noProof/>
        </w:rPr>
        <w:t xml:space="preserve"> </w:t>
      </w:r>
      <w:r w:rsidR="004870BE">
        <w:rPr>
          <w:rFonts w:cs="Times New Roman"/>
          <w:noProof/>
        </w:rPr>
        <w:t>It has proven</w:t>
      </w:r>
      <w:r w:rsidR="00643128" w:rsidRPr="00F70DEE">
        <w:rPr>
          <w:rFonts w:cs="Times New Roman"/>
          <w:noProof/>
        </w:rPr>
        <w:t xml:space="preserve"> to be a game-changer for the Ukrainian Armed Forces to resist the Russian attacks.</w:t>
      </w:r>
    </w:p>
    <w:p w14:paraId="06998C01" w14:textId="141A9B07" w:rsidR="008C75D3" w:rsidRPr="00F70DEE" w:rsidRDefault="008C75D3" w:rsidP="00A30E7A">
      <w:pPr>
        <w:shd w:val="clear" w:color="auto" w:fill="FFFFFF" w:themeFill="background1"/>
        <w:rPr>
          <w:rFonts w:cs="Times New Roman"/>
          <w:noProof/>
        </w:rPr>
      </w:pPr>
      <w:r w:rsidRPr="00F70DEE">
        <w:rPr>
          <w:rFonts w:cs="Times New Roman"/>
          <w:noProof/>
        </w:rPr>
        <w:t xml:space="preserve">SatCen provides a unique geospatial intelligence analysis capability to support high-level decision-making </w:t>
      </w:r>
      <w:r w:rsidR="00F01829" w:rsidRPr="00F70DEE">
        <w:rPr>
          <w:rFonts w:cs="Times New Roman"/>
          <w:noProof/>
        </w:rPr>
        <w:t xml:space="preserve">and action </w:t>
      </w:r>
      <w:r w:rsidRPr="00F70DEE">
        <w:rPr>
          <w:rFonts w:cs="Times New Roman"/>
          <w:noProof/>
        </w:rPr>
        <w:t xml:space="preserve">of the </w:t>
      </w:r>
      <w:r w:rsidR="00BC5A3C" w:rsidRPr="00F70DEE">
        <w:rPr>
          <w:rFonts w:cs="Times New Roman"/>
          <w:noProof/>
        </w:rPr>
        <w:t>E</w:t>
      </w:r>
      <w:r w:rsidRPr="00F70DEE">
        <w:rPr>
          <w:rFonts w:cs="Times New Roman"/>
          <w:noProof/>
        </w:rPr>
        <w:t>U and its Member States</w:t>
      </w:r>
      <w:r w:rsidR="009A704D" w:rsidRPr="00F70DEE">
        <w:rPr>
          <w:rFonts w:cs="Times New Roman"/>
          <w:noProof/>
        </w:rPr>
        <w:t xml:space="preserve">, </w:t>
      </w:r>
      <w:r w:rsidR="00747750">
        <w:rPr>
          <w:rFonts w:cs="Times New Roman"/>
          <w:noProof/>
        </w:rPr>
        <w:t xml:space="preserve">and </w:t>
      </w:r>
      <w:r w:rsidR="004870BE">
        <w:rPr>
          <w:rFonts w:cs="Times New Roman"/>
          <w:noProof/>
        </w:rPr>
        <w:t>also</w:t>
      </w:r>
      <w:r w:rsidR="009A704D" w:rsidRPr="00F70DEE">
        <w:rPr>
          <w:rFonts w:cs="Times New Roman"/>
          <w:noProof/>
        </w:rPr>
        <w:t xml:space="preserve"> support</w:t>
      </w:r>
      <w:r w:rsidR="004870BE">
        <w:rPr>
          <w:rFonts w:cs="Times New Roman"/>
          <w:noProof/>
        </w:rPr>
        <w:t>s</w:t>
      </w:r>
      <w:r w:rsidR="009A704D" w:rsidRPr="00F70DEE">
        <w:rPr>
          <w:rFonts w:cs="Times New Roman"/>
          <w:noProof/>
        </w:rPr>
        <w:t xml:space="preserve"> EU policies</w:t>
      </w:r>
      <w:r w:rsidR="00D86672" w:rsidRPr="00F70DEE">
        <w:rPr>
          <w:rFonts w:cs="Times New Roman"/>
          <w:noProof/>
        </w:rPr>
        <w:t>.</w:t>
      </w:r>
      <w:r w:rsidR="00B62FD0" w:rsidRPr="00F70DEE" w:rsidDel="00B62FD0">
        <w:rPr>
          <w:rFonts w:cs="Times New Roman"/>
          <w:noProof/>
        </w:rPr>
        <w:t xml:space="preserve"> </w:t>
      </w:r>
    </w:p>
    <w:p w14:paraId="4B9CACC6" w14:textId="77777777" w:rsidR="008C75D3" w:rsidRPr="00F70DEE" w:rsidRDefault="00701E75" w:rsidP="00A30E7A">
      <w:pPr>
        <w:shd w:val="clear" w:color="auto" w:fill="FFFFFF" w:themeFill="background1"/>
        <w:rPr>
          <w:noProof/>
        </w:rPr>
      </w:pPr>
      <w:r>
        <w:rPr>
          <w:noProof/>
        </w:rPr>
        <w:t>Although</w:t>
      </w:r>
      <w:r w:rsidRPr="00F70DEE">
        <w:rPr>
          <w:noProof/>
        </w:rPr>
        <w:t xml:space="preserve"> </w:t>
      </w:r>
      <w:r w:rsidR="008C75D3" w:rsidRPr="00F70DEE">
        <w:rPr>
          <w:noProof/>
        </w:rPr>
        <w:t xml:space="preserve">Copernicus delivers security services, </w:t>
      </w:r>
      <w:r w:rsidR="00700A0A" w:rsidRPr="00F70DEE">
        <w:rPr>
          <w:noProof/>
        </w:rPr>
        <w:t>it</w:t>
      </w:r>
      <w:r w:rsidR="008C75D3" w:rsidRPr="00F70DEE">
        <w:rPr>
          <w:noProof/>
        </w:rPr>
        <w:t xml:space="preserve"> </w:t>
      </w:r>
      <w:r w:rsidR="004870BE">
        <w:rPr>
          <w:noProof/>
        </w:rPr>
        <w:t>was not</w:t>
      </w:r>
      <w:r w:rsidR="008C75D3" w:rsidRPr="00F70DEE">
        <w:rPr>
          <w:noProof/>
        </w:rPr>
        <w:t xml:space="preserve"> designed to comply specifically with defence requirements.</w:t>
      </w:r>
    </w:p>
    <w:p w14:paraId="549CFA6D" w14:textId="77777777" w:rsidR="008C75D3" w:rsidRPr="00F70DEE" w:rsidRDefault="008C75D3" w:rsidP="00A30E7A">
      <w:pPr>
        <w:shd w:val="clear" w:color="auto" w:fill="FFFFFF" w:themeFill="background1"/>
        <w:rPr>
          <w:noProof/>
        </w:rPr>
      </w:pPr>
      <w:r w:rsidRPr="00F70DEE">
        <w:rPr>
          <w:noProof/>
        </w:rPr>
        <w:t>Therefore,</w:t>
      </w:r>
      <w:r w:rsidR="008A58B0" w:rsidRPr="00F70DEE">
        <w:rPr>
          <w:noProof/>
        </w:rPr>
        <w:t xml:space="preserve"> as part of </w:t>
      </w:r>
      <w:r w:rsidR="00E24928" w:rsidRPr="00F70DEE">
        <w:rPr>
          <w:noProof/>
        </w:rPr>
        <w:t>the evolution of</w:t>
      </w:r>
      <w:r w:rsidR="008A58B0" w:rsidRPr="00F70DEE">
        <w:rPr>
          <w:noProof/>
        </w:rPr>
        <w:t xml:space="preserve"> Copernicus services, and as </w:t>
      </w:r>
      <w:r w:rsidR="004F4787">
        <w:rPr>
          <w:noProof/>
        </w:rPr>
        <w:t xml:space="preserve">already </w:t>
      </w:r>
      <w:r w:rsidR="008A58B0" w:rsidRPr="00F70DEE">
        <w:rPr>
          <w:noProof/>
        </w:rPr>
        <w:t xml:space="preserve">presented to Member States, </w:t>
      </w:r>
      <w:r w:rsidRPr="00F70DEE">
        <w:rPr>
          <w:noProof/>
        </w:rPr>
        <w:t>a</w:t>
      </w:r>
      <w:r w:rsidR="00475518" w:rsidRPr="00F70DEE">
        <w:rPr>
          <w:noProof/>
        </w:rPr>
        <w:t>n</w:t>
      </w:r>
      <w:r w:rsidRPr="00F70DEE">
        <w:rPr>
          <w:noProof/>
        </w:rPr>
        <w:t xml:space="preserve"> </w:t>
      </w:r>
      <w:r w:rsidR="006972B7">
        <w:rPr>
          <w:noProof/>
        </w:rPr>
        <w:t xml:space="preserve">EU </w:t>
      </w:r>
      <w:r w:rsidRPr="00F70DEE">
        <w:rPr>
          <w:noProof/>
        </w:rPr>
        <w:t xml:space="preserve">Earth Observation governmental </w:t>
      </w:r>
      <w:r w:rsidR="008A58B0" w:rsidRPr="00F70DEE">
        <w:rPr>
          <w:noProof/>
        </w:rPr>
        <w:t>service</w:t>
      </w:r>
      <w:r w:rsidR="006F37A3">
        <w:rPr>
          <w:noProof/>
        </w:rPr>
        <w:t xml:space="preserve"> </w:t>
      </w:r>
      <w:r w:rsidRPr="00F70DEE">
        <w:rPr>
          <w:noProof/>
        </w:rPr>
        <w:t>would be beneficial to provide a fully reliable, highly resilient, and continuously available situation</w:t>
      </w:r>
      <w:r w:rsidR="006972B7">
        <w:rPr>
          <w:noProof/>
        </w:rPr>
        <w:t>al</w:t>
      </w:r>
      <w:r w:rsidRPr="00F70DEE">
        <w:rPr>
          <w:noProof/>
        </w:rPr>
        <w:t xml:space="preserve"> awareness service. T</w:t>
      </w:r>
      <w:r w:rsidR="00B1563D" w:rsidRPr="00F70DEE">
        <w:rPr>
          <w:noProof/>
        </w:rPr>
        <w:t xml:space="preserve">o </w:t>
      </w:r>
      <w:r w:rsidRPr="00F70DEE">
        <w:rPr>
          <w:noProof/>
        </w:rPr>
        <w:t>provide added-value</w:t>
      </w:r>
      <w:r w:rsidR="00B1563D" w:rsidRPr="00F70DEE">
        <w:rPr>
          <w:noProof/>
        </w:rPr>
        <w:t>, it would</w:t>
      </w:r>
      <w:r w:rsidRPr="00F70DEE">
        <w:rPr>
          <w:noProof/>
        </w:rPr>
        <w:t xml:space="preserve"> complement national</w:t>
      </w:r>
      <w:r w:rsidR="00475518" w:rsidRPr="00F70DEE">
        <w:rPr>
          <w:noProof/>
        </w:rPr>
        <w:t>, commercial</w:t>
      </w:r>
      <w:r w:rsidRPr="00F70DEE">
        <w:rPr>
          <w:noProof/>
        </w:rPr>
        <w:t xml:space="preserve"> and European satellite imagery infrastructure, for instance through new sensors, frequent revisit and advanced processing techniques</w:t>
      </w:r>
      <w:r w:rsidR="00475518" w:rsidRPr="00F70DEE">
        <w:rPr>
          <w:rStyle w:val="FootnoteReference"/>
          <w:noProof/>
        </w:rPr>
        <w:footnoteReference w:id="30"/>
      </w:r>
      <w:r w:rsidRPr="00F70DEE">
        <w:rPr>
          <w:noProof/>
        </w:rPr>
        <w:t xml:space="preserve">. </w:t>
      </w:r>
      <w:r w:rsidR="00935A3E" w:rsidRPr="00F70DEE">
        <w:rPr>
          <w:noProof/>
        </w:rPr>
        <w:t>The Commission will</w:t>
      </w:r>
      <w:r w:rsidR="00E24928" w:rsidRPr="00F70DEE">
        <w:rPr>
          <w:noProof/>
        </w:rPr>
        <w:t xml:space="preserve"> </w:t>
      </w:r>
      <w:r w:rsidR="004870BE">
        <w:rPr>
          <w:noProof/>
        </w:rPr>
        <w:t xml:space="preserve">gradually </w:t>
      </w:r>
      <w:r w:rsidR="00E24928" w:rsidRPr="00F70DEE">
        <w:rPr>
          <w:noProof/>
        </w:rPr>
        <w:t>implement</w:t>
      </w:r>
      <w:r w:rsidR="00935A3E" w:rsidRPr="00F70DEE">
        <w:rPr>
          <w:noProof/>
        </w:rPr>
        <w:t xml:space="preserve"> this evolution of Copernicus services</w:t>
      </w:r>
      <w:r w:rsidR="004F4787">
        <w:rPr>
          <w:noProof/>
        </w:rPr>
        <w:t xml:space="preserve">, starting with a pilot </w:t>
      </w:r>
      <w:r w:rsidR="00945B47">
        <w:rPr>
          <w:noProof/>
        </w:rPr>
        <w:t xml:space="preserve">in </w:t>
      </w:r>
      <w:r w:rsidR="004F4787">
        <w:rPr>
          <w:noProof/>
        </w:rPr>
        <w:t xml:space="preserve">the </w:t>
      </w:r>
      <w:r w:rsidR="00945B47">
        <w:rPr>
          <w:noProof/>
        </w:rPr>
        <w:t xml:space="preserve">current </w:t>
      </w:r>
      <w:r w:rsidR="004F4787">
        <w:rPr>
          <w:noProof/>
        </w:rPr>
        <w:t xml:space="preserve">Space </w:t>
      </w:r>
      <w:r w:rsidR="00945B47">
        <w:rPr>
          <w:noProof/>
        </w:rPr>
        <w:t>P</w:t>
      </w:r>
      <w:r w:rsidR="004F4787">
        <w:rPr>
          <w:noProof/>
        </w:rPr>
        <w:t>rogramme</w:t>
      </w:r>
      <w:r w:rsidR="00935A3E" w:rsidRPr="00F70DEE">
        <w:rPr>
          <w:noProof/>
        </w:rPr>
        <w:t xml:space="preserve">. </w:t>
      </w:r>
      <w:r w:rsidR="00E24928" w:rsidRPr="00F70DEE">
        <w:rPr>
          <w:noProof/>
        </w:rPr>
        <w:t xml:space="preserve"> </w:t>
      </w:r>
    </w:p>
    <w:p w14:paraId="254000EA" w14:textId="3672382E" w:rsidR="008C75D3" w:rsidRPr="00F70DEE" w:rsidRDefault="009A704D" w:rsidP="00A30E7A">
      <w:pPr>
        <w:shd w:val="clear" w:color="auto" w:fill="FFFFFF" w:themeFill="background1"/>
        <w:rPr>
          <w:noProof/>
        </w:rPr>
      </w:pPr>
      <w:r w:rsidRPr="00F70DEE">
        <w:rPr>
          <w:noProof/>
        </w:rPr>
        <w:t>Th</w:t>
      </w:r>
      <w:r w:rsidR="008C75D3" w:rsidRPr="00F70DEE">
        <w:rPr>
          <w:noProof/>
        </w:rPr>
        <w:t xml:space="preserve">e development of such service will leverage the complementarity of </w:t>
      </w:r>
      <w:r w:rsidR="00945B47">
        <w:rPr>
          <w:noProof/>
        </w:rPr>
        <w:t xml:space="preserve">the </w:t>
      </w:r>
      <w:r w:rsidR="008C75D3" w:rsidRPr="00F70DEE">
        <w:rPr>
          <w:noProof/>
        </w:rPr>
        <w:t>SatCen and EUSPA. Building on its expertise, EUSPA</w:t>
      </w:r>
      <w:r w:rsidR="00E37FEE" w:rsidRPr="00F70DEE">
        <w:rPr>
          <w:noProof/>
        </w:rPr>
        <w:t xml:space="preserve">, under the supervision of the Commission, </w:t>
      </w:r>
      <w:r w:rsidR="008C75D3" w:rsidRPr="00F70DEE">
        <w:rPr>
          <w:noProof/>
        </w:rPr>
        <w:t xml:space="preserve">will play a key role in the security accreditation, security monitoring and contract implementation of </w:t>
      </w:r>
      <w:r w:rsidR="00135D1E">
        <w:rPr>
          <w:noProof/>
        </w:rPr>
        <w:t xml:space="preserve">the </w:t>
      </w:r>
      <w:r w:rsidR="008C75D3" w:rsidRPr="00F70DEE">
        <w:rPr>
          <w:noProof/>
        </w:rPr>
        <w:t>future system</w:t>
      </w:r>
      <w:r w:rsidR="00945B47">
        <w:rPr>
          <w:noProof/>
        </w:rPr>
        <w:t>’s space segment</w:t>
      </w:r>
      <w:r w:rsidR="008C75D3" w:rsidRPr="00F70DEE">
        <w:rPr>
          <w:noProof/>
        </w:rPr>
        <w:t xml:space="preserve">. </w:t>
      </w:r>
      <w:r w:rsidR="00EB21F8" w:rsidRPr="00F70DEE">
        <w:rPr>
          <w:noProof/>
        </w:rPr>
        <w:t>T</w:t>
      </w:r>
      <w:r w:rsidR="008C75D3" w:rsidRPr="00F70DEE">
        <w:rPr>
          <w:noProof/>
        </w:rPr>
        <w:t xml:space="preserve">he SatCen will </w:t>
      </w:r>
      <w:r w:rsidR="00945B47">
        <w:rPr>
          <w:noProof/>
        </w:rPr>
        <w:t>play</w:t>
      </w:r>
      <w:r w:rsidR="00945B47" w:rsidRPr="00F70DEE">
        <w:rPr>
          <w:noProof/>
        </w:rPr>
        <w:t xml:space="preserve"> </w:t>
      </w:r>
      <w:r w:rsidR="008C75D3" w:rsidRPr="00F70DEE">
        <w:rPr>
          <w:noProof/>
        </w:rPr>
        <w:t xml:space="preserve">a key role in </w:t>
      </w:r>
      <w:r w:rsidR="00E37FEE" w:rsidRPr="00F70DEE">
        <w:rPr>
          <w:noProof/>
        </w:rPr>
        <w:t>contributing to the identification of user needs</w:t>
      </w:r>
      <w:r w:rsidR="000B44EB" w:rsidRPr="00F70DEE">
        <w:rPr>
          <w:noProof/>
        </w:rPr>
        <w:t xml:space="preserve"> </w:t>
      </w:r>
      <w:r w:rsidR="00E37FEE" w:rsidRPr="00F70DEE">
        <w:rPr>
          <w:noProof/>
        </w:rPr>
        <w:t xml:space="preserve">in geospatial intelligence and in </w:t>
      </w:r>
      <w:r w:rsidR="006F37A3">
        <w:rPr>
          <w:noProof/>
        </w:rPr>
        <w:t>disseminating</w:t>
      </w:r>
      <w:r w:rsidR="006F37A3" w:rsidRPr="00F70DEE">
        <w:rPr>
          <w:noProof/>
        </w:rPr>
        <w:t xml:space="preserve"> </w:t>
      </w:r>
      <w:r w:rsidR="00E37FEE" w:rsidRPr="00F70DEE">
        <w:rPr>
          <w:noProof/>
        </w:rPr>
        <w:t>sensitive products and services.</w:t>
      </w:r>
    </w:p>
    <w:p w14:paraId="236FD844" w14:textId="77777777" w:rsidR="008C75D3" w:rsidRPr="00F70DEE" w:rsidRDefault="008C75D3" w:rsidP="00415D95">
      <w:pPr>
        <w:keepNext/>
        <w:keepLines/>
        <w:numPr>
          <w:ilvl w:val="2"/>
          <w:numId w:val="3"/>
        </w:numPr>
        <w:spacing w:before="40"/>
        <w:outlineLvl w:val="1"/>
        <w:rPr>
          <w:rFonts w:cs="Times New Roman"/>
          <w:b/>
          <w:i/>
          <w:iCs/>
          <w:noProof/>
          <w:szCs w:val="24"/>
        </w:rPr>
      </w:pPr>
      <w:bookmarkStart w:id="823" w:name="_Toc121409659"/>
      <w:bookmarkStart w:id="824" w:name="_Toc123037735"/>
      <w:bookmarkStart w:id="825" w:name="_Toc123037968"/>
      <w:bookmarkStart w:id="826" w:name="_Toc125732837"/>
      <w:bookmarkEnd w:id="822"/>
      <w:r w:rsidRPr="00F70DEE">
        <w:rPr>
          <w:rFonts w:cs="Times New Roman"/>
          <w:b/>
          <w:i/>
          <w:iCs/>
          <w:noProof/>
          <w:szCs w:val="24"/>
        </w:rPr>
        <w:t>Secure Communication</w:t>
      </w:r>
      <w:bookmarkEnd w:id="823"/>
      <w:bookmarkEnd w:id="824"/>
      <w:bookmarkEnd w:id="825"/>
      <w:bookmarkEnd w:id="826"/>
    </w:p>
    <w:p w14:paraId="14C87894" w14:textId="6FE5D878" w:rsidR="008C75D3" w:rsidRPr="00F70DEE" w:rsidRDefault="008C75D3" w:rsidP="008C75D3">
      <w:pPr>
        <w:rPr>
          <w:rFonts w:cs="Times New Roman"/>
          <w:noProof/>
        </w:rPr>
      </w:pPr>
      <w:r w:rsidRPr="00F70DEE">
        <w:rPr>
          <w:rFonts w:cs="Times New Roman"/>
          <w:noProof/>
        </w:rPr>
        <w:t>Uninterrupted, worldwide access to secure and highly resilient communication</w:t>
      </w:r>
      <w:r w:rsidR="00701E75">
        <w:rPr>
          <w:rFonts w:cs="Times New Roman"/>
          <w:noProof/>
        </w:rPr>
        <w:t>s</w:t>
      </w:r>
      <w:r w:rsidRPr="00F70DEE">
        <w:rPr>
          <w:rFonts w:cs="Times New Roman"/>
          <w:noProof/>
        </w:rPr>
        <w:t xml:space="preserve"> can support defence and security missions and operations. In addition to regional </w:t>
      </w:r>
      <w:r w:rsidR="00EA2C46" w:rsidRPr="00F70DEE">
        <w:rPr>
          <w:rFonts w:cs="Times New Roman"/>
          <w:noProof/>
        </w:rPr>
        <w:t>g</w:t>
      </w:r>
      <w:r w:rsidRPr="00F70DEE">
        <w:rPr>
          <w:rFonts w:cs="Times New Roman"/>
          <w:noProof/>
        </w:rPr>
        <w:t>ovsatcom Member States’ assets, IRIS² will provide added value services such as anonymity of use, low latency and flexibility</w:t>
      </w:r>
      <w:r w:rsidR="004870BE">
        <w:rPr>
          <w:rFonts w:cs="Times New Roman"/>
          <w:noProof/>
        </w:rPr>
        <w:t>. Member States will have</w:t>
      </w:r>
      <w:r w:rsidRPr="00F70DEE">
        <w:rPr>
          <w:rFonts w:cs="Times New Roman"/>
          <w:noProof/>
        </w:rPr>
        <w:t xml:space="preserve"> effective control through mechanisms equivalent to those </w:t>
      </w:r>
      <w:r w:rsidR="00945B47">
        <w:rPr>
          <w:rFonts w:cs="Times New Roman"/>
          <w:noProof/>
        </w:rPr>
        <w:t>use</w:t>
      </w:r>
      <w:r w:rsidR="006F37A3">
        <w:rPr>
          <w:rFonts w:cs="Times New Roman"/>
          <w:noProof/>
        </w:rPr>
        <w:t>d</w:t>
      </w:r>
      <w:r w:rsidR="00945B47" w:rsidRPr="00F70DEE">
        <w:rPr>
          <w:rFonts w:cs="Times New Roman"/>
          <w:noProof/>
        </w:rPr>
        <w:t xml:space="preserve"> </w:t>
      </w:r>
      <w:r w:rsidRPr="00F70DEE">
        <w:rPr>
          <w:rFonts w:cs="Times New Roman"/>
          <w:noProof/>
        </w:rPr>
        <w:t>in Galileo</w:t>
      </w:r>
      <w:r w:rsidR="00E6342B">
        <w:rPr>
          <w:rFonts w:cs="Times New Roman"/>
          <w:noProof/>
        </w:rPr>
        <w:t xml:space="preserve"> PRS</w:t>
      </w:r>
      <w:r w:rsidRPr="00F70DEE">
        <w:rPr>
          <w:rFonts w:cs="Times New Roman"/>
          <w:noProof/>
        </w:rPr>
        <w:t>.</w:t>
      </w:r>
    </w:p>
    <w:p w14:paraId="69C6915E" w14:textId="14142EAC" w:rsidR="008C75D3" w:rsidRPr="005F39E1" w:rsidRDefault="008C75D3" w:rsidP="008C75D3">
      <w:pPr>
        <w:rPr>
          <w:rFonts w:cs="Times New Roman"/>
          <w:noProof/>
        </w:rPr>
      </w:pPr>
      <w:r w:rsidRPr="00F70DEE">
        <w:rPr>
          <w:rFonts w:cs="Times New Roman"/>
          <w:noProof/>
        </w:rPr>
        <w:t xml:space="preserve">IRIS² services will include space data relays able to interconnect </w:t>
      </w:r>
      <w:r w:rsidR="004870BE" w:rsidRPr="00F70DEE">
        <w:rPr>
          <w:rFonts w:cs="Times New Roman"/>
          <w:noProof/>
        </w:rPr>
        <w:t>Member States</w:t>
      </w:r>
      <w:r w:rsidR="004870BE">
        <w:rPr>
          <w:rFonts w:cs="Times New Roman"/>
          <w:noProof/>
        </w:rPr>
        <w:t>’</w:t>
      </w:r>
      <w:r w:rsidR="004870BE" w:rsidRPr="00F70DEE">
        <w:rPr>
          <w:rFonts w:cs="Times New Roman"/>
          <w:noProof/>
        </w:rPr>
        <w:t xml:space="preserve"> </w:t>
      </w:r>
      <w:r w:rsidRPr="00F70DEE">
        <w:rPr>
          <w:rFonts w:cs="Times New Roman"/>
          <w:noProof/>
        </w:rPr>
        <w:t>space capa</w:t>
      </w:r>
      <w:r w:rsidR="00870734" w:rsidRPr="00F70DEE">
        <w:rPr>
          <w:rFonts w:cs="Times New Roman"/>
          <w:noProof/>
        </w:rPr>
        <w:t>bilities</w:t>
      </w:r>
      <w:r w:rsidRPr="00F70DEE">
        <w:rPr>
          <w:rFonts w:cs="Times New Roman"/>
          <w:noProof/>
        </w:rPr>
        <w:t xml:space="preserve"> (including defence) permanently and securely. </w:t>
      </w:r>
      <w:r w:rsidR="00945B47">
        <w:rPr>
          <w:rFonts w:cs="Times New Roman"/>
          <w:noProof/>
        </w:rPr>
        <w:t>These services</w:t>
      </w:r>
      <w:r w:rsidRPr="00F70DEE">
        <w:rPr>
          <w:rFonts w:cs="Times New Roman"/>
          <w:noProof/>
        </w:rPr>
        <w:t xml:space="preserve"> can be used by space-based national or multinational defence capa</w:t>
      </w:r>
      <w:r w:rsidR="00870734" w:rsidRPr="00F70DEE">
        <w:rPr>
          <w:rFonts w:cs="Times New Roman"/>
          <w:noProof/>
        </w:rPr>
        <w:t>bilities</w:t>
      </w:r>
      <w:r w:rsidRPr="00F70DEE">
        <w:rPr>
          <w:rFonts w:cs="Times New Roman"/>
          <w:noProof/>
        </w:rPr>
        <w:t xml:space="preserve"> such as Earth Observation systems to improve their operational effectiveness. The Commission will </w:t>
      </w:r>
      <w:r w:rsidRPr="005F39E1">
        <w:rPr>
          <w:rFonts w:cs="Times New Roman"/>
          <w:noProof/>
        </w:rPr>
        <w:t xml:space="preserve">fully </w:t>
      </w:r>
      <w:r w:rsidRPr="005F39E1">
        <w:rPr>
          <w:noProof/>
        </w:rPr>
        <w:t xml:space="preserve">exploit upcoming </w:t>
      </w:r>
      <w:r w:rsidR="00945B47" w:rsidRPr="005F39E1">
        <w:rPr>
          <w:noProof/>
        </w:rPr>
        <w:t>low earth orbit (</w:t>
      </w:r>
      <w:r w:rsidRPr="005F39E1">
        <w:rPr>
          <w:noProof/>
        </w:rPr>
        <w:t>LEO</w:t>
      </w:r>
      <w:r w:rsidR="00945B47" w:rsidRPr="005F39E1">
        <w:rPr>
          <w:noProof/>
        </w:rPr>
        <w:t>)</w:t>
      </w:r>
      <w:r w:rsidRPr="005F39E1">
        <w:rPr>
          <w:noProof/>
        </w:rPr>
        <w:t xml:space="preserve"> constellations for new </w:t>
      </w:r>
      <w:r w:rsidR="00595FDF" w:rsidRPr="005F39E1">
        <w:rPr>
          <w:noProof/>
        </w:rPr>
        <w:t xml:space="preserve">capabilities, including augmented </w:t>
      </w:r>
      <w:r w:rsidRPr="005F39E1">
        <w:rPr>
          <w:noProof/>
        </w:rPr>
        <w:t xml:space="preserve">services that may be of use to the military by </w:t>
      </w:r>
      <w:r w:rsidR="00945B47" w:rsidRPr="005F39E1">
        <w:rPr>
          <w:noProof/>
        </w:rPr>
        <w:t xml:space="preserve">offering </w:t>
      </w:r>
      <w:r w:rsidRPr="005F39E1">
        <w:rPr>
          <w:rFonts w:cs="Times New Roman"/>
          <w:noProof/>
        </w:rPr>
        <w:t>piggybacking payloads</w:t>
      </w:r>
      <w:r w:rsidRPr="005F39E1">
        <w:rPr>
          <w:noProof/>
        </w:rPr>
        <w:t>.</w:t>
      </w:r>
      <w:r w:rsidR="001F648F" w:rsidRPr="005F39E1">
        <w:rPr>
          <w:noProof/>
        </w:rPr>
        <w:t xml:space="preserve"> The Commission will further explore </w:t>
      </w:r>
      <w:r w:rsidR="006F37A3" w:rsidRPr="005F39E1">
        <w:rPr>
          <w:noProof/>
        </w:rPr>
        <w:t xml:space="preserve">the extent to which </w:t>
      </w:r>
      <w:r w:rsidR="001F648F" w:rsidRPr="005F39E1">
        <w:rPr>
          <w:rFonts w:cs="Times New Roman"/>
          <w:noProof/>
        </w:rPr>
        <w:t>IRIS² can support the establishment of an EU critical communication</w:t>
      </w:r>
      <w:r w:rsidR="00135D1E" w:rsidRPr="005F39E1">
        <w:rPr>
          <w:rFonts w:cs="Times New Roman"/>
          <w:noProof/>
        </w:rPr>
        <w:t>s</w:t>
      </w:r>
      <w:r w:rsidR="001F648F" w:rsidRPr="005F39E1">
        <w:rPr>
          <w:rFonts w:cs="Times New Roman"/>
          <w:noProof/>
        </w:rPr>
        <w:t xml:space="preserve"> system</w:t>
      </w:r>
      <w:r w:rsidR="001F648F" w:rsidRPr="005F39E1">
        <w:rPr>
          <w:rStyle w:val="FootnoteReference"/>
          <w:rFonts w:cs="Times New Roman"/>
          <w:noProof/>
        </w:rPr>
        <w:footnoteReference w:id="31"/>
      </w:r>
      <w:r w:rsidR="006F37A3" w:rsidRPr="005F39E1">
        <w:rPr>
          <w:rFonts w:cs="Times New Roman"/>
          <w:noProof/>
        </w:rPr>
        <w:t>.</w:t>
      </w:r>
      <w:r w:rsidR="001F648F" w:rsidRPr="005F39E1">
        <w:rPr>
          <w:rFonts w:cs="Times New Roman"/>
          <w:noProof/>
        </w:rPr>
        <w:t xml:space="preserve"> </w:t>
      </w:r>
    </w:p>
    <w:p w14:paraId="01C3A78E" w14:textId="353D3568" w:rsidR="008C75D3" w:rsidRPr="00F70DEE" w:rsidRDefault="008C75D3" w:rsidP="008C75D3">
      <w:pPr>
        <w:rPr>
          <w:noProof/>
        </w:rPr>
      </w:pPr>
      <w:r w:rsidRPr="005F39E1">
        <w:rPr>
          <w:noProof/>
        </w:rPr>
        <w:t>The EDF supports the development of technological building blocks for resilient space</w:t>
      </w:r>
      <w:r w:rsidRPr="00F70DEE">
        <w:rPr>
          <w:noProof/>
        </w:rPr>
        <w:t>-based communication</w:t>
      </w:r>
      <w:r w:rsidR="00701E75">
        <w:rPr>
          <w:noProof/>
        </w:rPr>
        <w:t>s</w:t>
      </w:r>
      <w:r w:rsidRPr="00F70DEE">
        <w:rPr>
          <w:noProof/>
          <w:vertAlign w:val="superscript"/>
        </w:rPr>
        <w:footnoteReference w:id="32"/>
      </w:r>
      <w:r w:rsidRPr="00F70DEE">
        <w:rPr>
          <w:noProof/>
        </w:rPr>
        <w:t xml:space="preserve"> implementable through IRIS² and</w:t>
      </w:r>
      <w:r w:rsidR="00945B47">
        <w:rPr>
          <w:noProof/>
        </w:rPr>
        <w:t xml:space="preserve"> their </w:t>
      </w:r>
      <w:r w:rsidRPr="00F70DEE">
        <w:rPr>
          <w:noProof/>
        </w:rPr>
        <w:t>uptake by defence end-users</w:t>
      </w:r>
      <w:r w:rsidR="00135D1E">
        <w:rPr>
          <w:noProof/>
        </w:rPr>
        <w:t>,</w:t>
      </w:r>
      <w:r w:rsidRPr="00F70DEE">
        <w:rPr>
          <w:noProof/>
        </w:rPr>
        <w:t xml:space="preserve"> through actions targeting the user segment (e.g. standardi</w:t>
      </w:r>
      <w:r w:rsidR="00945B47">
        <w:rPr>
          <w:noProof/>
        </w:rPr>
        <w:t>sing</w:t>
      </w:r>
      <w:r w:rsidRPr="00F70DEE">
        <w:rPr>
          <w:noProof/>
        </w:rPr>
        <w:t xml:space="preserve"> of the interfaces to facilitate </w:t>
      </w:r>
      <w:r w:rsidR="00945B47">
        <w:rPr>
          <w:noProof/>
        </w:rPr>
        <w:t xml:space="preserve">their </w:t>
      </w:r>
      <w:r w:rsidRPr="00F70DEE">
        <w:rPr>
          <w:noProof/>
        </w:rPr>
        <w:t>integration in</w:t>
      </w:r>
      <w:r w:rsidR="00945B47">
        <w:rPr>
          <w:noProof/>
        </w:rPr>
        <w:t>to</w:t>
      </w:r>
      <w:r w:rsidRPr="00F70DEE">
        <w:rPr>
          <w:noProof/>
        </w:rPr>
        <w:t xml:space="preserve"> land, sea and air vehicles</w:t>
      </w:r>
      <w:r w:rsidRPr="00F70DEE">
        <w:rPr>
          <w:noProof/>
          <w:vertAlign w:val="superscript"/>
        </w:rPr>
        <w:footnoteReference w:id="33"/>
      </w:r>
      <w:r w:rsidRPr="00F70DEE">
        <w:rPr>
          <w:noProof/>
        </w:rPr>
        <w:t>).</w:t>
      </w:r>
    </w:p>
    <w:p w14:paraId="49FFB559" w14:textId="77777777" w:rsidR="008C75D3" w:rsidRPr="00F70DEE" w:rsidRDefault="008C75D3" w:rsidP="00415D95">
      <w:pPr>
        <w:keepNext/>
        <w:keepLines/>
        <w:numPr>
          <w:ilvl w:val="2"/>
          <w:numId w:val="3"/>
        </w:numPr>
        <w:spacing w:before="40"/>
        <w:outlineLvl w:val="1"/>
        <w:rPr>
          <w:rFonts w:cs="Times New Roman"/>
          <w:b/>
          <w:i/>
          <w:iCs/>
          <w:noProof/>
          <w:szCs w:val="24"/>
        </w:rPr>
      </w:pPr>
      <w:bookmarkStart w:id="827" w:name="_Toc121409660"/>
      <w:bookmarkStart w:id="828" w:name="_Toc123037736"/>
      <w:bookmarkStart w:id="829" w:name="_Toc123037969"/>
      <w:bookmarkStart w:id="830" w:name="_Toc125732838"/>
      <w:r w:rsidRPr="00F70DEE">
        <w:rPr>
          <w:rFonts w:cs="Times New Roman"/>
          <w:b/>
          <w:i/>
          <w:iCs/>
          <w:noProof/>
          <w:szCs w:val="24"/>
        </w:rPr>
        <w:t xml:space="preserve">Space Domain Awareness </w:t>
      </w:r>
      <w:bookmarkEnd w:id="827"/>
      <w:bookmarkEnd w:id="828"/>
      <w:bookmarkEnd w:id="829"/>
      <w:r w:rsidR="0013721E" w:rsidRPr="00F70DEE">
        <w:rPr>
          <w:rFonts w:cs="Times New Roman"/>
          <w:b/>
          <w:i/>
          <w:iCs/>
          <w:noProof/>
          <w:szCs w:val="24"/>
        </w:rPr>
        <w:t>and Space Surveillance and Tracking</w:t>
      </w:r>
      <w:bookmarkEnd w:id="830"/>
    </w:p>
    <w:p w14:paraId="71DCEB1A" w14:textId="543F13B0" w:rsidR="00ED1B5B" w:rsidRPr="00F70DEE" w:rsidRDefault="00ED1B5B" w:rsidP="00ED1B5B">
      <w:pPr>
        <w:rPr>
          <w:rFonts w:eastAsiaTheme="minorHAnsi"/>
          <w:noProof/>
        </w:rPr>
      </w:pPr>
      <w:r w:rsidRPr="00F70DEE">
        <w:rPr>
          <w:noProof/>
        </w:rPr>
        <w:t xml:space="preserve">The </w:t>
      </w:r>
      <w:r w:rsidR="00701E75" w:rsidRPr="00F70DEE">
        <w:rPr>
          <w:noProof/>
        </w:rPr>
        <w:t xml:space="preserve">synergies </w:t>
      </w:r>
      <w:r w:rsidRPr="00F70DEE">
        <w:rPr>
          <w:noProof/>
        </w:rPr>
        <w:t>between</w:t>
      </w:r>
      <w:r w:rsidR="00E6342B">
        <w:rPr>
          <w:noProof/>
        </w:rPr>
        <w:t xml:space="preserve"> </w:t>
      </w:r>
      <w:r w:rsidR="00E6342B" w:rsidRPr="00F70DEE">
        <w:rPr>
          <w:noProof/>
        </w:rPr>
        <w:t>S</w:t>
      </w:r>
      <w:r w:rsidR="00E6342B">
        <w:rPr>
          <w:noProof/>
        </w:rPr>
        <w:t xml:space="preserve">pace </w:t>
      </w:r>
      <w:r w:rsidR="00E6342B" w:rsidRPr="00F70DEE">
        <w:rPr>
          <w:noProof/>
        </w:rPr>
        <w:t>D</w:t>
      </w:r>
      <w:r w:rsidR="00E6342B">
        <w:rPr>
          <w:noProof/>
        </w:rPr>
        <w:t xml:space="preserve">omain </w:t>
      </w:r>
      <w:r w:rsidR="00E6342B" w:rsidRPr="00F70DEE">
        <w:rPr>
          <w:noProof/>
        </w:rPr>
        <w:t>A</w:t>
      </w:r>
      <w:r w:rsidR="00E6342B">
        <w:rPr>
          <w:noProof/>
        </w:rPr>
        <w:t>wareness (SDA)</w:t>
      </w:r>
      <w:r w:rsidR="00E6342B" w:rsidRPr="00F70DEE">
        <w:rPr>
          <w:noProof/>
        </w:rPr>
        <w:t xml:space="preserve"> </w:t>
      </w:r>
      <w:r w:rsidR="00E6342B">
        <w:rPr>
          <w:noProof/>
        </w:rPr>
        <w:t>and</w:t>
      </w:r>
      <w:r w:rsidRPr="00F70DEE">
        <w:rPr>
          <w:noProof/>
        </w:rPr>
        <w:t xml:space="preserve"> </w:t>
      </w:r>
      <w:r w:rsidR="00E6342B">
        <w:rPr>
          <w:noProof/>
        </w:rPr>
        <w:t xml:space="preserve">the already existing EU </w:t>
      </w:r>
      <w:r w:rsidR="00ED6B18" w:rsidRPr="00F70DEE">
        <w:rPr>
          <w:noProof/>
        </w:rPr>
        <w:t>Space Surveillance and Tracking (</w:t>
      </w:r>
      <w:r w:rsidRPr="00F70DEE">
        <w:rPr>
          <w:noProof/>
        </w:rPr>
        <w:t>SST</w:t>
      </w:r>
      <w:r w:rsidR="00ED6B18" w:rsidRPr="00F70DEE">
        <w:rPr>
          <w:noProof/>
        </w:rPr>
        <w:t>)</w:t>
      </w:r>
      <w:r w:rsidR="00E6342B">
        <w:rPr>
          <w:noProof/>
        </w:rPr>
        <w:t xml:space="preserve"> system</w:t>
      </w:r>
      <w:r w:rsidRPr="00F70DEE">
        <w:rPr>
          <w:noProof/>
        </w:rPr>
        <w:t xml:space="preserve"> are high</w:t>
      </w:r>
      <w:r w:rsidR="00E6342B">
        <w:rPr>
          <w:noProof/>
        </w:rPr>
        <w:t xml:space="preserve"> </w:t>
      </w:r>
      <w:r w:rsidR="00E6342B" w:rsidRPr="00F70DEE">
        <w:rPr>
          <w:noProof/>
        </w:rPr>
        <w:t>to detect</w:t>
      </w:r>
      <w:r w:rsidR="007F5CEC">
        <w:rPr>
          <w:noProof/>
        </w:rPr>
        <w:t xml:space="preserve"> space objects with dedicated sensors. </w:t>
      </w:r>
    </w:p>
    <w:p w14:paraId="455A5B93" w14:textId="12E3311D" w:rsidR="00ED1B5B" w:rsidRPr="00F70DEE" w:rsidRDefault="00ED1B5B" w:rsidP="00ED1B5B">
      <w:pPr>
        <w:rPr>
          <w:noProof/>
        </w:rPr>
      </w:pPr>
      <w:r w:rsidRPr="00F70DEE">
        <w:rPr>
          <w:noProof/>
        </w:rPr>
        <w:t xml:space="preserve">Increased performances for SST are required to </w:t>
      </w:r>
      <w:r w:rsidR="009932A8" w:rsidRPr="00F70DEE">
        <w:rPr>
          <w:noProof/>
        </w:rPr>
        <w:t>reinforce</w:t>
      </w:r>
      <w:r w:rsidRPr="00F70DEE">
        <w:rPr>
          <w:noProof/>
        </w:rPr>
        <w:t xml:space="preserve"> the precision of advanced collision avoidance manoeuvres</w:t>
      </w:r>
      <w:r w:rsidR="002846AC" w:rsidRPr="00F70DEE">
        <w:rPr>
          <w:noProof/>
        </w:rPr>
        <w:t xml:space="preserve"> and</w:t>
      </w:r>
      <w:r w:rsidR="00FF2DC9" w:rsidRPr="00F70DEE">
        <w:rPr>
          <w:noProof/>
        </w:rPr>
        <w:t xml:space="preserve"> </w:t>
      </w:r>
      <w:r w:rsidRPr="00F70DEE">
        <w:rPr>
          <w:noProof/>
        </w:rPr>
        <w:t>of fragmentation and re-entry analysis. Those Member States developing SDA</w:t>
      </w:r>
      <w:r w:rsidR="00264231" w:rsidRPr="00F70DEE">
        <w:rPr>
          <w:noProof/>
        </w:rPr>
        <w:t>, who are also</w:t>
      </w:r>
      <w:r w:rsidR="003350B5" w:rsidRPr="00F70DEE">
        <w:rPr>
          <w:noProof/>
        </w:rPr>
        <w:t xml:space="preserve"> </w:t>
      </w:r>
      <w:r w:rsidRPr="00F70DEE">
        <w:rPr>
          <w:noProof/>
        </w:rPr>
        <w:t>SST partners</w:t>
      </w:r>
      <w:r w:rsidR="00264231" w:rsidRPr="00F70DEE">
        <w:rPr>
          <w:noProof/>
        </w:rPr>
        <w:t>,</w:t>
      </w:r>
      <w:r w:rsidRPr="00F70DEE">
        <w:rPr>
          <w:noProof/>
        </w:rPr>
        <w:t xml:space="preserve"> will therefore benefit </w:t>
      </w:r>
      <w:r w:rsidR="00424D33" w:rsidRPr="00F70DEE">
        <w:rPr>
          <w:noProof/>
        </w:rPr>
        <w:t xml:space="preserve">from </w:t>
      </w:r>
      <w:r w:rsidRPr="00F70DEE">
        <w:rPr>
          <w:noProof/>
        </w:rPr>
        <w:t>more performant SST assets</w:t>
      </w:r>
      <w:r w:rsidR="00E6401E" w:rsidRPr="00F70DEE">
        <w:rPr>
          <w:noProof/>
        </w:rPr>
        <w:t>,</w:t>
      </w:r>
      <w:r w:rsidRPr="00F70DEE">
        <w:rPr>
          <w:noProof/>
        </w:rPr>
        <w:t xml:space="preserve"> including defence assets</w:t>
      </w:r>
      <w:r w:rsidR="00E45E83" w:rsidRPr="00F70DEE">
        <w:rPr>
          <w:noProof/>
        </w:rPr>
        <w:t>,</w:t>
      </w:r>
      <w:r w:rsidRPr="00F70DEE">
        <w:rPr>
          <w:noProof/>
        </w:rPr>
        <w:t xml:space="preserve"> to detect and track smaller and more agile spacecraft through the SST component of the EU Space Programme.</w:t>
      </w:r>
      <w:r w:rsidR="00E6342B">
        <w:rPr>
          <w:noProof/>
        </w:rPr>
        <w:t xml:space="preserve"> </w:t>
      </w:r>
      <w:r w:rsidRPr="00F70DEE">
        <w:rPr>
          <w:noProof/>
        </w:rPr>
        <w:t>Additional sensors and analysis capabilities for defence and intelligence will be needed to support SDA.</w:t>
      </w:r>
    </w:p>
    <w:p w14:paraId="3677ED78" w14:textId="77777777" w:rsidR="00D058A8" w:rsidRPr="00F70DEE" w:rsidRDefault="00ED1B5B" w:rsidP="00ED1B5B">
      <w:pPr>
        <w:rPr>
          <w:noProof/>
        </w:rPr>
      </w:pPr>
      <w:r w:rsidRPr="00F70DEE">
        <w:rPr>
          <w:noProof/>
        </w:rPr>
        <w:t xml:space="preserve">EU budget </w:t>
      </w:r>
      <w:r w:rsidR="00773696" w:rsidRPr="00F70DEE">
        <w:rPr>
          <w:noProof/>
        </w:rPr>
        <w:t xml:space="preserve">could support </w:t>
      </w:r>
      <w:r w:rsidR="00D058A8" w:rsidRPr="00F70DEE">
        <w:rPr>
          <w:noProof/>
        </w:rPr>
        <w:t xml:space="preserve">Member States in </w:t>
      </w:r>
      <w:r w:rsidRPr="00F70DEE">
        <w:rPr>
          <w:noProof/>
        </w:rPr>
        <w:t xml:space="preserve">the development of SDA sensors and capabilities </w:t>
      </w:r>
      <w:r w:rsidR="00D058A8" w:rsidRPr="00F70DEE">
        <w:rPr>
          <w:noProof/>
        </w:rPr>
        <w:t>provided that:</w:t>
      </w:r>
    </w:p>
    <w:p w14:paraId="31DDF0FB" w14:textId="57023DEE" w:rsidR="00D058A8" w:rsidRPr="00F70DEE" w:rsidRDefault="00ED1B5B" w:rsidP="00D058A8">
      <w:pPr>
        <w:pStyle w:val="Bulletnormakl"/>
        <w:rPr>
          <w:noProof/>
        </w:rPr>
      </w:pPr>
      <w:r w:rsidRPr="00F70DEE">
        <w:rPr>
          <w:noProof/>
        </w:rPr>
        <w:t>complementar</w:t>
      </w:r>
      <w:r w:rsidR="00773696" w:rsidRPr="00F70DEE">
        <w:rPr>
          <w:noProof/>
        </w:rPr>
        <w:t>it</w:t>
      </w:r>
      <w:r w:rsidRPr="00F70DEE">
        <w:rPr>
          <w:noProof/>
        </w:rPr>
        <w:t>y</w:t>
      </w:r>
      <w:r w:rsidR="00773696" w:rsidRPr="00F70DEE">
        <w:rPr>
          <w:noProof/>
        </w:rPr>
        <w:t xml:space="preserve"> with</w:t>
      </w:r>
      <w:r w:rsidRPr="00F70DEE">
        <w:rPr>
          <w:noProof/>
        </w:rPr>
        <w:t xml:space="preserve"> </w:t>
      </w:r>
      <w:r w:rsidR="00905BD5">
        <w:rPr>
          <w:noProof/>
        </w:rPr>
        <w:t xml:space="preserve">the </w:t>
      </w:r>
      <w:r w:rsidRPr="00F70DEE">
        <w:rPr>
          <w:noProof/>
        </w:rPr>
        <w:t xml:space="preserve">existing mechanism supporting SST </w:t>
      </w:r>
      <w:r w:rsidR="00773696" w:rsidRPr="00F70DEE">
        <w:rPr>
          <w:noProof/>
        </w:rPr>
        <w:t>is ensure</w:t>
      </w:r>
      <w:r w:rsidR="00D058A8" w:rsidRPr="00F70DEE">
        <w:rPr>
          <w:noProof/>
        </w:rPr>
        <w:t>d</w:t>
      </w:r>
      <w:r w:rsidR="00773696" w:rsidRPr="00F70DEE">
        <w:rPr>
          <w:noProof/>
        </w:rPr>
        <w:t xml:space="preserve">, </w:t>
      </w:r>
      <w:r w:rsidR="00483F5D">
        <w:rPr>
          <w:noProof/>
        </w:rPr>
        <w:t>and</w:t>
      </w:r>
    </w:p>
    <w:p w14:paraId="2A72A59A" w14:textId="77777777" w:rsidR="00ED1B5B" w:rsidRPr="00F70DEE" w:rsidRDefault="00ED1B5B" w:rsidP="00F70DEE">
      <w:pPr>
        <w:pStyle w:val="Bulletnormakl"/>
        <w:rPr>
          <w:noProof/>
        </w:rPr>
      </w:pPr>
      <w:r w:rsidRPr="00F70DEE">
        <w:rPr>
          <w:noProof/>
        </w:rPr>
        <w:t xml:space="preserve">the necessary flow of SDA information and services </w:t>
      </w:r>
      <w:r w:rsidR="00D058A8" w:rsidRPr="00F70DEE">
        <w:rPr>
          <w:noProof/>
        </w:rPr>
        <w:t>is made available to</w:t>
      </w:r>
      <w:r w:rsidRPr="00F70DEE">
        <w:rPr>
          <w:noProof/>
        </w:rPr>
        <w:t xml:space="preserve"> support</w:t>
      </w:r>
      <w:r w:rsidR="00E6401E" w:rsidRPr="00F70DEE">
        <w:rPr>
          <w:noProof/>
        </w:rPr>
        <w:t xml:space="preserve"> </w:t>
      </w:r>
      <w:r w:rsidRPr="00F70DEE">
        <w:rPr>
          <w:noProof/>
        </w:rPr>
        <w:t>the EU Space Threat Response, including to protect EU satellites.</w:t>
      </w:r>
    </w:p>
    <w:p w14:paraId="0B47C550" w14:textId="77777777" w:rsidR="00ED1B5B" w:rsidRPr="00F70DEE" w:rsidDel="00E6401E" w:rsidRDefault="00ED1B5B" w:rsidP="00ED1B5B">
      <w:pPr>
        <w:rPr>
          <w:noProof/>
        </w:rPr>
      </w:pPr>
      <w:r w:rsidRPr="00F70DEE" w:rsidDel="00E6401E">
        <w:rPr>
          <w:noProof/>
        </w:rPr>
        <w:t>SST partners benefit</w:t>
      </w:r>
      <w:r w:rsidR="00990765">
        <w:rPr>
          <w:noProof/>
        </w:rPr>
        <w:t>ting</w:t>
      </w:r>
      <w:r w:rsidR="003350B5" w:rsidRPr="00F70DEE">
        <w:rPr>
          <w:noProof/>
        </w:rPr>
        <w:t xml:space="preserve"> </w:t>
      </w:r>
      <w:r w:rsidRPr="00F70DEE" w:rsidDel="00E6401E">
        <w:rPr>
          <w:noProof/>
        </w:rPr>
        <w:t xml:space="preserve">from SDA support would </w:t>
      </w:r>
      <w:r w:rsidR="00990765">
        <w:rPr>
          <w:noProof/>
        </w:rPr>
        <w:t>in turn</w:t>
      </w:r>
      <w:r w:rsidRPr="00F70DEE" w:rsidDel="00E6401E">
        <w:rPr>
          <w:noProof/>
        </w:rPr>
        <w:t xml:space="preserve"> help improv</w:t>
      </w:r>
      <w:r w:rsidR="00990765">
        <w:rPr>
          <w:noProof/>
        </w:rPr>
        <w:t>ing</w:t>
      </w:r>
      <w:r w:rsidRPr="00F70DEE" w:rsidDel="00E6401E">
        <w:rPr>
          <w:noProof/>
        </w:rPr>
        <w:t xml:space="preserve"> SST by </w:t>
      </w:r>
      <w:r w:rsidR="00D86C99">
        <w:rPr>
          <w:noProof/>
        </w:rPr>
        <w:t>improving</w:t>
      </w:r>
      <w:r w:rsidR="00D86C99" w:rsidRPr="00F70DEE" w:rsidDel="00E6401E">
        <w:rPr>
          <w:noProof/>
        </w:rPr>
        <w:t xml:space="preserve"> </w:t>
      </w:r>
      <w:r w:rsidRPr="00F70DEE" w:rsidDel="00E6401E">
        <w:rPr>
          <w:noProof/>
        </w:rPr>
        <w:t>the identification of spacecraft</w:t>
      </w:r>
      <w:r w:rsidR="008E27A4" w:rsidRPr="00F70DEE">
        <w:rPr>
          <w:noProof/>
        </w:rPr>
        <w:t>,</w:t>
      </w:r>
      <w:r w:rsidRPr="00F70DEE" w:rsidDel="00E6401E">
        <w:rPr>
          <w:noProof/>
        </w:rPr>
        <w:t xml:space="preserve"> </w:t>
      </w:r>
      <w:r w:rsidR="00D86C99">
        <w:rPr>
          <w:noProof/>
        </w:rPr>
        <w:t>thereby</w:t>
      </w:r>
      <w:r w:rsidRPr="00F70DEE" w:rsidDel="00E6401E">
        <w:rPr>
          <w:noProof/>
        </w:rPr>
        <w:t xml:space="preserve"> contribut</w:t>
      </w:r>
      <w:r w:rsidR="00990765">
        <w:rPr>
          <w:noProof/>
        </w:rPr>
        <w:t>ing</w:t>
      </w:r>
      <w:r w:rsidRPr="00F70DEE" w:rsidDel="00E6401E">
        <w:rPr>
          <w:noProof/>
        </w:rPr>
        <w:t xml:space="preserve"> to an autonomous EU catalogue of </w:t>
      </w:r>
      <w:r w:rsidR="00D86C99">
        <w:rPr>
          <w:noProof/>
        </w:rPr>
        <w:t>s</w:t>
      </w:r>
      <w:r w:rsidRPr="00F70DEE" w:rsidDel="00E6401E">
        <w:rPr>
          <w:noProof/>
        </w:rPr>
        <w:t xml:space="preserve">pace </w:t>
      </w:r>
      <w:r w:rsidR="00D86C99">
        <w:rPr>
          <w:noProof/>
        </w:rPr>
        <w:t>o</w:t>
      </w:r>
      <w:r w:rsidRPr="00F70DEE" w:rsidDel="00E6401E">
        <w:rPr>
          <w:noProof/>
        </w:rPr>
        <w:t>bjects</w:t>
      </w:r>
      <w:r w:rsidRPr="00F70DEE">
        <w:rPr>
          <w:noProof/>
        </w:rPr>
        <w:t>, an objective of the EU Space Programme</w:t>
      </w:r>
      <w:r w:rsidRPr="00F70DEE" w:rsidDel="00E6401E">
        <w:rPr>
          <w:noProof/>
        </w:rPr>
        <w:t>.</w:t>
      </w:r>
    </w:p>
    <w:p w14:paraId="5B6942A9" w14:textId="77777777" w:rsidR="008C75D3" w:rsidRPr="00F70DEE" w:rsidRDefault="008C75D3" w:rsidP="00415D95">
      <w:pPr>
        <w:keepNext/>
        <w:keepLines/>
        <w:numPr>
          <w:ilvl w:val="1"/>
          <w:numId w:val="3"/>
        </w:numPr>
        <w:spacing w:before="40"/>
        <w:ind w:left="576" w:hanging="576"/>
        <w:outlineLvl w:val="1"/>
        <w:rPr>
          <w:rFonts w:cs="Times New Roman"/>
          <w:b/>
          <w:noProof/>
          <w:szCs w:val="24"/>
        </w:rPr>
      </w:pPr>
      <w:bookmarkStart w:id="831" w:name="_Toc121087836"/>
      <w:bookmarkStart w:id="832" w:name="_Toc121409661"/>
      <w:bookmarkStart w:id="833" w:name="_Toc125732839"/>
      <w:r w:rsidRPr="00F70DEE">
        <w:rPr>
          <w:rFonts w:cs="Times New Roman"/>
          <w:b/>
          <w:noProof/>
          <w:szCs w:val="24"/>
        </w:rPr>
        <w:t>Fostering innovation and competitiveness</w:t>
      </w:r>
      <w:bookmarkEnd w:id="831"/>
      <w:bookmarkEnd w:id="832"/>
      <w:bookmarkEnd w:id="833"/>
    </w:p>
    <w:p w14:paraId="702F3ADD" w14:textId="77777777" w:rsidR="008C75D3" w:rsidRPr="00F70DEE" w:rsidRDefault="008C75D3" w:rsidP="008C75D3">
      <w:pPr>
        <w:rPr>
          <w:rFonts w:cs="Times New Roman"/>
          <w:noProof/>
        </w:rPr>
      </w:pPr>
      <w:r w:rsidRPr="00F70DEE">
        <w:rPr>
          <w:rFonts w:cs="Times New Roman"/>
          <w:noProof/>
        </w:rPr>
        <w:t>Beside large industrial players, New</w:t>
      </w:r>
      <w:r w:rsidR="00103D29">
        <w:rPr>
          <w:rFonts w:cs="Times New Roman"/>
          <w:noProof/>
        </w:rPr>
        <w:t xml:space="preserve"> </w:t>
      </w:r>
      <w:r w:rsidRPr="00F70DEE">
        <w:rPr>
          <w:rFonts w:cs="Times New Roman"/>
          <w:noProof/>
        </w:rPr>
        <w:t>Space play</w:t>
      </w:r>
      <w:r w:rsidR="00EA2C46" w:rsidRPr="00F70DEE">
        <w:rPr>
          <w:rFonts w:cs="Times New Roman"/>
          <w:noProof/>
        </w:rPr>
        <w:t>s</w:t>
      </w:r>
      <w:r w:rsidRPr="00F70DEE">
        <w:rPr>
          <w:rFonts w:cs="Times New Roman"/>
          <w:noProof/>
        </w:rPr>
        <w:t xml:space="preserve"> an increasing role in service-delivery, including for security and defence. </w:t>
      </w:r>
      <w:r w:rsidR="00EA2C46" w:rsidRPr="00F70DEE">
        <w:rPr>
          <w:rFonts w:cs="Times New Roman"/>
          <w:noProof/>
        </w:rPr>
        <w:t>It</w:t>
      </w:r>
      <w:r w:rsidRPr="00F70DEE">
        <w:rPr>
          <w:rFonts w:cs="Times New Roman"/>
          <w:noProof/>
        </w:rPr>
        <w:t xml:space="preserve"> can </w:t>
      </w:r>
      <w:r w:rsidR="00CF781B" w:rsidRPr="00F70DEE">
        <w:rPr>
          <w:rFonts w:cs="Times New Roman"/>
          <w:noProof/>
        </w:rPr>
        <w:t>propose</w:t>
      </w:r>
      <w:r w:rsidRPr="00F70DEE">
        <w:rPr>
          <w:rFonts w:cs="Times New Roman"/>
          <w:noProof/>
        </w:rPr>
        <w:t xml:space="preserve"> new ideas, solutions, disruptive technologies and efficient industrial processes, </w:t>
      </w:r>
      <w:r w:rsidR="00990765">
        <w:rPr>
          <w:rFonts w:cs="Times New Roman"/>
          <w:noProof/>
        </w:rPr>
        <w:t xml:space="preserve">which can </w:t>
      </w:r>
      <w:r w:rsidRPr="00F70DEE">
        <w:rPr>
          <w:rFonts w:cs="Times New Roman"/>
          <w:noProof/>
        </w:rPr>
        <w:t xml:space="preserve">also support security and defence. Member States </w:t>
      </w:r>
      <w:r w:rsidR="00EA5569" w:rsidRPr="00F70DEE">
        <w:rPr>
          <w:rFonts w:cs="Times New Roman"/>
          <w:noProof/>
        </w:rPr>
        <w:t xml:space="preserve">increasingly </w:t>
      </w:r>
      <w:r w:rsidRPr="00F70DEE">
        <w:rPr>
          <w:rFonts w:cs="Times New Roman"/>
          <w:noProof/>
        </w:rPr>
        <w:t>rely on commercial services to complement national assets, test new capa</w:t>
      </w:r>
      <w:r w:rsidR="00870734" w:rsidRPr="00F70DEE">
        <w:rPr>
          <w:rFonts w:cs="Times New Roman"/>
          <w:noProof/>
        </w:rPr>
        <w:t>bilities</w:t>
      </w:r>
      <w:r w:rsidR="00FF2DC9" w:rsidRPr="00F70DEE">
        <w:rPr>
          <w:rFonts w:cs="Times New Roman"/>
          <w:noProof/>
        </w:rPr>
        <w:t>,</w:t>
      </w:r>
      <w:r w:rsidRPr="00F70DEE">
        <w:rPr>
          <w:rFonts w:cs="Times New Roman"/>
          <w:noProof/>
        </w:rPr>
        <w:t xml:space="preserve"> or develop public assets.</w:t>
      </w:r>
    </w:p>
    <w:p w14:paraId="5EF21895" w14:textId="77777777" w:rsidR="008C75D3" w:rsidRPr="00F70DEE" w:rsidRDefault="008C75D3" w:rsidP="008C75D3">
      <w:pPr>
        <w:rPr>
          <w:rFonts w:cs="Times New Roman"/>
          <w:noProof/>
        </w:rPr>
      </w:pPr>
      <w:r w:rsidRPr="00F70DEE">
        <w:rPr>
          <w:rFonts w:cs="Times New Roman"/>
          <w:noProof/>
        </w:rPr>
        <w:t xml:space="preserve">A competitive industry is </w:t>
      </w:r>
      <w:r w:rsidR="00514858" w:rsidRPr="00F70DEE">
        <w:rPr>
          <w:rFonts w:cs="Times New Roman"/>
          <w:noProof/>
        </w:rPr>
        <w:t>essential</w:t>
      </w:r>
      <w:r w:rsidRPr="00F70DEE">
        <w:rPr>
          <w:rFonts w:cs="Times New Roman"/>
          <w:noProof/>
        </w:rPr>
        <w:t xml:space="preserve"> </w:t>
      </w:r>
      <w:r w:rsidR="00D86C99">
        <w:rPr>
          <w:rFonts w:cs="Times New Roman"/>
          <w:noProof/>
        </w:rPr>
        <w:t>for strengthening</w:t>
      </w:r>
      <w:r w:rsidRPr="00F70DEE">
        <w:rPr>
          <w:rFonts w:cs="Times New Roman"/>
          <w:noProof/>
        </w:rPr>
        <w:t xml:space="preserve"> </w:t>
      </w:r>
      <w:r w:rsidR="00990765">
        <w:rPr>
          <w:rFonts w:cs="Times New Roman"/>
          <w:noProof/>
        </w:rPr>
        <w:t xml:space="preserve">the </w:t>
      </w:r>
      <w:r w:rsidRPr="00F70DEE">
        <w:rPr>
          <w:rFonts w:cs="Times New Roman"/>
          <w:noProof/>
        </w:rPr>
        <w:t xml:space="preserve">EU’s resilience and capabilities. </w:t>
      </w:r>
      <w:r w:rsidR="004777A2" w:rsidRPr="00F70DEE">
        <w:rPr>
          <w:rFonts w:cs="Times New Roman"/>
          <w:noProof/>
        </w:rPr>
        <w:t xml:space="preserve">The Commission will stimulate </w:t>
      </w:r>
      <w:r w:rsidRPr="00F70DEE">
        <w:rPr>
          <w:rFonts w:cs="Times New Roman"/>
          <w:noProof/>
        </w:rPr>
        <w:t>New</w:t>
      </w:r>
      <w:r w:rsidR="00103D29">
        <w:rPr>
          <w:rFonts w:cs="Times New Roman"/>
          <w:noProof/>
        </w:rPr>
        <w:t xml:space="preserve"> </w:t>
      </w:r>
      <w:r w:rsidRPr="00F70DEE">
        <w:rPr>
          <w:rFonts w:cs="Times New Roman"/>
          <w:noProof/>
        </w:rPr>
        <w:t xml:space="preserve">Space to scale up in </w:t>
      </w:r>
      <w:r w:rsidR="004777A2" w:rsidRPr="00F70DEE">
        <w:rPr>
          <w:rFonts w:cs="Times New Roman"/>
          <w:noProof/>
        </w:rPr>
        <w:t xml:space="preserve">the </w:t>
      </w:r>
      <w:r w:rsidRPr="00F70DEE">
        <w:rPr>
          <w:rFonts w:cs="Times New Roman"/>
          <w:noProof/>
        </w:rPr>
        <w:t>E</w:t>
      </w:r>
      <w:r w:rsidR="004777A2" w:rsidRPr="00F70DEE">
        <w:rPr>
          <w:rFonts w:cs="Times New Roman"/>
          <w:noProof/>
        </w:rPr>
        <w:t>U</w:t>
      </w:r>
      <w:r w:rsidRPr="00F70DEE">
        <w:rPr>
          <w:rFonts w:cs="Times New Roman"/>
          <w:noProof/>
        </w:rPr>
        <w:t xml:space="preserve"> with the support of the CASSINI programme</w:t>
      </w:r>
      <w:r w:rsidR="004777A2" w:rsidRPr="00F70DEE">
        <w:rPr>
          <w:rStyle w:val="FootnoteReference"/>
          <w:rFonts w:cs="Times New Roman"/>
          <w:noProof/>
        </w:rPr>
        <w:footnoteReference w:id="34"/>
      </w:r>
      <w:r w:rsidR="00C93082" w:rsidRPr="00F70DEE">
        <w:rPr>
          <w:rFonts w:cs="Times New Roman"/>
          <w:noProof/>
        </w:rPr>
        <w:t>. This will</w:t>
      </w:r>
      <w:r w:rsidRPr="00F70DEE">
        <w:rPr>
          <w:rFonts w:cs="Times New Roman"/>
          <w:noProof/>
        </w:rPr>
        <w:t xml:space="preserve"> includ</w:t>
      </w:r>
      <w:r w:rsidR="00C93082" w:rsidRPr="00F70DEE">
        <w:rPr>
          <w:rFonts w:cs="Times New Roman"/>
          <w:noProof/>
        </w:rPr>
        <w:t xml:space="preserve">e </w:t>
      </w:r>
      <w:r w:rsidRPr="00F70DEE">
        <w:rPr>
          <w:rFonts w:cs="Times New Roman"/>
          <w:noProof/>
        </w:rPr>
        <w:t>a more systematic development of anchor-customer contract</w:t>
      </w:r>
      <w:r w:rsidR="00C93082" w:rsidRPr="00F70DEE">
        <w:rPr>
          <w:rFonts w:cs="Times New Roman"/>
          <w:noProof/>
        </w:rPr>
        <w:t>s</w:t>
      </w:r>
      <w:r w:rsidRPr="00F70DEE">
        <w:rPr>
          <w:rFonts w:cs="Times New Roman"/>
          <w:noProof/>
        </w:rPr>
        <w:t>, further mobilisation of grants-loans-equit</w:t>
      </w:r>
      <w:r w:rsidR="00990765">
        <w:rPr>
          <w:rFonts w:cs="Times New Roman"/>
          <w:noProof/>
        </w:rPr>
        <w:t>y</w:t>
      </w:r>
      <w:r w:rsidRPr="00F70DEE">
        <w:rPr>
          <w:rFonts w:cs="Times New Roman"/>
          <w:noProof/>
        </w:rPr>
        <w:t xml:space="preserve"> with the support of the European Innovation Council, the European Investment Bank</w:t>
      </w:r>
      <w:r w:rsidR="006259FE" w:rsidRPr="00F70DEE">
        <w:rPr>
          <w:rFonts w:cs="Times New Roman"/>
          <w:noProof/>
        </w:rPr>
        <w:t>,</w:t>
      </w:r>
      <w:r w:rsidRPr="00F70DEE">
        <w:rPr>
          <w:rFonts w:cs="Times New Roman"/>
          <w:noProof/>
        </w:rPr>
        <w:t xml:space="preserve"> the European Investment Fund</w:t>
      </w:r>
      <w:r w:rsidR="006259FE" w:rsidRPr="00F70DEE">
        <w:rPr>
          <w:rFonts w:cs="Times New Roman"/>
          <w:noProof/>
        </w:rPr>
        <w:t>,</w:t>
      </w:r>
      <w:r w:rsidR="00540062" w:rsidRPr="00F70DEE">
        <w:rPr>
          <w:rFonts w:cs="Times New Roman"/>
          <w:noProof/>
        </w:rPr>
        <w:t xml:space="preserve"> </w:t>
      </w:r>
      <w:r w:rsidR="00ED412B" w:rsidRPr="00F70DEE">
        <w:rPr>
          <w:noProof/>
        </w:rPr>
        <w:t>synergies with the EU Defence Innovation Scheme</w:t>
      </w:r>
      <w:r w:rsidR="00C93082" w:rsidRPr="00F70DEE">
        <w:rPr>
          <w:noProof/>
        </w:rPr>
        <w:t>,</w:t>
      </w:r>
      <w:r w:rsidR="00ED412B" w:rsidRPr="00F70DEE">
        <w:rPr>
          <w:rFonts w:cs="Times New Roman"/>
          <w:noProof/>
        </w:rPr>
        <w:t xml:space="preserve"> </w:t>
      </w:r>
      <w:r w:rsidRPr="00F70DEE">
        <w:rPr>
          <w:rFonts w:cs="Times New Roman"/>
          <w:noProof/>
        </w:rPr>
        <w:t>and the organisation of space/defence hackathons and challenges on a yearly basis.</w:t>
      </w:r>
    </w:p>
    <w:p w14:paraId="08A60657" w14:textId="22BC3D4C" w:rsidR="008C75D3" w:rsidRPr="00F70DEE" w:rsidRDefault="000D1260" w:rsidP="008C75D3">
      <w:pPr>
        <w:rPr>
          <w:rFonts w:cs="Times New Roman"/>
          <w:noProof/>
        </w:rPr>
      </w:pPr>
      <w:r w:rsidRPr="00F70DEE">
        <w:rPr>
          <w:rFonts w:cs="Times New Roman"/>
          <w:noProof/>
        </w:rPr>
        <w:t>T</w:t>
      </w:r>
      <w:r w:rsidR="008C75D3" w:rsidRPr="00F70DEE">
        <w:rPr>
          <w:rFonts w:cs="Times New Roman"/>
          <w:noProof/>
        </w:rPr>
        <w:t xml:space="preserve">he Commission will incentivise more collaborative work </w:t>
      </w:r>
      <w:r w:rsidR="008C75D3" w:rsidRPr="005F39E1">
        <w:rPr>
          <w:rFonts w:cs="Times New Roman"/>
          <w:noProof/>
        </w:rPr>
        <w:t>between space</w:t>
      </w:r>
      <w:r w:rsidR="001F648F" w:rsidRPr="005F39E1">
        <w:rPr>
          <w:rFonts w:cs="Times New Roman"/>
          <w:noProof/>
        </w:rPr>
        <w:t>, security</w:t>
      </w:r>
      <w:r w:rsidR="008C75D3" w:rsidRPr="005F39E1">
        <w:rPr>
          <w:rFonts w:cs="Times New Roman"/>
          <w:noProof/>
        </w:rPr>
        <w:t xml:space="preserve"> and defence start-ups in the areas of </w:t>
      </w:r>
      <w:r w:rsidR="00D86C99" w:rsidRPr="005F39E1">
        <w:rPr>
          <w:rFonts w:cs="Times New Roman"/>
          <w:noProof/>
        </w:rPr>
        <w:t>research and development</w:t>
      </w:r>
      <w:r w:rsidR="008C75D3" w:rsidRPr="005F39E1">
        <w:rPr>
          <w:rFonts w:cs="Times New Roman"/>
          <w:noProof/>
        </w:rPr>
        <w:t xml:space="preserve">. </w:t>
      </w:r>
      <w:r w:rsidR="008F024C" w:rsidRPr="005F39E1">
        <w:rPr>
          <w:rFonts w:cs="Times New Roman"/>
          <w:noProof/>
        </w:rPr>
        <w:t xml:space="preserve">Technologies developed with the </w:t>
      </w:r>
      <w:r w:rsidR="00AF4327" w:rsidRPr="005F39E1">
        <w:rPr>
          <w:rFonts w:cs="Times New Roman"/>
          <w:noProof/>
        </w:rPr>
        <w:t xml:space="preserve">support </w:t>
      </w:r>
      <w:r w:rsidR="008F024C" w:rsidRPr="005F39E1">
        <w:rPr>
          <w:rFonts w:cs="Times New Roman"/>
          <w:noProof/>
        </w:rPr>
        <w:t>of</w:t>
      </w:r>
      <w:r w:rsidR="008C75D3" w:rsidRPr="005F39E1">
        <w:rPr>
          <w:rFonts w:cs="Times New Roman"/>
          <w:noProof/>
        </w:rPr>
        <w:t xml:space="preserve"> Horizon Europe</w:t>
      </w:r>
      <w:r w:rsidR="008F024C" w:rsidRPr="005F39E1">
        <w:rPr>
          <w:rFonts w:cs="Times New Roman"/>
          <w:noProof/>
        </w:rPr>
        <w:t>, for example</w:t>
      </w:r>
      <w:r w:rsidR="008C75D3" w:rsidRPr="005F39E1">
        <w:rPr>
          <w:rFonts w:cs="Times New Roman"/>
          <w:noProof/>
        </w:rPr>
        <w:t xml:space="preserve"> </w:t>
      </w:r>
      <w:r w:rsidR="008F024C" w:rsidRPr="005F39E1">
        <w:rPr>
          <w:rFonts w:cs="Times New Roman"/>
          <w:noProof/>
        </w:rPr>
        <w:t>for</w:t>
      </w:r>
      <w:r w:rsidR="00862F0A" w:rsidRPr="005F39E1">
        <w:rPr>
          <w:rFonts w:cs="Times New Roman"/>
          <w:noProof/>
        </w:rPr>
        <w:t xml:space="preserve"> </w:t>
      </w:r>
      <w:r w:rsidR="008C75D3" w:rsidRPr="005F39E1">
        <w:rPr>
          <w:rFonts w:cs="Times New Roman"/>
          <w:noProof/>
        </w:rPr>
        <w:t>the development of Quantum</w:t>
      </w:r>
      <w:r w:rsidR="008C75D3" w:rsidRPr="00F70DEE">
        <w:rPr>
          <w:rFonts w:cs="Times New Roman"/>
          <w:noProof/>
        </w:rPr>
        <w:t xml:space="preserve"> Space Gravimetry, On-Orbit-services or access to space</w:t>
      </w:r>
      <w:r w:rsidR="00905BD5">
        <w:rPr>
          <w:rFonts w:cs="Times New Roman"/>
          <w:noProof/>
        </w:rPr>
        <w:t>,</w:t>
      </w:r>
      <w:r w:rsidR="007E4653" w:rsidRPr="00F70DEE">
        <w:rPr>
          <w:rFonts w:cs="Times New Roman"/>
          <w:noProof/>
        </w:rPr>
        <w:t xml:space="preserve"> could be further developed</w:t>
      </w:r>
      <w:r w:rsidR="00FF2DC9" w:rsidRPr="00F70DEE">
        <w:rPr>
          <w:rFonts w:cs="Times New Roman"/>
          <w:noProof/>
        </w:rPr>
        <w:t xml:space="preserve"> </w:t>
      </w:r>
      <w:r w:rsidR="008C75D3" w:rsidRPr="00F70DEE">
        <w:rPr>
          <w:rFonts w:cs="Times New Roman"/>
          <w:noProof/>
        </w:rPr>
        <w:t>for defence purposes.</w:t>
      </w:r>
      <w:r w:rsidR="00103D29">
        <w:rPr>
          <w:rFonts w:cs="Times New Roman"/>
          <w:noProof/>
        </w:rPr>
        <w:t xml:space="preserve"> T</w:t>
      </w:r>
      <w:r w:rsidR="00D86C99">
        <w:rPr>
          <w:rFonts w:cs="Times New Roman"/>
          <w:noProof/>
        </w:rPr>
        <w:t xml:space="preserve">he Commission </w:t>
      </w:r>
      <w:r w:rsidR="008C75D3" w:rsidRPr="00F70DEE">
        <w:rPr>
          <w:rFonts w:cs="Times New Roman"/>
          <w:noProof/>
        </w:rPr>
        <w:t xml:space="preserve">will expand its In-Orbit-Validation / In-Orbit-Demonstration </w:t>
      </w:r>
      <w:r w:rsidR="00D86C99">
        <w:rPr>
          <w:rFonts w:cs="Times New Roman"/>
          <w:noProof/>
        </w:rPr>
        <w:t xml:space="preserve">programme </w:t>
      </w:r>
      <w:r w:rsidR="008C75D3" w:rsidRPr="00F70DEE">
        <w:rPr>
          <w:rFonts w:cs="Times New Roman"/>
          <w:noProof/>
        </w:rPr>
        <w:t xml:space="preserve">to space technologies of relevance to security and defence users. </w:t>
      </w:r>
      <w:r w:rsidR="00D86C99">
        <w:rPr>
          <w:rFonts w:cs="Times New Roman"/>
          <w:noProof/>
        </w:rPr>
        <w:t xml:space="preserve">The </w:t>
      </w:r>
      <w:r w:rsidR="008C75D3" w:rsidRPr="00F70DEE">
        <w:rPr>
          <w:rFonts w:cs="Times New Roman"/>
          <w:noProof/>
        </w:rPr>
        <w:t xml:space="preserve">EDA’s Capability Technology </w:t>
      </w:r>
      <w:r w:rsidR="00862F0A" w:rsidRPr="00F70DEE">
        <w:rPr>
          <w:rFonts w:cs="Times New Roman"/>
          <w:noProof/>
        </w:rPr>
        <w:t>g</w:t>
      </w:r>
      <w:r w:rsidR="008C75D3" w:rsidRPr="00F70DEE">
        <w:rPr>
          <w:rFonts w:cs="Times New Roman"/>
          <w:noProof/>
        </w:rPr>
        <w:t xml:space="preserve">roup on </w:t>
      </w:r>
      <w:r w:rsidR="00862F0A" w:rsidRPr="00F70DEE">
        <w:rPr>
          <w:rFonts w:cs="Times New Roman"/>
          <w:noProof/>
        </w:rPr>
        <w:t>s</w:t>
      </w:r>
      <w:r w:rsidR="008C75D3" w:rsidRPr="00F70DEE">
        <w:rPr>
          <w:rFonts w:cs="Times New Roman"/>
          <w:noProof/>
        </w:rPr>
        <w:t xml:space="preserve">pace will also foster cooperation between Member States and their industries in </w:t>
      </w:r>
      <w:r w:rsidR="00862F0A" w:rsidRPr="00F70DEE">
        <w:rPr>
          <w:rFonts w:cs="Times New Roman"/>
          <w:noProof/>
        </w:rPr>
        <w:t>s</w:t>
      </w:r>
      <w:r w:rsidR="008C75D3" w:rsidRPr="00F70DEE">
        <w:rPr>
          <w:rFonts w:cs="Times New Roman"/>
          <w:noProof/>
        </w:rPr>
        <w:t xml:space="preserve">pace </w:t>
      </w:r>
      <w:r w:rsidR="00227722" w:rsidRPr="00F70DEE">
        <w:rPr>
          <w:rFonts w:cs="Times New Roman"/>
          <w:noProof/>
        </w:rPr>
        <w:t>r</w:t>
      </w:r>
      <w:r w:rsidR="008C75D3" w:rsidRPr="00F70DEE">
        <w:rPr>
          <w:rFonts w:cs="Times New Roman"/>
          <w:noProof/>
        </w:rPr>
        <w:t>esearch.</w:t>
      </w:r>
    </w:p>
    <w:p w14:paraId="644DF4E5" w14:textId="77777777" w:rsidR="008C75D3" w:rsidRPr="00F70DEE" w:rsidRDefault="008C75D3" w:rsidP="00415D95">
      <w:pPr>
        <w:keepNext/>
        <w:keepLines/>
        <w:numPr>
          <w:ilvl w:val="1"/>
          <w:numId w:val="3"/>
        </w:numPr>
        <w:spacing w:before="40"/>
        <w:ind w:left="576" w:hanging="576"/>
        <w:outlineLvl w:val="1"/>
        <w:rPr>
          <w:rFonts w:cs="Times New Roman"/>
          <w:b/>
          <w:noProof/>
          <w:szCs w:val="24"/>
        </w:rPr>
      </w:pPr>
      <w:bookmarkStart w:id="834" w:name="_Toc121087875"/>
      <w:bookmarkStart w:id="835" w:name="_Toc121087876"/>
      <w:bookmarkStart w:id="836" w:name="_Toc121087877"/>
      <w:bookmarkStart w:id="837" w:name="_Toc121087837"/>
      <w:bookmarkStart w:id="838" w:name="_Toc121409662"/>
      <w:bookmarkStart w:id="839" w:name="_Toc125732840"/>
      <w:bookmarkEnd w:id="834"/>
      <w:bookmarkEnd w:id="835"/>
      <w:bookmarkEnd w:id="836"/>
      <w:r w:rsidRPr="00F70DEE">
        <w:rPr>
          <w:rFonts w:cs="Times New Roman"/>
          <w:b/>
          <w:noProof/>
          <w:szCs w:val="24"/>
        </w:rPr>
        <w:t>Developing skills</w:t>
      </w:r>
      <w:r w:rsidR="00862F0A" w:rsidRPr="00F70DEE">
        <w:rPr>
          <w:rFonts w:cs="Times New Roman"/>
          <w:b/>
          <w:noProof/>
          <w:szCs w:val="24"/>
        </w:rPr>
        <w:t>,</w:t>
      </w:r>
      <w:r w:rsidRPr="00F70DEE">
        <w:rPr>
          <w:rFonts w:cs="Times New Roman"/>
          <w:b/>
          <w:noProof/>
          <w:szCs w:val="24"/>
        </w:rPr>
        <w:t xml:space="preserve"> education and training</w:t>
      </w:r>
      <w:bookmarkEnd w:id="837"/>
      <w:bookmarkEnd w:id="838"/>
      <w:bookmarkEnd w:id="839"/>
    </w:p>
    <w:p w14:paraId="1DB8E55D" w14:textId="7BBD47AE" w:rsidR="008C75D3" w:rsidRPr="00F70DEE" w:rsidRDefault="002560D1" w:rsidP="008C75D3">
      <w:pPr>
        <w:rPr>
          <w:noProof/>
        </w:rPr>
      </w:pPr>
      <w:r>
        <w:rPr>
          <w:noProof/>
        </w:rPr>
        <w:t>Both the EU and its Member States</w:t>
      </w:r>
      <w:r w:rsidR="000E120C">
        <w:rPr>
          <w:noProof/>
        </w:rPr>
        <w:t>,</w:t>
      </w:r>
      <w:r>
        <w:rPr>
          <w:noProof/>
        </w:rPr>
        <w:t xml:space="preserve"> </w:t>
      </w:r>
      <w:r w:rsidR="008C75D3" w:rsidRPr="00F70DEE">
        <w:rPr>
          <w:noProof/>
        </w:rPr>
        <w:t>face a shortage of expert</w:t>
      </w:r>
      <w:r w:rsidR="0021570F" w:rsidRPr="00F70DEE">
        <w:rPr>
          <w:noProof/>
        </w:rPr>
        <w:t>ise</w:t>
      </w:r>
      <w:r w:rsidR="008C75D3" w:rsidRPr="00F70DEE">
        <w:rPr>
          <w:noProof/>
        </w:rPr>
        <w:t xml:space="preserve"> in space security and defence</w:t>
      </w:r>
      <w:r w:rsidR="0021570F" w:rsidRPr="00F70DEE">
        <w:rPr>
          <w:noProof/>
        </w:rPr>
        <w:t>.</w:t>
      </w:r>
      <w:r w:rsidR="009068B0" w:rsidRPr="00F70DEE">
        <w:rPr>
          <w:noProof/>
        </w:rPr>
        <w:t xml:space="preserve"> </w:t>
      </w:r>
      <w:r w:rsidR="008C75D3" w:rsidRPr="00F70DEE">
        <w:rPr>
          <w:noProof/>
        </w:rPr>
        <w:t xml:space="preserve">The Commission and the </w:t>
      </w:r>
      <w:r w:rsidR="00D64715" w:rsidRPr="00F70DEE">
        <w:rPr>
          <w:noProof/>
        </w:rPr>
        <w:t>High Representative</w:t>
      </w:r>
      <w:r w:rsidR="008C75D3" w:rsidRPr="00F70DEE">
        <w:rPr>
          <w:noProof/>
        </w:rPr>
        <w:t xml:space="preserve"> </w:t>
      </w:r>
      <w:r w:rsidR="00D64715" w:rsidRPr="00F70DEE">
        <w:rPr>
          <w:noProof/>
        </w:rPr>
        <w:t xml:space="preserve">will </w:t>
      </w:r>
      <w:r w:rsidR="008C75D3" w:rsidRPr="00F70DEE">
        <w:rPr>
          <w:noProof/>
        </w:rPr>
        <w:t xml:space="preserve">mobilise existing tools </w:t>
      </w:r>
      <w:r w:rsidR="00990765">
        <w:rPr>
          <w:noProof/>
        </w:rPr>
        <w:t>to</w:t>
      </w:r>
      <w:r w:rsidR="008C75D3" w:rsidRPr="00F70DEE">
        <w:rPr>
          <w:noProof/>
        </w:rPr>
        <w:t xml:space="preserve"> support skilling</w:t>
      </w:r>
      <w:r w:rsidR="00D305BF">
        <w:rPr>
          <w:noProof/>
        </w:rPr>
        <w:t>, upskilling</w:t>
      </w:r>
      <w:r w:rsidR="008C75D3" w:rsidRPr="00F70DEE">
        <w:rPr>
          <w:noProof/>
        </w:rPr>
        <w:t xml:space="preserve"> and reskilling.</w:t>
      </w:r>
    </w:p>
    <w:p w14:paraId="5943D10A" w14:textId="77777777" w:rsidR="008C75D3" w:rsidRPr="00F70DEE" w:rsidRDefault="008C75D3" w:rsidP="008C75D3">
      <w:pPr>
        <w:rPr>
          <w:noProof/>
        </w:rPr>
      </w:pPr>
      <w:r w:rsidRPr="00F70DEE">
        <w:rPr>
          <w:noProof/>
        </w:rPr>
        <w:t>To meet Member States</w:t>
      </w:r>
      <w:r w:rsidR="002560D1">
        <w:rPr>
          <w:noProof/>
        </w:rPr>
        <w:t>’</w:t>
      </w:r>
      <w:r w:rsidRPr="00F70DEE">
        <w:rPr>
          <w:noProof/>
        </w:rPr>
        <w:t xml:space="preserve"> demand, </w:t>
      </w:r>
      <w:r w:rsidR="00F17090" w:rsidRPr="00F70DEE">
        <w:rPr>
          <w:noProof/>
        </w:rPr>
        <w:t>EDA</w:t>
      </w:r>
      <w:r w:rsidR="00F36528" w:rsidRPr="00F70DEE">
        <w:rPr>
          <w:noProof/>
        </w:rPr>
        <w:t>,</w:t>
      </w:r>
      <w:r w:rsidRPr="00F70DEE">
        <w:rPr>
          <w:noProof/>
        </w:rPr>
        <w:t xml:space="preserve"> will map all EU and national </w:t>
      </w:r>
      <w:r w:rsidR="00D305BF">
        <w:rPr>
          <w:noProof/>
        </w:rPr>
        <w:t xml:space="preserve">educational and </w:t>
      </w:r>
      <w:r w:rsidRPr="00F70DEE">
        <w:rPr>
          <w:noProof/>
        </w:rPr>
        <w:t>training activities relating to space security and defence</w:t>
      </w:r>
      <w:r w:rsidR="0042028C" w:rsidRPr="00F70DEE">
        <w:rPr>
          <w:noProof/>
        </w:rPr>
        <w:t>,</w:t>
      </w:r>
      <w:r w:rsidRPr="00F70DEE">
        <w:rPr>
          <w:noProof/>
        </w:rPr>
        <w:t xml:space="preserve"> </w:t>
      </w:r>
      <w:r w:rsidR="00D305BF">
        <w:rPr>
          <w:noProof/>
        </w:rPr>
        <w:t xml:space="preserve">to develop skills relevant </w:t>
      </w:r>
      <w:r w:rsidRPr="00F70DEE">
        <w:rPr>
          <w:noProof/>
        </w:rPr>
        <w:t xml:space="preserve">both </w:t>
      </w:r>
      <w:r w:rsidR="00990765">
        <w:rPr>
          <w:noProof/>
        </w:rPr>
        <w:t>for</w:t>
      </w:r>
      <w:r w:rsidRPr="00F70DEE">
        <w:rPr>
          <w:noProof/>
        </w:rPr>
        <w:t xml:space="preserve"> policy </w:t>
      </w:r>
      <w:r w:rsidR="00D305BF">
        <w:rPr>
          <w:noProof/>
        </w:rPr>
        <w:t xml:space="preserve">design </w:t>
      </w:r>
      <w:r w:rsidRPr="00F70DEE">
        <w:rPr>
          <w:noProof/>
        </w:rPr>
        <w:t xml:space="preserve">and </w:t>
      </w:r>
      <w:r w:rsidR="00D305BF">
        <w:rPr>
          <w:noProof/>
        </w:rPr>
        <w:t xml:space="preserve">at </w:t>
      </w:r>
      <w:r w:rsidRPr="00F70DEE">
        <w:rPr>
          <w:noProof/>
        </w:rPr>
        <w:t>technical level</w:t>
      </w:r>
      <w:r w:rsidR="0042028C" w:rsidRPr="00F70DEE">
        <w:rPr>
          <w:noProof/>
        </w:rPr>
        <w:t xml:space="preserve">. </w:t>
      </w:r>
      <w:r w:rsidR="00127EF6" w:rsidRPr="00F70DEE">
        <w:rPr>
          <w:noProof/>
        </w:rPr>
        <w:t xml:space="preserve">In close coordination with the European Security and Defence College (ESDC), it </w:t>
      </w:r>
      <w:r w:rsidR="0042028C" w:rsidRPr="00F70DEE">
        <w:rPr>
          <w:noProof/>
        </w:rPr>
        <w:t>will</w:t>
      </w:r>
      <w:r w:rsidRPr="00F70DEE">
        <w:rPr>
          <w:noProof/>
        </w:rPr>
        <w:t xml:space="preserve"> promote the exchange of best practice</w:t>
      </w:r>
      <w:r w:rsidR="0042028C" w:rsidRPr="00F70DEE">
        <w:rPr>
          <w:noProof/>
        </w:rPr>
        <w:t>s</w:t>
      </w:r>
      <w:r w:rsidRPr="00F70DEE">
        <w:rPr>
          <w:noProof/>
        </w:rPr>
        <w:t xml:space="preserve"> and define</w:t>
      </w:r>
      <w:r w:rsidR="00990765">
        <w:rPr>
          <w:noProof/>
        </w:rPr>
        <w:t xml:space="preserve"> </w:t>
      </w:r>
      <w:r w:rsidRPr="00F70DEE">
        <w:rPr>
          <w:noProof/>
        </w:rPr>
        <w:t>curricul</w:t>
      </w:r>
      <w:r w:rsidR="00212A82">
        <w:rPr>
          <w:noProof/>
        </w:rPr>
        <w:t>a</w:t>
      </w:r>
      <w:r w:rsidRPr="00F70DEE">
        <w:rPr>
          <w:noProof/>
        </w:rPr>
        <w:t>.</w:t>
      </w:r>
    </w:p>
    <w:p w14:paraId="19B74593" w14:textId="2773D294" w:rsidR="008C75D3" w:rsidRPr="00F70DEE" w:rsidRDefault="008C75D3" w:rsidP="008C75D3">
      <w:pPr>
        <w:rPr>
          <w:noProof/>
        </w:rPr>
      </w:pPr>
      <w:r w:rsidRPr="00F70DEE">
        <w:rPr>
          <w:noProof/>
        </w:rPr>
        <w:t xml:space="preserve">To meet industry demand, the Commission will </w:t>
      </w:r>
      <w:r w:rsidR="008F024C" w:rsidRPr="00F70DEE">
        <w:rPr>
          <w:noProof/>
        </w:rPr>
        <w:t xml:space="preserve">contribute to </w:t>
      </w:r>
      <w:r w:rsidR="00D305BF">
        <w:rPr>
          <w:noProof/>
        </w:rPr>
        <w:t>up</w:t>
      </w:r>
      <w:r w:rsidR="007866CB">
        <w:rPr>
          <w:noProof/>
        </w:rPr>
        <w:t>-</w:t>
      </w:r>
      <w:r w:rsidR="00D305BF">
        <w:rPr>
          <w:noProof/>
        </w:rPr>
        <w:t xml:space="preserve"> and re</w:t>
      </w:r>
      <w:r w:rsidRPr="00F70DEE">
        <w:rPr>
          <w:noProof/>
        </w:rPr>
        <w:t>skill</w:t>
      </w:r>
      <w:r w:rsidR="00D305BF">
        <w:rPr>
          <w:noProof/>
        </w:rPr>
        <w:t>ing</w:t>
      </w:r>
      <w:r w:rsidRPr="00F70DEE">
        <w:rPr>
          <w:noProof/>
        </w:rPr>
        <w:t xml:space="preserve"> in the space industry</w:t>
      </w:r>
      <w:r w:rsidR="00D305BF">
        <w:rPr>
          <w:noProof/>
        </w:rPr>
        <w:t>,</w:t>
      </w:r>
      <w:r w:rsidR="008D7884" w:rsidRPr="00F70DEE">
        <w:rPr>
          <w:noProof/>
        </w:rPr>
        <w:t xml:space="preserve"> focus</w:t>
      </w:r>
      <w:r w:rsidR="00D305BF">
        <w:rPr>
          <w:noProof/>
        </w:rPr>
        <w:t>ing in particular</w:t>
      </w:r>
      <w:r w:rsidR="008D7884" w:rsidRPr="00F70DEE">
        <w:rPr>
          <w:noProof/>
        </w:rPr>
        <w:t xml:space="preserve"> on space</w:t>
      </w:r>
      <w:r w:rsidR="004B4632" w:rsidRPr="00F70DEE">
        <w:rPr>
          <w:noProof/>
        </w:rPr>
        <w:t xml:space="preserve"> for security and defence</w:t>
      </w:r>
      <w:r w:rsidR="00130DCB">
        <w:rPr>
          <w:noProof/>
        </w:rPr>
        <w:t>,</w:t>
      </w:r>
      <w:r w:rsidR="00130DCB" w:rsidRPr="00130DCB">
        <w:rPr>
          <w:noProof/>
        </w:rPr>
        <w:t xml:space="preserve"> also aiming at increasing women’s participation</w:t>
      </w:r>
      <w:r w:rsidR="00130DCB">
        <w:rPr>
          <w:rStyle w:val="FootnoteReference"/>
          <w:noProof/>
        </w:rPr>
        <w:footnoteReference w:id="35"/>
      </w:r>
      <w:r w:rsidR="004B4632" w:rsidRPr="00F70DEE">
        <w:rPr>
          <w:noProof/>
        </w:rPr>
        <w:t>.</w:t>
      </w:r>
      <w:r w:rsidR="006C5C80" w:rsidRPr="00F70DEE">
        <w:rPr>
          <w:noProof/>
        </w:rPr>
        <w:t xml:space="preserve"> It will support concrete initiatives organised at </w:t>
      </w:r>
      <w:r w:rsidR="00D305BF">
        <w:rPr>
          <w:noProof/>
        </w:rPr>
        <w:t xml:space="preserve">EU, national and </w:t>
      </w:r>
      <w:r w:rsidR="006C5C80" w:rsidRPr="00F70DEE">
        <w:rPr>
          <w:noProof/>
        </w:rPr>
        <w:t>regional level</w:t>
      </w:r>
      <w:r w:rsidR="00126FE6" w:rsidRPr="00F70DEE">
        <w:rPr>
          <w:noProof/>
        </w:rPr>
        <w:t xml:space="preserve">. It will build on the </w:t>
      </w:r>
      <w:r w:rsidR="00D305BF">
        <w:rPr>
          <w:noProof/>
        </w:rPr>
        <w:t xml:space="preserve">existing </w:t>
      </w:r>
      <w:r w:rsidR="00126FE6" w:rsidRPr="00F70DEE">
        <w:rPr>
          <w:noProof/>
        </w:rPr>
        <w:t>large-scale</w:t>
      </w:r>
      <w:r w:rsidR="008A63D0" w:rsidRPr="00F70DEE">
        <w:rPr>
          <w:noProof/>
        </w:rPr>
        <w:t xml:space="preserve"> </w:t>
      </w:r>
      <w:r w:rsidR="00D305BF">
        <w:rPr>
          <w:noProof/>
        </w:rPr>
        <w:t xml:space="preserve">partnership for </w:t>
      </w:r>
      <w:r w:rsidR="008A63D0" w:rsidRPr="00F70DEE">
        <w:rPr>
          <w:noProof/>
        </w:rPr>
        <w:t xml:space="preserve">aerospace </w:t>
      </w:r>
      <w:r w:rsidR="007866CB">
        <w:rPr>
          <w:noProof/>
        </w:rPr>
        <w:t>and</w:t>
      </w:r>
      <w:r w:rsidR="008A63D0" w:rsidRPr="00F70DEE">
        <w:rPr>
          <w:noProof/>
        </w:rPr>
        <w:t xml:space="preserve"> defence skills </w:t>
      </w:r>
      <w:r w:rsidR="00D305BF">
        <w:rPr>
          <w:noProof/>
        </w:rPr>
        <w:t>of the Pact for Skills</w:t>
      </w:r>
      <w:r w:rsidR="00C82C09" w:rsidRPr="00F70DEE">
        <w:rPr>
          <w:rStyle w:val="FootnoteReference"/>
          <w:noProof/>
        </w:rPr>
        <w:footnoteReference w:id="36"/>
      </w:r>
      <w:r w:rsidR="00212A82">
        <w:rPr>
          <w:noProof/>
        </w:rPr>
        <w:t>. It</w:t>
      </w:r>
      <w:r w:rsidR="00D305BF" w:rsidRPr="00710047">
        <w:rPr>
          <w:noProof/>
        </w:rPr>
        <w:t xml:space="preserve"> is also working with stakeholders to develop a new large</w:t>
      </w:r>
      <w:r w:rsidR="00905BD5">
        <w:rPr>
          <w:noProof/>
        </w:rPr>
        <w:t>-</w:t>
      </w:r>
      <w:r w:rsidR="00D305BF" w:rsidRPr="00710047">
        <w:rPr>
          <w:noProof/>
        </w:rPr>
        <w:t xml:space="preserve">scale </w:t>
      </w:r>
      <w:r w:rsidR="00D305BF">
        <w:rPr>
          <w:noProof/>
        </w:rPr>
        <w:t xml:space="preserve">partnership </w:t>
      </w:r>
      <w:r w:rsidR="00126FE6" w:rsidRPr="00F70DEE">
        <w:rPr>
          <w:noProof/>
        </w:rPr>
        <w:t>to</w:t>
      </w:r>
      <w:r w:rsidRPr="00F70DEE">
        <w:rPr>
          <w:noProof/>
        </w:rPr>
        <w:t xml:space="preserve"> </w:t>
      </w:r>
      <w:r w:rsidR="002302DD" w:rsidRPr="00F70DEE">
        <w:rPr>
          <w:noProof/>
        </w:rPr>
        <w:t>further enhance upskilling and reskilling activities of students and professionals required by the downstream industry</w:t>
      </w:r>
      <w:r w:rsidR="0076116E">
        <w:rPr>
          <w:noProof/>
        </w:rPr>
        <w:t xml:space="preserve">, including </w:t>
      </w:r>
      <w:r w:rsidR="0076116E" w:rsidRPr="006B3316">
        <w:rPr>
          <w:noProof/>
        </w:rPr>
        <w:t>to cover extra needs for qualified workers</w:t>
      </w:r>
      <w:r w:rsidR="0076116E">
        <w:rPr>
          <w:noProof/>
        </w:rPr>
        <w:t>.</w:t>
      </w:r>
      <w:r w:rsidR="004B4632" w:rsidRPr="00F70DEE">
        <w:rPr>
          <w:noProof/>
        </w:rPr>
        <w:t xml:space="preserve"> </w:t>
      </w:r>
      <w:r w:rsidR="0076116E">
        <w:rPr>
          <w:noProof/>
        </w:rPr>
        <w:t>W</w:t>
      </w:r>
      <w:r w:rsidR="006C5C80" w:rsidRPr="00F70DEE">
        <w:rPr>
          <w:noProof/>
        </w:rPr>
        <w:t xml:space="preserve">ith the support of </w:t>
      </w:r>
      <w:r w:rsidR="007866CB">
        <w:rPr>
          <w:noProof/>
        </w:rPr>
        <w:t xml:space="preserve">the </w:t>
      </w:r>
      <w:r w:rsidR="006C5C80" w:rsidRPr="00F70DEE">
        <w:rPr>
          <w:noProof/>
        </w:rPr>
        <w:t>EUSPA</w:t>
      </w:r>
      <w:r w:rsidR="00126FE6" w:rsidRPr="00F70DEE">
        <w:rPr>
          <w:noProof/>
        </w:rPr>
        <w:t xml:space="preserve">, </w:t>
      </w:r>
      <w:r w:rsidR="0076116E">
        <w:rPr>
          <w:noProof/>
        </w:rPr>
        <w:t xml:space="preserve">the Commission </w:t>
      </w:r>
      <w:r w:rsidR="00126FE6" w:rsidRPr="00F70DEE">
        <w:rPr>
          <w:noProof/>
        </w:rPr>
        <w:t xml:space="preserve">will </w:t>
      </w:r>
      <w:r w:rsidR="007A474B" w:rsidRPr="00F70DEE">
        <w:rPr>
          <w:noProof/>
        </w:rPr>
        <w:t>develop</w:t>
      </w:r>
      <w:r w:rsidR="006C5C80" w:rsidRPr="00F70DEE">
        <w:rPr>
          <w:noProof/>
        </w:rPr>
        <w:t xml:space="preserve"> the EU Space </w:t>
      </w:r>
      <w:r w:rsidR="007866CB">
        <w:rPr>
          <w:noProof/>
        </w:rPr>
        <w:t>A</w:t>
      </w:r>
      <w:r w:rsidR="006C5C80" w:rsidRPr="00F70DEE">
        <w:rPr>
          <w:noProof/>
        </w:rPr>
        <w:t xml:space="preserve">cademy </w:t>
      </w:r>
      <w:r w:rsidRPr="00F70DEE">
        <w:rPr>
          <w:noProof/>
        </w:rPr>
        <w:t>to</w:t>
      </w:r>
      <w:r w:rsidR="00126FE6" w:rsidRPr="00F70DEE">
        <w:rPr>
          <w:noProof/>
        </w:rPr>
        <w:t xml:space="preserve"> </w:t>
      </w:r>
      <w:r w:rsidR="0076116E">
        <w:rPr>
          <w:noProof/>
        </w:rPr>
        <w:t>create</w:t>
      </w:r>
      <w:r w:rsidR="0076116E" w:rsidRPr="00F70DEE">
        <w:rPr>
          <w:noProof/>
        </w:rPr>
        <w:t xml:space="preserve"> </w:t>
      </w:r>
      <w:r w:rsidR="007A474B" w:rsidRPr="00F70DEE">
        <w:rPr>
          <w:noProof/>
        </w:rPr>
        <w:t xml:space="preserve">space </w:t>
      </w:r>
      <w:r w:rsidR="00126FE6" w:rsidRPr="00F70DEE">
        <w:rPr>
          <w:noProof/>
        </w:rPr>
        <w:t xml:space="preserve">development programmes </w:t>
      </w:r>
      <w:r w:rsidR="007866CB">
        <w:rPr>
          <w:noProof/>
        </w:rPr>
        <w:t>related to</w:t>
      </w:r>
      <w:r w:rsidR="00126FE6" w:rsidRPr="00F70DEE">
        <w:rPr>
          <w:noProof/>
        </w:rPr>
        <w:t xml:space="preserve"> security</w:t>
      </w:r>
      <w:r w:rsidRPr="00F70DEE">
        <w:rPr>
          <w:noProof/>
        </w:rPr>
        <w:t>.</w:t>
      </w:r>
    </w:p>
    <w:tbl>
      <w:tblPr>
        <w:tblStyle w:val="TableGrid"/>
        <w:tblW w:w="0" w:type="auto"/>
        <w:tblLook w:val="04A0" w:firstRow="1" w:lastRow="0" w:firstColumn="1" w:lastColumn="0" w:noHBand="0" w:noVBand="1"/>
      </w:tblPr>
      <w:tblGrid>
        <w:gridCol w:w="8636"/>
      </w:tblGrid>
      <w:tr w:rsidR="009B7800" w:rsidRPr="00F70DEE" w14:paraId="27F80A5A" w14:textId="77777777" w:rsidTr="009B7800">
        <w:tc>
          <w:tcPr>
            <w:tcW w:w="8636" w:type="dxa"/>
            <w:shd w:val="clear" w:color="auto" w:fill="D9D9D9" w:themeFill="background1" w:themeFillShade="D9"/>
          </w:tcPr>
          <w:p w14:paraId="26F4E32F" w14:textId="77777777" w:rsidR="009B7800" w:rsidRPr="00F70DEE" w:rsidRDefault="009B7800" w:rsidP="009B7800">
            <w:pPr>
              <w:pStyle w:val="Wayforward"/>
              <w:numPr>
                <w:ilvl w:val="0"/>
                <w:numId w:val="0"/>
              </w:numPr>
              <w:ind w:left="357" w:hanging="357"/>
              <w:rPr>
                <w:b/>
                <w:bCs/>
                <w:i/>
                <w:iCs/>
                <w:noProof/>
                <w:lang w:val="en-GB"/>
              </w:rPr>
            </w:pPr>
            <w:r w:rsidRPr="00F70DEE">
              <w:rPr>
                <w:b/>
                <w:bCs/>
                <w:i/>
                <w:iCs/>
                <w:noProof/>
                <w:lang w:val="en-GB"/>
              </w:rPr>
              <w:t>Way forward</w:t>
            </w:r>
          </w:p>
          <w:p w14:paraId="1BBC4031" w14:textId="77777777" w:rsidR="009B7800" w:rsidRPr="00F70DEE" w:rsidRDefault="009B7800" w:rsidP="009B7800">
            <w:pPr>
              <w:pStyle w:val="Wayforward"/>
              <w:numPr>
                <w:ilvl w:val="0"/>
                <w:numId w:val="0"/>
              </w:numPr>
              <w:rPr>
                <w:noProof/>
                <w:lang w:val="en-GB"/>
              </w:rPr>
            </w:pPr>
            <w:bookmarkStart w:id="840" w:name="_Toc121409242"/>
            <w:bookmarkStart w:id="841" w:name="_Toc121409241"/>
            <w:bookmarkStart w:id="842" w:name="_Toc120137999"/>
            <w:r w:rsidRPr="00F70DEE">
              <w:rPr>
                <w:noProof/>
                <w:lang w:val="en-GB"/>
              </w:rPr>
              <w:t>To enhance the use of space systems and services for defence purposes</w:t>
            </w:r>
            <w:r w:rsidR="00212A82">
              <w:rPr>
                <w:noProof/>
                <w:lang w:val="en-GB"/>
              </w:rPr>
              <w:t>:</w:t>
            </w:r>
          </w:p>
          <w:p w14:paraId="1FF76188" w14:textId="53516524" w:rsidR="009B7800" w:rsidRPr="00F70DEE" w:rsidRDefault="009B7800" w:rsidP="00415D95">
            <w:pPr>
              <w:pStyle w:val="Wayforward"/>
              <w:rPr>
                <w:noProof/>
                <w:lang w:val="en-GB"/>
              </w:rPr>
            </w:pPr>
            <w:bookmarkStart w:id="843" w:name="_Toc121409243"/>
            <w:r w:rsidRPr="00F70DEE">
              <w:rPr>
                <w:noProof/>
                <w:lang w:val="en-GB"/>
              </w:rPr>
              <w:t xml:space="preserve">By </w:t>
            </w:r>
            <w:r w:rsidR="00990765">
              <w:rPr>
                <w:noProof/>
                <w:lang w:val="en-GB"/>
              </w:rPr>
              <w:t xml:space="preserve">the </w:t>
            </w:r>
            <w:r w:rsidRPr="00F70DEE">
              <w:rPr>
                <w:noProof/>
                <w:lang w:val="en-GB"/>
              </w:rPr>
              <w:t>end</w:t>
            </w:r>
            <w:r w:rsidR="00990765">
              <w:rPr>
                <w:noProof/>
                <w:lang w:val="en-GB"/>
              </w:rPr>
              <w:t xml:space="preserve"> of</w:t>
            </w:r>
            <w:r w:rsidRPr="00F70DEE">
              <w:rPr>
                <w:noProof/>
                <w:lang w:val="en-GB"/>
              </w:rPr>
              <w:t xml:space="preserve"> 2024, the Commission</w:t>
            </w:r>
            <w:r w:rsidR="002302DD" w:rsidRPr="00F70DEE">
              <w:rPr>
                <w:noProof/>
                <w:lang w:val="en-GB"/>
              </w:rPr>
              <w:t>,</w:t>
            </w:r>
            <w:r w:rsidRPr="00F70DEE">
              <w:rPr>
                <w:noProof/>
                <w:lang w:val="en-GB"/>
              </w:rPr>
              <w:t xml:space="preserve"> i</w:t>
            </w:r>
            <w:r w:rsidR="002302DD" w:rsidRPr="00F70DEE">
              <w:rPr>
                <w:noProof/>
                <w:lang w:val="en-GB"/>
              </w:rPr>
              <w:t>n</w:t>
            </w:r>
            <w:r w:rsidRPr="00F70DEE">
              <w:rPr>
                <w:noProof/>
                <w:lang w:val="en-GB"/>
              </w:rPr>
              <w:t xml:space="preserve"> close cooperation with the H</w:t>
            </w:r>
            <w:r w:rsidR="002302DD" w:rsidRPr="00F70DEE">
              <w:rPr>
                <w:noProof/>
                <w:lang w:val="en-GB"/>
              </w:rPr>
              <w:t xml:space="preserve">igh </w:t>
            </w:r>
            <w:r w:rsidRPr="00F70DEE">
              <w:rPr>
                <w:noProof/>
                <w:lang w:val="en-GB"/>
              </w:rPr>
              <w:t>R</w:t>
            </w:r>
            <w:r w:rsidR="002302DD" w:rsidRPr="00F70DEE">
              <w:rPr>
                <w:noProof/>
                <w:lang w:val="en-GB"/>
              </w:rPr>
              <w:t>epresentative,</w:t>
            </w:r>
            <w:r w:rsidRPr="00F70DEE">
              <w:rPr>
                <w:noProof/>
                <w:lang w:val="en-GB"/>
              </w:rPr>
              <w:t xml:space="preserve"> will propose a pilot for the delivery of initial SDA services in support of EU response and to explore synergies with </w:t>
            </w:r>
            <w:r w:rsidR="00905BD5">
              <w:rPr>
                <w:noProof/>
                <w:lang w:val="en-GB"/>
              </w:rPr>
              <w:t xml:space="preserve">the </w:t>
            </w:r>
            <w:r w:rsidRPr="00F70DEE">
              <w:rPr>
                <w:noProof/>
                <w:lang w:val="en-GB"/>
              </w:rPr>
              <w:t>SST subcomponent of the Space Programme, with a view to future developments</w:t>
            </w:r>
            <w:r w:rsidR="002302DD" w:rsidRPr="00F70DEE">
              <w:rPr>
                <w:noProof/>
                <w:lang w:val="en-GB"/>
              </w:rPr>
              <w:t>.</w:t>
            </w:r>
          </w:p>
          <w:p w14:paraId="70656E0D" w14:textId="77777777" w:rsidR="009B7800" w:rsidRPr="00F70DEE" w:rsidRDefault="009B7800" w:rsidP="00415D95">
            <w:pPr>
              <w:pStyle w:val="Wayforward"/>
              <w:rPr>
                <w:noProof/>
                <w:lang w:val="en-GB"/>
              </w:rPr>
            </w:pPr>
            <w:r w:rsidRPr="00F70DEE">
              <w:rPr>
                <w:noProof/>
                <w:lang w:val="en-GB"/>
              </w:rPr>
              <w:t xml:space="preserve">When </w:t>
            </w:r>
            <w:r w:rsidR="00990765">
              <w:rPr>
                <w:noProof/>
                <w:lang w:val="en-GB"/>
              </w:rPr>
              <w:t>developing future</w:t>
            </w:r>
            <w:r w:rsidRPr="00F70DEE">
              <w:rPr>
                <w:noProof/>
                <w:lang w:val="en-GB"/>
              </w:rPr>
              <w:t xml:space="preserve"> EU </w:t>
            </w:r>
            <w:r w:rsidR="00586E3C" w:rsidRPr="00F70DEE">
              <w:rPr>
                <w:noProof/>
                <w:lang w:val="en-GB"/>
              </w:rPr>
              <w:t>s</w:t>
            </w:r>
            <w:r w:rsidRPr="00F70DEE">
              <w:rPr>
                <w:noProof/>
                <w:lang w:val="en-GB"/>
              </w:rPr>
              <w:t xml:space="preserve">pace </w:t>
            </w:r>
            <w:r w:rsidR="00586E3C" w:rsidRPr="00F70DEE">
              <w:rPr>
                <w:noProof/>
                <w:lang w:val="en-GB"/>
              </w:rPr>
              <w:t>p</w:t>
            </w:r>
            <w:r w:rsidRPr="00F70DEE">
              <w:rPr>
                <w:noProof/>
                <w:lang w:val="en-GB"/>
              </w:rPr>
              <w:t>rogramme</w:t>
            </w:r>
            <w:r w:rsidR="00586E3C" w:rsidRPr="00F70DEE">
              <w:rPr>
                <w:noProof/>
                <w:lang w:val="en-GB"/>
              </w:rPr>
              <w:t>s</w:t>
            </w:r>
            <w:r w:rsidRPr="00F70DEE">
              <w:rPr>
                <w:noProof/>
                <w:lang w:val="en-GB"/>
              </w:rPr>
              <w:t xml:space="preserve">, the Commission will take into account long-term military requirements </w:t>
            </w:r>
            <w:r w:rsidR="002D11AD" w:rsidRPr="00F70DEE">
              <w:rPr>
                <w:noProof/>
                <w:lang w:val="en-GB"/>
              </w:rPr>
              <w:t xml:space="preserve">(time horizon 2035) </w:t>
            </w:r>
            <w:r w:rsidRPr="00F70DEE">
              <w:rPr>
                <w:noProof/>
                <w:lang w:val="en-GB"/>
              </w:rPr>
              <w:t>for space-based defence services</w:t>
            </w:r>
            <w:bookmarkEnd w:id="843"/>
            <w:r w:rsidRPr="00F70DEE">
              <w:rPr>
                <w:noProof/>
                <w:lang w:val="en-GB"/>
              </w:rPr>
              <w:t xml:space="preserve"> with the support of EDA.</w:t>
            </w:r>
          </w:p>
          <w:p w14:paraId="7E3BEC25" w14:textId="77777777" w:rsidR="009B7800" w:rsidRPr="00F70DEE" w:rsidRDefault="009B7800" w:rsidP="00415D95">
            <w:pPr>
              <w:pStyle w:val="Wayforward"/>
              <w:rPr>
                <w:noProof/>
                <w:lang w:val="en-GB"/>
              </w:rPr>
            </w:pPr>
            <w:bookmarkStart w:id="844" w:name="_Toc123037845"/>
            <w:bookmarkStart w:id="845" w:name="_Toc123385890"/>
            <w:bookmarkStart w:id="846" w:name="_Toc121409247"/>
            <w:bookmarkStart w:id="847" w:name="_Toc120138004"/>
            <w:bookmarkEnd w:id="844"/>
            <w:bookmarkEnd w:id="845"/>
            <w:r w:rsidRPr="00F70DEE">
              <w:rPr>
                <w:noProof/>
                <w:lang w:val="en-GB"/>
              </w:rPr>
              <w:t xml:space="preserve">The Commission will </w:t>
            </w:r>
            <w:r w:rsidR="009B760F">
              <w:rPr>
                <w:noProof/>
                <w:lang w:val="en-GB"/>
              </w:rPr>
              <w:t>consider</w:t>
            </w:r>
            <w:r w:rsidRPr="00F70DEE">
              <w:rPr>
                <w:noProof/>
                <w:lang w:val="en-GB"/>
              </w:rPr>
              <w:t xml:space="preserve"> military needs and requirements </w:t>
            </w:r>
            <w:r w:rsidR="009B760F">
              <w:rPr>
                <w:noProof/>
                <w:lang w:val="en-GB"/>
              </w:rPr>
              <w:t>when</w:t>
            </w:r>
            <w:r w:rsidRPr="00F70DEE">
              <w:rPr>
                <w:noProof/>
                <w:lang w:val="en-GB"/>
              </w:rPr>
              <w:t xml:space="preserve"> </w:t>
            </w:r>
            <w:r w:rsidR="00212A82" w:rsidRPr="00F70DEE">
              <w:rPr>
                <w:noProof/>
                <w:lang w:val="en-GB"/>
              </w:rPr>
              <w:t>definin</w:t>
            </w:r>
            <w:r w:rsidR="00212A82">
              <w:rPr>
                <w:noProof/>
                <w:lang w:val="en-GB"/>
              </w:rPr>
              <w:t>g</w:t>
            </w:r>
            <w:r w:rsidRPr="00F70DEE">
              <w:rPr>
                <w:noProof/>
                <w:lang w:val="en-GB"/>
              </w:rPr>
              <w:t xml:space="preserve"> of the service portfolio of IRIS².</w:t>
            </w:r>
            <w:bookmarkEnd w:id="846"/>
            <w:bookmarkEnd w:id="847"/>
          </w:p>
          <w:p w14:paraId="5BDF385B" w14:textId="1B0A6AD7" w:rsidR="009B7800" w:rsidRPr="00F70DEE" w:rsidRDefault="009B7800" w:rsidP="00415D95">
            <w:pPr>
              <w:pStyle w:val="Wayforward"/>
              <w:rPr>
                <w:noProof/>
                <w:lang w:val="en-GB"/>
              </w:rPr>
            </w:pPr>
            <w:bookmarkStart w:id="848" w:name="_Toc123385892"/>
            <w:bookmarkStart w:id="849" w:name="_Toc120138003"/>
            <w:bookmarkStart w:id="850" w:name="_Toc121409246"/>
            <w:bookmarkStart w:id="851" w:name="_Hlk126572151"/>
            <w:bookmarkStart w:id="852" w:name="_Toc120138005"/>
            <w:bookmarkStart w:id="853" w:name="_Toc121409249"/>
            <w:bookmarkEnd w:id="848"/>
            <w:r w:rsidRPr="00F70DEE">
              <w:rPr>
                <w:noProof/>
                <w:lang w:val="en-GB"/>
              </w:rPr>
              <w:t xml:space="preserve">In order to support the autonomous decision-making and action of the </w:t>
            </w:r>
            <w:r w:rsidR="00A30BE1" w:rsidRPr="00F70DEE">
              <w:rPr>
                <w:noProof/>
                <w:lang w:val="en-GB"/>
              </w:rPr>
              <w:t>E</w:t>
            </w:r>
            <w:r w:rsidRPr="00F70DEE">
              <w:rPr>
                <w:noProof/>
                <w:lang w:val="en-GB"/>
              </w:rPr>
              <w:t>U and its Member States, the Commission</w:t>
            </w:r>
            <w:r w:rsidRPr="00F70DEE" w:rsidDel="00CE730D">
              <w:rPr>
                <w:noProof/>
                <w:lang w:val="en-GB"/>
              </w:rPr>
              <w:t xml:space="preserve"> </w:t>
            </w:r>
            <w:r w:rsidRPr="00F70DEE">
              <w:rPr>
                <w:noProof/>
                <w:lang w:val="en-GB"/>
              </w:rPr>
              <w:t xml:space="preserve">will </w:t>
            </w:r>
            <w:r w:rsidR="00E24928" w:rsidRPr="00F70DEE">
              <w:rPr>
                <w:noProof/>
                <w:lang w:val="en-GB"/>
              </w:rPr>
              <w:t xml:space="preserve">work towards the gradual set-up of </w:t>
            </w:r>
            <w:r w:rsidR="002D11AD" w:rsidRPr="00C809C2">
              <w:rPr>
                <w:noProof/>
                <w:lang w:val="en-GB"/>
              </w:rPr>
              <w:t>a new Copernicus governmental service</w:t>
            </w:r>
            <w:r w:rsidRPr="00F70DEE">
              <w:rPr>
                <w:noProof/>
                <w:lang w:val="en-GB"/>
              </w:rPr>
              <w:t xml:space="preserve">, </w:t>
            </w:r>
            <w:r w:rsidR="00E24928" w:rsidRPr="00F70DEE">
              <w:rPr>
                <w:noProof/>
                <w:lang w:val="en-GB"/>
              </w:rPr>
              <w:t xml:space="preserve">starting with </w:t>
            </w:r>
            <w:r w:rsidRPr="00F70DEE">
              <w:rPr>
                <w:noProof/>
                <w:lang w:val="en-GB"/>
              </w:rPr>
              <w:t xml:space="preserve">a pilot. It will build on the complementary role of </w:t>
            </w:r>
            <w:r w:rsidR="005D3EE4" w:rsidRPr="00F70DEE">
              <w:rPr>
                <w:noProof/>
                <w:lang w:val="en-GB"/>
              </w:rPr>
              <w:t xml:space="preserve">SatCen </w:t>
            </w:r>
            <w:r w:rsidRPr="00F70DEE">
              <w:rPr>
                <w:noProof/>
                <w:lang w:val="en-GB"/>
              </w:rPr>
              <w:t>and</w:t>
            </w:r>
            <w:r w:rsidR="005D3EE4" w:rsidRPr="00F70DEE">
              <w:rPr>
                <w:noProof/>
                <w:lang w:val="en-GB"/>
              </w:rPr>
              <w:t xml:space="preserve"> EUSPA</w:t>
            </w:r>
            <w:r w:rsidRPr="00F70DEE">
              <w:rPr>
                <w:noProof/>
                <w:lang w:val="en-GB"/>
              </w:rPr>
              <w:t>.</w:t>
            </w:r>
            <w:bookmarkEnd w:id="849"/>
            <w:bookmarkEnd w:id="850"/>
          </w:p>
          <w:bookmarkEnd w:id="851"/>
          <w:p w14:paraId="1D81F113" w14:textId="77777777" w:rsidR="009B7800" w:rsidRPr="00F70DEE" w:rsidRDefault="009B7800" w:rsidP="00415D95">
            <w:pPr>
              <w:pStyle w:val="Wayforward"/>
              <w:rPr>
                <w:noProof/>
                <w:lang w:val="en-GB"/>
              </w:rPr>
            </w:pPr>
            <w:r w:rsidRPr="00F70DEE">
              <w:rPr>
                <w:noProof/>
                <w:lang w:val="en-GB"/>
              </w:rPr>
              <w:t>The Commission will incentivise collaborative work between space</w:t>
            </w:r>
            <w:r w:rsidR="001F648F">
              <w:rPr>
                <w:noProof/>
                <w:lang w:val="en-GB"/>
              </w:rPr>
              <w:t>, security</w:t>
            </w:r>
            <w:r w:rsidRPr="00F70DEE">
              <w:rPr>
                <w:noProof/>
                <w:lang w:val="en-GB"/>
              </w:rPr>
              <w:t xml:space="preserve"> and defence start-ups </w:t>
            </w:r>
            <w:r w:rsidR="009B760F">
              <w:rPr>
                <w:noProof/>
                <w:lang w:val="en-GB"/>
              </w:rPr>
              <w:t>to develop</w:t>
            </w:r>
            <w:r w:rsidRPr="00F70DEE">
              <w:rPr>
                <w:noProof/>
                <w:lang w:val="en-GB"/>
              </w:rPr>
              <w:t xml:space="preserve"> disruptive services for security and defence.</w:t>
            </w:r>
          </w:p>
          <w:p w14:paraId="1D0A1C9A" w14:textId="4224F63F" w:rsidR="009B7800" w:rsidRPr="00F70DEE" w:rsidRDefault="009B7800" w:rsidP="00212A82">
            <w:pPr>
              <w:pStyle w:val="Wayforward"/>
              <w:rPr>
                <w:noProof/>
                <w:lang w:val="en-GB"/>
              </w:rPr>
            </w:pPr>
            <w:bookmarkStart w:id="854" w:name="_Toc121087879"/>
            <w:bookmarkStart w:id="855" w:name="_Toc121409251"/>
            <w:bookmarkEnd w:id="852"/>
            <w:bookmarkEnd w:id="853"/>
            <w:r w:rsidRPr="00F70DEE">
              <w:rPr>
                <w:noProof/>
                <w:lang w:val="en-GB"/>
              </w:rPr>
              <w:t>By the end of 2024, the High Representative and the Commission</w:t>
            </w:r>
            <w:r w:rsidR="00905BD5">
              <w:rPr>
                <w:noProof/>
                <w:lang w:val="en-GB"/>
              </w:rPr>
              <w:t>,</w:t>
            </w:r>
            <w:r w:rsidRPr="00F70DEE">
              <w:rPr>
                <w:noProof/>
                <w:lang w:val="en-GB"/>
              </w:rPr>
              <w:t xml:space="preserve"> with the support of EDA</w:t>
            </w:r>
            <w:r w:rsidR="004B4632" w:rsidRPr="00F70DEE">
              <w:rPr>
                <w:noProof/>
                <w:lang w:val="en-GB"/>
              </w:rPr>
              <w:t>,</w:t>
            </w:r>
            <w:r w:rsidRPr="00F70DEE">
              <w:rPr>
                <w:noProof/>
                <w:lang w:val="en-GB"/>
              </w:rPr>
              <w:t xml:space="preserve"> </w:t>
            </w:r>
            <w:r w:rsidR="009769B2" w:rsidRPr="00F70DEE">
              <w:rPr>
                <w:noProof/>
                <w:lang w:val="en-GB"/>
              </w:rPr>
              <w:t xml:space="preserve">EUSPA and </w:t>
            </w:r>
            <w:r w:rsidRPr="00F70DEE">
              <w:rPr>
                <w:noProof/>
                <w:lang w:val="en-GB"/>
              </w:rPr>
              <w:t>ESDC</w:t>
            </w:r>
            <w:r w:rsidR="00905BD5">
              <w:rPr>
                <w:noProof/>
                <w:lang w:val="en-GB"/>
              </w:rPr>
              <w:t>,</w:t>
            </w:r>
            <w:r w:rsidRPr="00F70DEE">
              <w:rPr>
                <w:noProof/>
                <w:lang w:val="en-GB"/>
              </w:rPr>
              <w:t xml:space="preserve"> should </w:t>
            </w:r>
            <w:r w:rsidR="007866CB">
              <w:rPr>
                <w:noProof/>
                <w:lang w:val="en-GB"/>
              </w:rPr>
              <w:t>improve</w:t>
            </w:r>
            <w:r w:rsidR="007866CB" w:rsidRPr="00F70DEE">
              <w:rPr>
                <w:noProof/>
                <w:lang w:val="en-GB"/>
              </w:rPr>
              <w:t xml:space="preserve"> </w:t>
            </w:r>
            <w:r w:rsidR="009B760F">
              <w:rPr>
                <w:noProof/>
                <w:lang w:val="en-GB"/>
              </w:rPr>
              <w:t xml:space="preserve">the </w:t>
            </w:r>
            <w:r w:rsidRPr="00F70DEE">
              <w:rPr>
                <w:noProof/>
                <w:lang w:val="en-GB"/>
              </w:rPr>
              <w:t xml:space="preserve">skills of public administration and industry to further develop space services for security and defence, including through: the mapping of space security and defence training activities, </w:t>
            </w:r>
            <w:r w:rsidR="007866CB">
              <w:rPr>
                <w:noProof/>
                <w:lang w:val="en-GB"/>
              </w:rPr>
              <w:t xml:space="preserve">and the </w:t>
            </w:r>
            <w:r w:rsidRPr="00F70DEE">
              <w:rPr>
                <w:noProof/>
                <w:lang w:val="en-GB"/>
              </w:rPr>
              <w:t>skilling</w:t>
            </w:r>
            <w:r w:rsidR="00212A82">
              <w:rPr>
                <w:noProof/>
                <w:lang w:val="en-GB"/>
              </w:rPr>
              <w:t xml:space="preserve"> </w:t>
            </w:r>
            <w:r w:rsidRPr="00F70DEE">
              <w:rPr>
                <w:noProof/>
                <w:lang w:val="en-GB"/>
              </w:rPr>
              <w:t>of downstream space industry</w:t>
            </w:r>
            <w:bookmarkEnd w:id="840"/>
            <w:bookmarkEnd w:id="841"/>
            <w:bookmarkEnd w:id="842"/>
            <w:bookmarkEnd w:id="854"/>
            <w:bookmarkEnd w:id="855"/>
            <w:r w:rsidR="00212A82">
              <w:rPr>
                <w:noProof/>
                <w:lang w:val="en-GB"/>
              </w:rPr>
              <w:t>, including through the establishment of a new large-scale partnership</w:t>
            </w:r>
            <w:r w:rsidR="00424341" w:rsidRPr="00F70DEE">
              <w:rPr>
                <w:noProof/>
                <w:lang w:val="en-GB"/>
              </w:rPr>
              <w:t>.</w:t>
            </w:r>
          </w:p>
        </w:tc>
      </w:tr>
    </w:tbl>
    <w:p w14:paraId="71B1E054" w14:textId="25E89427" w:rsidR="008C75D3" w:rsidRPr="00FF2291" w:rsidRDefault="008C75D3" w:rsidP="00FF2291">
      <w:pPr>
        <w:keepNext/>
        <w:keepLines/>
        <w:numPr>
          <w:ilvl w:val="0"/>
          <w:numId w:val="1"/>
        </w:numPr>
        <w:spacing w:before="240" w:after="240"/>
        <w:ind w:left="357" w:hanging="357"/>
        <w:outlineLvl w:val="0"/>
        <w:rPr>
          <w:rFonts w:eastAsiaTheme="majorEastAsia" w:cstheme="majorBidi"/>
          <w:b/>
          <w:caps/>
          <w:noProof/>
          <w:szCs w:val="32"/>
        </w:rPr>
      </w:pPr>
      <w:bookmarkStart w:id="856" w:name="_Toc123037739"/>
      <w:bookmarkStart w:id="857" w:name="_Toc123037850"/>
      <w:bookmarkStart w:id="858" w:name="_Toc123037972"/>
      <w:bookmarkStart w:id="859" w:name="_Toc121295816"/>
      <w:bookmarkStart w:id="860" w:name="_Toc123037740"/>
      <w:bookmarkStart w:id="861" w:name="_Toc123037851"/>
      <w:bookmarkStart w:id="862" w:name="_Toc123037973"/>
      <w:bookmarkStart w:id="863" w:name="_Toc118669554"/>
      <w:bookmarkStart w:id="864" w:name="_Toc121409663"/>
      <w:bookmarkStart w:id="865" w:name="_Toc125635217"/>
      <w:bookmarkStart w:id="866" w:name="_Toc125732841"/>
      <w:bookmarkEnd w:id="856"/>
      <w:bookmarkEnd w:id="857"/>
      <w:bookmarkEnd w:id="858"/>
      <w:bookmarkEnd w:id="859"/>
      <w:bookmarkEnd w:id="860"/>
      <w:bookmarkEnd w:id="861"/>
      <w:bookmarkEnd w:id="862"/>
      <w:r w:rsidRPr="00FF2291">
        <w:rPr>
          <w:rFonts w:eastAsiaTheme="majorEastAsia" w:cstheme="majorBidi"/>
          <w:b/>
          <w:caps/>
          <w:noProof/>
          <w:szCs w:val="32"/>
        </w:rPr>
        <w:t>PARTNERING FOR RESPONSIBLE BEHAVIOUR</w:t>
      </w:r>
      <w:r w:rsidR="0015782A" w:rsidRPr="00FF2291">
        <w:rPr>
          <w:rFonts w:eastAsiaTheme="majorEastAsia" w:cstheme="majorBidi"/>
          <w:b/>
          <w:caps/>
          <w:noProof/>
          <w:szCs w:val="32"/>
        </w:rPr>
        <w:t>S</w:t>
      </w:r>
      <w:r w:rsidRPr="00FF2291">
        <w:rPr>
          <w:rFonts w:eastAsiaTheme="majorEastAsia" w:cstheme="majorBidi"/>
          <w:b/>
          <w:caps/>
          <w:noProof/>
          <w:szCs w:val="32"/>
        </w:rPr>
        <w:t xml:space="preserve"> IN OUTER SPACE</w:t>
      </w:r>
      <w:bookmarkEnd w:id="816"/>
      <w:bookmarkEnd w:id="863"/>
      <w:bookmarkEnd w:id="864"/>
      <w:bookmarkEnd w:id="865"/>
      <w:bookmarkEnd w:id="866"/>
    </w:p>
    <w:p w14:paraId="4FF7FB37" w14:textId="77777777" w:rsidR="008C75D3" w:rsidRPr="00F70DEE" w:rsidRDefault="008C75D3" w:rsidP="008C75D3">
      <w:pPr>
        <w:rPr>
          <w:noProof/>
        </w:rPr>
      </w:pPr>
      <w:r w:rsidRPr="00F70DEE">
        <w:rPr>
          <w:noProof/>
        </w:rPr>
        <w:t xml:space="preserve">Forging strong external partnerships is essential </w:t>
      </w:r>
      <w:r w:rsidR="004F1A3F" w:rsidRPr="00F70DEE">
        <w:rPr>
          <w:noProof/>
        </w:rPr>
        <w:t>to</w:t>
      </w:r>
      <w:r w:rsidRPr="00F70DEE">
        <w:rPr>
          <w:noProof/>
        </w:rPr>
        <w:t xml:space="preserve"> promot</w:t>
      </w:r>
      <w:r w:rsidR="004F1A3F" w:rsidRPr="00F70DEE">
        <w:rPr>
          <w:noProof/>
        </w:rPr>
        <w:t>e</w:t>
      </w:r>
      <w:r w:rsidRPr="00F70DEE">
        <w:rPr>
          <w:noProof/>
        </w:rPr>
        <w:t xml:space="preserve"> a common vision for peaceful and responsible behaviour</w:t>
      </w:r>
      <w:r w:rsidR="00C7658E">
        <w:rPr>
          <w:noProof/>
        </w:rPr>
        <w:t>s</w:t>
      </w:r>
      <w:r w:rsidRPr="00F70DEE">
        <w:rPr>
          <w:noProof/>
        </w:rPr>
        <w:t xml:space="preserve"> in space</w:t>
      </w:r>
      <w:r w:rsidR="00E35B13" w:rsidRPr="00F70DEE">
        <w:rPr>
          <w:noProof/>
        </w:rPr>
        <w:t xml:space="preserve">, </w:t>
      </w:r>
      <w:r w:rsidRPr="00F70DEE">
        <w:rPr>
          <w:noProof/>
        </w:rPr>
        <w:t>respon</w:t>
      </w:r>
      <w:r w:rsidR="004F1A3F" w:rsidRPr="00F70DEE">
        <w:rPr>
          <w:noProof/>
        </w:rPr>
        <w:t>d</w:t>
      </w:r>
      <w:r w:rsidRPr="00F70DEE">
        <w:rPr>
          <w:noProof/>
        </w:rPr>
        <w:t xml:space="preserve"> to space threats and support the use of space services for security and defence</w:t>
      </w:r>
    </w:p>
    <w:p w14:paraId="776D3AD4" w14:textId="77777777" w:rsidR="008C75D3" w:rsidRPr="00F70DEE" w:rsidRDefault="008C75D3" w:rsidP="00415D95">
      <w:pPr>
        <w:keepNext/>
        <w:keepLines/>
        <w:numPr>
          <w:ilvl w:val="1"/>
          <w:numId w:val="3"/>
        </w:numPr>
        <w:spacing w:before="40"/>
        <w:ind w:left="576" w:hanging="576"/>
        <w:outlineLvl w:val="1"/>
        <w:rPr>
          <w:rFonts w:cs="Times New Roman"/>
          <w:b/>
          <w:noProof/>
          <w:szCs w:val="24"/>
        </w:rPr>
      </w:pPr>
      <w:bookmarkStart w:id="867" w:name="_Toc118669555"/>
      <w:bookmarkStart w:id="868" w:name="_Toc119493618"/>
      <w:bookmarkStart w:id="869" w:name="_Toc121409664"/>
      <w:bookmarkStart w:id="870" w:name="_Toc125732842"/>
      <w:bookmarkStart w:id="871" w:name="_Toc121087839"/>
      <w:bookmarkStart w:id="872" w:name="_Toc121087880"/>
      <w:bookmarkStart w:id="873" w:name="_Toc118669557"/>
      <w:r w:rsidRPr="00F70DEE">
        <w:rPr>
          <w:rFonts w:cs="Times New Roman"/>
          <w:b/>
          <w:noProof/>
          <w:szCs w:val="24"/>
        </w:rPr>
        <w:t>Promoting norms rules and principles for responsible behaviours in outer space</w:t>
      </w:r>
      <w:bookmarkEnd w:id="867"/>
      <w:bookmarkEnd w:id="868"/>
      <w:bookmarkEnd w:id="869"/>
      <w:bookmarkEnd w:id="870"/>
      <w:r w:rsidRPr="00F70DEE">
        <w:rPr>
          <w:rFonts w:cs="Times New Roman"/>
          <w:b/>
          <w:noProof/>
          <w:szCs w:val="24"/>
        </w:rPr>
        <w:t xml:space="preserve"> </w:t>
      </w:r>
      <w:bookmarkEnd w:id="871"/>
    </w:p>
    <w:p w14:paraId="3476CCA7" w14:textId="77777777" w:rsidR="008C75D3" w:rsidRPr="00F70DEE" w:rsidRDefault="002F7297" w:rsidP="008C75D3">
      <w:pPr>
        <w:rPr>
          <w:rFonts w:cs="Times New Roman"/>
          <w:noProof/>
        </w:rPr>
      </w:pPr>
      <w:r w:rsidRPr="00F70DEE">
        <w:rPr>
          <w:rFonts w:cs="Times New Roman"/>
          <w:noProof/>
        </w:rPr>
        <w:t>Avoid</w:t>
      </w:r>
      <w:r w:rsidR="008C75D3" w:rsidRPr="00F70DEE">
        <w:rPr>
          <w:rFonts w:cs="Times New Roman"/>
          <w:noProof/>
        </w:rPr>
        <w:t xml:space="preserve">ing an arms race in outer space and preventing </w:t>
      </w:r>
      <w:r w:rsidR="00520D90">
        <w:rPr>
          <w:rFonts w:cs="Times New Roman"/>
          <w:noProof/>
        </w:rPr>
        <w:t>it</w:t>
      </w:r>
      <w:r w:rsidR="008C75D3" w:rsidRPr="00F70DEE">
        <w:rPr>
          <w:rFonts w:cs="Times New Roman"/>
          <w:noProof/>
        </w:rPr>
        <w:t xml:space="preserve"> from becoming an area of conflict is crucial </w:t>
      </w:r>
      <w:r w:rsidR="008C75D3" w:rsidRPr="00CD26FA">
        <w:rPr>
          <w:rFonts w:cs="Times New Roman"/>
          <w:noProof/>
        </w:rPr>
        <w:t>to safeguard the long-term use of the space environment for peaceful purposes.</w:t>
      </w:r>
    </w:p>
    <w:p w14:paraId="4C960366" w14:textId="77777777" w:rsidR="001102CA" w:rsidRPr="00F70DEE" w:rsidRDefault="008C75D3" w:rsidP="008C75D3">
      <w:pPr>
        <w:rPr>
          <w:rFonts w:cs="Times New Roman"/>
          <w:noProof/>
        </w:rPr>
      </w:pPr>
      <w:r w:rsidRPr="00F70DEE">
        <w:rPr>
          <w:noProof/>
        </w:rPr>
        <w:t>The 1967 Outer Space Treaty and the principles developed in the U</w:t>
      </w:r>
      <w:r w:rsidR="00520D90">
        <w:rPr>
          <w:noProof/>
        </w:rPr>
        <w:t xml:space="preserve">nited </w:t>
      </w:r>
      <w:r w:rsidRPr="00F70DEE">
        <w:rPr>
          <w:noProof/>
        </w:rPr>
        <w:t>N</w:t>
      </w:r>
      <w:r w:rsidR="00520D90">
        <w:rPr>
          <w:noProof/>
        </w:rPr>
        <w:t>ations (UN)</w:t>
      </w:r>
      <w:r w:rsidRPr="00F70DEE">
        <w:rPr>
          <w:noProof/>
        </w:rPr>
        <w:t xml:space="preserve"> framework </w:t>
      </w:r>
      <w:r w:rsidR="00520D90">
        <w:rPr>
          <w:noProof/>
        </w:rPr>
        <w:t>are</w:t>
      </w:r>
      <w:r w:rsidRPr="00F70DEE">
        <w:rPr>
          <w:noProof/>
        </w:rPr>
        <w:t xml:space="preserve"> the cornerstone of the global governance of outer space</w:t>
      </w:r>
      <w:r w:rsidR="00CD1BFC" w:rsidRPr="00F70DEE">
        <w:rPr>
          <w:noProof/>
        </w:rPr>
        <w:t>, together with</w:t>
      </w:r>
      <w:r w:rsidRPr="00F70DEE">
        <w:rPr>
          <w:noProof/>
        </w:rPr>
        <w:t xml:space="preserve"> </w:t>
      </w:r>
      <w:r w:rsidRPr="00F70DEE">
        <w:rPr>
          <w:rFonts w:cs="Times New Roman"/>
          <w:noProof/>
        </w:rPr>
        <w:t>relevant resolutions adopted by the UN General Assembly.</w:t>
      </w:r>
    </w:p>
    <w:p w14:paraId="320D4D00" w14:textId="39E4239F" w:rsidR="008C75D3" w:rsidRPr="00F70DEE" w:rsidRDefault="003042DD" w:rsidP="008C75D3">
      <w:pPr>
        <w:rPr>
          <w:noProof/>
        </w:rPr>
      </w:pPr>
      <w:r>
        <w:rPr>
          <w:noProof/>
          <w:szCs w:val="24"/>
        </w:rPr>
        <w:t>In complementarity, a</w:t>
      </w:r>
      <w:r w:rsidR="001102CA" w:rsidRPr="00F70DEE">
        <w:rPr>
          <w:noProof/>
          <w:szCs w:val="24"/>
        </w:rPr>
        <w:t xml:space="preserve"> non-legally binding, transparency and confidence-building instrument would be an effective tool</w:t>
      </w:r>
      <w:r w:rsidR="001102CA" w:rsidRPr="00F70DEE">
        <w:rPr>
          <w:rStyle w:val="FootnoteReference"/>
          <w:noProof/>
          <w:szCs w:val="24"/>
        </w:rPr>
        <w:footnoteReference w:id="37"/>
      </w:r>
      <w:r w:rsidR="001102CA" w:rsidRPr="00F70DEE">
        <w:rPr>
          <w:noProof/>
          <w:szCs w:val="24"/>
        </w:rPr>
        <w:t>.</w:t>
      </w:r>
      <w:r w:rsidR="00667917">
        <w:rPr>
          <w:noProof/>
          <w:szCs w:val="24"/>
        </w:rPr>
        <w:t xml:space="preserve"> </w:t>
      </w:r>
      <w:r w:rsidR="00F12223" w:rsidRPr="00F70DEE">
        <w:rPr>
          <w:noProof/>
          <w:szCs w:val="24"/>
        </w:rPr>
        <w:t>A</w:t>
      </w:r>
      <w:r w:rsidR="008C75D3" w:rsidRPr="00F70DEE">
        <w:rPr>
          <w:noProof/>
          <w:szCs w:val="24"/>
        </w:rPr>
        <w:t xml:space="preserve">dditional measures </w:t>
      </w:r>
      <w:r w:rsidR="00F12223" w:rsidRPr="00F70DEE">
        <w:rPr>
          <w:noProof/>
          <w:szCs w:val="24"/>
        </w:rPr>
        <w:t>should</w:t>
      </w:r>
      <w:r w:rsidR="008C75D3" w:rsidRPr="00F70DEE">
        <w:rPr>
          <w:noProof/>
          <w:szCs w:val="24"/>
        </w:rPr>
        <w:t xml:space="preserve"> supplement the relevant traditional disarmament and arms control tools</w:t>
      </w:r>
      <w:r w:rsidR="00C704D5" w:rsidRPr="00F70DEE">
        <w:rPr>
          <w:noProof/>
          <w:szCs w:val="24"/>
        </w:rPr>
        <w:t xml:space="preserve"> </w:t>
      </w:r>
      <w:r w:rsidR="002D31B5" w:rsidRPr="00F70DEE">
        <w:rPr>
          <w:noProof/>
          <w:szCs w:val="24"/>
        </w:rPr>
        <w:t>to address</w:t>
      </w:r>
      <w:r w:rsidR="008C75D3" w:rsidRPr="00F70DEE">
        <w:rPr>
          <w:noProof/>
          <w:szCs w:val="24"/>
        </w:rPr>
        <w:t xml:space="preserve"> irresponsible behaviours </w:t>
      </w:r>
      <w:r w:rsidR="0012547F">
        <w:rPr>
          <w:noProof/>
          <w:szCs w:val="24"/>
        </w:rPr>
        <w:t>that</w:t>
      </w:r>
      <w:r w:rsidR="0019739C" w:rsidRPr="00F70DEE">
        <w:rPr>
          <w:noProof/>
          <w:szCs w:val="24"/>
        </w:rPr>
        <w:t xml:space="preserve"> </w:t>
      </w:r>
      <w:r w:rsidR="008C75D3" w:rsidRPr="00F70DEE">
        <w:rPr>
          <w:noProof/>
          <w:szCs w:val="24"/>
        </w:rPr>
        <w:t>may lead to escalation</w:t>
      </w:r>
      <w:r w:rsidR="003236EA" w:rsidRPr="00F70DEE">
        <w:rPr>
          <w:noProof/>
          <w:szCs w:val="24"/>
        </w:rPr>
        <w:t>,</w:t>
      </w:r>
      <w:r w:rsidR="008C75D3" w:rsidRPr="00F70DEE">
        <w:rPr>
          <w:noProof/>
          <w:szCs w:val="24"/>
        </w:rPr>
        <w:t xml:space="preserve"> including due to misunderstanding, misinterpretation</w:t>
      </w:r>
      <w:r w:rsidR="00FF2DC9" w:rsidRPr="00F70DEE">
        <w:rPr>
          <w:noProof/>
          <w:szCs w:val="24"/>
        </w:rPr>
        <w:t>,</w:t>
      </w:r>
      <w:r w:rsidR="008C75D3" w:rsidRPr="00F70DEE">
        <w:rPr>
          <w:noProof/>
          <w:szCs w:val="24"/>
        </w:rPr>
        <w:t xml:space="preserve"> or miscalculation. In this regard, the</w:t>
      </w:r>
      <w:r w:rsidR="00520D90">
        <w:rPr>
          <w:noProof/>
          <w:szCs w:val="24"/>
        </w:rPr>
        <w:t xml:space="preserve"> </w:t>
      </w:r>
      <w:r w:rsidR="008C75D3" w:rsidRPr="00F70DEE">
        <w:rPr>
          <w:noProof/>
          <w:shd w:val="clear" w:color="auto" w:fill="FFFFFF"/>
        </w:rPr>
        <w:t xml:space="preserve">commitment </w:t>
      </w:r>
      <w:r w:rsidR="00520D90">
        <w:rPr>
          <w:noProof/>
          <w:shd w:val="clear" w:color="auto" w:fill="FFFFFF"/>
        </w:rPr>
        <w:t xml:space="preserve">of the United States (US) </w:t>
      </w:r>
      <w:r w:rsidR="008C75D3" w:rsidRPr="00F70DEE">
        <w:rPr>
          <w:noProof/>
          <w:shd w:val="clear" w:color="auto" w:fill="FFFFFF"/>
        </w:rPr>
        <w:t>not to conduct destructive, direct-ascent ASAT missile testing, which has been joined by Germany and France</w:t>
      </w:r>
      <w:r w:rsidR="003236EA" w:rsidRPr="00F70DEE">
        <w:rPr>
          <w:noProof/>
          <w:shd w:val="clear" w:color="auto" w:fill="FFFFFF"/>
        </w:rPr>
        <w:t>,</w:t>
      </w:r>
      <w:r w:rsidR="008C75D3" w:rsidRPr="00F70DEE">
        <w:rPr>
          <w:noProof/>
          <w:szCs w:val="24"/>
        </w:rPr>
        <w:t xml:space="preserve"> </w:t>
      </w:r>
      <w:r w:rsidR="00673E84" w:rsidRPr="00F70DEE">
        <w:rPr>
          <w:noProof/>
          <w:szCs w:val="24"/>
        </w:rPr>
        <w:t>i</w:t>
      </w:r>
      <w:r w:rsidR="008C75D3" w:rsidRPr="00F70DEE">
        <w:rPr>
          <w:noProof/>
          <w:szCs w:val="24"/>
        </w:rPr>
        <w:t>s a pragmatic, concrete</w:t>
      </w:r>
      <w:r w:rsidR="00FF2DC9" w:rsidRPr="00F70DEE">
        <w:rPr>
          <w:noProof/>
          <w:szCs w:val="24"/>
        </w:rPr>
        <w:t>,</w:t>
      </w:r>
      <w:r w:rsidR="008C75D3" w:rsidRPr="00F70DEE">
        <w:rPr>
          <w:noProof/>
          <w:szCs w:val="24"/>
        </w:rPr>
        <w:t xml:space="preserve"> and measurable step forward. The EU and all its </w:t>
      </w:r>
      <w:r w:rsidR="008C75D3" w:rsidRPr="00F70DEE">
        <w:rPr>
          <w:noProof/>
          <w:shd w:val="clear" w:color="auto" w:fill="FFFFFF"/>
        </w:rPr>
        <w:t>Member States supported the corresponding Resolution</w:t>
      </w:r>
      <w:r w:rsidR="008C75D3" w:rsidRPr="00F70DEE">
        <w:rPr>
          <w:noProof/>
          <w:shd w:val="clear" w:color="auto" w:fill="FFFFFF"/>
          <w:vertAlign w:val="superscript"/>
        </w:rPr>
        <w:footnoteReference w:id="38"/>
      </w:r>
      <w:r w:rsidR="008C75D3" w:rsidRPr="00F70DEE">
        <w:rPr>
          <w:noProof/>
          <w:shd w:val="clear" w:color="auto" w:fill="FFFFFF"/>
          <w:vertAlign w:val="superscript"/>
        </w:rPr>
        <w:t xml:space="preserve"> </w:t>
      </w:r>
      <w:r w:rsidR="008C75D3" w:rsidRPr="00F70DEE">
        <w:rPr>
          <w:noProof/>
          <w:shd w:val="clear" w:color="auto" w:fill="FFFFFF"/>
        </w:rPr>
        <w:t>approved at the 77</w:t>
      </w:r>
      <w:r w:rsidR="008C75D3" w:rsidRPr="00F70DEE">
        <w:rPr>
          <w:noProof/>
          <w:shd w:val="clear" w:color="auto" w:fill="FFFFFF"/>
          <w:vertAlign w:val="superscript"/>
        </w:rPr>
        <w:t>th</w:t>
      </w:r>
      <w:r w:rsidR="008C75D3" w:rsidRPr="00F70DEE">
        <w:rPr>
          <w:noProof/>
          <w:shd w:val="clear" w:color="auto" w:fill="FFFFFF"/>
        </w:rPr>
        <w:t xml:space="preserve"> session of the UN General Assembly </w:t>
      </w:r>
      <w:r w:rsidR="008C75D3" w:rsidRPr="00F70DEE">
        <w:rPr>
          <w:noProof/>
        </w:rPr>
        <w:t>in October 2022.</w:t>
      </w:r>
    </w:p>
    <w:p w14:paraId="434FD6E3" w14:textId="77777777" w:rsidR="008C75D3" w:rsidRPr="00F70DEE" w:rsidRDefault="008C75D3" w:rsidP="00415D95">
      <w:pPr>
        <w:keepNext/>
        <w:keepLines/>
        <w:numPr>
          <w:ilvl w:val="1"/>
          <w:numId w:val="3"/>
        </w:numPr>
        <w:spacing w:before="40"/>
        <w:ind w:left="576" w:hanging="576"/>
        <w:outlineLvl w:val="1"/>
        <w:rPr>
          <w:b/>
          <w:noProof/>
        </w:rPr>
      </w:pPr>
      <w:bookmarkStart w:id="874" w:name="_Toc121087840"/>
      <w:bookmarkStart w:id="875" w:name="_Toc121087841"/>
      <w:bookmarkStart w:id="876" w:name="_Toc121087842"/>
      <w:bookmarkStart w:id="877" w:name="_Toc121087843"/>
      <w:bookmarkStart w:id="878" w:name="_Toc121087844"/>
      <w:bookmarkStart w:id="879" w:name="_Toc121087845"/>
      <w:bookmarkStart w:id="880" w:name="_Toc121087846"/>
      <w:bookmarkStart w:id="881" w:name="_Toc121087847"/>
      <w:bookmarkStart w:id="882" w:name="_Toc121087848"/>
      <w:bookmarkStart w:id="883" w:name="_Toc121087849"/>
      <w:bookmarkStart w:id="884" w:name="_Toc121087850"/>
      <w:bookmarkStart w:id="885" w:name="_Toc118669556"/>
      <w:bookmarkStart w:id="886" w:name="_Toc121087851"/>
      <w:bookmarkStart w:id="887" w:name="_Toc119493619"/>
      <w:bookmarkStart w:id="888" w:name="_Toc121409665"/>
      <w:bookmarkStart w:id="889" w:name="_Toc125732843"/>
      <w:bookmarkEnd w:id="874"/>
      <w:bookmarkEnd w:id="875"/>
      <w:bookmarkEnd w:id="876"/>
      <w:bookmarkEnd w:id="877"/>
      <w:bookmarkEnd w:id="878"/>
      <w:bookmarkEnd w:id="879"/>
      <w:bookmarkEnd w:id="880"/>
      <w:bookmarkEnd w:id="881"/>
      <w:bookmarkEnd w:id="882"/>
      <w:bookmarkEnd w:id="883"/>
      <w:bookmarkEnd w:id="884"/>
      <w:r w:rsidRPr="00F70DEE">
        <w:rPr>
          <w:rFonts w:cs="Times New Roman"/>
          <w:b/>
          <w:noProof/>
          <w:szCs w:val="24"/>
        </w:rPr>
        <w:t xml:space="preserve">Engaging with the United Nations on space </w:t>
      </w:r>
      <w:bookmarkEnd w:id="885"/>
      <w:r w:rsidRPr="00F70DEE">
        <w:rPr>
          <w:rFonts w:cs="Times New Roman"/>
          <w:b/>
          <w:noProof/>
          <w:szCs w:val="24"/>
        </w:rPr>
        <w:t>and security</w:t>
      </w:r>
      <w:bookmarkEnd w:id="886"/>
      <w:bookmarkEnd w:id="887"/>
      <w:bookmarkEnd w:id="888"/>
      <w:bookmarkEnd w:id="889"/>
    </w:p>
    <w:p w14:paraId="68F38CCB" w14:textId="2209424C" w:rsidR="008C75D3" w:rsidRPr="00F70DEE" w:rsidRDefault="008C75D3" w:rsidP="008C75D3">
      <w:pPr>
        <w:rPr>
          <w:rFonts w:cs="Times New Roman"/>
          <w:noProof/>
        </w:rPr>
      </w:pPr>
      <w:r w:rsidRPr="00F70DEE">
        <w:rPr>
          <w:rFonts w:cs="Times New Roman"/>
          <w:noProof/>
        </w:rPr>
        <w:t xml:space="preserve">The </w:t>
      </w:r>
      <w:r w:rsidR="00B14077" w:rsidRPr="00F70DEE">
        <w:rPr>
          <w:rFonts w:cs="Times New Roman"/>
          <w:noProof/>
        </w:rPr>
        <w:t>EU</w:t>
      </w:r>
      <w:r w:rsidRPr="00F70DEE">
        <w:rPr>
          <w:rFonts w:cs="Times New Roman"/>
          <w:noProof/>
        </w:rPr>
        <w:t xml:space="preserve"> will take full benefit of </w:t>
      </w:r>
      <w:r w:rsidR="00B14077" w:rsidRPr="00F70DEE">
        <w:rPr>
          <w:rFonts w:cs="Times New Roman"/>
          <w:noProof/>
        </w:rPr>
        <w:t>its</w:t>
      </w:r>
      <w:r w:rsidRPr="00F70DEE">
        <w:rPr>
          <w:rFonts w:cs="Times New Roman"/>
          <w:noProof/>
        </w:rPr>
        <w:t xml:space="preserve"> permanent observer</w:t>
      </w:r>
      <w:r w:rsidR="0012547F">
        <w:rPr>
          <w:rFonts w:cs="Times New Roman"/>
          <w:noProof/>
        </w:rPr>
        <w:t xml:space="preserve"> status</w:t>
      </w:r>
      <w:r w:rsidRPr="00F70DEE">
        <w:rPr>
          <w:rFonts w:cs="Times New Roman"/>
          <w:noProof/>
        </w:rPr>
        <w:t xml:space="preserve"> in the United Nations (UN) to act side by side with its Member States in discussions </w:t>
      </w:r>
      <w:r w:rsidR="0012547F">
        <w:rPr>
          <w:rFonts w:cs="Times New Roman"/>
          <w:noProof/>
        </w:rPr>
        <w:t>on</w:t>
      </w:r>
      <w:r w:rsidRPr="00F70DEE">
        <w:rPr>
          <w:rFonts w:cs="Times New Roman"/>
          <w:noProof/>
        </w:rPr>
        <w:t xml:space="preserve"> outer space</w:t>
      </w:r>
      <w:r w:rsidR="00B14077" w:rsidRPr="00F70DEE">
        <w:rPr>
          <w:rFonts w:cs="Times New Roman"/>
          <w:noProof/>
        </w:rPr>
        <w:t>. The EU</w:t>
      </w:r>
      <w:r w:rsidRPr="00F70DEE">
        <w:rPr>
          <w:rFonts w:cs="Times New Roman"/>
          <w:noProof/>
        </w:rPr>
        <w:t xml:space="preserve"> will continue to participate </w:t>
      </w:r>
      <w:r w:rsidR="0012547F">
        <w:rPr>
          <w:rFonts w:cs="Times New Roman"/>
          <w:noProof/>
        </w:rPr>
        <w:t xml:space="preserve">in </w:t>
      </w:r>
      <w:r w:rsidRPr="00F70DEE">
        <w:rPr>
          <w:rFonts w:cs="Times New Roman"/>
          <w:noProof/>
        </w:rPr>
        <w:t>and actively contribute</w:t>
      </w:r>
      <w:r w:rsidR="00B14077" w:rsidRPr="00F70DEE">
        <w:rPr>
          <w:rFonts w:cs="Times New Roman"/>
          <w:noProof/>
        </w:rPr>
        <w:t>:</w:t>
      </w:r>
    </w:p>
    <w:p w14:paraId="626D28C7" w14:textId="77777777" w:rsidR="008C75D3" w:rsidRPr="00F70DEE" w:rsidRDefault="008C75D3" w:rsidP="008C75D3">
      <w:pPr>
        <w:numPr>
          <w:ilvl w:val="0"/>
          <w:numId w:val="2"/>
        </w:numPr>
        <w:spacing w:line="240" w:lineRule="auto"/>
        <w:ind w:left="426" w:hanging="357"/>
        <w:rPr>
          <w:noProof/>
          <w:szCs w:val="24"/>
        </w:rPr>
      </w:pPr>
      <w:r w:rsidRPr="00F70DEE">
        <w:rPr>
          <w:noProof/>
          <w:szCs w:val="24"/>
        </w:rPr>
        <w:t xml:space="preserve">to the UN Committee on Peaceful Uses of Outer Space (COPUOS) and its subsidiary bodies and </w:t>
      </w:r>
      <w:r w:rsidR="009D7585" w:rsidRPr="00F70DEE">
        <w:rPr>
          <w:noProof/>
          <w:szCs w:val="24"/>
        </w:rPr>
        <w:t xml:space="preserve">to </w:t>
      </w:r>
      <w:r w:rsidRPr="00F70DEE">
        <w:rPr>
          <w:noProof/>
          <w:szCs w:val="24"/>
        </w:rPr>
        <w:t>the Special Political and Decolonization Committee (Fourth Committee) of the UN General Assembly for issues pertaining to space safety</w:t>
      </w:r>
      <w:r w:rsidR="00B14077" w:rsidRPr="00F70DEE">
        <w:rPr>
          <w:noProof/>
          <w:szCs w:val="24"/>
        </w:rPr>
        <w:t>;</w:t>
      </w:r>
      <w:r w:rsidR="00520D90">
        <w:rPr>
          <w:noProof/>
          <w:szCs w:val="24"/>
        </w:rPr>
        <w:t xml:space="preserve"> and</w:t>
      </w:r>
    </w:p>
    <w:p w14:paraId="10C23CC0" w14:textId="77777777" w:rsidR="008C75D3" w:rsidRPr="00F70DEE" w:rsidRDefault="00B14077" w:rsidP="008C75D3">
      <w:pPr>
        <w:numPr>
          <w:ilvl w:val="0"/>
          <w:numId w:val="2"/>
        </w:numPr>
        <w:spacing w:line="240" w:lineRule="auto"/>
        <w:ind w:left="426" w:hanging="357"/>
        <w:rPr>
          <w:noProof/>
          <w:szCs w:val="24"/>
        </w:rPr>
      </w:pPr>
      <w:r w:rsidRPr="00F70DEE">
        <w:rPr>
          <w:noProof/>
          <w:szCs w:val="24"/>
        </w:rPr>
        <w:t xml:space="preserve">to </w:t>
      </w:r>
      <w:r w:rsidR="008C75D3" w:rsidRPr="00F70DEE">
        <w:rPr>
          <w:noProof/>
          <w:szCs w:val="24"/>
        </w:rPr>
        <w:t>the Conference of Disarmament and the Disarmament and International Security Committee (First Committee) of the UN General Assembly for issues pertaining to space safety</w:t>
      </w:r>
      <w:r w:rsidR="002D11AD">
        <w:rPr>
          <w:noProof/>
          <w:szCs w:val="24"/>
        </w:rPr>
        <w:t xml:space="preserve"> and</w:t>
      </w:r>
      <w:r w:rsidR="008C75D3" w:rsidRPr="00F70DEE">
        <w:rPr>
          <w:noProof/>
          <w:szCs w:val="24"/>
        </w:rPr>
        <w:t xml:space="preserve"> security.</w:t>
      </w:r>
    </w:p>
    <w:p w14:paraId="06A15F28" w14:textId="1F222C83" w:rsidR="005D3EE4" w:rsidRPr="00F70DEE" w:rsidRDefault="005D3EE4" w:rsidP="004D0308">
      <w:pPr>
        <w:rPr>
          <w:rFonts w:cs="Times New Roman"/>
          <w:noProof/>
        </w:rPr>
      </w:pPr>
      <w:r w:rsidRPr="00F70DEE">
        <w:rPr>
          <w:rFonts w:cs="Times New Roman"/>
          <w:noProof/>
        </w:rPr>
        <w:t>The EU and its Member States support</w:t>
      </w:r>
      <w:r w:rsidRPr="00F70DEE">
        <w:rPr>
          <w:rFonts w:cs="Times New Roman"/>
          <w:noProof/>
          <w:vertAlign w:val="superscript"/>
        </w:rPr>
        <w:footnoteReference w:id="39"/>
      </w:r>
      <w:r w:rsidRPr="00F70DEE">
        <w:rPr>
          <w:rFonts w:cs="Times New Roman"/>
          <w:noProof/>
        </w:rPr>
        <w:t xml:space="preserve"> the Open</w:t>
      </w:r>
      <w:r w:rsidR="00667917">
        <w:rPr>
          <w:rFonts w:cs="Times New Roman"/>
          <w:noProof/>
        </w:rPr>
        <w:t>-</w:t>
      </w:r>
      <w:r w:rsidRPr="00F70DEE">
        <w:rPr>
          <w:rFonts w:cs="Times New Roman"/>
          <w:noProof/>
        </w:rPr>
        <w:t>Ended Working Group on reducing space threats through norms</w:t>
      </w:r>
      <w:r w:rsidR="002D11AD">
        <w:rPr>
          <w:rFonts w:cs="Times New Roman"/>
          <w:noProof/>
        </w:rPr>
        <w:t>,</w:t>
      </w:r>
      <w:r w:rsidRPr="00F70DEE">
        <w:rPr>
          <w:rFonts w:cs="Times New Roman"/>
          <w:noProof/>
        </w:rPr>
        <w:t xml:space="preserve"> rules and principles of responsible behaviours (OEWG)</w:t>
      </w:r>
      <w:r w:rsidRPr="00F70DEE">
        <w:rPr>
          <w:rFonts w:cs="Times New Roman"/>
          <w:noProof/>
          <w:vertAlign w:val="superscript"/>
        </w:rPr>
        <w:footnoteReference w:id="40"/>
      </w:r>
      <w:r w:rsidRPr="00F70DEE">
        <w:rPr>
          <w:rFonts w:cs="Times New Roman"/>
          <w:noProof/>
        </w:rPr>
        <w:t>, as a pragmatic step that helps build</w:t>
      </w:r>
      <w:r w:rsidR="003042DD">
        <w:rPr>
          <w:rFonts w:cs="Times New Roman"/>
          <w:noProof/>
        </w:rPr>
        <w:t xml:space="preserve"> </w:t>
      </w:r>
      <w:r w:rsidRPr="00F70DEE">
        <w:rPr>
          <w:rFonts w:cs="Times New Roman"/>
          <w:noProof/>
        </w:rPr>
        <w:t>a common understanding of what can be considered responsible and irresponsible behaviours.</w:t>
      </w:r>
    </w:p>
    <w:p w14:paraId="77CC26FE" w14:textId="77777777" w:rsidR="008C75D3" w:rsidRPr="00F70DEE" w:rsidRDefault="008C75D3" w:rsidP="008C75D3">
      <w:pPr>
        <w:rPr>
          <w:rFonts w:cs="Times New Roman"/>
          <w:noProof/>
        </w:rPr>
      </w:pPr>
      <w:r w:rsidRPr="00F70DEE">
        <w:rPr>
          <w:rFonts w:cs="Times New Roman"/>
          <w:noProof/>
        </w:rPr>
        <w:t xml:space="preserve">The main challenge for the </w:t>
      </w:r>
      <w:r w:rsidR="00A30BE1" w:rsidRPr="00F70DEE">
        <w:rPr>
          <w:rFonts w:cs="Times New Roman"/>
          <w:noProof/>
        </w:rPr>
        <w:t>E</w:t>
      </w:r>
      <w:r w:rsidRPr="00F70DEE">
        <w:rPr>
          <w:rFonts w:cs="Times New Roman"/>
          <w:noProof/>
        </w:rPr>
        <w:t xml:space="preserve">U </w:t>
      </w:r>
      <w:r w:rsidRPr="00F70DEE">
        <w:rPr>
          <w:noProof/>
        </w:rPr>
        <w:t>and</w:t>
      </w:r>
      <w:r w:rsidRPr="00F70DEE">
        <w:rPr>
          <w:rFonts w:cs="Times New Roman"/>
          <w:noProof/>
        </w:rPr>
        <w:t xml:space="preserve"> its Member States together with likeminded partners is to convince the vast majority of UN </w:t>
      </w:r>
      <w:r w:rsidR="002D11AD">
        <w:rPr>
          <w:rFonts w:cs="Times New Roman"/>
          <w:noProof/>
        </w:rPr>
        <w:t xml:space="preserve">member </w:t>
      </w:r>
      <w:r w:rsidR="00B14077" w:rsidRPr="00F70DEE">
        <w:rPr>
          <w:rFonts w:cs="Times New Roman"/>
          <w:noProof/>
        </w:rPr>
        <w:t>countries</w:t>
      </w:r>
      <w:r w:rsidRPr="00F70DEE">
        <w:rPr>
          <w:rFonts w:cs="Times New Roman"/>
          <w:noProof/>
        </w:rPr>
        <w:t xml:space="preserve"> of the relevance of </w:t>
      </w:r>
      <w:r w:rsidR="00396BC6" w:rsidRPr="00F70DEE">
        <w:rPr>
          <w:rFonts w:cs="Times New Roman"/>
          <w:noProof/>
        </w:rPr>
        <w:t>a</w:t>
      </w:r>
      <w:r w:rsidRPr="00F70DEE">
        <w:rPr>
          <w:rFonts w:cs="Times New Roman"/>
          <w:noProof/>
        </w:rPr>
        <w:t xml:space="preserve"> normative approach.  </w:t>
      </w:r>
      <w:r w:rsidRPr="00F70DEE">
        <w:rPr>
          <w:noProof/>
        </w:rPr>
        <w:t>The EU and its Member States will work towards broadening</w:t>
      </w:r>
      <w:r w:rsidR="00946ADF" w:rsidRPr="00F70DEE">
        <w:rPr>
          <w:noProof/>
        </w:rPr>
        <w:t xml:space="preserve"> international</w:t>
      </w:r>
      <w:r w:rsidRPr="00F70DEE">
        <w:rPr>
          <w:noProof/>
        </w:rPr>
        <w:t xml:space="preserve"> support </w:t>
      </w:r>
      <w:r w:rsidR="00F52397">
        <w:rPr>
          <w:noProof/>
        </w:rPr>
        <w:t>for</w:t>
      </w:r>
      <w:r w:rsidRPr="00F70DEE">
        <w:rPr>
          <w:noProof/>
        </w:rPr>
        <w:t xml:space="preserve"> </w:t>
      </w:r>
      <w:r w:rsidR="0012547F">
        <w:rPr>
          <w:noProof/>
        </w:rPr>
        <w:t>their</w:t>
      </w:r>
      <w:r w:rsidR="0012547F" w:rsidRPr="00F70DEE">
        <w:rPr>
          <w:noProof/>
        </w:rPr>
        <w:t xml:space="preserve"> </w:t>
      </w:r>
      <w:r w:rsidRPr="00F70DEE">
        <w:rPr>
          <w:noProof/>
        </w:rPr>
        <w:t>position on outer space.</w:t>
      </w:r>
    </w:p>
    <w:p w14:paraId="6E00D794" w14:textId="7D1270FB" w:rsidR="008C75D3" w:rsidRPr="00F70DEE" w:rsidRDefault="00F52397" w:rsidP="008C75D3">
      <w:pPr>
        <w:rPr>
          <w:rFonts w:cs="Times New Roman"/>
          <w:noProof/>
        </w:rPr>
      </w:pPr>
      <w:r>
        <w:rPr>
          <w:rFonts w:cs="Times New Roman"/>
          <w:noProof/>
        </w:rPr>
        <w:t>T</w:t>
      </w:r>
      <w:r w:rsidR="008C75D3" w:rsidRPr="00F70DEE">
        <w:rPr>
          <w:rFonts w:cs="Times New Roman"/>
          <w:noProof/>
        </w:rPr>
        <w:t xml:space="preserve">he </w:t>
      </w:r>
      <w:r w:rsidR="00B14077" w:rsidRPr="00F70DEE">
        <w:rPr>
          <w:rFonts w:cs="Times New Roman"/>
          <w:noProof/>
        </w:rPr>
        <w:t>EEAS</w:t>
      </w:r>
      <w:r w:rsidR="008C75D3" w:rsidRPr="00F70DEE">
        <w:rPr>
          <w:rFonts w:cs="Times New Roman"/>
          <w:noProof/>
        </w:rPr>
        <w:t xml:space="preserve"> </w:t>
      </w:r>
      <w:r w:rsidR="0012547F">
        <w:rPr>
          <w:rFonts w:cs="Times New Roman"/>
          <w:noProof/>
        </w:rPr>
        <w:t xml:space="preserve">has </w:t>
      </w:r>
      <w:r w:rsidR="008C75D3" w:rsidRPr="00F70DEE">
        <w:rPr>
          <w:rFonts w:cs="Times New Roman"/>
          <w:noProof/>
        </w:rPr>
        <w:t xml:space="preserve">launched a </w:t>
      </w:r>
      <w:r>
        <w:rPr>
          <w:rFonts w:cs="Times New Roman"/>
          <w:noProof/>
        </w:rPr>
        <w:t>‘</w:t>
      </w:r>
      <w:r w:rsidR="008C75D3" w:rsidRPr="00F70DEE">
        <w:rPr>
          <w:rFonts w:cs="Times New Roman"/>
          <w:noProof/>
        </w:rPr>
        <w:t>bottom-up</w:t>
      </w:r>
      <w:r>
        <w:rPr>
          <w:rFonts w:cs="Times New Roman"/>
          <w:noProof/>
        </w:rPr>
        <w:t>’</w:t>
      </w:r>
      <w:r w:rsidR="008C75D3" w:rsidRPr="00F70DEE">
        <w:rPr>
          <w:rFonts w:cs="Times New Roman"/>
          <w:noProof/>
        </w:rPr>
        <w:t xml:space="preserve"> public diplomacy initiative</w:t>
      </w:r>
      <w:r w:rsidR="008C75D3" w:rsidRPr="00F70DEE">
        <w:rPr>
          <w:noProof/>
        </w:rPr>
        <w:t xml:space="preserve"> </w:t>
      </w:r>
      <w:r w:rsidR="008C75D3" w:rsidRPr="00F70DEE">
        <w:rPr>
          <w:rFonts w:cs="Times New Roman"/>
          <w:noProof/>
        </w:rPr>
        <w:t>to build support for a Safe, Secure and Sustainable Outer Space</w:t>
      </w:r>
      <w:r w:rsidR="00E31538" w:rsidRPr="00F70DEE">
        <w:rPr>
          <w:rFonts w:cs="Times New Roman"/>
          <w:noProof/>
        </w:rPr>
        <w:t xml:space="preserve"> (3SOS)</w:t>
      </w:r>
      <w:r w:rsidR="008C75D3" w:rsidRPr="00F70DEE">
        <w:rPr>
          <w:rFonts w:cs="Times New Roman"/>
          <w:noProof/>
        </w:rPr>
        <w:t>, promoting a sustainable approach to space by encouraging collision avoidance, reducing the creation of long</w:t>
      </w:r>
      <w:r w:rsidR="00667917">
        <w:rPr>
          <w:rFonts w:cs="Times New Roman"/>
          <w:noProof/>
        </w:rPr>
        <w:t>-</w:t>
      </w:r>
      <w:r w:rsidR="008C75D3" w:rsidRPr="00F70DEE">
        <w:rPr>
          <w:rFonts w:cs="Times New Roman"/>
          <w:noProof/>
        </w:rPr>
        <w:t>lived orbital debris and promoting transparency and confidence-building measures</w:t>
      </w:r>
      <w:r w:rsidR="00E31538" w:rsidRPr="00F70DEE">
        <w:rPr>
          <w:rFonts w:cs="Times New Roman"/>
          <w:noProof/>
        </w:rPr>
        <w:t>. This will contribute to</w:t>
      </w:r>
      <w:r w:rsidR="008C75D3" w:rsidRPr="00F70DEE">
        <w:rPr>
          <w:rFonts w:cs="Times New Roman"/>
          <w:noProof/>
        </w:rPr>
        <w:t xml:space="preserve"> reduc</w:t>
      </w:r>
      <w:r w:rsidR="00E31538" w:rsidRPr="00F70DEE">
        <w:rPr>
          <w:rFonts w:cs="Times New Roman"/>
          <w:noProof/>
        </w:rPr>
        <w:t>ing</w:t>
      </w:r>
      <w:r w:rsidR="008C75D3" w:rsidRPr="00F70DEE">
        <w:rPr>
          <w:rFonts w:cs="Times New Roman"/>
          <w:noProof/>
        </w:rPr>
        <w:t xml:space="preserve"> mishaps, misperceptions, and mistrust.</w:t>
      </w:r>
    </w:p>
    <w:p w14:paraId="315B4BF7" w14:textId="2660EFCA" w:rsidR="008C75D3" w:rsidRPr="00F70DEE" w:rsidRDefault="008C75D3" w:rsidP="00415D95">
      <w:pPr>
        <w:keepNext/>
        <w:keepLines/>
        <w:numPr>
          <w:ilvl w:val="1"/>
          <w:numId w:val="3"/>
        </w:numPr>
        <w:spacing w:before="40"/>
        <w:ind w:left="576" w:hanging="576"/>
        <w:outlineLvl w:val="1"/>
        <w:rPr>
          <w:rFonts w:cs="Times New Roman"/>
          <w:b/>
          <w:noProof/>
          <w:szCs w:val="24"/>
        </w:rPr>
      </w:pPr>
      <w:bookmarkStart w:id="890" w:name="_Toc121409666"/>
      <w:bookmarkStart w:id="891" w:name="_Toc125732844"/>
      <w:bookmarkEnd w:id="872"/>
      <w:r w:rsidRPr="00F70DEE" w:rsidDel="00F56656">
        <w:rPr>
          <w:rFonts w:cs="Times New Roman"/>
          <w:b/>
          <w:noProof/>
          <w:szCs w:val="24"/>
        </w:rPr>
        <w:t>P</w:t>
      </w:r>
      <w:r w:rsidRPr="00F70DEE">
        <w:rPr>
          <w:rFonts w:cs="Times New Roman"/>
          <w:b/>
          <w:noProof/>
          <w:szCs w:val="24"/>
        </w:rPr>
        <w:t>artnering with the U</w:t>
      </w:r>
      <w:r w:rsidR="00F52397">
        <w:rPr>
          <w:rFonts w:cs="Times New Roman"/>
          <w:b/>
          <w:noProof/>
          <w:szCs w:val="24"/>
        </w:rPr>
        <w:t xml:space="preserve">S </w:t>
      </w:r>
      <w:r w:rsidRPr="00F70DEE">
        <w:rPr>
          <w:rFonts w:cs="Times New Roman"/>
          <w:b/>
          <w:noProof/>
          <w:szCs w:val="24"/>
        </w:rPr>
        <w:t>on space security and defence</w:t>
      </w:r>
      <w:bookmarkEnd w:id="873"/>
      <w:bookmarkEnd w:id="890"/>
      <w:bookmarkEnd w:id="891"/>
    </w:p>
    <w:p w14:paraId="167E1EAC" w14:textId="77777777" w:rsidR="008C75D3" w:rsidRPr="00F70DEE" w:rsidRDefault="008C75D3" w:rsidP="008C75D3">
      <w:pPr>
        <w:rPr>
          <w:noProof/>
        </w:rPr>
      </w:pPr>
      <w:r w:rsidRPr="00F70DEE">
        <w:rPr>
          <w:noProof/>
        </w:rPr>
        <w:t xml:space="preserve">The Strategic Compass recalls that the </w:t>
      </w:r>
      <w:r w:rsidR="0012547F">
        <w:rPr>
          <w:noProof/>
        </w:rPr>
        <w:t xml:space="preserve">EU’s </w:t>
      </w:r>
      <w:r w:rsidRPr="00F70DEE">
        <w:rPr>
          <w:noProof/>
        </w:rPr>
        <w:t xml:space="preserve">partnership with the </w:t>
      </w:r>
      <w:r w:rsidR="00055705" w:rsidRPr="00F70DEE">
        <w:rPr>
          <w:noProof/>
        </w:rPr>
        <w:t xml:space="preserve">US </w:t>
      </w:r>
      <w:r w:rsidRPr="00F70DEE">
        <w:rPr>
          <w:noProof/>
        </w:rPr>
        <w:t xml:space="preserve">is of strategic importance </w:t>
      </w:r>
      <w:r w:rsidR="00F52397">
        <w:rPr>
          <w:noProof/>
        </w:rPr>
        <w:t xml:space="preserve">for </w:t>
      </w:r>
      <w:r w:rsidR="0012547F">
        <w:rPr>
          <w:noProof/>
        </w:rPr>
        <w:t>the</w:t>
      </w:r>
      <w:r w:rsidRPr="00F70DEE">
        <w:rPr>
          <w:noProof/>
        </w:rPr>
        <w:t xml:space="preserve"> deepening o</w:t>
      </w:r>
      <w:r w:rsidR="00F52397">
        <w:rPr>
          <w:noProof/>
        </w:rPr>
        <w:t>f</w:t>
      </w:r>
      <w:r w:rsidR="0012547F">
        <w:rPr>
          <w:noProof/>
        </w:rPr>
        <w:t xml:space="preserve"> EU-US</w:t>
      </w:r>
      <w:r w:rsidRPr="00F70DEE">
        <w:rPr>
          <w:noProof/>
        </w:rPr>
        <w:t xml:space="preserve"> security and defence </w:t>
      </w:r>
      <w:r w:rsidR="006761EA">
        <w:rPr>
          <w:noProof/>
        </w:rPr>
        <w:t xml:space="preserve">cooperation </w:t>
      </w:r>
      <w:r w:rsidRPr="00F70DEE">
        <w:rPr>
          <w:noProof/>
        </w:rPr>
        <w:t xml:space="preserve">in a mutually beneficial way. The US </w:t>
      </w:r>
      <w:r w:rsidR="006761EA">
        <w:rPr>
          <w:noProof/>
        </w:rPr>
        <w:t>has</w:t>
      </w:r>
      <w:r w:rsidR="006761EA" w:rsidRPr="00F70DEE">
        <w:rPr>
          <w:noProof/>
        </w:rPr>
        <w:t xml:space="preserve"> </w:t>
      </w:r>
      <w:r w:rsidRPr="00F70DEE">
        <w:rPr>
          <w:noProof/>
        </w:rPr>
        <w:t>a privileged relation</w:t>
      </w:r>
      <w:r w:rsidR="006761EA">
        <w:rPr>
          <w:noProof/>
        </w:rPr>
        <w:t>ship</w:t>
      </w:r>
      <w:r w:rsidRPr="00F70DEE">
        <w:rPr>
          <w:noProof/>
        </w:rPr>
        <w:t xml:space="preserve"> with the EU and some of its Member States in th</w:t>
      </w:r>
      <w:r w:rsidR="00F52397">
        <w:rPr>
          <w:noProof/>
        </w:rPr>
        <w:t>is</w:t>
      </w:r>
      <w:r w:rsidRPr="00F70DEE">
        <w:rPr>
          <w:noProof/>
        </w:rPr>
        <w:t xml:space="preserve"> area. </w:t>
      </w:r>
    </w:p>
    <w:p w14:paraId="7F6B5B16" w14:textId="77777777" w:rsidR="00627A21" w:rsidRPr="00F70DEE" w:rsidRDefault="00E35B13" w:rsidP="008C75D3">
      <w:pPr>
        <w:rPr>
          <w:noProof/>
        </w:rPr>
      </w:pPr>
      <w:r w:rsidRPr="00F70DEE">
        <w:rPr>
          <w:noProof/>
        </w:rPr>
        <w:t>Since 2009, the U</w:t>
      </w:r>
      <w:r w:rsidR="007C04C8" w:rsidRPr="00F70DEE">
        <w:rPr>
          <w:noProof/>
        </w:rPr>
        <w:t>S</w:t>
      </w:r>
      <w:r w:rsidRPr="00F70DEE">
        <w:rPr>
          <w:noProof/>
        </w:rPr>
        <w:t xml:space="preserve"> and the E</w:t>
      </w:r>
      <w:r w:rsidR="007C04C8" w:rsidRPr="00F70DEE">
        <w:rPr>
          <w:noProof/>
        </w:rPr>
        <w:t xml:space="preserve">U </w:t>
      </w:r>
      <w:r w:rsidRPr="00F70DEE">
        <w:rPr>
          <w:noProof/>
        </w:rPr>
        <w:t xml:space="preserve">have held a </w:t>
      </w:r>
      <w:r w:rsidR="00F94F2D">
        <w:rPr>
          <w:noProof/>
        </w:rPr>
        <w:t>s</w:t>
      </w:r>
      <w:r w:rsidRPr="00F70DEE">
        <w:rPr>
          <w:noProof/>
        </w:rPr>
        <w:t xml:space="preserve">pace </w:t>
      </w:r>
      <w:r w:rsidR="00F94F2D">
        <w:rPr>
          <w:noProof/>
        </w:rPr>
        <w:t>s</w:t>
      </w:r>
      <w:r w:rsidRPr="00F70DEE">
        <w:rPr>
          <w:noProof/>
        </w:rPr>
        <w:t xml:space="preserve">ecurity </w:t>
      </w:r>
      <w:r w:rsidR="00F94F2D">
        <w:rPr>
          <w:noProof/>
        </w:rPr>
        <w:t>d</w:t>
      </w:r>
      <w:r w:rsidRPr="00F70DEE">
        <w:rPr>
          <w:noProof/>
        </w:rPr>
        <w:t>ialogue</w:t>
      </w:r>
      <w:r w:rsidR="00616D43" w:rsidRPr="00F70DEE">
        <w:rPr>
          <w:noProof/>
        </w:rPr>
        <w:t xml:space="preserve"> </w:t>
      </w:r>
      <w:r w:rsidRPr="00F70DEE">
        <w:rPr>
          <w:noProof/>
        </w:rPr>
        <w:t xml:space="preserve">based on </w:t>
      </w:r>
      <w:r w:rsidR="006761EA">
        <w:rPr>
          <w:noProof/>
        </w:rPr>
        <w:t>close</w:t>
      </w:r>
      <w:r w:rsidR="006761EA" w:rsidRPr="00F70DEE">
        <w:rPr>
          <w:noProof/>
        </w:rPr>
        <w:t xml:space="preserve"> </w:t>
      </w:r>
      <w:r w:rsidRPr="00F70DEE">
        <w:rPr>
          <w:noProof/>
        </w:rPr>
        <w:t>collaboration beyond civil</w:t>
      </w:r>
      <w:r w:rsidR="00627A21" w:rsidRPr="00F70DEE">
        <w:rPr>
          <w:noProof/>
        </w:rPr>
        <w:t>ian</w:t>
      </w:r>
      <w:r w:rsidRPr="00F70DEE">
        <w:rPr>
          <w:noProof/>
        </w:rPr>
        <w:t xml:space="preserve"> areas</w:t>
      </w:r>
      <w:r w:rsidR="00946ADF" w:rsidRPr="00F70DEE">
        <w:rPr>
          <w:noProof/>
        </w:rPr>
        <w:t>.</w:t>
      </w:r>
      <w:r w:rsidR="0019739C" w:rsidRPr="00F70DEE">
        <w:rPr>
          <w:noProof/>
        </w:rPr>
        <w:t xml:space="preserve"> </w:t>
      </w:r>
      <w:r w:rsidR="00F95BEF" w:rsidRPr="00F70DEE">
        <w:rPr>
          <w:noProof/>
        </w:rPr>
        <w:t>T</w:t>
      </w:r>
      <w:r w:rsidR="008C75D3" w:rsidRPr="00F70DEE">
        <w:rPr>
          <w:noProof/>
        </w:rPr>
        <w:t xml:space="preserve">he </w:t>
      </w:r>
      <w:r w:rsidR="00627A21" w:rsidRPr="00F70DEE">
        <w:rPr>
          <w:noProof/>
        </w:rPr>
        <w:t xml:space="preserve">discussions </w:t>
      </w:r>
      <w:r w:rsidR="00F52397">
        <w:rPr>
          <w:noProof/>
        </w:rPr>
        <w:t>have, for example, allowed their respective</w:t>
      </w:r>
      <w:r w:rsidR="008C75D3" w:rsidRPr="00F70DEE">
        <w:rPr>
          <w:noProof/>
        </w:rPr>
        <w:t xml:space="preserve"> Global Navigation Satellite Systems </w:t>
      </w:r>
      <w:r w:rsidR="00F52397">
        <w:rPr>
          <w:noProof/>
        </w:rPr>
        <w:t xml:space="preserve">to move from perceived competition </w:t>
      </w:r>
      <w:r w:rsidR="008C75D3" w:rsidRPr="00F70DEE">
        <w:rPr>
          <w:noProof/>
        </w:rPr>
        <w:t>towards growing complementarity, interoperability</w:t>
      </w:r>
      <w:r w:rsidR="00616D43" w:rsidRPr="00F70DEE">
        <w:rPr>
          <w:noProof/>
        </w:rPr>
        <w:t>,</w:t>
      </w:r>
      <w:r w:rsidR="008C75D3" w:rsidRPr="00F70DEE">
        <w:rPr>
          <w:noProof/>
        </w:rPr>
        <w:t xml:space="preserve"> and redundancy.</w:t>
      </w:r>
    </w:p>
    <w:p w14:paraId="54925A72" w14:textId="77777777" w:rsidR="008C75D3" w:rsidRPr="00F70DEE" w:rsidRDefault="008C75D3" w:rsidP="008C75D3">
      <w:pPr>
        <w:rPr>
          <w:noProof/>
        </w:rPr>
      </w:pPr>
      <w:r w:rsidRPr="00F70DEE">
        <w:rPr>
          <w:noProof/>
        </w:rPr>
        <w:t>A similar approach can be envisaged for space situational awareness and other areas, where the EU could move from a dependence on US space services to a partnership based on mutual interest.</w:t>
      </w:r>
    </w:p>
    <w:p w14:paraId="0DA4A035" w14:textId="77777777" w:rsidR="008C75D3" w:rsidRPr="00F70DEE" w:rsidRDefault="008C75D3" w:rsidP="00415D95">
      <w:pPr>
        <w:keepNext/>
        <w:keepLines/>
        <w:numPr>
          <w:ilvl w:val="1"/>
          <w:numId w:val="3"/>
        </w:numPr>
        <w:spacing w:before="40"/>
        <w:ind w:left="576" w:hanging="576"/>
        <w:outlineLvl w:val="1"/>
        <w:rPr>
          <w:rFonts w:cs="Times New Roman"/>
          <w:b/>
          <w:noProof/>
          <w:szCs w:val="24"/>
        </w:rPr>
      </w:pPr>
      <w:bookmarkStart w:id="892" w:name="_Toc118669558"/>
      <w:bookmarkStart w:id="893" w:name="_Toc121409667"/>
      <w:bookmarkStart w:id="894" w:name="_Toc125732845"/>
      <w:r w:rsidRPr="00F70DEE">
        <w:rPr>
          <w:rFonts w:cs="Times New Roman"/>
          <w:b/>
          <w:noProof/>
          <w:szCs w:val="24"/>
        </w:rPr>
        <w:t xml:space="preserve">Dialogue with </w:t>
      </w:r>
      <w:r w:rsidR="001D22C3" w:rsidRPr="00F70DEE">
        <w:rPr>
          <w:rFonts w:cs="Times New Roman"/>
          <w:b/>
          <w:noProof/>
          <w:szCs w:val="24"/>
        </w:rPr>
        <w:t>t</w:t>
      </w:r>
      <w:r w:rsidRPr="00F70DEE">
        <w:rPr>
          <w:rFonts w:cs="Times New Roman"/>
          <w:b/>
          <w:noProof/>
          <w:szCs w:val="24"/>
        </w:rPr>
        <w:t xml:space="preserve">hird </w:t>
      </w:r>
      <w:r w:rsidR="001D22C3" w:rsidRPr="00F70DEE">
        <w:rPr>
          <w:rFonts w:cs="Times New Roman"/>
          <w:b/>
          <w:noProof/>
          <w:szCs w:val="24"/>
        </w:rPr>
        <w:t>c</w:t>
      </w:r>
      <w:r w:rsidR="00CD656E" w:rsidRPr="00F70DEE">
        <w:rPr>
          <w:rFonts w:cs="Times New Roman"/>
          <w:b/>
          <w:noProof/>
          <w:szCs w:val="24"/>
        </w:rPr>
        <w:t xml:space="preserve">ountries </w:t>
      </w:r>
      <w:r w:rsidRPr="00F70DEE">
        <w:rPr>
          <w:rFonts w:cs="Times New Roman"/>
          <w:b/>
          <w:noProof/>
          <w:szCs w:val="24"/>
        </w:rPr>
        <w:t xml:space="preserve">on </w:t>
      </w:r>
      <w:r w:rsidR="00525D00" w:rsidRPr="00F70DEE">
        <w:rPr>
          <w:rFonts w:cs="Times New Roman"/>
          <w:b/>
          <w:noProof/>
          <w:szCs w:val="24"/>
        </w:rPr>
        <w:t>s</w:t>
      </w:r>
      <w:r w:rsidRPr="00F70DEE">
        <w:rPr>
          <w:rFonts w:cs="Times New Roman"/>
          <w:b/>
          <w:noProof/>
          <w:szCs w:val="24"/>
        </w:rPr>
        <w:t xml:space="preserve">pace </w:t>
      </w:r>
      <w:r w:rsidR="00525D00" w:rsidRPr="00F70DEE">
        <w:rPr>
          <w:rFonts w:cs="Times New Roman"/>
          <w:b/>
          <w:noProof/>
          <w:szCs w:val="24"/>
        </w:rPr>
        <w:t>s</w:t>
      </w:r>
      <w:r w:rsidRPr="00F70DEE">
        <w:rPr>
          <w:rFonts w:cs="Times New Roman"/>
          <w:b/>
          <w:noProof/>
          <w:szCs w:val="24"/>
        </w:rPr>
        <w:t>ecurity</w:t>
      </w:r>
      <w:bookmarkEnd w:id="892"/>
      <w:bookmarkEnd w:id="893"/>
      <w:bookmarkEnd w:id="894"/>
    </w:p>
    <w:p w14:paraId="7FA2CE18" w14:textId="53CA42A7" w:rsidR="008C75D3" w:rsidRPr="00F70DEE" w:rsidRDefault="008C75D3" w:rsidP="008C75D3">
      <w:pPr>
        <w:rPr>
          <w:noProof/>
        </w:rPr>
      </w:pPr>
      <w:r w:rsidRPr="00F70DEE">
        <w:rPr>
          <w:noProof/>
        </w:rPr>
        <w:t xml:space="preserve">Transparent and open communication </w:t>
      </w:r>
      <w:r w:rsidR="00F52397">
        <w:rPr>
          <w:noProof/>
        </w:rPr>
        <w:t xml:space="preserve">between </w:t>
      </w:r>
      <w:r w:rsidRPr="00F70DEE">
        <w:rPr>
          <w:noProof/>
        </w:rPr>
        <w:t xml:space="preserve">different actors </w:t>
      </w:r>
      <w:r w:rsidR="00F52397">
        <w:rPr>
          <w:noProof/>
        </w:rPr>
        <w:t xml:space="preserve">in space </w:t>
      </w:r>
      <w:r w:rsidRPr="00F70DEE">
        <w:rPr>
          <w:noProof/>
        </w:rPr>
        <w:t xml:space="preserve">(including civilian and military) </w:t>
      </w:r>
      <w:r w:rsidR="004D0799" w:rsidRPr="00F70DEE">
        <w:rPr>
          <w:noProof/>
        </w:rPr>
        <w:t>is</w:t>
      </w:r>
      <w:r w:rsidRPr="00F70DEE">
        <w:rPr>
          <w:noProof/>
        </w:rPr>
        <w:t xml:space="preserve"> </w:t>
      </w:r>
      <w:r w:rsidR="006761EA">
        <w:rPr>
          <w:noProof/>
        </w:rPr>
        <w:t>crucial</w:t>
      </w:r>
      <w:r w:rsidR="006761EA" w:rsidRPr="00F70DEE">
        <w:rPr>
          <w:noProof/>
        </w:rPr>
        <w:t xml:space="preserve"> </w:t>
      </w:r>
      <w:r w:rsidRPr="00F70DEE">
        <w:rPr>
          <w:noProof/>
        </w:rPr>
        <w:t>to avoid conflict</w:t>
      </w:r>
      <w:r w:rsidR="001C5DE3" w:rsidRPr="00F70DEE">
        <w:rPr>
          <w:noProof/>
        </w:rPr>
        <w:t>s</w:t>
      </w:r>
      <w:r w:rsidRPr="00F70DEE">
        <w:rPr>
          <w:noProof/>
        </w:rPr>
        <w:t xml:space="preserve"> and contribute</w:t>
      </w:r>
      <w:r w:rsidR="004D0799" w:rsidRPr="00F70DEE">
        <w:rPr>
          <w:noProof/>
        </w:rPr>
        <w:t>s</w:t>
      </w:r>
      <w:r w:rsidRPr="00F70DEE">
        <w:rPr>
          <w:noProof/>
        </w:rPr>
        <w:t xml:space="preserve"> to confidence building.</w:t>
      </w:r>
    </w:p>
    <w:p w14:paraId="23C95B71" w14:textId="77777777" w:rsidR="008C75D3" w:rsidRPr="00F70DEE" w:rsidRDefault="008C75D3" w:rsidP="008C75D3">
      <w:pPr>
        <w:rPr>
          <w:noProof/>
        </w:rPr>
      </w:pPr>
      <w:r w:rsidRPr="00F70DEE">
        <w:rPr>
          <w:noProof/>
        </w:rPr>
        <w:t xml:space="preserve">A growing number of third </w:t>
      </w:r>
      <w:r w:rsidR="001D22C3" w:rsidRPr="00F70DEE">
        <w:rPr>
          <w:noProof/>
        </w:rPr>
        <w:t>countries</w:t>
      </w:r>
      <w:r w:rsidR="00F52397">
        <w:rPr>
          <w:noProof/>
        </w:rPr>
        <w:t xml:space="preserve"> </w:t>
      </w:r>
      <w:r w:rsidRPr="00F70DEE">
        <w:rPr>
          <w:noProof/>
        </w:rPr>
        <w:t xml:space="preserve">have reviewed, or are reviewing, their defence organisations and doctrines to recognise the importance of space for security and defence. Several third </w:t>
      </w:r>
      <w:r w:rsidR="00A36B59">
        <w:rPr>
          <w:noProof/>
        </w:rPr>
        <w:t>c</w:t>
      </w:r>
      <w:r w:rsidRPr="00F70DEE">
        <w:rPr>
          <w:noProof/>
        </w:rPr>
        <w:t xml:space="preserve">ountries, including </w:t>
      </w:r>
      <w:r w:rsidR="00F52397">
        <w:rPr>
          <w:noProof/>
        </w:rPr>
        <w:t>a</w:t>
      </w:r>
      <w:r w:rsidRPr="00F70DEE">
        <w:rPr>
          <w:noProof/>
        </w:rPr>
        <w:t xml:space="preserve">llies but also strategic </w:t>
      </w:r>
      <w:r w:rsidR="001D7D50">
        <w:rPr>
          <w:noProof/>
        </w:rPr>
        <w:t>competitors</w:t>
      </w:r>
      <w:r w:rsidRPr="00F70DEE">
        <w:rPr>
          <w:noProof/>
        </w:rPr>
        <w:t xml:space="preserve">, have developed space security and defence strategies to develop domestic capabilities and foreign partnerships with likeminded </w:t>
      </w:r>
      <w:r w:rsidR="003E7A3F">
        <w:rPr>
          <w:noProof/>
        </w:rPr>
        <w:t>countries</w:t>
      </w:r>
      <w:r w:rsidRPr="00F70DEE">
        <w:rPr>
          <w:noProof/>
        </w:rPr>
        <w:t>.</w:t>
      </w:r>
    </w:p>
    <w:p w14:paraId="7EC5C71A" w14:textId="77777777" w:rsidR="000776E2" w:rsidRPr="00F70DEE" w:rsidRDefault="008C75D3" w:rsidP="008C75D3">
      <w:pPr>
        <w:rPr>
          <w:noProof/>
        </w:rPr>
      </w:pPr>
      <w:r w:rsidRPr="00F70DEE">
        <w:rPr>
          <w:noProof/>
        </w:rPr>
        <w:t xml:space="preserve">The </w:t>
      </w:r>
      <w:r w:rsidR="00A30BE1" w:rsidRPr="00F70DEE">
        <w:rPr>
          <w:noProof/>
        </w:rPr>
        <w:t>E</w:t>
      </w:r>
      <w:r w:rsidRPr="00F70DEE">
        <w:rPr>
          <w:noProof/>
        </w:rPr>
        <w:t xml:space="preserve">U is increasingly addressing space security and defence in its political discussions with </w:t>
      </w:r>
      <w:r w:rsidR="001D22C3" w:rsidRPr="00F70DEE">
        <w:rPr>
          <w:noProof/>
        </w:rPr>
        <w:t>t</w:t>
      </w:r>
      <w:r w:rsidRPr="00F70DEE">
        <w:rPr>
          <w:noProof/>
        </w:rPr>
        <w:t xml:space="preserve">hird </w:t>
      </w:r>
      <w:r w:rsidR="001D22C3" w:rsidRPr="00F70DEE">
        <w:rPr>
          <w:noProof/>
        </w:rPr>
        <w:t>c</w:t>
      </w:r>
      <w:r w:rsidR="000776E2" w:rsidRPr="00F70DEE">
        <w:rPr>
          <w:noProof/>
        </w:rPr>
        <w:t>ountries</w:t>
      </w:r>
      <w:r w:rsidRPr="00F70DEE">
        <w:rPr>
          <w:noProof/>
        </w:rPr>
        <w:t>. The EEAS and relevant Commission services will set up staff</w:t>
      </w:r>
      <w:r w:rsidR="003E7A3F">
        <w:rPr>
          <w:noProof/>
        </w:rPr>
        <w:t>-</w:t>
      </w:r>
      <w:r w:rsidRPr="00F70DEE">
        <w:rPr>
          <w:noProof/>
        </w:rPr>
        <w:t>to</w:t>
      </w:r>
      <w:r w:rsidR="003E7A3F">
        <w:rPr>
          <w:noProof/>
        </w:rPr>
        <w:t>-</w:t>
      </w:r>
      <w:r w:rsidRPr="00F70DEE">
        <w:rPr>
          <w:noProof/>
        </w:rPr>
        <w:t xml:space="preserve">staff dialogues between the EU and </w:t>
      </w:r>
      <w:r w:rsidR="006761EA">
        <w:rPr>
          <w:noProof/>
        </w:rPr>
        <w:t xml:space="preserve">the relevant </w:t>
      </w:r>
      <w:r w:rsidRPr="00F70DEE">
        <w:rPr>
          <w:noProof/>
        </w:rPr>
        <w:t>authorities</w:t>
      </w:r>
      <w:r w:rsidR="006761EA">
        <w:rPr>
          <w:noProof/>
        </w:rPr>
        <w:t xml:space="preserve"> of other third countries</w:t>
      </w:r>
      <w:r w:rsidR="00922985">
        <w:rPr>
          <w:noProof/>
        </w:rPr>
        <w:t>, such as Canada and Norway</w:t>
      </w:r>
      <w:r w:rsidR="004D0799" w:rsidRPr="00F70DEE">
        <w:rPr>
          <w:noProof/>
        </w:rPr>
        <w:t>,</w:t>
      </w:r>
      <w:r w:rsidRPr="00F70DEE">
        <w:rPr>
          <w:noProof/>
        </w:rPr>
        <w:t xml:space="preserve"> as is already the case with the US</w:t>
      </w:r>
      <w:r w:rsidR="00946ADF" w:rsidRPr="00F70DEE">
        <w:rPr>
          <w:noProof/>
        </w:rPr>
        <w:t xml:space="preserve"> and</w:t>
      </w:r>
      <w:r w:rsidRPr="00F70DEE">
        <w:rPr>
          <w:noProof/>
        </w:rPr>
        <w:t xml:space="preserve"> Japan</w:t>
      </w:r>
      <w:r w:rsidR="00E87C38" w:rsidRPr="00F70DEE">
        <w:rPr>
          <w:noProof/>
        </w:rPr>
        <w:t>.</w:t>
      </w:r>
    </w:p>
    <w:p w14:paraId="04743479" w14:textId="77777777" w:rsidR="008C75D3" w:rsidRPr="00F70DEE" w:rsidRDefault="003E7A3F" w:rsidP="008C75D3">
      <w:pPr>
        <w:rPr>
          <w:noProof/>
        </w:rPr>
      </w:pPr>
      <w:r>
        <w:rPr>
          <w:noProof/>
        </w:rPr>
        <w:t xml:space="preserve">These </w:t>
      </w:r>
      <w:r w:rsidR="008C75D3" w:rsidRPr="00F70DEE">
        <w:rPr>
          <w:noProof/>
        </w:rPr>
        <w:t xml:space="preserve">space security dialogues are an opportunity to engage with partners and </w:t>
      </w:r>
      <w:r>
        <w:rPr>
          <w:noProof/>
        </w:rPr>
        <w:t>a</w:t>
      </w:r>
      <w:r w:rsidR="008C75D3" w:rsidRPr="00F70DEE">
        <w:rPr>
          <w:noProof/>
        </w:rPr>
        <w:t>llies</w:t>
      </w:r>
      <w:r w:rsidR="00FD53A5" w:rsidRPr="00F70DEE">
        <w:rPr>
          <w:noProof/>
        </w:rPr>
        <w:t>,</w:t>
      </w:r>
      <w:r w:rsidR="008C75D3" w:rsidRPr="00F70DEE">
        <w:rPr>
          <w:noProof/>
        </w:rPr>
        <w:t xml:space="preserve"> </w:t>
      </w:r>
      <w:r w:rsidR="006761EA">
        <w:rPr>
          <w:noProof/>
        </w:rPr>
        <w:t>discuss</w:t>
      </w:r>
      <w:r w:rsidR="002E379B" w:rsidRPr="00F70DEE">
        <w:rPr>
          <w:noProof/>
        </w:rPr>
        <w:t xml:space="preserve"> </w:t>
      </w:r>
      <w:r w:rsidR="004D0799" w:rsidRPr="00F70DEE">
        <w:rPr>
          <w:noProof/>
        </w:rPr>
        <w:t xml:space="preserve">their </w:t>
      </w:r>
      <w:r w:rsidR="008C75D3" w:rsidRPr="00F70DEE">
        <w:rPr>
          <w:noProof/>
        </w:rPr>
        <w:t>space and security</w:t>
      </w:r>
      <w:r w:rsidR="006761EA">
        <w:rPr>
          <w:noProof/>
        </w:rPr>
        <w:t xml:space="preserve"> strategies</w:t>
      </w:r>
      <w:r w:rsidR="008C75D3" w:rsidRPr="00F70DEE">
        <w:rPr>
          <w:noProof/>
        </w:rPr>
        <w:t xml:space="preserve">, establish partnerships </w:t>
      </w:r>
      <w:r w:rsidR="004D0799" w:rsidRPr="00F70DEE">
        <w:rPr>
          <w:noProof/>
        </w:rPr>
        <w:t>for the exchange</w:t>
      </w:r>
      <w:r w:rsidR="004D0799" w:rsidRPr="00F70DEE" w:rsidDel="004D0799">
        <w:rPr>
          <w:noProof/>
        </w:rPr>
        <w:t xml:space="preserve"> </w:t>
      </w:r>
      <w:r w:rsidR="004D0799" w:rsidRPr="00F70DEE">
        <w:rPr>
          <w:noProof/>
        </w:rPr>
        <w:t xml:space="preserve">of </w:t>
      </w:r>
      <w:r w:rsidR="008C75D3" w:rsidRPr="00F70DEE">
        <w:rPr>
          <w:noProof/>
        </w:rPr>
        <w:t>information, share best practices on how to increase the resilience of space infrastructure</w:t>
      </w:r>
      <w:r w:rsidR="00A772DF" w:rsidRPr="00F70DEE">
        <w:rPr>
          <w:noProof/>
        </w:rPr>
        <w:t xml:space="preserve"> </w:t>
      </w:r>
      <w:r>
        <w:rPr>
          <w:noProof/>
        </w:rPr>
        <w:t>and establish</w:t>
      </w:r>
      <w:r w:rsidR="008C75D3" w:rsidRPr="00F70DEE">
        <w:rPr>
          <w:noProof/>
        </w:rPr>
        <w:t xml:space="preserve"> norms and standards, identify areas </w:t>
      </w:r>
      <w:r w:rsidR="006761EA">
        <w:rPr>
          <w:noProof/>
        </w:rPr>
        <w:t>for</w:t>
      </w:r>
      <w:r w:rsidR="006761EA" w:rsidRPr="00F70DEE">
        <w:rPr>
          <w:noProof/>
        </w:rPr>
        <w:t xml:space="preserve"> </w:t>
      </w:r>
      <w:r w:rsidR="008C75D3" w:rsidRPr="00F70DEE">
        <w:rPr>
          <w:noProof/>
        </w:rPr>
        <w:t>possible cooperation</w:t>
      </w:r>
      <w:r w:rsidR="005D3EE4" w:rsidRPr="00F70DEE">
        <w:rPr>
          <w:noProof/>
        </w:rPr>
        <w:t xml:space="preserve"> and </w:t>
      </w:r>
      <w:r w:rsidR="008C75D3" w:rsidRPr="00F70DEE">
        <w:rPr>
          <w:noProof/>
        </w:rPr>
        <w:t>coordinate action in multilateral forums</w:t>
      </w:r>
      <w:r w:rsidR="001B63C2" w:rsidRPr="00F70DEE">
        <w:rPr>
          <w:noProof/>
        </w:rPr>
        <w:t>.</w:t>
      </w:r>
      <w:r w:rsidR="008C75D3" w:rsidRPr="00F70DEE">
        <w:rPr>
          <w:noProof/>
        </w:rPr>
        <w:t xml:space="preserve"> </w:t>
      </w:r>
    </w:p>
    <w:p w14:paraId="790DBB87" w14:textId="77777777" w:rsidR="008C75D3" w:rsidRPr="00F70DEE" w:rsidRDefault="008C75D3" w:rsidP="008C75D3">
      <w:pPr>
        <w:rPr>
          <w:noProof/>
        </w:rPr>
      </w:pPr>
      <w:r w:rsidRPr="00F70DEE">
        <w:rPr>
          <w:noProof/>
        </w:rPr>
        <w:t xml:space="preserve">Space and security dialogues can also be </w:t>
      </w:r>
      <w:r w:rsidR="003E7A3F">
        <w:rPr>
          <w:noProof/>
        </w:rPr>
        <w:t xml:space="preserve">key </w:t>
      </w:r>
      <w:r w:rsidRPr="00F70DEE">
        <w:rPr>
          <w:noProof/>
        </w:rPr>
        <w:t>to promot</w:t>
      </w:r>
      <w:r w:rsidR="003E7A3F">
        <w:rPr>
          <w:noProof/>
        </w:rPr>
        <w:t>ing</w:t>
      </w:r>
      <w:r w:rsidRPr="00F70DEE">
        <w:rPr>
          <w:noProof/>
        </w:rPr>
        <w:t xml:space="preserve"> EU positions and approaches in multilateral forums.</w:t>
      </w:r>
      <w:r w:rsidR="000776E2" w:rsidRPr="00F70DEE">
        <w:rPr>
          <w:noProof/>
        </w:rPr>
        <w:t xml:space="preserve"> </w:t>
      </w:r>
      <w:r w:rsidR="00B547A0" w:rsidRPr="00F70DEE">
        <w:rPr>
          <w:noProof/>
        </w:rPr>
        <w:t>They</w:t>
      </w:r>
      <w:r w:rsidRPr="00F70DEE">
        <w:rPr>
          <w:noProof/>
        </w:rPr>
        <w:t xml:space="preserve"> may constitute a diplomatic channel</w:t>
      </w:r>
      <w:r w:rsidR="006761EA">
        <w:rPr>
          <w:noProof/>
        </w:rPr>
        <w:t xml:space="preserve"> </w:t>
      </w:r>
      <w:r w:rsidRPr="00F70DEE">
        <w:rPr>
          <w:noProof/>
        </w:rPr>
        <w:t>the EU can activate to de-escalate tensions or convey warning messages to deter further actions</w:t>
      </w:r>
      <w:r w:rsidR="00B547A0" w:rsidRPr="00F70DEE">
        <w:rPr>
          <w:noProof/>
        </w:rPr>
        <w:t xml:space="preserve"> –</w:t>
      </w:r>
      <w:r w:rsidR="006761EA">
        <w:rPr>
          <w:noProof/>
        </w:rPr>
        <w:t>,</w:t>
      </w:r>
      <w:r w:rsidR="00B547A0" w:rsidRPr="00F70DEE">
        <w:rPr>
          <w:noProof/>
        </w:rPr>
        <w:t xml:space="preserve"> especially when confronted with </w:t>
      </w:r>
      <w:r w:rsidR="00C7658E">
        <w:rPr>
          <w:noProof/>
        </w:rPr>
        <w:t>irresponsible</w:t>
      </w:r>
      <w:r w:rsidR="00C7658E" w:rsidRPr="00F70DEE">
        <w:rPr>
          <w:noProof/>
        </w:rPr>
        <w:t xml:space="preserve"> </w:t>
      </w:r>
      <w:r w:rsidR="00B547A0" w:rsidRPr="00F70DEE">
        <w:rPr>
          <w:noProof/>
        </w:rPr>
        <w:t>behaviour in the space domain</w:t>
      </w:r>
      <w:r w:rsidRPr="00F70DEE">
        <w:rPr>
          <w:noProof/>
        </w:rPr>
        <w:t>.</w:t>
      </w:r>
    </w:p>
    <w:p w14:paraId="1EE02561" w14:textId="77777777" w:rsidR="008C75D3" w:rsidRPr="00F70DEE" w:rsidRDefault="008C75D3" w:rsidP="00415D95">
      <w:pPr>
        <w:keepNext/>
        <w:keepLines/>
        <w:numPr>
          <w:ilvl w:val="1"/>
          <w:numId w:val="3"/>
        </w:numPr>
        <w:spacing w:before="40"/>
        <w:ind w:left="576" w:hanging="576"/>
        <w:outlineLvl w:val="1"/>
        <w:rPr>
          <w:rFonts w:cs="Times New Roman"/>
          <w:b/>
          <w:noProof/>
          <w:szCs w:val="24"/>
        </w:rPr>
      </w:pPr>
      <w:bookmarkStart w:id="895" w:name="_Toc118750207"/>
      <w:bookmarkStart w:id="896" w:name="_Toc118750208"/>
      <w:bookmarkStart w:id="897" w:name="_Toc118669559"/>
      <w:bookmarkStart w:id="898" w:name="_Toc121409668"/>
      <w:bookmarkStart w:id="899" w:name="_Toc125732846"/>
      <w:bookmarkEnd w:id="895"/>
      <w:bookmarkEnd w:id="896"/>
      <w:r w:rsidRPr="00F70DEE">
        <w:rPr>
          <w:rFonts w:cs="Times New Roman"/>
          <w:b/>
          <w:noProof/>
          <w:szCs w:val="24"/>
        </w:rPr>
        <w:t xml:space="preserve">Partnership with NATO on </w:t>
      </w:r>
      <w:r w:rsidR="00525D00" w:rsidRPr="00F70DEE">
        <w:rPr>
          <w:rFonts w:cs="Times New Roman"/>
          <w:b/>
          <w:noProof/>
          <w:szCs w:val="24"/>
        </w:rPr>
        <w:t>s</w:t>
      </w:r>
      <w:r w:rsidRPr="00F70DEE">
        <w:rPr>
          <w:rFonts w:cs="Times New Roman"/>
          <w:b/>
          <w:noProof/>
          <w:szCs w:val="24"/>
        </w:rPr>
        <w:t xml:space="preserve">pace </w:t>
      </w:r>
      <w:r w:rsidR="00525D00" w:rsidRPr="00F70DEE">
        <w:rPr>
          <w:rFonts w:cs="Times New Roman"/>
          <w:b/>
          <w:noProof/>
          <w:szCs w:val="24"/>
        </w:rPr>
        <w:t>s</w:t>
      </w:r>
      <w:r w:rsidRPr="00F70DEE">
        <w:rPr>
          <w:rFonts w:cs="Times New Roman"/>
          <w:b/>
          <w:noProof/>
          <w:szCs w:val="24"/>
        </w:rPr>
        <w:t xml:space="preserve">ecurity and </w:t>
      </w:r>
      <w:r w:rsidR="00525D00" w:rsidRPr="00F70DEE">
        <w:rPr>
          <w:rFonts w:cs="Times New Roman"/>
          <w:b/>
          <w:noProof/>
          <w:szCs w:val="24"/>
        </w:rPr>
        <w:t>d</w:t>
      </w:r>
      <w:r w:rsidRPr="00F70DEE">
        <w:rPr>
          <w:rFonts w:cs="Times New Roman"/>
          <w:b/>
          <w:noProof/>
          <w:szCs w:val="24"/>
        </w:rPr>
        <w:t>efence</w:t>
      </w:r>
      <w:bookmarkEnd w:id="897"/>
      <w:bookmarkEnd w:id="898"/>
      <w:bookmarkEnd w:id="899"/>
    </w:p>
    <w:p w14:paraId="1806AD1E" w14:textId="77777777" w:rsidR="008C75D3" w:rsidRPr="00F70DEE" w:rsidRDefault="008C75D3" w:rsidP="008C75D3">
      <w:pPr>
        <w:rPr>
          <w:noProof/>
        </w:rPr>
      </w:pPr>
      <w:r w:rsidRPr="00F70DEE">
        <w:rPr>
          <w:noProof/>
        </w:rPr>
        <w:t xml:space="preserve">The Strategic Compass sets clear objectives for the EU-NATO strategic partnership - political dialogue and practical cooperation across </w:t>
      </w:r>
      <w:r w:rsidR="003B036C" w:rsidRPr="00F70DEE">
        <w:rPr>
          <w:noProof/>
        </w:rPr>
        <w:t xml:space="preserve">all </w:t>
      </w:r>
      <w:r w:rsidRPr="00F70DEE">
        <w:rPr>
          <w:noProof/>
        </w:rPr>
        <w:t xml:space="preserve">agreed areas of interaction, including </w:t>
      </w:r>
      <w:r w:rsidR="003B036C" w:rsidRPr="00F70DEE">
        <w:rPr>
          <w:noProof/>
        </w:rPr>
        <w:t xml:space="preserve">new work strands such as </w:t>
      </w:r>
      <w:r w:rsidRPr="00F70DEE">
        <w:rPr>
          <w:noProof/>
        </w:rPr>
        <w:t>space.</w:t>
      </w:r>
    </w:p>
    <w:p w14:paraId="532C1830" w14:textId="77777777" w:rsidR="00E923AC" w:rsidRPr="00F70DEE" w:rsidRDefault="00E923AC" w:rsidP="00E923AC">
      <w:pPr>
        <w:rPr>
          <w:noProof/>
        </w:rPr>
      </w:pPr>
      <w:r w:rsidRPr="00F70DEE">
        <w:rPr>
          <w:noProof/>
        </w:rPr>
        <w:t xml:space="preserve">In the </w:t>
      </w:r>
      <w:r w:rsidR="003E7A3F">
        <w:rPr>
          <w:noProof/>
        </w:rPr>
        <w:t>t</w:t>
      </w:r>
      <w:r w:rsidRPr="00F70DEE">
        <w:rPr>
          <w:noProof/>
        </w:rPr>
        <w:t xml:space="preserve">hird </w:t>
      </w:r>
      <w:r w:rsidR="003E7A3F">
        <w:rPr>
          <w:noProof/>
        </w:rPr>
        <w:t>j</w:t>
      </w:r>
      <w:r w:rsidRPr="00F70DEE">
        <w:rPr>
          <w:noProof/>
        </w:rPr>
        <w:t xml:space="preserve">oint </w:t>
      </w:r>
      <w:r w:rsidR="003E7A3F">
        <w:rPr>
          <w:noProof/>
        </w:rPr>
        <w:t>d</w:t>
      </w:r>
      <w:r w:rsidRPr="00F70DEE">
        <w:rPr>
          <w:noProof/>
        </w:rPr>
        <w:t xml:space="preserve">eclaration on EU-NATO </w:t>
      </w:r>
      <w:r w:rsidR="003E7A3F">
        <w:rPr>
          <w:noProof/>
        </w:rPr>
        <w:t>c</w:t>
      </w:r>
      <w:r w:rsidRPr="00F70DEE">
        <w:rPr>
          <w:noProof/>
        </w:rPr>
        <w:t>ooperation of 10 January 2023, the institutional leaders of the EU and NATO confirmed the</w:t>
      </w:r>
      <w:r w:rsidR="003E7A3F">
        <w:rPr>
          <w:noProof/>
        </w:rPr>
        <w:t>ir</w:t>
      </w:r>
      <w:r w:rsidRPr="00F70DEE">
        <w:rPr>
          <w:noProof/>
        </w:rPr>
        <w:t xml:space="preserve"> commitment to expand and deepen their cooperation</w:t>
      </w:r>
      <w:r w:rsidR="003E7A3F">
        <w:rPr>
          <w:noProof/>
        </w:rPr>
        <w:t xml:space="preserve"> on</w:t>
      </w:r>
      <w:r w:rsidR="00F94F2D">
        <w:rPr>
          <w:noProof/>
        </w:rPr>
        <w:t xml:space="preserve"> </w:t>
      </w:r>
      <w:r w:rsidRPr="00F70DEE">
        <w:rPr>
          <w:noProof/>
        </w:rPr>
        <w:t>space</w:t>
      </w:r>
      <w:r w:rsidR="003E7A3F">
        <w:rPr>
          <w:noProof/>
        </w:rPr>
        <w:t>, based</w:t>
      </w:r>
      <w:r w:rsidR="00F94F2D">
        <w:rPr>
          <w:noProof/>
        </w:rPr>
        <w:t xml:space="preserve"> </w:t>
      </w:r>
      <w:r w:rsidRPr="00F70DEE">
        <w:rPr>
          <w:noProof/>
        </w:rPr>
        <w:t>on the</w:t>
      </w:r>
      <w:r w:rsidR="00F94F2D">
        <w:rPr>
          <w:noProof/>
        </w:rPr>
        <w:t xml:space="preserve"> </w:t>
      </w:r>
      <w:r w:rsidRPr="00F70DEE">
        <w:rPr>
          <w:noProof/>
        </w:rPr>
        <w:t>agreed principles underpinning their strategic partnership.</w:t>
      </w:r>
    </w:p>
    <w:p w14:paraId="5DA8BD6E" w14:textId="116BE0A7" w:rsidR="008C75D3" w:rsidRPr="00F70DEE" w:rsidRDefault="008C75D3" w:rsidP="008C75D3">
      <w:pPr>
        <w:rPr>
          <w:noProof/>
        </w:rPr>
      </w:pPr>
      <w:r w:rsidRPr="00F70DEE">
        <w:rPr>
          <w:noProof/>
        </w:rPr>
        <w:t xml:space="preserve">EU-NATO cooperation </w:t>
      </w:r>
      <w:r w:rsidR="003B036C" w:rsidRPr="00F70DEE">
        <w:rPr>
          <w:noProof/>
        </w:rPr>
        <w:t xml:space="preserve">continues to </w:t>
      </w:r>
      <w:r w:rsidR="00D45278" w:rsidRPr="00F70DEE">
        <w:rPr>
          <w:noProof/>
        </w:rPr>
        <w:t xml:space="preserve">rely on </w:t>
      </w:r>
      <w:r w:rsidR="00772FAA" w:rsidRPr="00F70DEE">
        <w:rPr>
          <w:noProof/>
        </w:rPr>
        <w:t xml:space="preserve">mutual </w:t>
      </w:r>
      <w:r w:rsidRPr="00F70DEE">
        <w:rPr>
          <w:noProof/>
        </w:rPr>
        <w:t>openness and transparency,</w:t>
      </w:r>
      <w:r w:rsidR="00772FAA" w:rsidRPr="00F70DEE">
        <w:rPr>
          <w:noProof/>
        </w:rPr>
        <w:t xml:space="preserve"> reciprocity and inclusiveness</w:t>
      </w:r>
      <w:r w:rsidR="00667917">
        <w:rPr>
          <w:noProof/>
        </w:rPr>
        <w:t xml:space="preserve">, </w:t>
      </w:r>
      <w:r w:rsidR="00772FAA" w:rsidRPr="00F70DEE">
        <w:rPr>
          <w:noProof/>
        </w:rPr>
        <w:t>in</w:t>
      </w:r>
      <w:r w:rsidRPr="00F70DEE">
        <w:rPr>
          <w:noProof/>
        </w:rPr>
        <w:t xml:space="preserve"> full respect of the decision-making autonomy and procedures of both organisations, </w:t>
      </w:r>
      <w:r w:rsidR="00667917">
        <w:rPr>
          <w:noProof/>
        </w:rPr>
        <w:t xml:space="preserve">and </w:t>
      </w:r>
      <w:r w:rsidRPr="00F70DEE">
        <w:rPr>
          <w:noProof/>
        </w:rPr>
        <w:t>without prejudice to the specific character of the security and defence policy of any Member State.</w:t>
      </w:r>
    </w:p>
    <w:p w14:paraId="2D78168E" w14:textId="77777777" w:rsidR="008C75D3" w:rsidRPr="00F70DEE" w:rsidRDefault="008C75D3" w:rsidP="008C75D3">
      <w:pPr>
        <w:rPr>
          <w:noProof/>
        </w:rPr>
      </w:pPr>
      <w:r w:rsidRPr="00F70DEE">
        <w:rPr>
          <w:noProof/>
        </w:rPr>
        <w:t>Both organi</w:t>
      </w:r>
      <w:r w:rsidR="00E87C38" w:rsidRPr="00F70DEE">
        <w:rPr>
          <w:noProof/>
        </w:rPr>
        <w:t>s</w:t>
      </w:r>
      <w:r w:rsidRPr="00F70DEE">
        <w:rPr>
          <w:noProof/>
        </w:rPr>
        <w:t>ations are contemplating the evolution of space from a capability in support of military and civilian operations into a strategic domain. The EU</w:t>
      </w:r>
      <w:r w:rsidR="005D0127">
        <w:rPr>
          <w:noProof/>
        </w:rPr>
        <w:t>’s</w:t>
      </w:r>
      <w:r w:rsidRPr="00F70DEE">
        <w:rPr>
          <w:noProof/>
        </w:rPr>
        <w:t xml:space="preserve"> and NATO</w:t>
      </w:r>
      <w:r w:rsidR="005D0127">
        <w:rPr>
          <w:noProof/>
        </w:rPr>
        <w:t>’s</w:t>
      </w:r>
      <w:r w:rsidRPr="00F70DEE">
        <w:rPr>
          <w:noProof/>
        </w:rPr>
        <w:t xml:space="preserve"> responses to </w:t>
      </w:r>
      <w:r w:rsidR="005D0127">
        <w:rPr>
          <w:noProof/>
        </w:rPr>
        <w:t xml:space="preserve">space </w:t>
      </w:r>
      <w:r w:rsidRPr="00F70DEE">
        <w:rPr>
          <w:noProof/>
        </w:rPr>
        <w:t>incident</w:t>
      </w:r>
      <w:r w:rsidR="005D0127">
        <w:rPr>
          <w:noProof/>
        </w:rPr>
        <w:t>s</w:t>
      </w:r>
      <w:r w:rsidRPr="00F70DEE">
        <w:rPr>
          <w:noProof/>
        </w:rPr>
        <w:t xml:space="preserve"> and threats will be complementary and mutually reinforcing.</w:t>
      </w:r>
    </w:p>
    <w:p w14:paraId="73060725" w14:textId="448CE45D" w:rsidR="008C75D3" w:rsidRDefault="00AB223E" w:rsidP="00A3244F">
      <w:pPr>
        <w:rPr>
          <w:noProof/>
        </w:rPr>
      </w:pPr>
      <w:r w:rsidRPr="00F70DEE">
        <w:rPr>
          <w:noProof/>
        </w:rPr>
        <w:t>The two organi</w:t>
      </w:r>
      <w:r w:rsidR="00E87C38" w:rsidRPr="00F70DEE">
        <w:rPr>
          <w:noProof/>
        </w:rPr>
        <w:t>s</w:t>
      </w:r>
      <w:r w:rsidRPr="00F70DEE">
        <w:rPr>
          <w:noProof/>
        </w:rPr>
        <w:t xml:space="preserve">ations will jointly explore new areas of cooperation in the </w:t>
      </w:r>
      <w:r w:rsidR="00E53D09" w:rsidRPr="00F70DEE">
        <w:rPr>
          <w:noProof/>
        </w:rPr>
        <w:t>s</w:t>
      </w:r>
      <w:r w:rsidRPr="00F70DEE">
        <w:rPr>
          <w:noProof/>
        </w:rPr>
        <w:t xml:space="preserve">pace </w:t>
      </w:r>
      <w:r w:rsidR="00E53D09" w:rsidRPr="00F70DEE">
        <w:rPr>
          <w:noProof/>
        </w:rPr>
        <w:t>d</w:t>
      </w:r>
      <w:r w:rsidRPr="00F70DEE">
        <w:rPr>
          <w:noProof/>
        </w:rPr>
        <w:t>omain through regular exchanges, including staff-to-staff talks, cross-briefings and reciprocal invitations to event</w:t>
      </w:r>
      <w:r w:rsidR="002D11AD">
        <w:rPr>
          <w:noProof/>
        </w:rPr>
        <w:t>s</w:t>
      </w:r>
      <w:r w:rsidRPr="00F70DEE">
        <w:rPr>
          <w:noProof/>
        </w:rPr>
        <w:t>.</w:t>
      </w:r>
      <w:r w:rsidR="00F94F2D">
        <w:rPr>
          <w:noProof/>
        </w:rPr>
        <w:t xml:space="preserve"> </w:t>
      </w:r>
      <w:r w:rsidR="00E87C38" w:rsidRPr="00F70DEE">
        <w:rPr>
          <w:noProof/>
        </w:rPr>
        <w:t>P</w:t>
      </w:r>
      <w:r w:rsidR="008C75D3" w:rsidRPr="00F70DEE">
        <w:rPr>
          <w:noProof/>
        </w:rPr>
        <w:t xml:space="preserve">arallel and </w:t>
      </w:r>
      <w:r w:rsidR="00E87C38" w:rsidRPr="00F70DEE">
        <w:rPr>
          <w:noProof/>
        </w:rPr>
        <w:t>c</w:t>
      </w:r>
      <w:r w:rsidR="008C75D3" w:rsidRPr="00F70DEE">
        <w:rPr>
          <w:noProof/>
        </w:rPr>
        <w:t xml:space="preserve">oordinated </w:t>
      </w:r>
      <w:r w:rsidR="00E87C38" w:rsidRPr="00F70DEE">
        <w:rPr>
          <w:noProof/>
        </w:rPr>
        <w:t>e</w:t>
      </w:r>
      <w:r w:rsidR="008C75D3" w:rsidRPr="00F70DEE">
        <w:rPr>
          <w:noProof/>
        </w:rPr>
        <w:t>xercises</w:t>
      </w:r>
      <w:r w:rsidR="00E87C38" w:rsidRPr="00F70DEE">
        <w:rPr>
          <w:noProof/>
        </w:rPr>
        <w:t xml:space="preserve"> </w:t>
      </w:r>
      <w:r w:rsidR="008C75D3" w:rsidRPr="00F70DEE">
        <w:rPr>
          <w:noProof/>
        </w:rPr>
        <w:t xml:space="preserve">organised by the EU and NATO </w:t>
      </w:r>
      <w:r w:rsidR="00167346" w:rsidRPr="00F70DEE">
        <w:rPr>
          <w:noProof/>
        </w:rPr>
        <w:t xml:space="preserve">staff </w:t>
      </w:r>
      <w:r w:rsidR="008C75D3" w:rsidRPr="00F70DEE">
        <w:rPr>
          <w:noProof/>
        </w:rPr>
        <w:t xml:space="preserve">could </w:t>
      </w:r>
      <w:r w:rsidR="00EC4031">
        <w:rPr>
          <w:noProof/>
        </w:rPr>
        <w:t xml:space="preserve">also </w:t>
      </w:r>
      <w:r w:rsidR="008C75D3" w:rsidRPr="00F70DEE">
        <w:rPr>
          <w:noProof/>
        </w:rPr>
        <w:t>include a space domain component</w:t>
      </w:r>
      <w:r w:rsidR="00E87C38" w:rsidRPr="00F70DEE">
        <w:rPr>
          <w:noProof/>
        </w:rPr>
        <w:t>.</w:t>
      </w:r>
      <w:r w:rsidR="008C75D3" w:rsidRPr="00F70DEE">
        <w:rPr>
          <w:noProof/>
        </w:rPr>
        <w:t xml:space="preserve"> </w:t>
      </w:r>
    </w:p>
    <w:tbl>
      <w:tblPr>
        <w:tblStyle w:val="TableGrid"/>
        <w:tblW w:w="0" w:type="auto"/>
        <w:tblLook w:val="04A0" w:firstRow="1" w:lastRow="0" w:firstColumn="1" w:lastColumn="0" w:noHBand="0" w:noVBand="1"/>
      </w:tblPr>
      <w:tblGrid>
        <w:gridCol w:w="8636"/>
      </w:tblGrid>
      <w:tr w:rsidR="009B7800" w:rsidRPr="00F70DEE" w14:paraId="2FE429CA" w14:textId="77777777" w:rsidTr="009B7800">
        <w:tc>
          <w:tcPr>
            <w:tcW w:w="8636" w:type="dxa"/>
            <w:shd w:val="clear" w:color="auto" w:fill="D9D9D9" w:themeFill="background1" w:themeFillShade="D9"/>
          </w:tcPr>
          <w:p w14:paraId="2D0BAE08" w14:textId="77777777" w:rsidR="009B7800" w:rsidRPr="00F70DEE" w:rsidRDefault="009B7800" w:rsidP="009B7800">
            <w:pPr>
              <w:pStyle w:val="Wayforward"/>
              <w:numPr>
                <w:ilvl w:val="0"/>
                <w:numId w:val="0"/>
              </w:numPr>
              <w:ind w:left="357" w:hanging="357"/>
              <w:rPr>
                <w:b/>
                <w:bCs/>
                <w:i/>
                <w:iCs/>
                <w:noProof/>
                <w:lang w:val="en-GB"/>
              </w:rPr>
            </w:pPr>
            <w:bookmarkStart w:id="900" w:name="_Toc121409253"/>
            <w:r w:rsidRPr="00F70DEE">
              <w:rPr>
                <w:b/>
                <w:bCs/>
                <w:i/>
                <w:iCs/>
                <w:noProof/>
                <w:lang w:val="en-GB"/>
              </w:rPr>
              <w:t>Way forward</w:t>
            </w:r>
          </w:p>
          <w:p w14:paraId="34203EC6" w14:textId="77777777" w:rsidR="009B7800" w:rsidRPr="00F70DEE" w:rsidRDefault="009B7800" w:rsidP="00415D95">
            <w:pPr>
              <w:pStyle w:val="Wayforward"/>
              <w:rPr>
                <w:noProof/>
                <w:lang w:val="en-GB"/>
              </w:rPr>
            </w:pPr>
            <w:r w:rsidRPr="00F70DEE">
              <w:rPr>
                <w:noProof/>
                <w:lang w:val="en-GB"/>
              </w:rPr>
              <w:t xml:space="preserve">The EU will support multilateral efforts </w:t>
            </w:r>
            <w:r w:rsidR="00EC4031">
              <w:rPr>
                <w:noProof/>
                <w:lang w:val="en-GB"/>
              </w:rPr>
              <w:t>to</w:t>
            </w:r>
            <w:r w:rsidRPr="00F70DEE">
              <w:rPr>
                <w:noProof/>
                <w:lang w:val="en-GB"/>
              </w:rPr>
              <w:t xml:space="preserve"> reduc</w:t>
            </w:r>
            <w:r w:rsidR="00EC4031">
              <w:rPr>
                <w:noProof/>
                <w:lang w:val="en-GB"/>
              </w:rPr>
              <w:t>e</w:t>
            </w:r>
            <w:r w:rsidRPr="00F70DEE">
              <w:rPr>
                <w:noProof/>
                <w:lang w:val="en-GB"/>
              </w:rPr>
              <w:t xml:space="preserve"> space threats through norms, rules and principles </w:t>
            </w:r>
            <w:r w:rsidR="005D0127">
              <w:rPr>
                <w:noProof/>
                <w:lang w:val="en-GB"/>
              </w:rPr>
              <w:t>for</w:t>
            </w:r>
            <w:r w:rsidR="005D0127" w:rsidRPr="00F70DEE">
              <w:rPr>
                <w:noProof/>
                <w:lang w:val="en-GB"/>
              </w:rPr>
              <w:t xml:space="preserve"> </w:t>
            </w:r>
            <w:r w:rsidRPr="00F70DEE">
              <w:rPr>
                <w:noProof/>
                <w:lang w:val="en-GB"/>
              </w:rPr>
              <w:t>responsible behaviours, including through the work of the OEWG established by the U</w:t>
            </w:r>
            <w:r w:rsidR="00EC4031">
              <w:rPr>
                <w:noProof/>
                <w:lang w:val="en-GB"/>
              </w:rPr>
              <w:t xml:space="preserve">N </w:t>
            </w:r>
            <w:r w:rsidRPr="00F70DEE">
              <w:rPr>
                <w:noProof/>
                <w:lang w:val="en-GB"/>
              </w:rPr>
              <w:t xml:space="preserve">General </w:t>
            </w:r>
            <w:r w:rsidR="00EC4031">
              <w:rPr>
                <w:noProof/>
                <w:lang w:val="en-GB"/>
              </w:rPr>
              <w:t>A</w:t>
            </w:r>
            <w:r w:rsidRPr="00F70DEE">
              <w:rPr>
                <w:noProof/>
                <w:lang w:val="en-GB"/>
              </w:rPr>
              <w:t>ssembly.</w:t>
            </w:r>
            <w:bookmarkEnd w:id="900"/>
          </w:p>
          <w:p w14:paraId="541511E9" w14:textId="77777777" w:rsidR="009B7800" w:rsidRPr="00F70DEE" w:rsidRDefault="009B7800" w:rsidP="00415D95">
            <w:pPr>
              <w:pStyle w:val="Wayforward"/>
              <w:rPr>
                <w:noProof/>
                <w:lang w:val="en-GB"/>
              </w:rPr>
            </w:pPr>
            <w:bookmarkStart w:id="901" w:name="_Toc119494335"/>
            <w:bookmarkStart w:id="902" w:name="_Toc121409255"/>
            <w:bookmarkStart w:id="903" w:name="_Toc121409256"/>
            <w:r w:rsidRPr="00F70DEE">
              <w:rPr>
                <w:noProof/>
                <w:lang w:val="en-GB"/>
              </w:rPr>
              <w:t xml:space="preserve">The </w:t>
            </w:r>
            <w:r w:rsidR="00DA1A06">
              <w:rPr>
                <w:noProof/>
                <w:lang w:val="en-GB"/>
              </w:rPr>
              <w:t>High Representative together with the Commission</w:t>
            </w:r>
            <w:r w:rsidR="00DA1A06" w:rsidRPr="00F70DEE">
              <w:rPr>
                <w:noProof/>
                <w:lang w:val="en-GB"/>
              </w:rPr>
              <w:t xml:space="preserve"> </w:t>
            </w:r>
            <w:r w:rsidRPr="00F70DEE">
              <w:rPr>
                <w:noProof/>
                <w:lang w:val="en-GB"/>
              </w:rPr>
              <w:t>will step up the 3S</w:t>
            </w:r>
            <w:r w:rsidR="003A638A" w:rsidRPr="00F70DEE">
              <w:rPr>
                <w:noProof/>
                <w:lang w:val="en-GB"/>
              </w:rPr>
              <w:t>O</w:t>
            </w:r>
            <w:r w:rsidRPr="00F70DEE">
              <w:rPr>
                <w:noProof/>
                <w:lang w:val="en-GB"/>
              </w:rPr>
              <w:t>S public diplomacy campaign for Safety, Security and Sustainability in Outer Space</w:t>
            </w:r>
            <w:bookmarkEnd w:id="901"/>
            <w:bookmarkEnd w:id="902"/>
            <w:r w:rsidR="004A720B" w:rsidRPr="00F70DEE">
              <w:rPr>
                <w:noProof/>
                <w:lang w:val="en-GB"/>
              </w:rPr>
              <w:t>.</w:t>
            </w:r>
          </w:p>
          <w:p w14:paraId="475D0BA2" w14:textId="77777777" w:rsidR="00F94F2D" w:rsidRDefault="009B7800" w:rsidP="00415D95">
            <w:pPr>
              <w:pStyle w:val="Wayforward"/>
              <w:rPr>
                <w:noProof/>
                <w:lang w:val="en-GB"/>
              </w:rPr>
            </w:pPr>
            <w:r w:rsidRPr="00F70DEE">
              <w:rPr>
                <w:noProof/>
                <w:lang w:val="en-GB"/>
              </w:rPr>
              <w:t xml:space="preserve">The </w:t>
            </w:r>
            <w:r w:rsidR="00F94F2D">
              <w:rPr>
                <w:noProof/>
                <w:lang w:val="en-GB"/>
              </w:rPr>
              <w:t>High Representative and the Commission</w:t>
            </w:r>
            <w:r w:rsidR="00F94F2D" w:rsidRPr="00F70DEE">
              <w:rPr>
                <w:noProof/>
                <w:lang w:val="en-GB"/>
              </w:rPr>
              <w:t xml:space="preserve"> </w:t>
            </w:r>
            <w:r w:rsidRPr="00F70DEE">
              <w:rPr>
                <w:noProof/>
                <w:lang w:val="en-GB"/>
              </w:rPr>
              <w:t>will deepen cooperation in space security with the US</w:t>
            </w:r>
            <w:bookmarkEnd w:id="903"/>
            <w:r w:rsidRPr="00F70DEE">
              <w:rPr>
                <w:noProof/>
                <w:lang w:val="en-GB"/>
              </w:rPr>
              <w:t xml:space="preserve">. </w:t>
            </w:r>
            <w:r w:rsidR="00296AEB" w:rsidRPr="00F70DEE">
              <w:rPr>
                <w:noProof/>
                <w:lang w:val="en-GB"/>
              </w:rPr>
              <w:t xml:space="preserve"> </w:t>
            </w:r>
            <w:bookmarkStart w:id="904" w:name="_Toc121409257"/>
          </w:p>
          <w:p w14:paraId="57942695" w14:textId="77777777" w:rsidR="009B7800" w:rsidRPr="00F70DEE" w:rsidRDefault="009B7800" w:rsidP="00415D95">
            <w:pPr>
              <w:pStyle w:val="Wayforward"/>
              <w:rPr>
                <w:noProof/>
                <w:lang w:val="en-GB"/>
              </w:rPr>
            </w:pPr>
            <w:r w:rsidRPr="00F70DEE">
              <w:rPr>
                <w:noProof/>
                <w:lang w:val="en-GB"/>
              </w:rPr>
              <w:t xml:space="preserve">The High Representative and the Commission will develop space security dialogues with like-minded partners and </w:t>
            </w:r>
            <w:r w:rsidR="00EC4031">
              <w:rPr>
                <w:noProof/>
                <w:lang w:val="en-GB"/>
              </w:rPr>
              <w:t>a</w:t>
            </w:r>
            <w:r w:rsidRPr="00F70DEE">
              <w:rPr>
                <w:noProof/>
                <w:lang w:val="en-GB"/>
              </w:rPr>
              <w:t>llies, where relevant. In close cooperation with Member States, they will consider dialogue with non-like-minded countries.</w:t>
            </w:r>
            <w:bookmarkEnd w:id="904"/>
          </w:p>
          <w:p w14:paraId="69990F13" w14:textId="77777777" w:rsidR="009B7800" w:rsidRPr="00F70DEE" w:rsidRDefault="009B7800" w:rsidP="00CD26FA">
            <w:pPr>
              <w:pStyle w:val="Wayforward"/>
              <w:rPr>
                <w:noProof/>
                <w:lang w:val="en-GB"/>
              </w:rPr>
            </w:pPr>
            <w:bookmarkStart w:id="905" w:name="_Toc121409258"/>
            <w:r w:rsidRPr="00F70DEE">
              <w:rPr>
                <w:noProof/>
                <w:lang w:val="en-GB"/>
              </w:rPr>
              <w:t xml:space="preserve">The High Representative and the Commission will </w:t>
            </w:r>
            <w:r w:rsidR="00CD26FA">
              <w:rPr>
                <w:noProof/>
                <w:lang w:val="en-GB"/>
              </w:rPr>
              <w:t>develop</w:t>
            </w:r>
            <w:r w:rsidR="00CD26FA" w:rsidRPr="00F70DEE">
              <w:rPr>
                <w:noProof/>
                <w:lang w:val="en-GB"/>
              </w:rPr>
              <w:t xml:space="preserve"> </w:t>
            </w:r>
            <w:r w:rsidRPr="00F70DEE">
              <w:rPr>
                <w:noProof/>
                <w:lang w:val="en-GB"/>
              </w:rPr>
              <w:t>cooperation with NATO</w:t>
            </w:r>
            <w:r w:rsidR="00F94F2D">
              <w:rPr>
                <w:noProof/>
                <w:lang w:val="en-GB"/>
              </w:rPr>
              <w:t xml:space="preserve"> in space security.</w:t>
            </w:r>
            <w:r w:rsidRPr="00F70DEE">
              <w:rPr>
                <w:noProof/>
                <w:lang w:val="en-GB"/>
              </w:rPr>
              <w:t xml:space="preserve"> </w:t>
            </w:r>
            <w:bookmarkEnd w:id="905"/>
          </w:p>
        </w:tc>
      </w:tr>
    </w:tbl>
    <w:p w14:paraId="5F23F4B6" w14:textId="77777777" w:rsidR="008C75D3" w:rsidRPr="00F70DEE" w:rsidRDefault="008C75D3" w:rsidP="00FF2291">
      <w:pPr>
        <w:keepNext/>
        <w:keepLines/>
        <w:numPr>
          <w:ilvl w:val="0"/>
          <w:numId w:val="1"/>
        </w:numPr>
        <w:spacing w:before="240" w:after="240"/>
        <w:ind w:left="357" w:hanging="357"/>
        <w:outlineLvl w:val="0"/>
        <w:rPr>
          <w:rFonts w:eastAsiaTheme="majorEastAsia" w:cstheme="majorBidi"/>
          <w:b/>
          <w:caps/>
          <w:noProof/>
          <w:szCs w:val="32"/>
        </w:rPr>
      </w:pPr>
      <w:bookmarkStart w:id="906" w:name="_Toc123037853"/>
      <w:bookmarkStart w:id="907" w:name="_Toc123385897"/>
      <w:bookmarkStart w:id="908" w:name="_Toc123037854"/>
      <w:bookmarkStart w:id="909" w:name="_Toc123385898"/>
      <w:bookmarkStart w:id="910" w:name="_Toc123037863"/>
      <w:bookmarkStart w:id="911" w:name="_Toc123385907"/>
      <w:bookmarkStart w:id="912" w:name="_Toc123037748"/>
      <w:bookmarkStart w:id="913" w:name="_Toc123037865"/>
      <w:bookmarkStart w:id="914" w:name="_Toc123037981"/>
      <w:bookmarkStart w:id="915" w:name="_Toc123037749"/>
      <w:bookmarkStart w:id="916" w:name="_Toc123037866"/>
      <w:bookmarkStart w:id="917" w:name="_Toc123037982"/>
      <w:bookmarkStart w:id="918" w:name="_Toc123037750"/>
      <w:bookmarkStart w:id="919" w:name="_Toc123037867"/>
      <w:bookmarkStart w:id="920" w:name="_Toc123037983"/>
      <w:bookmarkStart w:id="921" w:name="_Toc123037751"/>
      <w:bookmarkStart w:id="922" w:name="_Toc123037868"/>
      <w:bookmarkStart w:id="923" w:name="_Toc123037984"/>
      <w:bookmarkStart w:id="924" w:name="_Toc123037752"/>
      <w:bookmarkStart w:id="925" w:name="_Toc123037869"/>
      <w:bookmarkStart w:id="926" w:name="_Toc123037985"/>
      <w:bookmarkStart w:id="927" w:name="_Toc123037753"/>
      <w:bookmarkStart w:id="928" w:name="_Toc123037870"/>
      <w:bookmarkStart w:id="929" w:name="_Toc123037986"/>
      <w:bookmarkStart w:id="930" w:name="_Toc123037754"/>
      <w:bookmarkStart w:id="931" w:name="_Toc123037871"/>
      <w:bookmarkStart w:id="932" w:name="_Toc123037987"/>
      <w:bookmarkStart w:id="933" w:name="_Toc123037755"/>
      <w:bookmarkStart w:id="934" w:name="_Toc123037872"/>
      <w:bookmarkStart w:id="935" w:name="_Toc123037988"/>
      <w:bookmarkStart w:id="936" w:name="_Toc123037756"/>
      <w:bookmarkStart w:id="937" w:name="_Toc123037873"/>
      <w:bookmarkStart w:id="938" w:name="_Toc123037989"/>
      <w:bookmarkStart w:id="939" w:name="_Toc123037757"/>
      <w:bookmarkStart w:id="940" w:name="_Toc123037874"/>
      <w:bookmarkStart w:id="941" w:name="_Toc123037990"/>
      <w:bookmarkStart w:id="942" w:name="_Toc123037758"/>
      <w:bookmarkStart w:id="943" w:name="_Toc123037875"/>
      <w:bookmarkStart w:id="944" w:name="_Toc123037991"/>
      <w:bookmarkStart w:id="945" w:name="_Toc123037759"/>
      <w:bookmarkStart w:id="946" w:name="_Toc123037876"/>
      <w:bookmarkStart w:id="947" w:name="_Toc123037992"/>
      <w:bookmarkStart w:id="948" w:name="_Toc123037760"/>
      <w:bookmarkStart w:id="949" w:name="_Toc123037877"/>
      <w:bookmarkStart w:id="950" w:name="_Toc123037993"/>
      <w:bookmarkStart w:id="951" w:name="_Toc118669565"/>
      <w:bookmarkStart w:id="952" w:name="_Toc121409670"/>
      <w:bookmarkStart w:id="953" w:name="_Toc125732847"/>
      <w:bookmarkStart w:id="954" w:name="_Toc85462617"/>
      <w:bookmarkStart w:id="955" w:name="_Toc85553137"/>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sidRPr="00F70DEE">
        <w:rPr>
          <w:rFonts w:eastAsiaTheme="majorEastAsia" w:cstheme="majorBidi"/>
          <w:b/>
          <w:caps/>
          <w:noProof/>
          <w:szCs w:val="32"/>
        </w:rPr>
        <w:t>CONCLUSION</w:t>
      </w:r>
      <w:bookmarkEnd w:id="951"/>
      <w:bookmarkEnd w:id="952"/>
      <w:bookmarkEnd w:id="953"/>
      <w:bookmarkEnd w:id="954"/>
      <w:bookmarkEnd w:id="955"/>
    </w:p>
    <w:p w14:paraId="016FCB27" w14:textId="77777777" w:rsidR="00A61115" w:rsidRPr="00F70DEE" w:rsidRDefault="00EC1FC7" w:rsidP="008C75D3">
      <w:pPr>
        <w:rPr>
          <w:noProof/>
        </w:rPr>
      </w:pPr>
      <w:r w:rsidRPr="00F70DEE">
        <w:rPr>
          <w:noProof/>
        </w:rPr>
        <w:t>Space systems</w:t>
      </w:r>
      <w:r w:rsidR="008C75D3" w:rsidRPr="00F70DEE">
        <w:rPr>
          <w:noProof/>
        </w:rPr>
        <w:t xml:space="preserve"> and </w:t>
      </w:r>
      <w:r w:rsidRPr="00F70DEE">
        <w:rPr>
          <w:noProof/>
        </w:rPr>
        <w:t>services</w:t>
      </w:r>
      <w:r w:rsidR="00A61115" w:rsidRPr="00F70DEE">
        <w:rPr>
          <w:noProof/>
        </w:rPr>
        <w:t xml:space="preserve"> in</w:t>
      </w:r>
      <w:r w:rsidR="008C75D3" w:rsidRPr="00F70DEE">
        <w:rPr>
          <w:noProof/>
        </w:rPr>
        <w:t xml:space="preserve"> the </w:t>
      </w:r>
      <w:r w:rsidR="00BC5A3C" w:rsidRPr="00F70DEE">
        <w:rPr>
          <w:noProof/>
        </w:rPr>
        <w:t>E</w:t>
      </w:r>
      <w:r w:rsidRPr="00F70DEE">
        <w:rPr>
          <w:noProof/>
        </w:rPr>
        <w:t>U contribute to the strategic autonomy</w:t>
      </w:r>
      <w:r w:rsidR="00A61115" w:rsidRPr="00F70DEE">
        <w:rPr>
          <w:noProof/>
        </w:rPr>
        <w:t xml:space="preserve"> </w:t>
      </w:r>
      <w:r w:rsidR="008C75D3" w:rsidRPr="00F70DEE">
        <w:rPr>
          <w:noProof/>
        </w:rPr>
        <w:t xml:space="preserve">of </w:t>
      </w:r>
      <w:r w:rsidRPr="00F70DEE">
        <w:rPr>
          <w:noProof/>
        </w:rPr>
        <w:t xml:space="preserve">the </w:t>
      </w:r>
      <w:r w:rsidR="00BC5A3C" w:rsidRPr="00F70DEE">
        <w:rPr>
          <w:noProof/>
        </w:rPr>
        <w:t>E</w:t>
      </w:r>
      <w:r w:rsidRPr="00F70DEE">
        <w:rPr>
          <w:noProof/>
        </w:rPr>
        <w:t xml:space="preserve">U and its Member States. </w:t>
      </w:r>
      <w:bookmarkStart w:id="956" w:name="_Toc121409259"/>
      <w:r w:rsidR="006B79A0" w:rsidRPr="00F70DEE">
        <w:rPr>
          <w:noProof/>
        </w:rPr>
        <w:t xml:space="preserve">They are key assets that will contribute to shaping the future </w:t>
      </w:r>
      <w:r w:rsidR="002D11AD">
        <w:rPr>
          <w:noProof/>
        </w:rPr>
        <w:t xml:space="preserve">competitiveness, prosperity and security of the EU </w:t>
      </w:r>
      <w:r w:rsidR="006B79A0" w:rsidRPr="00F70DEE">
        <w:rPr>
          <w:noProof/>
        </w:rPr>
        <w:t>for next generations.</w:t>
      </w:r>
    </w:p>
    <w:bookmarkEnd w:id="956"/>
    <w:p w14:paraId="38D15343" w14:textId="77777777" w:rsidR="00E35B13" w:rsidRPr="00F70DEE" w:rsidRDefault="005D0127" w:rsidP="008C75D3">
      <w:pPr>
        <w:rPr>
          <w:noProof/>
        </w:rPr>
      </w:pPr>
      <w:r>
        <w:rPr>
          <w:noProof/>
        </w:rPr>
        <w:t>The</w:t>
      </w:r>
      <w:r w:rsidR="008C75D3" w:rsidRPr="00F70DEE">
        <w:rPr>
          <w:noProof/>
        </w:rPr>
        <w:t xml:space="preserve"> Space Strategy for </w:t>
      </w:r>
      <w:r w:rsidR="00CD26FA">
        <w:rPr>
          <w:noProof/>
        </w:rPr>
        <w:t>s</w:t>
      </w:r>
      <w:r w:rsidR="00CD26FA" w:rsidRPr="00F70DEE">
        <w:rPr>
          <w:noProof/>
        </w:rPr>
        <w:t xml:space="preserve">ecurity </w:t>
      </w:r>
      <w:r w:rsidR="008C75D3" w:rsidRPr="00F70DEE">
        <w:rPr>
          <w:noProof/>
        </w:rPr>
        <w:t xml:space="preserve">and </w:t>
      </w:r>
      <w:r w:rsidR="00CD26FA">
        <w:rPr>
          <w:noProof/>
        </w:rPr>
        <w:t>d</w:t>
      </w:r>
      <w:r w:rsidR="00CD26FA" w:rsidRPr="00F70DEE">
        <w:rPr>
          <w:noProof/>
        </w:rPr>
        <w:t xml:space="preserve">efence </w:t>
      </w:r>
      <w:r w:rsidR="008C75D3" w:rsidRPr="00F70DEE">
        <w:rPr>
          <w:noProof/>
        </w:rPr>
        <w:t xml:space="preserve">demonstrates the </w:t>
      </w:r>
      <w:r>
        <w:rPr>
          <w:noProof/>
        </w:rPr>
        <w:t xml:space="preserve">EU’s </w:t>
      </w:r>
      <w:r w:rsidR="008C75D3" w:rsidRPr="00F70DEE">
        <w:rPr>
          <w:noProof/>
        </w:rPr>
        <w:t xml:space="preserve">commitment to protect its security interests </w:t>
      </w:r>
      <w:r w:rsidR="008C75D3" w:rsidRPr="005F39E1">
        <w:rPr>
          <w:noProof/>
        </w:rPr>
        <w:t>while preventing an arm</w:t>
      </w:r>
      <w:r w:rsidR="009C3060" w:rsidRPr="005F39E1">
        <w:rPr>
          <w:noProof/>
        </w:rPr>
        <w:t>s</w:t>
      </w:r>
      <w:r w:rsidR="008C75D3" w:rsidRPr="005F39E1">
        <w:rPr>
          <w:noProof/>
        </w:rPr>
        <w:t xml:space="preserve"> race in outer space</w:t>
      </w:r>
      <w:r w:rsidR="008C75D3" w:rsidRPr="005F39E1" w:rsidDel="007D06A8">
        <w:rPr>
          <w:noProof/>
        </w:rPr>
        <w:t xml:space="preserve">, </w:t>
      </w:r>
      <w:r w:rsidR="008C75D3" w:rsidRPr="005F39E1">
        <w:rPr>
          <w:noProof/>
        </w:rPr>
        <w:t>and accelerating synergies between space</w:t>
      </w:r>
      <w:r w:rsidR="001F648F" w:rsidRPr="005F39E1">
        <w:rPr>
          <w:noProof/>
        </w:rPr>
        <w:t>, security</w:t>
      </w:r>
      <w:r w:rsidR="008C75D3" w:rsidRPr="00F70DEE">
        <w:rPr>
          <w:noProof/>
        </w:rPr>
        <w:t xml:space="preserve"> and defence.</w:t>
      </w:r>
    </w:p>
    <w:p w14:paraId="5173FEBE" w14:textId="77777777" w:rsidR="00AE380E" w:rsidRPr="00A433E5" w:rsidRDefault="008C75D3" w:rsidP="00391EE8">
      <w:pPr>
        <w:rPr>
          <w:noProof/>
        </w:rPr>
      </w:pPr>
      <w:r w:rsidRPr="00F70DEE">
        <w:rPr>
          <w:noProof/>
        </w:rPr>
        <w:t xml:space="preserve">The </w:t>
      </w:r>
      <w:r w:rsidR="007841A8" w:rsidRPr="00F70DEE">
        <w:rPr>
          <w:noProof/>
        </w:rPr>
        <w:t>EU</w:t>
      </w:r>
      <w:r w:rsidRPr="00F70DEE">
        <w:rPr>
          <w:noProof/>
        </w:rPr>
        <w:t xml:space="preserve"> is committed to strengthen</w:t>
      </w:r>
      <w:r w:rsidR="008E3A60">
        <w:rPr>
          <w:noProof/>
        </w:rPr>
        <w:t>ing</w:t>
      </w:r>
      <w:r w:rsidRPr="00F70DEE">
        <w:rPr>
          <w:noProof/>
        </w:rPr>
        <w:t xml:space="preserve"> the resilience of the value chains </w:t>
      </w:r>
      <w:r w:rsidR="00EC4031">
        <w:rPr>
          <w:noProof/>
        </w:rPr>
        <w:t xml:space="preserve">that </w:t>
      </w:r>
      <w:r w:rsidRPr="00F70DEE">
        <w:rPr>
          <w:noProof/>
        </w:rPr>
        <w:t>underpin the space ecosystem and to support</w:t>
      </w:r>
      <w:r w:rsidR="00EC4031">
        <w:rPr>
          <w:noProof/>
        </w:rPr>
        <w:t>ing</w:t>
      </w:r>
      <w:r w:rsidRPr="00F70DEE">
        <w:rPr>
          <w:noProof/>
        </w:rPr>
        <w:t xml:space="preserve"> the innovation and competitiveness o</w:t>
      </w:r>
      <w:r w:rsidR="00A97391" w:rsidRPr="00F70DEE">
        <w:rPr>
          <w:noProof/>
        </w:rPr>
        <w:t>f the E</w:t>
      </w:r>
      <w:r w:rsidR="00037A2A" w:rsidRPr="00F70DEE">
        <w:rPr>
          <w:noProof/>
        </w:rPr>
        <w:t>U</w:t>
      </w:r>
      <w:r w:rsidR="00A97391" w:rsidRPr="00F70DEE">
        <w:rPr>
          <w:noProof/>
        </w:rPr>
        <w:t xml:space="preserve"> space industry</w:t>
      </w:r>
      <w:r w:rsidRPr="00F70DEE">
        <w:rPr>
          <w:noProof/>
        </w:rPr>
        <w:t>.</w:t>
      </w:r>
      <w:r w:rsidR="006C5C80" w:rsidRPr="00F70DEE">
        <w:rPr>
          <w:noProof/>
        </w:rPr>
        <w:t xml:space="preserve"> The Commission and the High Representative will report </w:t>
      </w:r>
      <w:r w:rsidR="005D0127">
        <w:rPr>
          <w:noProof/>
        </w:rPr>
        <w:t xml:space="preserve">to the Council </w:t>
      </w:r>
      <w:r w:rsidR="007A474B" w:rsidRPr="00F70DEE">
        <w:rPr>
          <w:noProof/>
        </w:rPr>
        <w:t xml:space="preserve">on a </w:t>
      </w:r>
      <w:r w:rsidR="008D7884" w:rsidRPr="00F70DEE">
        <w:rPr>
          <w:noProof/>
        </w:rPr>
        <w:t>yearly</w:t>
      </w:r>
      <w:r w:rsidR="007A474B" w:rsidRPr="00F70DEE">
        <w:rPr>
          <w:noProof/>
        </w:rPr>
        <w:t xml:space="preserve"> basis</w:t>
      </w:r>
      <w:r w:rsidR="006C5C80" w:rsidRPr="00F70DEE">
        <w:rPr>
          <w:noProof/>
        </w:rPr>
        <w:t xml:space="preserve"> </w:t>
      </w:r>
      <w:r w:rsidR="005D0127">
        <w:rPr>
          <w:noProof/>
        </w:rPr>
        <w:t>on the</w:t>
      </w:r>
      <w:r w:rsidR="005D0127" w:rsidRPr="00F70DEE">
        <w:rPr>
          <w:noProof/>
        </w:rPr>
        <w:t xml:space="preserve"> </w:t>
      </w:r>
      <w:r w:rsidR="006C5C80" w:rsidRPr="00F70DEE">
        <w:rPr>
          <w:noProof/>
        </w:rPr>
        <w:t xml:space="preserve">progress achieved </w:t>
      </w:r>
      <w:r w:rsidR="007A474B" w:rsidRPr="00F70DEE">
        <w:rPr>
          <w:noProof/>
        </w:rPr>
        <w:t>and potential further actions</w:t>
      </w:r>
      <w:r w:rsidR="006C5C80" w:rsidRPr="00F70DEE">
        <w:rPr>
          <w:noProof/>
        </w:rPr>
        <w:t>.</w:t>
      </w:r>
    </w:p>
    <w:sectPr w:rsidR="00AE380E" w:rsidRPr="00A433E5" w:rsidSect="001470A2">
      <w:headerReference w:type="even" r:id="rId15"/>
      <w:headerReference w:type="default" r:id="rId16"/>
      <w:footerReference w:type="even" r:id="rId17"/>
      <w:footerReference w:type="default" r:id="rId18"/>
      <w:headerReference w:type="first" r:id="rId19"/>
      <w:footerReference w:type="first" r:id="rId20"/>
      <w:pgSz w:w="11906" w:h="16838"/>
      <w:pgMar w:top="618" w:right="1417" w:bottom="1134" w:left="1843"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65C35" w14:textId="77777777" w:rsidR="00665C79" w:rsidRDefault="00665C79" w:rsidP="00CB2544">
      <w:r>
        <w:separator/>
      </w:r>
    </w:p>
    <w:p w14:paraId="6F6C2B7A" w14:textId="77777777" w:rsidR="00665C79" w:rsidRDefault="00665C79" w:rsidP="00232A88"/>
    <w:p w14:paraId="23CCD970" w14:textId="77777777" w:rsidR="00665C79" w:rsidRDefault="00665C79"/>
    <w:p w14:paraId="04BE69BE" w14:textId="77777777" w:rsidR="00665C79" w:rsidRDefault="00665C79"/>
  </w:endnote>
  <w:endnote w:type="continuationSeparator" w:id="0">
    <w:p w14:paraId="3BBBF4FD" w14:textId="77777777" w:rsidR="00665C79" w:rsidRDefault="00665C79" w:rsidP="00CB2544">
      <w:r>
        <w:continuationSeparator/>
      </w:r>
    </w:p>
    <w:p w14:paraId="34B263EE" w14:textId="77777777" w:rsidR="00665C79" w:rsidRDefault="00665C79" w:rsidP="00232A88"/>
    <w:p w14:paraId="3AB06905" w14:textId="77777777" w:rsidR="00665C79" w:rsidRDefault="00665C79"/>
    <w:p w14:paraId="1CB9AA34" w14:textId="77777777" w:rsidR="00665C79" w:rsidRDefault="00665C79"/>
  </w:endnote>
  <w:endnote w:type="continuationNotice" w:id="1">
    <w:p w14:paraId="73AE5AA0" w14:textId="77777777" w:rsidR="00665C79" w:rsidRDefault="00665C79" w:rsidP="00CB2544"/>
    <w:p w14:paraId="02D7AD88" w14:textId="77777777" w:rsidR="00665C79" w:rsidRDefault="00665C79" w:rsidP="00232A88"/>
    <w:p w14:paraId="2728E232" w14:textId="77777777" w:rsidR="00665C79" w:rsidRDefault="00665C79"/>
    <w:p w14:paraId="667A5CF3" w14:textId="77777777" w:rsidR="00665C79" w:rsidRDefault="00665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2E923" w14:textId="77777777" w:rsidR="00276113" w:rsidRPr="00276113" w:rsidRDefault="00276113" w:rsidP="00276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355F5" w14:textId="55D5878D" w:rsidR="005B5C76" w:rsidRPr="00276113" w:rsidRDefault="00276113" w:rsidP="00276113">
    <w:pPr>
      <w:pStyle w:val="FooterCoverPage"/>
      <w:rPr>
        <w:rFonts w:ascii="Arial" w:hAnsi="Arial" w:cs="Arial"/>
        <w:b/>
        <w:sz w:val="48"/>
      </w:rPr>
    </w:pPr>
    <w:r w:rsidRPr="00276113">
      <w:rPr>
        <w:rFonts w:ascii="Arial" w:hAnsi="Arial" w:cs="Arial"/>
        <w:b/>
        <w:sz w:val="48"/>
      </w:rPr>
      <w:t>EN</w:t>
    </w:r>
    <w:r w:rsidRPr="00276113">
      <w:rPr>
        <w:rFonts w:ascii="Arial" w:hAnsi="Arial" w:cs="Arial"/>
        <w:b/>
        <w:sz w:val="48"/>
      </w:rPr>
      <w:tab/>
    </w:r>
    <w:r w:rsidRPr="00276113">
      <w:rPr>
        <w:rFonts w:ascii="Arial" w:hAnsi="Arial" w:cs="Arial"/>
        <w:b/>
        <w:sz w:val="48"/>
      </w:rPr>
      <w:tab/>
    </w:r>
    <w:r w:rsidRPr="00276113">
      <w:tab/>
    </w:r>
    <w:r w:rsidRPr="0027611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F6F90" w14:textId="77777777" w:rsidR="00276113" w:rsidRPr="00276113" w:rsidRDefault="00276113" w:rsidP="0027611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6F9B5" w14:textId="77777777" w:rsidR="001470A2" w:rsidRDefault="001470A2" w:rsidP="00232A88">
    <w:pPr>
      <w:pStyle w:val="Footer"/>
    </w:pPr>
  </w:p>
  <w:p w14:paraId="57E683DF" w14:textId="77777777" w:rsidR="001470A2" w:rsidRDefault="001470A2" w:rsidP="00232A88"/>
  <w:p w14:paraId="415DEA2A" w14:textId="77777777" w:rsidR="001470A2" w:rsidRDefault="001470A2"/>
  <w:p w14:paraId="4AED132A" w14:textId="77777777" w:rsidR="001470A2" w:rsidRDefault="001470A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575593"/>
      <w:docPartObj>
        <w:docPartGallery w:val="Page Numbers (Bottom of Page)"/>
        <w:docPartUnique/>
      </w:docPartObj>
    </w:sdtPr>
    <w:sdtEndPr>
      <w:rPr>
        <w:noProof/>
      </w:rPr>
    </w:sdtEndPr>
    <w:sdtContent>
      <w:p w14:paraId="5C3365F8" w14:textId="08D935EA" w:rsidR="001470A2" w:rsidRDefault="001470A2" w:rsidP="00E262D2">
        <w:pPr>
          <w:pStyle w:val="Footer"/>
          <w:jc w:val="center"/>
        </w:pPr>
        <w:r>
          <w:fldChar w:fldCharType="begin"/>
        </w:r>
        <w:r>
          <w:instrText xml:space="preserve"> PAGE   \* MERGEFORMAT </w:instrText>
        </w:r>
        <w:r>
          <w:fldChar w:fldCharType="separate"/>
        </w:r>
        <w:r w:rsidR="00276113">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1F6DF" w14:textId="77777777" w:rsidR="001470A2" w:rsidRDefault="0014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65954" w14:textId="77777777" w:rsidR="00665C79" w:rsidRDefault="00665C79">
      <w:r>
        <w:separator/>
      </w:r>
    </w:p>
  </w:footnote>
  <w:footnote w:type="continuationSeparator" w:id="0">
    <w:p w14:paraId="12D6E8B5" w14:textId="77777777" w:rsidR="00665C79" w:rsidRDefault="00665C79" w:rsidP="00CB2544">
      <w:r>
        <w:continuationSeparator/>
      </w:r>
    </w:p>
    <w:p w14:paraId="59AA2CD6" w14:textId="77777777" w:rsidR="00665C79" w:rsidRDefault="00665C79" w:rsidP="00232A88"/>
    <w:p w14:paraId="7086F9B6" w14:textId="77777777" w:rsidR="00665C79" w:rsidRDefault="00665C79"/>
    <w:p w14:paraId="0526B182" w14:textId="77777777" w:rsidR="00665C79" w:rsidRDefault="00665C79"/>
  </w:footnote>
  <w:footnote w:type="continuationNotice" w:id="1">
    <w:p w14:paraId="67AEFA94" w14:textId="77777777" w:rsidR="00665C79" w:rsidRDefault="00665C79" w:rsidP="00CB2544"/>
    <w:p w14:paraId="3ECFE9A4" w14:textId="77777777" w:rsidR="00665C79" w:rsidRDefault="00665C79" w:rsidP="00232A88"/>
    <w:p w14:paraId="4943054E" w14:textId="77777777" w:rsidR="00665C79" w:rsidRDefault="00665C79"/>
    <w:p w14:paraId="2B2F5B2D" w14:textId="77777777" w:rsidR="00665C79" w:rsidRDefault="00665C79"/>
  </w:footnote>
  <w:footnote w:id="2">
    <w:p w14:paraId="48331213" w14:textId="77777777" w:rsidR="000832CA" w:rsidRPr="00CC6A85" w:rsidRDefault="000832CA">
      <w:pPr>
        <w:pStyle w:val="FootnoteText"/>
      </w:pPr>
      <w:r w:rsidRPr="0019739C">
        <w:rPr>
          <w:rStyle w:val="FootnoteReference"/>
        </w:rPr>
        <w:footnoteRef/>
      </w:r>
      <w:r w:rsidRPr="0019739C">
        <w:t xml:space="preserve"> </w:t>
      </w:r>
      <w:hyperlink r:id="rId1" w:history="1">
        <w:r w:rsidRPr="0019739C">
          <w:rPr>
            <w:rStyle w:val="Hyperlink"/>
          </w:rPr>
          <w:t>A Strategic Compass for Security and Defence - For a European Union that protects its citizens, values and interests and contributes to international peace and security</w:t>
        </w:r>
      </w:hyperlink>
    </w:p>
  </w:footnote>
  <w:footnote w:id="3">
    <w:p w14:paraId="6A494A73" w14:textId="77777777" w:rsidR="000832CA" w:rsidRPr="007C2FAF" w:rsidRDefault="000832CA" w:rsidP="00CF655D">
      <w:pPr>
        <w:pStyle w:val="FootnoteText"/>
      </w:pPr>
      <w:r>
        <w:rPr>
          <w:rStyle w:val="FootnoteReference"/>
        </w:rPr>
        <w:footnoteRef/>
      </w:r>
      <w:r>
        <w:t xml:space="preserve"> </w:t>
      </w:r>
      <w:r w:rsidRPr="007C2FAF">
        <w:t>COM(2020) 605 final</w:t>
      </w:r>
    </w:p>
  </w:footnote>
  <w:footnote w:id="4">
    <w:p w14:paraId="0E921138" w14:textId="6DB5DB25" w:rsidR="00432483" w:rsidRPr="00432483" w:rsidRDefault="00432483">
      <w:pPr>
        <w:pStyle w:val="FootnoteText"/>
      </w:pPr>
      <w:r>
        <w:rPr>
          <w:rStyle w:val="FootnoteReference"/>
        </w:rPr>
        <w:footnoteRef/>
      </w:r>
      <w:r>
        <w:t xml:space="preserve"> This can include ASATs such as missiles launched directly from ground (direct ascent ASAT), or spacecraft activated when already in orbit (co-orbital ASAT), including robotic arms or projectile objects.</w:t>
      </w:r>
    </w:p>
  </w:footnote>
  <w:footnote w:id="5">
    <w:p w14:paraId="60B02774" w14:textId="632FF4CB" w:rsidR="00432483" w:rsidRPr="00432483" w:rsidRDefault="00432483">
      <w:pPr>
        <w:pStyle w:val="FootnoteText"/>
      </w:pPr>
      <w:r>
        <w:rPr>
          <w:rStyle w:val="FootnoteReference"/>
        </w:rPr>
        <w:footnoteRef/>
      </w:r>
      <w:r>
        <w:t xml:space="preserve"> For example, electronic warfare, lasers and other directed energy to dazzle satellites, damage their on-board electronic systems or jam or spoof their signals or intrude into their communications networks.</w:t>
      </w:r>
    </w:p>
  </w:footnote>
  <w:footnote w:id="6">
    <w:p w14:paraId="18BA1F08" w14:textId="77777777" w:rsidR="000832CA" w:rsidRDefault="000832CA" w:rsidP="008C75D3">
      <w:pPr>
        <w:pStyle w:val="FootnoteText"/>
      </w:pPr>
      <w:r>
        <w:rPr>
          <w:rStyle w:val="FootnoteReference"/>
        </w:rPr>
        <w:footnoteRef/>
      </w:r>
      <w:r>
        <w:t xml:space="preserve"> </w:t>
      </w:r>
      <w:r w:rsidRPr="008424CD">
        <w:rPr>
          <w:szCs w:val="18"/>
          <w:lang w:val="en-IE"/>
        </w:rPr>
        <w:t>Directive (EU) 2022/2557 on the resilience of critical entities</w:t>
      </w:r>
    </w:p>
  </w:footnote>
  <w:footnote w:id="7">
    <w:p w14:paraId="3745360C" w14:textId="77777777" w:rsidR="000832CA" w:rsidRDefault="000832CA" w:rsidP="008C75D3">
      <w:pPr>
        <w:pStyle w:val="FootnoteText"/>
      </w:pPr>
      <w:r>
        <w:rPr>
          <w:rStyle w:val="FootnoteReference"/>
        </w:rPr>
        <w:footnoteRef/>
      </w:r>
      <w:r>
        <w:t xml:space="preserve"> </w:t>
      </w:r>
      <w:r w:rsidRPr="008424CD">
        <w:rPr>
          <w:szCs w:val="18"/>
          <w:lang w:val="en-IE"/>
        </w:rPr>
        <w:t>Directive (EU) 2022/2555 on measures for a high common level of cybersecurity across the Union</w:t>
      </w:r>
      <w:r>
        <w:t>, repealing Directive (EU) 2016/1148.</w:t>
      </w:r>
    </w:p>
  </w:footnote>
  <w:footnote w:id="8">
    <w:p w14:paraId="7537306A" w14:textId="77777777" w:rsidR="000832CA" w:rsidRPr="00096EBC" w:rsidRDefault="000832CA" w:rsidP="00B01A80">
      <w:pPr>
        <w:pStyle w:val="FootnoteText"/>
        <w:rPr>
          <w:lang w:val="en-IE"/>
        </w:rPr>
      </w:pPr>
      <w:r>
        <w:rPr>
          <w:rStyle w:val="FootnoteReference"/>
        </w:rPr>
        <w:footnoteRef/>
      </w:r>
      <w:r>
        <w:t xml:space="preserve"> Cf recital 5 of Directive 2022/2557: “… The space sector falls within the scope of Directive (EU) 2022/2557 with respect to the provision of certain services that depend on ground-based infrastructure owned, managed and operated either by Member States or by private parties; consequently, infrastructure owned, managed or operated by or on behalf of the Union as part of its space programme does not fall within the scope of this Directive.”</w:t>
      </w:r>
    </w:p>
  </w:footnote>
  <w:footnote w:id="9">
    <w:p w14:paraId="61494C57" w14:textId="77777777" w:rsidR="000832CA" w:rsidRPr="00904646" w:rsidRDefault="000832CA" w:rsidP="005A0142">
      <w:pPr>
        <w:pStyle w:val="FootnoteText"/>
      </w:pPr>
      <w:r w:rsidRPr="00D86672">
        <w:rPr>
          <w:rStyle w:val="FootnoteReference"/>
        </w:rPr>
        <w:footnoteRef/>
      </w:r>
      <w:r w:rsidRPr="00D86672">
        <w:t xml:space="preserve"> </w:t>
      </w:r>
      <w:r w:rsidRPr="0018694E">
        <w:t>JOIN(2022) 4 final</w:t>
      </w:r>
    </w:p>
  </w:footnote>
  <w:footnote w:id="10">
    <w:p w14:paraId="54028CEE" w14:textId="77777777" w:rsidR="000832CA" w:rsidRPr="008D22C5" w:rsidRDefault="000832CA" w:rsidP="000A563C">
      <w:pPr>
        <w:pStyle w:val="FootnoteText"/>
      </w:pPr>
      <w:r>
        <w:rPr>
          <w:rStyle w:val="FootnoteReference"/>
        </w:rPr>
        <w:footnoteRef/>
      </w:r>
      <w:r>
        <w:t xml:space="preserve"> Essential is to be understood as crucial for the functioning of economic activities, security and safety in Member States.</w:t>
      </w:r>
    </w:p>
  </w:footnote>
  <w:footnote w:id="11">
    <w:p w14:paraId="37FCB2BA" w14:textId="77777777" w:rsidR="000832CA" w:rsidRPr="00493B06" w:rsidRDefault="000832CA" w:rsidP="00CD29AF">
      <w:pPr>
        <w:pStyle w:val="FootnoteText"/>
      </w:pPr>
      <w:r>
        <w:rPr>
          <w:rStyle w:val="FootnoteReference"/>
        </w:rPr>
        <w:footnoteRef/>
      </w:r>
      <w:r>
        <w:t xml:space="preserve"> </w:t>
      </w:r>
      <w:r w:rsidRPr="00493B06">
        <w:t>https://www.enisa.europa.eu/</w:t>
      </w:r>
    </w:p>
  </w:footnote>
  <w:footnote w:id="12">
    <w:p w14:paraId="6525AF31" w14:textId="2B2B474A" w:rsidR="005C5047" w:rsidRPr="00FF2291" w:rsidRDefault="005C5047">
      <w:pPr>
        <w:pStyle w:val="FootnoteText"/>
        <w:rPr>
          <w:lang w:val="en-IE"/>
        </w:rPr>
      </w:pPr>
      <w:r>
        <w:rPr>
          <w:rStyle w:val="FootnoteReference"/>
        </w:rPr>
        <w:footnoteRef/>
      </w:r>
      <w:r>
        <w:t xml:space="preserve"> </w:t>
      </w:r>
      <w:r>
        <w:rPr>
          <w:rStyle w:val="FootnoteReference"/>
        </w:rPr>
        <w:footnoteRef/>
      </w:r>
      <w:r>
        <w:t xml:space="preserve"> </w:t>
      </w:r>
      <w:r w:rsidRPr="00CD26FA">
        <w:t>New Space qualifies the emerging private space industry, driven by a series of technological trends and business model innovations and leading to a reduction in costs of space systems, shorter lifecycles in delivery and more risk taking.</w:t>
      </w:r>
    </w:p>
  </w:footnote>
  <w:footnote w:id="13">
    <w:p w14:paraId="56CAE957" w14:textId="77777777" w:rsidR="000832CA" w:rsidRPr="008D22C5" w:rsidRDefault="000832CA" w:rsidP="00CE00D2">
      <w:pPr>
        <w:pStyle w:val="FootnoteText"/>
      </w:pPr>
      <w:r w:rsidRPr="00D86672">
        <w:rPr>
          <w:rStyle w:val="FootnoteReference"/>
        </w:rPr>
        <w:footnoteRef/>
      </w:r>
      <w:r w:rsidRPr="00D86672">
        <w:t xml:space="preserve"> Proposal for a Regulation of the European Parliament and of the Council on horizontal cybersecurity requirements for products with digital elements and amending Regulation (EU) 2019/1020, COM (2022) 454 final</w:t>
      </w:r>
    </w:p>
  </w:footnote>
  <w:footnote w:id="14">
    <w:p w14:paraId="3D4AA56C" w14:textId="77777777" w:rsidR="00E6603D" w:rsidRPr="00771F3F" w:rsidRDefault="00E6603D" w:rsidP="00E6603D">
      <w:pPr>
        <w:pStyle w:val="FootnoteText"/>
      </w:pPr>
      <w:r>
        <w:rPr>
          <w:rStyle w:val="FootnoteReference"/>
        </w:rPr>
        <w:footnoteRef/>
      </w:r>
      <w:r>
        <w:t xml:space="preserve"> This currently includes the </w:t>
      </w:r>
      <w:r w:rsidRPr="0042198D">
        <w:t xml:space="preserve">delegated regulation of the Radio Equipment Directive, </w:t>
      </w:r>
      <w:r>
        <w:t xml:space="preserve">adopted in October 2021 and </w:t>
      </w:r>
      <w:r w:rsidRPr="0042198D">
        <w:t xml:space="preserve">imposing obligations to the manufacturers of wireless devices to improve </w:t>
      </w:r>
      <w:r>
        <w:t>their</w:t>
      </w:r>
      <w:r w:rsidRPr="0042198D">
        <w:t xml:space="preserve"> level of cybersecurity, privacy and protection from fraud</w:t>
      </w:r>
      <w:r>
        <w:t>.</w:t>
      </w:r>
    </w:p>
  </w:footnote>
  <w:footnote w:id="15">
    <w:p w14:paraId="19DD1D6D" w14:textId="77777777" w:rsidR="000832CA" w:rsidRDefault="000832CA" w:rsidP="008D093A">
      <w:pPr>
        <w:pStyle w:val="FootnoteText"/>
      </w:pPr>
      <w:r>
        <w:rPr>
          <w:rStyle w:val="FootnoteReference"/>
        </w:rPr>
        <w:footnoteRef/>
      </w:r>
      <w:r>
        <w:t xml:space="preserve"> This includes access to raw, processed and advanced materials</w:t>
      </w:r>
    </w:p>
  </w:footnote>
  <w:footnote w:id="16">
    <w:p w14:paraId="52BEAE65" w14:textId="77777777" w:rsidR="000832CA" w:rsidRPr="00A6046F" w:rsidRDefault="000832CA" w:rsidP="008C75D3">
      <w:pPr>
        <w:pStyle w:val="FootnoteText"/>
      </w:pPr>
      <w:r>
        <w:rPr>
          <w:rStyle w:val="FootnoteReference"/>
        </w:rPr>
        <w:footnoteRef/>
      </w:r>
      <w:r>
        <w:t xml:space="preserve"> Including its precursors programmes the European Defence Industrial Development programme (EDIDP) and the Preparatory Action on Defence Research (PADR)</w:t>
      </w:r>
    </w:p>
  </w:footnote>
  <w:footnote w:id="17">
    <w:p w14:paraId="783543B0" w14:textId="77777777" w:rsidR="000832CA" w:rsidRPr="003E0647" w:rsidRDefault="000832CA">
      <w:pPr>
        <w:pStyle w:val="FootnoteText"/>
      </w:pPr>
      <w:r>
        <w:rPr>
          <w:rStyle w:val="FootnoteReference"/>
        </w:rPr>
        <w:footnoteRef/>
      </w:r>
      <w:r>
        <w:t xml:space="preserve"> The Commission-ESA-EDA Joint Task Force on critical space technologies for European non-dependence</w:t>
      </w:r>
      <w:r w:rsidR="00452E35">
        <w:t xml:space="preserve"> created in 2008.</w:t>
      </w:r>
    </w:p>
  </w:footnote>
  <w:footnote w:id="18">
    <w:p w14:paraId="2E729F77" w14:textId="77777777" w:rsidR="000832CA" w:rsidRPr="00D437B3" w:rsidRDefault="000832CA">
      <w:pPr>
        <w:pStyle w:val="FootnoteText"/>
      </w:pPr>
      <w:r>
        <w:rPr>
          <w:rStyle w:val="FootnoteReference"/>
        </w:rPr>
        <w:footnoteRef/>
      </w:r>
      <w:r>
        <w:t xml:space="preserve"> COM(2021)70 final</w:t>
      </w:r>
    </w:p>
  </w:footnote>
  <w:footnote w:id="19">
    <w:p w14:paraId="502FBCC2" w14:textId="77777777" w:rsidR="00E6603D" w:rsidRPr="00D86672" w:rsidRDefault="00E6603D" w:rsidP="00E6603D">
      <w:pPr>
        <w:pStyle w:val="FootnoteText"/>
      </w:pPr>
      <w:r w:rsidRPr="00D86672">
        <w:rPr>
          <w:rStyle w:val="FootnoteReference"/>
        </w:rPr>
        <w:footnoteRef/>
      </w:r>
      <w:r w:rsidRPr="00D86672">
        <w:t xml:space="preserve"> </w:t>
      </w:r>
      <w:hyperlink r:id="rId2" w:history="1">
        <w:r w:rsidRPr="00D86672">
          <w:rPr>
            <w:rStyle w:val="Hyperlink"/>
          </w:rPr>
          <w:t>European Critical Raw Materials Act (europa.eu)</w:t>
        </w:r>
      </w:hyperlink>
    </w:p>
  </w:footnote>
  <w:footnote w:id="20">
    <w:p w14:paraId="52694B7F" w14:textId="77777777" w:rsidR="00E6603D" w:rsidRPr="00A206C3" w:rsidRDefault="00E6603D" w:rsidP="00E6603D">
      <w:pPr>
        <w:pStyle w:val="FootnoteText"/>
      </w:pPr>
      <w:r w:rsidRPr="00D86672">
        <w:rPr>
          <w:rStyle w:val="FootnoteReference"/>
        </w:rPr>
        <w:footnoteRef/>
      </w:r>
      <w:r w:rsidRPr="00D86672">
        <w:t xml:space="preserve"> </w:t>
      </w:r>
      <w:hyperlink r:id="rId3" w:history="1">
        <w:r w:rsidRPr="00D86672">
          <w:rPr>
            <w:rStyle w:val="Hyperlink"/>
          </w:rPr>
          <w:t>European Chips Act (europa.eu)</w:t>
        </w:r>
      </w:hyperlink>
    </w:p>
  </w:footnote>
  <w:footnote w:id="21">
    <w:p w14:paraId="5C3E5945" w14:textId="7296344A" w:rsidR="000832CA" w:rsidRPr="00A206C3" w:rsidRDefault="000832CA" w:rsidP="008C75D3">
      <w:pPr>
        <w:pStyle w:val="FootnoteText"/>
      </w:pPr>
      <w:r w:rsidRPr="00A206C3">
        <w:rPr>
          <w:rStyle w:val="FootnoteReference"/>
        </w:rPr>
        <w:footnoteRef/>
      </w:r>
      <w:r w:rsidRPr="00A206C3">
        <w:t xml:space="preserve"> Regulation (EU) 2019/452 establishing a framework for the screening of foreign direct investments into the Union</w:t>
      </w:r>
    </w:p>
  </w:footnote>
  <w:footnote w:id="22">
    <w:p w14:paraId="5EF3866E" w14:textId="77777777" w:rsidR="000832CA" w:rsidRPr="00235F2A" w:rsidRDefault="000832CA" w:rsidP="00532ABC">
      <w:pPr>
        <w:pStyle w:val="FootnoteText"/>
      </w:pPr>
      <w:r w:rsidRPr="00A206C3">
        <w:rPr>
          <w:rStyle w:val="FootnoteReference"/>
        </w:rPr>
        <w:footnoteRef/>
      </w:r>
      <w:r w:rsidRPr="00A206C3">
        <w:t xml:space="preserve"> Article 15 of the Regulation</w:t>
      </w:r>
    </w:p>
  </w:footnote>
  <w:footnote w:id="23">
    <w:p w14:paraId="3F79060C" w14:textId="2C221F72" w:rsidR="000832CA" w:rsidRPr="00A507DC" w:rsidRDefault="000832CA" w:rsidP="008D0169">
      <w:pPr>
        <w:pStyle w:val="FootnoteText"/>
      </w:pPr>
      <w:r w:rsidRPr="00A507DC">
        <w:rPr>
          <w:rStyle w:val="FootnoteReference"/>
        </w:rPr>
        <w:footnoteRef/>
      </w:r>
      <w:r w:rsidRPr="00A507DC">
        <w:t xml:space="preserve">  </w:t>
      </w:r>
      <w:hyperlink r:id="rId4" w:history="1">
        <w:r w:rsidRPr="00A507DC">
          <w:rPr>
            <w:rStyle w:val="Hyperlink"/>
            <w:color w:val="auto"/>
            <w:u w:val="none"/>
            <w:lang w:val="en-US"/>
          </w:rPr>
          <w:t>Regulation of the European Parliament and of the Council on foreign subsidies distorting the internal market</w:t>
        </w:r>
      </w:hyperlink>
      <w:r w:rsidR="009B1ABB">
        <w:rPr>
          <w:rStyle w:val="Hyperlink"/>
          <w:color w:val="auto"/>
          <w:u w:val="none"/>
          <w:lang w:val="en-US"/>
        </w:rPr>
        <w:t>.</w:t>
      </w:r>
    </w:p>
  </w:footnote>
  <w:footnote w:id="24">
    <w:p w14:paraId="20E9DD44" w14:textId="77777777" w:rsidR="000832CA" w:rsidRPr="00FA5F13" w:rsidRDefault="000832CA" w:rsidP="008C75D3">
      <w:pPr>
        <w:pStyle w:val="FootnoteText"/>
      </w:pPr>
      <w:r>
        <w:rPr>
          <w:rStyle w:val="FootnoteReference"/>
        </w:rPr>
        <w:footnoteRef/>
      </w:r>
      <w:r>
        <w:t xml:space="preserve"> Including</w:t>
      </w:r>
      <w:r w:rsidRPr="002716C9">
        <w:t xml:space="preserve"> ma</w:t>
      </w:r>
      <w:r>
        <w:t>noeuvres and payload operations</w:t>
      </w:r>
    </w:p>
  </w:footnote>
  <w:footnote w:id="25">
    <w:p w14:paraId="46DA4A8D" w14:textId="77777777" w:rsidR="000832CA" w:rsidRDefault="000832CA" w:rsidP="008C75D3">
      <w:pPr>
        <w:pStyle w:val="FootnoteText"/>
      </w:pPr>
      <w:r>
        <w:rPr>
          <w:rStyle w:val="FootnoteReference"/>
        </w:rPr>
        <w:footnoteRef/>
      </w:r>
      <w:r>
        <w:t xml:space="preserve"> Council Decision (CFSP) 2021/698 of 30 April 2021 on the security of systems and services deployed, operated and used under the Union Space Programme which may affect the security of the Union, and repealing Decision 2014/496/CFSP</w:t>
      </w:r>
    </w:p>
  </w:footnote>
  <w:footnote w:id="26">
    <w:p w14:paraId="1B925A73" w14:textId="076101FB" w:rsidR="007F5CEC" w:rsidRPr="007F5CEC" w:rsidRDefault="007F5CEC">
      <w:pPr>
        <w:pStyle w:val="FootnoteText"/>
      </w:pPr>
      <w:r>
        <w:rPr>
          <w:rStyle w:val="FootnoteReference"/>
        </w:rPr>
        <w:footnoteRef/>
      </w:r>
      <w:r>
        <w:t xml:space="preserve"> </w:t>
      </w:r>
      <w:r w:rsidR="002F1868">
        <w:t>T</w:t>
      </w:r>
      <w:r>
        <w:t>hrough a</w:t>
      </w:r>
      <w:r w:rsidRPr="00F70DEE">
        <w:t xml:space="preserve"> </w:t>
      </w:r>
      <w:r>
        <w:t xml:space="preserve">unanimous Decision of the Council </w:t>
      </w:r>
      <w:r w:rsidRPr="00F03D3D">
        <w:t>on proposal from the High Representative</w:t>
      </w:r>
      <w:r w:rsidR="002F1868">
        <w:t>.</w:t>
      </w:r>
    </w:p>
  </w:footnote>
  <w:footnote w:id="27">
    <w:p w14:paraId="3F89D28D" w14:textId="2EE7D32D" w:rsidR="00177289" w:rsidRPr="00177289" w:rsidRDefault="00177289">
      <w:pPr>
        <w:pStyle w:val="FootnoteText"/>
      </w:pPr>
      <w:r>
        <w:rPr>
          <w:rStyle w:val="FootnoteReference"/>
        </w:rPr>
        <w:footnoteRef/>
      </w:r>
      <w:r>
        <w:t xml:space="preserve"> The Commission may propose complementary economic measures falling within its competence, such as </w:t>
      </w:r>
      <w:r w:rsidRPr="00F70DEE">
        <w:rPr>
          <w:szCs w:val="24"/>
        </w:rPr>
        <w:t>export control re</w:t>
      </w:r>
      <w:r>
        <w:rPr>
          <w:szCs w:val="24"/>
        </w:rPr>
        <w:t>quirements</w:t>
      </w:r>
      <w:r>
        <w:t>.</w:t>
      </w:r>
    </w:p>
  </w:footnote>
  <w:footnote w:id="28">
    <w:p w14:paraId="01A12123" w14:textId="77777777" w:rsidR="000832CA" w:rsidRPr="00B62FA3" w:rsidRDefault="000832CA">
      <w:pPr>
        <w:pStyle w:val="FootnoteText"/>
      </w:pPr>
      <w:r>
        <w:rPr>
          <w:rStyle w:val="FootnoteReference"/>
        </w:rPr>
        <w:footnoteRef/>
      </w:r>
      <w:r>
        <w:t xml:space="preserve"> In accordance with the </w:t>
      </w:r>
      <w:r w:rsidRPr="00F70DEE">
        <w:rPr>
          <w:rFonts w:cs="Times New Roman"/>
        </w:rPr>
        <w:t>Action Plan on synergies between civil, defence and space industries</w:t>
      </w:r>
      <w:r>
        <w:rPr>
          <w:rFonts w:cs="Times New Roman"/>
        </w:rPr>
        <w:t xml:space="preserve">. </w:t>
      </w:r>
    </w:p>
  </w:footnote>
  <w:footnote w:id="29">
    <w:p w14:paraId="13E9B316" w14:textId="48329A01" w:rsidR="00E85689" w:rsidRPr="00E85689" w:rsidRDefault="00E85689">
      <w:pPr>
        <w:pStyle w:val="FootnoteText"/>
      </w:pPr>
      <w:r>
        <w:rPr>
          <w:rStyle w:val="FootnoteReference"/>
        </w:rPr>
        <w:footnoteRef/>
      </w:r>
      <w:r>
        <w:t xml:space="preserve"> EDA contributed to the definition of military user requirements for the GOVSATCOM and Space Situational Awareness (SSA) components of the EU Space Programme.</w:t>
      </w:r>
    </w:p>
  </w:footnote>
  <w:footnote w:id="30">
    <w:p w14:paraId="1D80DCFC" w14:textId="77777777" w:rsidR="000832CA" w:rsidRPr="00F70DEE" w:rsidRDefault="000832CA">
      <w:pPr>
        <w:pStyle w:val="FootnoteText"/>
        <w:rPr>
          <w:lang w:val="en-IE"/>
        </w:rPr>
      </w:pPr>
      <w:r>
        <w:rPr>
          <w:rStyle w:val="FootnoteReference"/>
        </w:rPr>
        <w:footnoteRef/>
      </w:r>
      <w:r>
        <w:t xml:space="preserve"> </w:t>
      </w:r>
      <w:r w:rsidRPr="00A433E5">
        <w:t>It will leverage Research and Development (R&amp;D) activities of the EDF, including advanced payload technologies and data processing techniques, and be complemented in the future by highly reactive small satellites for space-based Intelligence, surveillance, and reconnaissance. Synergies with PESCO Projects, such as the Common Hub for Governmental Imagery (CoHGI), will be considered.</w:t>
      </w:r>
    </w:p>
  </w:footnote>
  <w:footnote w:id="31">
    <w:p w14:paraId="6E600F6A" w14:textId="2FE418D3" w:rsidR="000832CA" w:rsidRPr="002141FD" w:rsidRDefault="000832CA" w:rsidP="001F648F">
      <w:pPr>
        <w:pStyle w:val="FootnoteText"/>
        <w:rPr>
          <w:lang w:val="en-IE"/>
        </w:rPr>
      </w:pPr>
      <w:r>
        <w:rPr>
          <w:rStyle w:val="FootnoteReference"/>
        </w:rPr>
        <w:footnoteRef/>
      </w:r>
      <w:r>
        <w:t xml:space="preserve"> </w:t>
      </w:r>
      <w:r w:rsidR="006F37A3">
        <w:rPr>
          <w:rFonts w:cs="Times New Roman"/>
        </w:rPr>
        <w:t>A ground-based broadband system intended to link Member States next generation communication</w:t>
      </w:r>
      <w:r w:rsidR="00135D1E">
        <w:rPr>
          <w:rFonts w:cs="Times New Roman"/>
        </w:rPr>
        <w:t>s</w:t>
      </w:r>
      <w:r w:rsidR="006F37A3">
        <w:rPr>
          <w:rFonts w:cs="Times New Roman"/>
        </w:rPr>
        <w:t xml:space="preserve"> systems for civil security and safety organisations, allowing them to operate throughout the EU and Schengen countries.</w:t>
      </w:r>
      <w:r>
        <w:rPr>
          <w:lang w:val="en-IE"/>
        </w:rPr>
        <w:t>Based on the Horizon 2020 BroadMap and BroadWay projects, as well as the Internal Security Fund BroadNet Preparation project</w:t>
      </w:r>
    </w:p>
  </w:footnote>
  <w:footnote w:id="32">
    <w:p w14:paraId="763C4A78" w14:textId="77777777" w:rsidR="000832CA" w:rsidRPr="003E6179" w:rsidRDefault="000832CA" w:rsidP="008C75D3">
      <w:pPr>
        <w:pStyle w:val="footnotedescription"/>
        <w:rPr>
          <w:rFonts w:ascii="Times New Roman" w:hAnsi="Times New Roman" w:cs="Times New Roman"/>
          <w:sz w:val="18"/>
          <w:szCs w:val="18"/>
          <w:lang w:val="it-IT"/>
        </w:rPr>
      </w:pPr>
      <w:r w:rsidRPr="008C0208">
        <w:rPr>
          <w:rStyle w:val="footnotemark"/>
          <w:rFonts w:ascii="Times New Roman" w:hAnsi="Times New Roman" w:cs="Times New Roman"/>
          <w:sz w:val="18"/>
          <w:szCs w:val="18"/>
        </w:rPr>
        <w:footnoteRef/>
      </w:r>
      <w:r w:rsidRPr="0093037B">
        <w:rPr>
          <w:rFonts w:ascii="Times New Roman" w:hAnsi="Times New Roman" w:cs="Times New Roman"/>
          <w:sz w:val="18"/>
          <w:szCs w:val="18"/>
          <w:lang w:val="it-IT"/>
        </w:rPr>
        <w:t xml:space="preserve"> EDF-2021-SPACE-D-EPW </w:t>
      </w:r>
    </w:p>
  </w:footnote>
  <w:footnote w:id="33">
    <w:p w14:paraId="0201CC44" w14:textId="77777777" w:rsidR="000832CA" w:rsidRPr="003E6179" w:rsidRDefault="000832CA" w:rsidP="008C75D3">
      <w:pPr>
        <w:pStyle w:val="footnotedescription"/>
        <w:rPr>
          <w:lang w:val="it-IT"/>
        </w:rPr>
      </w:pPr>
      <w:r w:rsidRPr="008C0208">
        <w:rPr>
          <w:rStyle w:val="footnotemark"/>
          <w:rFonts w:ascii="Times New Roman" w:hAnsi="Times New Roman" w:cs="Times New Roman"/>
          <w:sz w:val="18"/>
          <w:szCs w:val="18"/>
        </w:rPr>
        <w:footnoteRef/>
      </w:r>
      <w:r w:rsidRPr="0093037B">
        <w:rPr>
          <w:rFonts w:ascii="Times New Roman" w:hAnsi="Times New Roman" w:cs="Times New Roman"/>
          <w:sz w:val="18"/>
          <w:szCs w:val="18"/>
          <w:lang w:val="it-IT"/>
        </w:rPr>
        <w:t xml:space="preserve"> EDIDP –DA- ESSOR</w:t>
      </w:r>
      <w:r w:rsidRPr="0093037B">
        <w:rPr>
          <w:lang w:val="it-IT"/>
        </w:rPr>
        <w:t xml:space="preserve"> </w:t>
      </w:r>
    </w:p>
  </w:footnote>
  <w:footnote w:id="34">
    <w:p w14:paraId="1A060B1F" w14:textId="77777777" w:rsidR="000832CA" w:rsidRPr="00CD26FA" w:rsidRDefault="000832CA">
      <w:pPr>
        <w:pStyle w:val="FootnoteText"/>
      </w:pPr>
      <w:r>
        <w:rPr>
          <w:rStyle w:val="FootnoteReference"/>
        </w:rPr>
        <w:footnoteRef/>
      </w:r>
      <w:r w:rsidRPr="00CD26FA">
        <w:t xml:space="preserve"> CASSINI is</w:t>
      </w:r>
      <w:r w:rsidRPr="00D86C99">
        <w:rPr>
          <w:rFonts w:cs="Times New Roman"/>
        </w:rPr>
        <w:t xml:space="preserve"> </w:t>
      </w:r>
      <w:r w:rsidRPr="000928C5">
        <w:rPr>
          <w:rFonts w:cs="Times New Roman"/>
        </w:rPr>
        <w:t>the European Commission</w:t>
      </w:r>
      <w:r>
        <w:rPr>
          <w:rFonts w:cs="Times New Roman"/>
        </w:rPr>
        <w:t>’</w:t>
      </w:r>
      <w:r w:rsidRPr="000928C5">
        <w:rPr>
          <w:rFonts w:cs="Times New Roman"/>
        </w:rPr>
        <w:t>s initiative to support entrepreneurs, start-ups and SMEs in the space indu</w:t>
      </w:r>
      <w:r>
        <w:rPr>
          <w:rFonts w:cs="Times New Roman"/>
        </w:rPr>
        <w:t>stry</w:t>
      </w:r>
      <w:r w:rsidRPr="00CD26FA">
        <w:t>. https://defence-industry-space.ec.europa.eu/eu-space-policy/space-entrepreneurship-initiative-cassini_en</w:t>
      </w:r>
    </w:p>
  </w:footnote>
  <w:footnote w:id="35">
    <w:p w14:paraId="74E56380" w14:textId="77777777" w:rsidR="000832CA" w:rsidRPr="00130DCB" w:rsidRDefault="000832CA">
      <w:pPr>
        <w:pStyle w:val="FootnoteText"/>
      </w:pPr>
      <w:r>
        <w:rPr>
          <w:rStyle w:val="FootnoteReference"/>
        </w:rPr>
        <w:footnoteRef/>
      </w:r>
      <w:r w:rsidRPr="00130DCB">
        <w:t xml:space="preserve"> Communication “A Union of Equality: Gender Equality Strategy 2020-2025”. COM/2020/152 fina</w:t>
      </w:r>
      <w:r>
        <w:t>l</w:t>
      </w:r>
    </w:p>
  </w:footnote>
  <w:footnote w:id="36">
    <w:p w14:paraId="1F272208" w14:textId="77777777" w:rsidR="000832CA" w:rsidRPr="00CD26FA" w:rsidRDefault="000832CA">
      <w:pPr>
        <w:pStyle w:val="FootnoteText"/>
      </w:pPr>
      <w:r>
        <w:rPr>
          <w:rStyle w:val="FootnoteReference"/>
        </w:rPr>
        <w:footnoteRef/>
      </w:r>
      <w:r w:rsidRPr="00CD26FA">
        <w:t xml:space="preserve"> https://ec.europa.eu/social/BlobServlet?docId=23220&amp;langId=en</w:t>
      </w:r>
    </w:p>
  </w:footnote>
  <w:footnote w:id="37">
    <w:p w14:paraId="3B51628D" w14:textId="77777777" w:rsidR="000832CA" w:rsidRPr="00AF5467" w:rsidRDefault="000832CA" w:rsidP="001102CA">
      <w:pPr>
        <w:pStyle w:val="FootnoteText"/>
        <w:rPr>
          <w:lang w:val="en-IE"/>
        </w:rPr>
      </w:pPr>
      <w:r>
        <w:rPr>
          <w:rStyle w:val="FootnoteReference"/>
        </w:rPr>
        <w:footnoteRef/>
      </w:r>
      <w:r>
        <w:t xml:space="preserve"> For example</w:t>
      </w:r>
      <w:r w:rsidRPr="001102CA">
        <w:t xml:space="preserve"> the Hague Code of Conduct (HCoC) against the proliferation of ballistic missiles</w:t>
      </w:r>
      <w:r>
        <w:t>.</w:t>
      </w:r>
    </w:p>
  </w:footnote>
  <w:footnote w:id="38">
    <w:p w14:paraId="3C3E864D" w14:textId="77777777" w:rsidR="000832CA" w:rsidRPr="0006721A" w:rsidRDefault="000832CA" w:rsidP="008C75D3">
      <w:pPr>
        <w:pStyle w:val="FootnoteText"/>
        <w:rPr>
          <w:lang w:val="fr-BE"/>
        </w:rPr>
      </w:pPr>
      <w:r w:rsidRPr="008C0208">
        <w:rPr>
          <w:vertAlign w:val="superscript"/>
        </w:rPr>
        <w:footnoteRef/>
      </w:r>
      <w:r w:rsidRPr="0006721A">
        <w:rPr>
          <w:lang w:val="fr-BE"/>
        </w:rPr>
        <w:t xml:space="preserve"> “Destructive direct-ascent anti-satellite missile testing” (document A/C.1/77/L.62). </w:t>
      </w:r>
    </w:p>
  </w:footnote>
  <w:footnote w:id="39">
    <w:p w14:paraId="45B311F6" w14:textId="77777777" w:rsidR="000832CA" w:rsidRPr="005D3EE4" w:rsidRDefault="000832CA" w:rsidP="005D3EE4">
      <w:pPr>
        <w:pStyle w:val="FootnoteText"/>
      </w:pPr>
      <w:r>
        <w:rPr>
          <w:rStyle w:val="FootnoteReference"/>
        </w:rPr>
        <w:footnoteRef/>
      </w:r>
      <w:r>
        <w:t xml:space="preserve"> T</w:t>
      </w:r>
      <w:r w:rsidRPr="005D3EE4">
        <w:t xml:space="preserve">he EU has made several joint contributions, and several </w:t>
      </w:r>
      <w:r>
        <w:t>of its</w:t>
      </w:r>
      <w:r w:rsidRPr="005D3EE4">
        <w:t xml:space="preserve"> Member States have submitted national or cross-regional working papers</w:t>
      </w:r>
      <w:r>
        <w:t>.</w:t>
      </w:r>
    </w:p>
  </w:footnote>
  <w:footnote w:id="40">
    <w:p w14:paraId="01C4E9FB" w14:textId="77777777" w:rsidR="000832CA" w:rsidRPr="00F72DCE" w:rsidRDefault="000832CA" w:rsidP="005D3EE4">
      <w:pPr>
        <w:pStyle w:val="FootnoteText"/>
      </w:pPr>
      <w:r>
        <w:rPr>
          <w:rStyle w:val="FootnoteReference"/>
        </w:rPr>
        <w:footnoteRef/>
      </w:r>
      <w:r>
        <w:t xml:space="preserve"> A</w:t>
      </w:r>
      <w:r w:rsidRPr="00F72DCE">
        <w:t>dopt</w:t>
      </w:r>
      <w:r>
        <w:t>ed</w:t>
      </w:r>
      <w:r w:rsidRPr="00F72DCE">
        <w:t xml:space="preserve"> </w:t>
      </w:r>
      <w:r>
        <w:t>by</w:t>
      </w:r>
      <w:r w:rsidRPr="00F72DCE">
        <w:t xml:space="preserve"> </w:t>
      </w:r>
      <w:r>
        <w:t>UNGA Resolution 76/231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F30E8" w14:textId="77777777" w:rsidR="00276113" w:rsidRPr="00276113" w:rsidRDefault="00276113" w:rsidP="00276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6EC3C" w14:textId="77777777" w:rsidR="00276113" w:rsidRPr="00276113" w:rsidRDefault="00276113" w:rsidP="0027611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8C59" w14:textId="77777777" w:rsidR="00276113" w:rsidRPr="00276113" w:rsidRDefault="00276113" w:rsidP="0027611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B2C7F" w14:textId="77777777" w:rsidR="001470A2" w:rsidRDefault="001470A2" w:rsidP="00232A88">
    <w:pPr>
      <w:pStyle w:val="Header"/>
    </w:pPr>
  </w:p>
  <w:p w14:paraId="6B06F5CD" w14:textId="77777777" w:rsidR="001470A2" w:rsidRDefault="001470A2" w:rsidP="00232A88"/>
  <w:p w14:paraId="0510A85F" w14:textId="77777777" w:rsidR="001470A2" w:rsidRDefault="001470A2"/>
  <w:p w14:paraId="6B17F164" w14:textId="77777777" w:rsidR="001470A2" w:rsidRDefault="001470A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AB2BD" w14:textId="71EA48EA" w:rsidR="001470A2" w:rsidRPr="005B5C76" w:rsidRDefault="001470A2" w:rsidP="005B5C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80BA4" w14:textId="77777777" w:rsidR="001470A2" w:rsidRDefault="00147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13F5E"/>
    <w:multiLevelType w:val="multilevel"/>
    <w:tmpl w:val="360A85D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9B87B47"/>
    <w:multiLevelType w:val="hybridMultilevel"/>
    <w:tmpl w:val="AEA0A702"/>
    <w:lvl w:ilvl="0" w:tplc="8690B4E6">
      <w:start w:val="1"/>
      <w:numFmt w:val="bullet"/>
      <w:pStyle w:val="Bulletnormakl"/>
      <w:lvlText w:val="-"/>
      <w:lvlJc w:val="left"/>
      <w:pPr>
        <w:ind w:left="717" w:hanging="360"/>
      </w:pPr>
      <w:rPr>
        <w:rFonts w:ascii="Calibri" w:eastAsiaTheme="minorHAnsi" w:hAnsi="Calibri" w:cs="Calibri" w:hint="default"/>
        <w:lang w:val="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A47B4"/>
    <w:multiLevelType w:val="hybridMultilevel"/>
    <w:tmpl w:val="EAC8A5D4"/>
    <w:lvl w:ilvl="0" w:tplc="E006D584">
      <w:start w:val="2"/>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4E80329"/>
    <w:multiLevelType w:val="multilevel"/>
    <w:tmpl w:val="01A8ECC8"/>
    <w:styleLink w:val="Subactions"/>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B01D17"/>
    <w:multiLevelType w:val="hybridMultilevel"/>
    <w:tmpl w:val="FC501440"/>
    <w:lvl w:ilvl="0" w:tplc="31A6FC12">
      <w:start w:val="1"/>
      <w:numFmt w:val="bullet"/>
      <w:pStyle w:val="Wayforward"/>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61DB4EF3"/>
    <w:multiLevelType w:val="multilevel"/>
    <w:tmpl w:val="BA12E254"/>
    <w:lvl w:ilvl="0">
      <w:start w:val="1"/>
      <w:numFmt w:val="decimal"/>
      <w:lvlText w:val="%1"/>
      <w:lvlJc w:val="left"/>
      <w:pPr>
        <w:ind w:left="432" w:hanging="432"/>
      </w:pPr>
    </w:lvl>
    <w:lvl w:ilvl="1">
      <w:start w:val="1"/>
      <w:numFmt w:val="decimal"/>
      <w:pStyle w:val="Heading2"/>
      <w:lvlText w:val="%1.%2"/>
      <w:lvlJc w:val="left"/>
      <w:pPr>
        <w:ind w:left="185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7EC72B1"/>
    <w:multiLevelType w:val="multilevel"/>
    <w:tmpl w:val="FC90EDFE"/>
    <w:styleLink w:val="Actionssubactions"/>
    <w:lvl w:ilvl="0">
      <w:start w:val="1"/>
      <w:numFmt w:val="decimal"/>
      <w:lvlText w:val="Action %1 : "/>
      <w:lvlJc w:val="left"/>
      <w:pPr>
        <w:ind w:left="128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   %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7" w15:restartNumberingAfterBreak="0">
    <w:nsid w:val="78801A47"/>
    <w:multiLevelType w:val="hybridMultilevel"/>
    <w:tmpl w:val="2EC0FF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BE" w:vendorID="64" w:dllVersion="0" w:nlCheck="1" w:checkStyle="0"/>
  <w:activeWritingStyle w:appName="MSWord" w:lang="it-IT" w:vendorID="64" w:dllVersion="6" w:nlCheck="1" w:checkStyle="0"/>
  <w:activeWritingStyle w:appName="MSWord" w:lang="es-ES" w:vendorID="64" w:dllVersion="0" w:nlCheck="1" w:checkStyle="0"/>
  <w:activeWritingStyle w:appName="MSWord" w:lang="fr-FR" w:vendorID="64" w:dllVersion="6"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29B88AAB-E57D-47AB-A0C7-62A972D32D6F"/>
    <w:docVar w:name="LW_COVERPAGE_TYPE" w:val="1"/>
    <w:docVar w:name="LW_CROSSREFERENCE" w:val="&lt;UNUSED&gt;"/>
    <w:docVar w:name="LW_DocType" w:val="NORMAL"/>
    <w:docVar w:name="LW_EMISSION" w:val="10.3.2023"/>
    <w:docVar w:name="LW_EMISSION_ISODATE" w:val="2023-03-10"/>
    <w:docVar w:name="LW_EMISSION_LOCATION" w:val="BRX"/>
    <w:docVar w:name="LW_EMISSION_PREFIX" w:val="Brussels, "/>
    <w:docVar w:name="LW_EMISSION_SUFFIX" w:val=" "/>
    <w:docVar w:name="LW_ID_DOCTYPE_NONLW" w:val="CP-015"/>
    <w:docVar w:name="LW_LANGUE" w:val="EN"/>
    <w:docVar w:name="LW_LEVEL_OF_SENSITIVITY" w:val="Standard treatment"/>
    <w:docVar w:name="LW_NOM.INST" w:val="EUROPEAN COMMISSION"/>
    <w:docVar w:name="LW_NOM.INST_JOINTDOC" w:val="HIGH REPRESENTATIVE_x000b_ OF THE UNION FOR_x000b_ FOREIGN AFFAIRS AND_x000b_SECURITY POLICY"/>
    <w:docVar w:name="LW_PART_NBR" w:val="1"/>
    <w:docVar w:name="LW_PART_NBR_TOTAL" w:val="1"/>
    <w:docVar w:name="LW_REF.INST.NEW" w:val="JOIN"/>
    <w:docVar w:name="LW_REF.INST.NEW_ADOPTED" w:val="final"/>
    <w:docVar w:name="LW_REF.INST.NEW_TEXT" w:val="(2023) 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ropean Union Space Strategy for Security and Defence"/>
    <w:docVar w:name="LW_TYPE.DOC.CP" w:val="JOINT COMMUNICATION TO THE EUROPEAN PARLIAMENT AND THE COUNCIL"/>
    <w:docVar w:name="LW_TYPE.DOC.CP.USERTEXT" w:val="&lt;EMPTY&gt;"/>
    <w:docVar w:name="LwApiVersions" w:val="LW4CoDe 1.23.2.0; LW 8.0, Build 20211117"/>
  </w:docVars>
  <w:rsids>
    <w:rsidRoot w:val="00172521"/>
    <w:rsid w:val="000008A1"/>
    <w:rsid w:val="00006624"/>
    <w:rsid w:val="000100A6"/>
    <w:rsid w:val="0001018C"/>
    <w:rsid w:val="000106F3"/>
    <w:rsid w:val="00010C74"/>
    <w:rsid w:val="00011D42"/>
    <w:rsid w:val="0001200C"/>
    <w:rsid w:val="00012197"/>
    <w:rsid w:val="00015207"/>
    <w:rsid w:val="00015C1F"/>
    <w:rsid w:val="0001646C"/>
    <w:rsid w:val="00016A8A"/>
    <w:rsid w:val="00016AD2"/>
    <w:rsid w:val="0002013A"/>
    <w:rsid w:val="000209F7"/>
    <w:rsid w:val="00021F4C"/>
    <w:rsid w:val="0002219A"/>
    <w:rsid w:val="0002325D"/>
    <w:rsid w:val="000235AA"/>
    <w:rsid w:val="00023EDF"/>
    <w:rsid w:val="000240CE"/>
    <w:rsid w:val="000243C7"/>
    <w:rsid w:val="00024CBA"/>
    <w:rsid w:val="00024E53"/>
    <w:rsid w:val="00024F1B"/>
    <w:rsid w:val="00025633"/>
    <w:rsid w:val="0002614B"/>
    <w:rsid w:val="00031F8B"/>
    <w:rsid w:val="00033902"/>
    <w:rsid w:val="00033C64"/>
    <w:rsid w:val="00033E7D"/>
    <w:rsid w:val="000344BE"/>
    <w:rsid w:val="00034918"/>
    <w:rsid w:val="00036042"/>
    <w:rsid w:val="00036B60"/>
    <w:rsid w:val="00036C68"/>
    <w:rsid w:val="00036F49"/>
    <w:rsid w:val="00037A2A"/>
    <w:rsid w:val="00037B6B"/>
    <w:rsid w:val="00040802"/>
    <w:rsid w:val="000410AC"/>
    <w:rsid w:val="00041261"/>
    <w:rsid w:val="000438B5"/>
    <w:rsid w:val="00043EF5"/>
    <w:rsid w:val="00045F00"/>
    <w:rsid w:val="00046816"/>
    <w:rsid w:val="0004736E"/>
    <w:rsid w:val="00047803"/>
    <w:rsid w:val="000511D6"/>
    <w:rsid w:val="000514FB"/>
    <w:rsid w:val="00051E5C"/>
    <w:rsid w:val="00052D8B"/>
    <w:rsid w:val="000539E9"/>
    <w:rsid w:val="00053D01"/>
    <w:rsid w:val="00054025"/>
    <w:rsid w:val="00055705"/>
    <w:rsid w:val="000565BF"/>
    <w:rsid w:val="00056FE8"/>
    <w:rsid w:val="00060306"/>
    <w:rsid w:val="000608FF"/>
    <w:rsid w:val="00060C60"/>
    <w:rsid w:val="00061AE7"/>
    <w:rsid w:val="00061C13"/>
    <w:rsid w:val="00062133"/>
    <w:rsid w:val="000630B8"/>
    <w:rsid w:val="00065174"/>
    <w:rsid w:val="00065F05"/>
    <w:rsid w:val="0006721A"/>
    <w:rsid w:val="00070676"/>
    <w:rsid w:val="00070E2D"/>
    <w:rsid w:val="000713F3"/>
    <w:rsid w:val="00073D34"/>
    <w:rsid w:val="00074D1B"/>
    <w:rsid w:val="00074F00"/>
    <w:rsid w:val="00076346"/>
    <w:rsid w:val="00076D05"/>
    <w:rsid w:val="000776E2"/>
    <w:rsid w:val="00081EA0"/>
    <w:rsid w:val="00082E41"/>
    <w:rsid w:val="0008305D"/>
    <w:rsid w:val="000832CA"/>
    <w:rsid w:val="00083999"/>
    <w:rsid w:val="0008785A"/>
    <w:rsid w:val="00090707"/>
    <w:rsid w:val="000910DF"/>
    <w:rsid w:val="00091598"/>
    <w:rsid w:val="0009184F"/>
    <w:rsid w:val="00091D8C"/>
    <w:rsid w:val="000931B2"/>
    <w:rsid w:val="00095E35"/>
    <w:rsid w:val="0009635F"/>
    <w:rsid w:val="000A0F6A"/>
    <w:rsid w:val="000A423D"/>
    <w:rsid w:val="000A50E2"/>
    <w:rsid w:val="000A563C"/>
    <w:rsid w:val="000A67CF"/>
    <w:rsid w:val="000A70AB"/>
    <w:rsid w:val="000B0BB7"/>
    <w:rsid w:val="000B0EA1"/>
    <w:rsid w:val="000B2566"/>
    <w:rsid w:val="000B308C"/>
    <w:rsid w:val="000B364A"/>
    <w:rsid w:val="000B44EB"/>
    <w:rsid w:val="000B6201"/>
    <w:rsid w:val="000B6C2C"/>
    <w:rsid w:val="000B7176"/>
    <w:rsid w:val="000C1F10"/>
    <w:rsid w:val="000C280A"/>
    <w:rsid w:val="000C298F"/>
    <w:rsid w:val="000C3681"/>
    <w:rsid w:val="000C4873"/>
    <w:rsid w:val="000C4D57"/>
    <w:rsid w:val="000C50DD"/>
    <w:rsid w:val="000C51FE"/>
    <w:rsid w:val="000C5818"/>
    <w:rsid w:val="000C664B"/>
    <w:rsid w:val="000D01BB"/>
    <w:rsid w:val="000D1260"/>
    <w:rsid w:val="000D1655"/>
    <w:rsid w:val="000D1A36"/>
    <w:rsid w:val="000D1EC6"/>
    <w:rsid w:val="000D257C"/>
    <w:rsid w:val="000D2C68"/>
    <w:rsid w:val="000D3BFA"/>
    <w:rsid w:val="000D3EBC"/>
    <w:rsid w:val="000D4565"/>
    <w:rsid w:val="000D515F"/>
    <w:rsid w:val="000D54FA"/>
    <w:rsid w:val="000D5863"/>
    <w:rsid w:val="000D592D"/>
    <w:rsid w:val="000D6497"/>
    <w:rsid w:val="000D6718"/>
    <w:rsid w:val="000D7275"/>
    <w:rsid w:val="000E11D9"/>
    <w:rsid w:val="000E120C"/>
    <w:rsid w:val="000E1E71"/>
    <w:rsid w:val="000E3897"/>
    <w:rsid w:val="000E3DBA"/>
    <w:rsid w:val="000F14B6"/>
    <w:rsid w:val="000F2C91"/>
    <w:rsid w:val="000F35DF"/>
    <w:rsid w:val="000F3C12"/>
    <w:rsid w:val="000F3F17"/>
    <w:rsid w:val="000F7032"/>
    <w:rsid w:val="000F7DDF"/>
    <w:rsid w:val="0010023B"/>
    <w:rsid w:val="0010159B"/>
    <w:rsid w:val="00102E8A"/>
    <w:rsid w:val="001038BB"/>
    <w:rsid w:val="00103D29"/>
    <w:rsid w:val="001046F1"/>
    <w:rsid w:val="0010478A"/>
    <w:rsid w:val="001059BC"/>
    <w:rsid w:val="00105E8A"/>
    <w:rsid w:val="00106FEC"/>
    <w:rsid w:val="001073A1"/>
    <w:rsid w:val="001102CA"/>
    <w:rsid w:val="00110326"/>
    <w:rsid w:val="00110859"/>
    <w:rsid w:val="001115FA"/>
    <w:rsid w:val="00111C2F"/>
    <w:rsid w:val="0011244A"/>
    <w:rsid w:val="00113C05"/>
    <w:rsid w:val="00114EEF"/>
    <w:rsid w:val="00115E14"/>
    <w:rsid w:val="001167AD"/>
    <w:rsid w:val="00116B4D"/>
    <w:rsid w:val="00117668"/>
    <w:rsid w:val="001207FD"/>
    <w:rsid w:val="00122B49"/>
    <w:rsid w:val="00124D1E"/>
    <w:rsid w:val="0012547F"/>
    <w:rsid w:val="00126CA3"/>
    <w:rsid w:val="00126FE6"/>
    <w:rsid w:val="00127EF6"/>
    <w:rsid w:val="00130DCB"/>
    <w:rsid w:val="00131016"/>
    <w:rsid w:val="00131389"/>
    <w:rsid w:val="001316A5"/>
    <w:rsid w:val="0013240B"/>
    <w:rsid w:val="001325DE"/>
    <w:rsid w:val="001345C1"/>
    <w:rsid w:val="00135376"/>
    <w:rsid w:val="00135D1E"/>
    <w:rsid w:val="00136E2D"/>
    <w:rsid w:val="00136F55"/>
    <w:rsid w:val="00136F86"/>
    <w:rsid w:val="0013721E"/>
    <w:rsid w:val="00137D60"/>
    <w:rsid w:val="0014049C"/>
    <w:rsid w:val="00140C3A"/>
    <w:rsid w:val="00142C81"/>
    <w:rsid w:val="00146163"/>
    <w:rsid w:val="00146B95"/>
    <w:rsid w:val="00146CCF"/>
    <w:rsid w:val="001470A2"/>
    <w:rsid w:val="0014769F"/>
    <w:rsid w:val="00151999"/>
    <w:rsid w:val="00155B81"/>
    <w:rsid w:val="00156DAE"/>
    <w:rsid w:val="00157131"/>
    <w:rsid w:val="0015750A"/>
    <w:rsid w:val="0015782A"/>
    <w:rsid w:val="00160D28"/>
    <w:rsid w:val="00161589"/>
    <w:rsid w:val="00161905"/>
    <w:rsid w:val="00164398"/>
    <w:rsid w:val="001653B2"/>
    <w:rsid w:val="00165C3A"/>
    <w:rsid w:val="00165E23"/>
    <w:rsid w:val="00165EC6"/>
    <w:rsid w:val="00167346"/>
    <w:rsid w:val="00170206"/>
    <w:rsid w:val="00170B5E"/>
    <w:rsid w:val="00170C88"/>
    <w:rsid w:val="00170E7F"/>
    <w:rsid w:val="001712FE"/>
    <w:rsid w:val="0017177F"/>
    <w:rsid w:val="0017231A"/>
    <w:rsid w:val="00172365"/>
    <w:rsid w:val="00172521"/>
    <w:rsid w:val="00172945"/>
    <w:rsid w:val="00173EF8"/>
    <w:rsid w:val="00174775"/>
    <w:rsid w:val="0017604A"/>
    <w:rsid w:val="00176BBC"/>
    <w:rsid w:val="00177289"/>
    <w:rsid w:val="00182071"/>
    <w:rsid w:val="00182AD9"/>
    <w:rsid w:val="001837B5"/>
    <w:rsid w:val="001840A0"/>
    <w:rsid w:val="0018480F"/>
    <w:rsid w:val="00186780"/>
    <w:rsid w:val="001868F6"/>
    <w:rsid w:val="001870DD"/>
    <w:rsid w:val="00187DFD"/>
    <w:rsid w:val="0019027B"/>
    <w:rsid w:val="00191DC8"/>
    <w:rsid w:val="00193B02"/>
    <w:rsid w:val="00193C69"/>
    <w:rsid w:val="00194226"/>
    <w:rsid w:val="00196884"/>
    <w:rsid w:val="00196E2B"/>
    <w:rsid w:val="0019739C"/>
    <w:rsid w:val="00197540"/>
    <w:rsid w:val="00197BD0"/>
    <w:rsid w:val="001A0057"/>
    <w:rsid w:val="001A0552"/>
    <w:rsid w:val="001A0D01"/>
    <w:rsid w:val="001A27C7"/>
    <w:rsid w:val="001A3AB4"/>
    <w:rsid w:val="001A4627"/>
    <w:rsid w:val="001A4DC7"/>
    <w:rsid w:val="001A5512"/>
    <w:rsid w:val="001A5D76"/>
    <w:rsid w:val="001B0A6D"/>
    <w:rsid w:val="001B0F79"/>
    <w:rsid w:val="001B2361"/>
    <w:rsid w:val="001B2D77"/>
    <w:rsid w:val="001B35F8"/>
    <w:rsid w:val="001B4D35"/>
    <w:rsid w:val="001B5EF1"/>
    <w:rsid w:val="001B63C2"/>
    <w:rsid w:val="001C1358"/>
    <w:rsid w:val="001C1E39"/>
    <w:rsid w:val="001C4A67"/>
    <w:rsid w:val="001C5815"/>
    <w:rsid w:val="001C5DE3"/>
    <w:rsid w:val="001D22C3"/>
    <w:rsid w:val="001D2D86"/>
    <w:rsid w:val="001D36EE"/>
    <w:rsid w:val="001D43FE"/>
    <w:rsid w:val="001D45CE"/>
    <w:rsid w:val="001D4B96"/>
    <w:rsid w:val="001D5497"/>
    <w:rsid w:val="001D592A"/>
    <w:rsid w:val="001D5DA7"/>
    <w:rsid w:val="001D705A"/>
    <w:rsid w:val="001D737A"/>
    <w:rsid w:val="001D7D50"/>
    <w:rsid w:val="001D7D5D"/>
    <w:rsid w:val="001E107F"/>
    <w:rsid w:val="001E1F3F"/>
    <w:rsid w:val="001E2A5D"/>
    <w:rsid w:val="001E3D1E"/>
    <w:rsid w:val="001E404C"/>
    <w:rsid w:val="001E416D"/>
    <w:rsid w:val="001E44DF"/>
    <w:rsid w:val="001E461F"/>
    <w:rsid w:val="001F112B"/>
    <w:rsid w:val="001F2FD8"/>
    <w:rsid w:val="001F30A4"/>
    <w:rsid w:val="001F329B"/>
    <w:rsid w:val="001F3445"/>
    <w:rsid w:val="001F3FBD"/>
    <w:rsid w:val="001F498C"/>
    <w:rsid w:val="001F5775"/>
    <w:rsid w:val="001F590F"/>
    <w:rsid w:val="001F648F"/>
    <w:rsid w:val="00200664"/>
    <w:rsid w:val="0020592C"/>
    <w:rsid w:val="00205971"/>
    <w:rsid w:val="002063DC"/>
    <w:rsid w:val="00210013"/>
    <w:rsid w:val="00210614"/>
    <w:rsid w:val="00211E17"/>
    <w:rsid w:val="00212746"/>
    <w:rsid w:val="00212A82"/>
    <w:rsid w:val="00213C7A"/>
    <w:rsid w:val="00214ADD"/>
    <w:rsid w:val="0021504A"/>
    <w:rsid w:val="0021570F"/>
    <w:rsid w:val="00215B01"/>
    <w:rsid w:val="00217D45"/>
    <w:rsid w:val="002200F7"/>
    <w:rsid w:val="00221390"/>
    <w:rsid w:val="00221D99"/>
    <w:rsid w:val="00222102"/>
    <w:rsid w:val="00223DF4"/>
    <w:rsid w:val="00225031"/>
    <w:rsid w:val="00226DB2"/>
    <w:rsid w:val="00227722"/>
    <w:rsid w:val="002302DD"/>
    <w:rsid w:val="00230BF3"/>
    <w:rsid w:val="0023121F"/>
    <w:rsid w:val="0023264F"/>
    <w:rsid w:val="00232A88"/>
    <w:rsid w:val="002331F7"/>
    <w:rsid w:val="00233457"/>
    <w:rsid w:val="00234E2F"/>
    <w:rsid w:val="00235F89"/>
    <w:rsid w:val="002376DF"/>
    <w:rsid w:val="00237FDB"/>
    <w:rsid w:val="00241143"/>
    <w:rsid w:val="002412DA"/>
    <w:rsid w:val="002414BD"/>
    <w:rsid w:val="00241538"/>
    <w:rsid w:val="00241B4C"/>
    <w:rsid w:val="0024263A"/>
    <w:rsid w:val="00243280"/>
    <w:rsid w:val="00244883"/>
    <w:rsid w:val="00244AF8"/>
    <w:rsid w:val="002460A0"/>
    <w:rsid w:val="0024661C"/>
    <w:rsid w:val="00247304"/>
    <w:rsid w:val="00247D09"/>
    <w:rsid w:val="0025063F"/>
    <w:rsid w:val="0025256B"/>
    <w:rsid w:val="0025392F"/>
    <w:rsid w:val="00254B67"/>
    <w:rsid w:val="002560D1"/>
    <w:rsid w:val="00256377"/>
    <w:rsid w:val="00256DA8"/>
    <w:rsid w:val="00256F96"/>
    <w:rsid w:val="0025740C"/>
    <w:rsid w:val="00261E0B"/>
    <w:rsid w:val="00264231"/>
    <w:rsid w:val="00264748"/>
    <w:rsid w:val="002654A2"/>
    <w:rsid w:val="002657BA"/>
    <w:rsid w:val="002675F9"/>
    <w:rsid w:val="002703D5"/>
    <w:rsid w:val="002716C9"/>
    <w:rsid w:val="00272460"/>
    <w:rsid w:val="002739EB"/>
    <w:rsid w:val="00274349"/>
    <w:rsid w:val="002743A3"/>
    <w:rsid w:val="002744F3"/>
    <w:rsid w:val="00275E8A"/>
    <w:rsid w:val="00276113"/>
    <w:rsid w:val="002778B2"/>
    <w:rsid w:val="0028322E"/>
    <w:rsid w:val="002846AC"/>
    <w:rsid w:val="00284A4B"/>
    <w:rsid w:val="0028548C"/>
    <w:rsid w:val="00285D71"/>
    <w:rsid w:val="0028638C"/>
    <w:rsid w:val="0028796A"/>
    <w:rsid w:val="00290D5C"/>
    <w:rsid w:val="002917F1"/>
    <w:rsid w:val="00291EF1"/>
    <w:rsid w:val="0029200E"/>
    <w:rsid w:val="00296041"/>
    <w:rsid w:val="00296AEB"/>
    <w:rsid w:val="0029787D"/>
    <w:rsid w:val="002A0101"/>
    <w:rsid w:val="002A0D98"/>
    <w:rsid w:val="002A26A3"/>
    <w:rsid w:val="002A2EEF"/>
    <w:rsid w:val="002A333A"/>
    <w:rsid w:val="002A390A"/>
    <w:rsid w:val="002A3E43"/>
    <w:rsid w:val="002A4343"/>
    <w:rsid w:val="002B0A9D"/>
    <w:rsid w:val="002B3597"/>
    <w:rsid w:val="002B5622"/>
    <w:rsid w:val="002C0BFA"/>
    <w:rsid w:val="002C1971"/>
    <w:rsid w:val="002C1E34"/>
    <w:rsid w:val="002C3A62"/>
    <w:rsid w:val="002C475C"/>
    <w:rsid w:val="002C4E77"/>
    <w:rsid w:val="002C58E3"/>
    <w:rsid w:val="002C6064"/>
    <w:rsid w:val="002C75C2"/>
    <w:rsid w:val="002C7826"/>
    <w:rsid w:val="002D08A0"/>
    <w:rsid w:val="002D1105"/>
    <w:rsid w:val="002D11AD"/>
    <w:rsid w:val="002D3132"/>
    <w:rsid w:val="002D31B5"/>
    <w:rsid w:val="002D337C"/>
    <w:rsid w:val="002D385E"/>
    <w:rsid w:val="002D3C9A"/>
    <w:rsid w:val="002D5824"/>
    <w:rsid w:val="002D5D4C"/>
    <w:rsid w:val="002D613A"/>
    <w:rsid w:val="002D6412"/>
    <w:rsid w:val="002E04E1"/>
    <w:rsid w:val="002E15D0"/>
    <w:rsid w:val="002E379B"/>
    <w:rsid w:val="002E3812"/>
    <w:rsid w:val="002E3D27"/>
    <w:rsid w:val="002E4373"/>
    <w:rsid w:val="002E5773"/>
    <w:rsid w:val="002E59B4"/>
    <w:rsid w:val="002E5DB7"/>
    <w:rsid w:val="002E7ABD"/>
    <w:rsid w:val="002F1868"/>
    <w:rsid w:val="002F193E"/>
    <w:rsid w:val="002F19E8"/>
    <w:rsid w:val="002F2F4B"/>
    <w:rsid w:val="002F35DF"/>
    <w:rsid w:val="002F3A32"/>
    <w:rsid w:val="002F43D5"/>
    <w:rsid w:val="002F5FAA"/>
    <w:rsid w:val="002F7297"/>
    <w:rsid w:val="002F76FE"/>
    <w:rsid w:val="00300C4B"/>
    <w:rsid w:val="00300D68"/>
    <w:rsid w:val="00303642"/>
    <w:rsid w:val="003042DD"/>
    <w:rsid w:val="00304A2B"/>
    <w:rsid w:val="0030535D"/>
    <w:rsid w:val="003064A6"/>
    <w:rsid w:val="003064FA"/>
    <w:rsid w:val="00307EEF"/>
    <w:rsid w:val="003114B4"/>
    <w:rsid w:val="0031273F"/>
    <w:rsid w:val="00314AEC"/>
    <w:rsid w:val="00315DB0"/>
    <w:rsid w:val="0031657D"/>
    <w:rsid w:val="003210FF"/>
    <w:rsid w:val="003225CB"/>
    <w:rsid w:val="00322CF7"/>
    <w:rsid w:val="003234C4"/>
    <w:rsid w:val="003236EA"/>
    <w:rsid w:val="00324D1F"/>
    <w:rsid w:val="00327C65"/>
    <w:rsid w:val="003303C2"/>
    <w:rsid w:val="00330DA8"/>
    <w:rsid w:val="00331D37"/>
    <w:rsid w:val="00333153"/>
    <w:rsid w:val="003350B5"/>
    <w:rsid w:val="00335A40"/>
    <w:rsid w:val="0033648B"/>
    <w:rsid w:val="00336CDE"/>
    <w:rsid w:val="00336E2A"/>
    <w:rsid w:val="0033749C"/>
    <w:rsid w:val="00337722"/>
    <w:rsid w:val="00340ABE"/>
    <w:rsid w:val="00342B7F"/>
    <w:rsid w:val="00343893"/>
    <w:rsid w:val="0034398D"/>
    <w:rsid w:val="00344B3F"/>
    <w:rsid w:val="0034505E"/>
    <w:rsid w:val="0034581B"/>
    <w:rsid w:val="00345C17"/>
    <w:rsid w:val="00345E3C"/>
    <w:rsid w:val="00346653"/>
    <w:rsid w:val="0034702C"/>
    <w:rsid w:val="0034776A"/>
    <w:rsid w:val="00347FE8"/>
    <w:rsid w:val="00350C00"/>
    <w:rsid w:val="00351C9A"/>
    <w:rsid w:val="003533F8"/>
    <w:rsid w:val="00353436"/>
    <w:rsid w:val="003547E3"/>
    <w:rsid w:val="00356273"/>
    <w:rsid w:val="00356F16"/>
    <w:rsid w:val="00360129"/>
    <w:rsid w:val="0036138B"/>
    <w:rsid w:val="00361A2C"/>
    <w:rsid w:val="003651ED"/>
    <w:rsid w:val="00365FFF"/>
    <w:rsid w:val="00367DF4"/>
    <w:rsid w:val="00373D0B"/>
    <w:rsid w:val="00375D08"/>
    <w:rsid w:val="00377D84"/>
    <w:rsid w:val="00380C87"/>
    <w:rsid w:val="003820DE"/>
    <w:rsid w:val="0038242D"/>
    <w:rsid w:val="00383D84"/>
    <w:rsid w:val="00383E33"/>
    <w:rsid w:val="00384B39"/>
    <w:rsid w:val="0038708A"/>
    <w:rsid w:val="00390637"/>
    <w:rsid w:val="00391EE8"/>
    <w:rsid w:val="00394198"/>
    <w:rsid w:val="003953BB"/>
    <w:rsid w:val="00396BC6"/>
    <w:rsid w:val="00396BD0"/>
    <w:rsid w:val="00397220"/>
    <w:rsid w:val="0039777A"/>
    <w:rsid w:val="00397B49"/>
    <w:rsid w:val="003A1009"/>
    <w:rsid w:val="003A14CB"/>
    <w:rsid w:val="003A1CE2"/>
    <w:rsid w:val="003A2BCA"/>
    <w:rsid w:val="003A6066"/>
    <w:rsid w:val="003A638A"/>
    <w:rsid w:val="003A6A67"/>
    <w:rsid w:val="003A7145"/>
    <w:rsid w:val="003B036C"/>
    <w:rsid w:val="003B2FB9"/>
    <w:rsid w:val="003B41D6"/>
    <w:rsid w:val="003B42DF"/>
    <w:rsid w:val="003B5AB6"/>
    <w:rsid w:val="003B6D3C"/>
    <w:rsid w:val="003B70FC"/>
    <w:rsid w:val="003B7A10"/>
    <w:rsid w:val="003C0111"/>
    <w:rsid w:val="003C09C7"/>
    <w:rsid w:val="003C0D26"/>
    <w:rsid w:val="003C346A"/>
    <w:rsid w:val="003C43A4"/>
    <w:rsid w:val="003C5892"/>
    <w:rsid w:val="003C5F26"/>
    <w:rsid w:val="003C7BBC"/>
    <w:rsid w:val="003D01F3"/>
    <w:rsid w:val="003D0700"/>
    <w:rsid w:val="003D129B"/>
    <w:rsid w:val="003D4810"/>
    <w:rsid w:val="003D4926"/>
    <w:rsid w:val="003D7DD3"/>
    <w:rsid w:val="003E0647"/>
    <w:rsid w:val="003E12C3"/>
    <w:rsid w:val="003E1E66"/>
    <w:rsid w:val="003E1F22"/>
    <w:rsid w:val="003E4558"/>
    <w:rsid w:val="003E4E23"/>
    <w:rsid w:val="003E55A2"/>
    <w:rsid w:val="003E5A41"/>
    <w:rsid w:val="003E5D12"/>
    <w:rsid w:val="003E60CA"/>
    <w:rsid w:val="003E6179"/>
    <w:rsid w:val="003E68B6"/>
    <w:rsid w:val="003E7A3F"/>
    <w:rsid w:val="003F11B3"/>
    <w:rsid w:val="003F152C"/>
    <w:rsid w:val="003F41C1"/>
    <w:rsid w:val="003F5424"/>
    <w:rsid w:val="00400E19"/>
    <w:rsid w:val="0040156A"/>
    <w:rsid w:val="004031E7"/>
    <w:rsid w:val="00403B4C"/>
    <w:rsid w:val="00403F4C"/>
    <w:rsid w:val="004041B6"/>
    <w:rsid w:val="00404D9C"/>
    <w:rsid w:val="00405D2F"/>
    <w:rsid w:val="00410071"/>
    <w:rsid w:val="00410666"/>
    <w:rsid w:val="00411482"/>
    <w:rsid w:val="004115C7"/>
    <w:rsid w:val="00411E70"/>
    <w:rsid w:val="00413A89"/>
    <w:rsid w:val="00413B4D"/>
    <w:rsid w:val="00414AC4"/>
    <w:rsid w:val="004153F2"/>
    <w:rsid w:val="00415BE2"/>
    <w:rsid w:val="00415D95"/>
    <w:rsid w:val="0041744D"/>
    <w:rsid w:val="0042028C"/>
    <w:rsid w:val="00422AFE"/>
    <w:rsid w:val="00423D2E"/>
    <w:rsid w:val="00424341"/>
    <w:rsid w:val="00424870"/>
    <w:rsid w:val="00424D33"/>
    <w:rsid w:val="00425446"/>
    <w:rsid w:val="004302B1"/>
    <w:rsid w:val="00430D98"/>
    <w:rsid w:val="00431156"/>
    <w:rsid w:val="00431336"/>
    <w:rsid w:val="004323C8"/>
    <w:rsid w:val="00432483"/>
    <w:rsid w:val="00432C33"/>
    <w:rsid w:val="00432E71"/>
    <w:rsid w:val="00433165"/>
    <w:rsid w:val="004332AB"/>
    <w:rsid w:val="00433657"/>
    <w:rsid w:val="00434880"/>
    <w:rsid w:val="00434C63"/>
    <w:rsid w:val="004367EE"/>
    <w:rsid w:val="00441016"/>
    <w:rsid w:val="004410DA"/>
    <w:rsid w:val="004419E6"/>
    <w:rsid w:val="00442473"/>
    <w:rsid w:val="004438DF"/>
    <w:rsid w:val="004439F7"/>
    <w:rsid w:val="00443D72"/>
    <w:rsid w:val="00444225"/>
    <w:rsid w:val="004449F9"/>
    <w:rsid w:val="0044537B"/>
    <w:rsid w:val="004458BC"/>
    <w:rsid w:val="00447EEB"/>
    <w:rsid w:val="0045009A"/>
    <w:rsid w:val="004506FC"/>
    <w:rsid w:val="004528B2"/>
    <w:rsid w:val="00452E35"/>
    <w:rsid w:val="00453166"/>
    <w:rsid w:val="004531A7"/>
    <w:rsid w:val="00454109"/>
    <w:rsid w:val="00454FAC"/>
    <w:rsid w:val="00456AF5"/>
    <w:rsid w:val="00456F85"/>
    <w:rsid w:val="00460AF6"/>
    <w:rsid w:val="0046195F"/>
    <w:rsid w:val="00461B0E"/>
    <w:rsid w:val="00461D5C"/>
    <w:rsid w:val="004629FD"/>
    <w:rsid w:val="0046594B"/>
    <w:rsid w:val="004662C9"/>
    <w:rsid w:val="004679CA"/>
    <w:rsid w:val="0047060A"/>
    <w:rsid w:val="00471E9C"/>
    <w:rsid w:val="00473B0C"/>
    <w:rsid w:val="004754E1"/>
    <w:rsid w:val="00475518"/>
    <w:rsid w:val="00475536"/>
    <w:rsid w:val="00475B0B"/>
    <w:rsid w:val="00475D59"/>
    <w:rsid w:val="00476880"/>
    <w:rsid w:val="004768EB"/>
    <w:rsid w:val="00476E3A"/>
    <w:rsid w:val="004777A2"/>
    <w:rsid w:val="00477A54"/>
    <w:rsid w:val="00477C6A"/>
    <w:rsid w:val="004801FD"/>
    <w:rsid w:val="004825C4"/>
    <w:rsid w:val="00483B42"/>
    <w:rsid w:val="00483F5D"/>
    <w:rsid w:val="004843E0"/>
    <w:rsid w:val="00484506"/>
    <w:rsid w:val="00484B2E"/>
    <w:rsid w:val="0048536C"/>
    <w:rsid w:val="00486304"/>
    <w:rsid w:val="00486328"/>
    <w:rsid w:val="004864AB"/>
    <w:rsid w:val="004870BE"/>
    <w:rsid w:val="00487337"/>
    <w:rsid w:val="00487AF3"/>
    <w:rsid w:val="00490460"/>
    <w:rsid w:val="00490B8A"/>
    <w:rsid w:val="00490BF1"/>
    <w:rsid w:val="00492377"/>
    <w:rsid w:val="00493132"/>
    <w:rsid w:val="0049377E"/>
    <w:rsid w:val="00493B06"/>
    <w:rsid w:val="00493F54"/>
    <w:rsid w:val="0049451A"/>
    <w:rsid w:val="0049495F"/>
    <w:rsid w:val="00495407"/>
    <w:rsid w:val="004964A5"/>
    <w:rsid w:val="004977D1"/>
    <w:rsid w:val="00497B17"/>
    <w:rsid w:val="004A0900"/>
    <w:rsid w:val="004A5272"/>
    <w:rsid w:val="004A57E7"/>
    <w:rsid w:val="004A6796"/>
    <w:rsid w:val="004A6C1E"/>
    <w:rsid w:val="004A720B"/>
    <w:rsid w:val="004B0ADB"/>
    <w:rsid w:val="004B1C56"/>
    <w:rsid w:val="004B2554"/>
    <w:rsid w:val="004B2787"/>
    <w:rsid w:val="004B2A42"/>
    <w:rsid w:val="004B3290"/>
    <w:rsid w:val="004B3FAB"/>
    <w:rsid w:val="004B4632"/>
    <w:rsid w:val="004B6082"/>
    <w:rsid w:val="004B7374"/>
    <w:rsid w:val="004C0ECB"/>
    <w:rsid w:val="004C3BAC"/>
    <w:rsid w:val="004C3DC7"/>
    <w:rsid w:val="004C52F4"/>
    <w:rsid w:val="004C5596"/>
    <w:rsid w:val="004C6180"/>
    <w:rsid w:val="004C675C"/>
    <w:rsid w:val="004C7B9E"/>
    <w:rsid w:val="004C7E14"/>
    <w:rsid w:val="004D0308"/>
    <w:rsid w:val="004D0799"/>
    <w:rsid w:val="004D185E"/>
    <w:rsid w:val="004D1EEF"/>
    <w:rsid w:val="004D2C28"/>
    <w:rsid w:val="004D4B4D"/>
    <w:rsid w:val="004D4D17"/>
    <w:rsid w:val="004D52DA"/>
    <w:rsid w:val="004D5B1B"/>
    <w:rsid w:val="004D69E5"/>
    <w:rsid w:val="004D77D7"/>
    <w:rsid w:val="004E1C0A"/>
    <w:rsid w:val="004E3AAB"/>
    <w:rsid w:val="004E4B73"/>
    <w:rsid w:val="004E4D8F"/>
    <w:rsid w:val="004E53A9"/>
    <w:rsid w:val="004E53F6"/>
    <w:rsid w:val="004E5992"/>
    <w:rsid w:val="004E6874"/>
    <w:rsid w:val="004F0ACF"/>
    <w:rsid w:val="004F0DA0"/>
    <w:rsid w:val="004F121B"/>
    <w:rsid w:val="004F1A3F"/>
    <w:rsid w:val="004F4787"/>
    <w:rsid w:val="004F4A7E"/>
    <w:rsid w:val="004F5FB5"/>
    <w:rsid w:val="00502F24"/>
    <w:rsid w:val="0050371B"/>
    <w:rsid w:val="00503B99"/>
    <w:rsid w:val="00505459"/>
    <w:rsid w:val="005068C6"/>
    <w:rsid w:val="00507260"/>
    <w:rsid w:val="00511133"/>
    <w:rsid w:val="005127EB"/>
    <w:rsid w:val="00512C2B"/>
    <w:rsid w:val="005142A5"/>
    <w:rsid w:val="00514858"/>
    <w:rsid w:val="00514DDE"/>
    <w:rsid w:val="005160D7"/>
    <w:rsid w:val="005164C3"/>
    <w:rsid w:val="00516ED1"/>
    <w:rsid w:val="00517AD6"/>
    <w:rsid w:val="00520D90"/>
    <w:rsid w:val="00522891"/>
    <w:rsid w:val="00522906"/>
    <w:rsid w:val="005232EA"/>
    <w:rsid w:val="00524633"/>
    <w:rsid w:val="00524AEE"/>
    <w:rsid w:val="00524D12"/>
    <w:rsid w:val="00525D00"/>
    <w:rsid w:val="005266B6"/>
    <w:rsid w:val="00526D56"/>
    <w:rsid w:val="00527590"/>
    <w:rsid w:val="00532ABC"/>
    <w:rsid w:val="00540062"/>
    <w:rsid w:val="0054012A"/>
    <w:rsid w:val="00540741"/>
    <w:rsid w:val="005408A9"/>
    <w:rsid w:val="00542884"/>
    <w:rsid w:val="00542D9F"/>
    <w:rsid w:val="00543167"/>
    <w:rsid w:val="0054321B"/>
    <w:rsid w:val="005445AE"/>
    <w:rsid w:val="00544C28"/>
    <w:rsid w:val="005473E1"/>
    <w:rsid w:val="00547544"/>
    <w:rsid w:val="00547AA7"/>
    <w:rsid w:val="00551C81"/>
    <w:rsid w:val="00552123"/>
    <w:rsid w:val="00554366"/>
    <w:rsid w:val="00555178"/>
    <w:rsid w:val="00555A97"/>
    <w:rsid w:val="00557208"/>
    <w:rsid w:val="00557FDD"/>
    <w:rsid w:val="00560936"/>
    <w:rsid w:val="00560B59"/>
    <w:rsid w:val="005614B7"/>
    <w:rsid w:val="00561AF7"/>
    <w:rsid w:val="005622CE"/>
    <w:rsid w:val="0056275D"/>
    <w:rsid w:val="00562ADE"/>
    <w:rsid w:val="0056362D"/>
    <w:rsid w:val="005645A3"/>
    <w:rsid w:val="00564EA2"/>
    <w:rsid w:val="005658BC"/>
    <w:rsid w:val="00565A04"/>
    <w:rsid w:val="0056649D"/>
    <w:rsid w:val="00566FCC"/>
    <w:rsid w:val="005677FB"/>
    <w:rsid w:val="0057093D"/>
    <w:rsid w:val="00570B5F"/>
    <w:rsid w:val="00570C3C"/>
    <w:rsid w:val="00571432"/>
    <w:rsid w:val="0057332C"/>
    <w:rsid w:val="005733E4"/>
    <w:rsid w:val="00574E36"/>
    <w:rsid w:val="005801DB"/>
    <w:rsid w:val="00580B78"/>
    <w:rsid w:val="0058238A"/>
    <w:rsid w:val="005828FF"/>
    <w:rsid w:val="00582905"/>
    <w:rsid w:val="005830DC"/>
    <w:rsid w:val="0058440D"/>
    <w:rsid w:val="0058636B"/>
    <w:rsid w:val="005866A8"/>
    <w:rsid w:val="00586E3C"/>
    <w:rsid w:val="00592189"/>
    <w:rsid w:val="00592E3C"/>
    <w:rsid w:val="00595FDF"/>
    <w:rsid w:val="00596B85"/>
    <w:rsid w:val="0059769D"/>
    <w:rsid w:val="005A0142"/>
    <w:rsid w:val="005A09E0"/>
    <w:rsid w:val="005A0B32"/>
    <w:rsid w:val="005A14B6"/>
    <w:rsid w:val="005A1B27"/>
    <w:rsid w:val="005A1F66"/>
    <w:rsid w:val="005A2004"/>
    <w:rsid w:val="005A2052"/>
    <w:rsid w:val="005A5A0B"/>
    <w:rsid w:val="005A6BCB"/>
    <w:rsid w:val="005A7532"/>
    <w:rsid w:val="005A78ED"/>
    <w:rsid w:val="005A7BD9"/>
    <w:rsid w:val="005B1226"/>
    <w:rsid w:val="005B164A"/>
    <w:rsid w:val="005B46E5"/>
    <w:rsid w:val="005B53F6"/>
    <w:rsid w:val="005B5C76"/>
    <w:rsid w:val="005B650E"/>
    <w:rsid w:val="005B74B6"/>
    <w:rsid w:val="005C22F1"/>
    <w:rsid w:val="005C2F60"/>
    <w:rsid w:val="005C426C"/>
    <w:rsid w:val="005C43BF"/>
    <w:rsid w:val="005C4858"/>
    <w:rsid w:val="005C4FEF"/>
    <w:rsid w:val="005C5047"/>
    <w:rsid w:val="005C6B8B"/>
    <w:rsid w:val="005C7494"/>
    <w:rsid w:val="005D0127"/>
    <w:rsid w:val="005D181D"/>
    <w:rsid w:val="005D1B43"/>
    <w:rsid w:val="005D1FA7"/>
    <w:rsid w:val="005D2839"/>
    <w:rsid w:val="005D367E"/>
    <w:rsid w:val="005D3EE4"/>
    <w:rsid w:val="005D4861"/>
    <w:rsid w:val="005D761D"/>
    <w:rsid w:val="005E06CF"/>
    <w:rsid w:val="005E0751"/>
    <w:rsid w:val="005E0937"/>
    <w:rsid w:val="005E2753"/>
    <w:rsid w:val="005E2BF8"/>
    <w:rsid w:val="005E4BC1"/>
    <w:rsid w:val="005E638F"/>
    <w:rsid w:val="005E6D3C"/>
    <w:rsid w:val="005E6F85"/>
    <w:rsid w:val="005E70FE"/>
    <w:rsid w:val="005E745A"/>
    <w:rsid w:val="005F08AB"/>
    <w:rsid w:val="005F144D"/>
    <w:rsid w:val="005F3891"/>
    <w:rsid w:val="005F39E1"/>
    <w:rsid w:val="005F3BEE"/>
    <w:rsid w:val="005F42C6"/>
    <w:rsid w:val="005F488E"/>
    <w:rsid w:val="005F4B57"/>
    <w:rsid w:val="005F4F83"/>
    <w:rsid w:val="005F546B"/>
    <w:rsid w:val="005F589E"/>
    <w:rsid w:val="005F5E8D"/>
    <w:rsid w:val="005F6344"/>
    <w:rsid w:val="005F63CA"/>
    <w:rsid w:val="005F7051"/>
    <w:rsid w:val="005F7FCA"/>
    <w:rsid w:val="00600243"/>
    <w:rsid w:val="006021EC"/>
    <w:rsid w:val="006022D0"/>
    <w:rsid w:val="0060276C"/>
    <w:rsid w:val="006030F7"/>
    <w:rsid w:val="006037EA"/>
    <w:rsid w:val="00605AD3"/>
    <w:rsid w:val="00606D25"/>
    <w:rsid w:val="00607259"/>
    <w:rsid w:val="00610318"/>
    <w:rsid w:val="00611B02"/>
    <w:rsid w:val="0061236B"/>
    <w:rsid w:val="00613140"/>
    <w:rsid w:val="00615981"/>
    <w:rsid w:val="00616D43"/>
    <w:rsid w:val="00620320"/>
    <w:rsid w:val="006209C7"/>
    <w:rsid w:val="00621409"/>
    <w:rsid w:val="00621FF8"/>
    <w:rsid w:val="00623244"/>
    <w:rsid w:val="00623ADE"/>
    <w:rsid w:val="006259FE"/>
    <w:rsid w:val="00625F93"/>
    <w:rsid w:val="00626433"/>
    <w:rsid w:val="00627A21"/>
    <w:rsid w:val="00627D35"/>
    <w:rsid w:val="0063010D"/>
    <w:rsid w:val="0063450F"/>
    <w:rsid w:val="00635633"/>
    <w:rsid w:val="00635D69"/>
    <w:rsid w:val="00635FEA"/>
    <w:rsid w:val="00637178"/>
    <w:rsid w:val="00641EB8"/>
    <w:rsid w:val="00643128"/>
    <w:rsid w:val="00644FA5"/>
    <w:rsid w:val="00645FE3"/>
    <w:rsid w:val="00651938"/>
    <w:rsid w:val="0065374F"/>
    <w:rsid w:val="00653E0F"/>
    <w:rsid w:val="006578A2"/>
    <w:rsid w:val="006605F2"/>
    <w:rsid w:val="006610BB"/>
    <w:rsid w:val="0066117E"/>
    <w:rsid w:val="006611E9"/>
    <w:rsid w:val="0066314C"/>
    <w:rsid w:val="00663C0F"/>
    <w:rsid w:val="00663F6D"/>
    <w:rsid w:val="006643B7"/>
    <w:rsid w:val="00664AB4"/>
    <w:rsid w:val="00665B8E"/>
    <w:rsid w:val="00665C79"/>
    <w:rsid w:val="00667917"/>
    <w:rsid w:val="0067013A"/>
    <w:rsid w:val="00671829"/>
    <w:rsid w:val="00672CB9"/>
    <w:rsid w:val="00673DDC"/>
    <w:rsid w:val="00673E84"/>
    <w:rsid w:val="006744F1"/>
    <w:rsid w:val="00675741"/>
    <w:rsid w:val="00675FE2"/>
    <w:rsid w:val="006761EA"/>
    <w:rsid w:val="00676D59"/>
    <w:rsid w:val="00677D16"/>
    <w:rsid w:val="006805C7"/>
    <w:rsid w:val="006809AB"/>
    <w:rsid w:val="0068213F"/>
    <w:rsid w:val="00686D97"/>
    <w:rsid w:val="006872D3"/>
    <w:rsid w:val="00693FFD"/>
    <w:rsid w:val="00695857"/>
    <w:rsid w:val="006972B7"/>
    <w:rsid w:val="006A0C93"/>
    <w:rsid w:val="006A0CAC"/>
    <w:rsid w:val="006A0D4E"/>
    <w:rsid w:val="006A0FED"/>
    <w:rsid w:val="006A1280"/>
    <w:rsid w:val="006A231D"/>
    <w:rsid w:val="006A4639"/>
    <w:rsid w:val="006A49BD"/>
    <w:rsid w:val="006A5784"/>
    <w:rsid w:val="006A5B7C"/>
    <w:rsid w:val="006B06F7"/>
    <w:rsid w:val="006B0C66"/>
    <w:rsid w:val="006B177D"/>
    <w:rsid w:val="006B41C3"/>
    <w:rsid w:val="006B5F38"/>
    <w:rsid w:val="006B6322"/>
    <w:rsid w:val="006B69F5"/>
    <w:rsid w:val="006B79A0"/>
    <w:rsid w:val="006C0A14"/>
    <w:rsid w:val="006C11AC"/>
    <w:rsid w:val="006C158D"/>
    <w:rsid w:val="006C2401"/>
    <w:rsid w:val="006C24E0"/>
    <w:rsid w:val="006C2DDF"/>
    <w:rsid w:val="006C45ED"/>
    <w:rsid w:val="006C5C80"/>
    <w:rsid w:val="006C600C"/>
    <w:rsid w:val="006C6289"/>
    <w:rsid w:val="006C74DF"/>
    <w:rsid w:val="006C7AD0"/>
    <w:rsid w:val="006C7AE8"/>
    <w:rsid w:val="006D042F"/>
    <w:rsid w:val="006D0AEB"/>
    <w:rsid w:val="006D10F5"/>
    <w:rsid w:val="006D11CA"/>
    <w:rsid w:val="006D1D15"/>
    <w:rsid w:val="006D39F8"/>
    <w:rsid w:val="006D42AD"/>
    <w:rsid w:val="006D6353"/>
    <w:rsid w:val="006D6834"/>
    <w:rsid w:val="006E0978"/>
    <w:rsid w:val="006E3D97"/>
    <w:rsid w:val="006E49AD"/>
    <w:rsid w:val="006E4D7A"/>
    <w:rsid w:val="006E697B"/>
    <w:rsid w:val="006E6F7D"/>
    <w:rsid w:val="006F1A6D"/>
    <w:rsid w:val="006F2397"/>
    <w:rsid w:val="006F37A3"/>
    <w:rsid w:val="006F3932"/>
    <w:rsid w:val="006F5732"/>
    <w:rsid w:val="006F596A"/>
    <w:rsid w:val="006F5BBD"/>
    <w:rsid w:val="006F672A"/>
    <w:rsid w:val="006F759C"/>
    <w:rsid w:val="007008D8"/>
    <w:rsid w:val="00700A0A"/>
    <w:rsid w:val="007016BA"/>
    <w:rsid w:val="00701E75"/>
    <w:rsid w:val="00707C74"/>
    <w:rsid w:val="0071055D"/>
    <w:rsid w:val="00710EF4"/>
    <w:rsid w:val="00712F85"/>
    <w:rsid w:val="007132E5"/>
    <w:rsid w:val="00714591"/>
    <w:rsid w:val="00714987"/>
    <w:rsid w:val="0071500F"/>
    <w:rsid w:val="007154D5"/>
    <w:rsid w:val="00720DE5"/>
    <w:rsid w:val="00723063"/>
    <w:rsid w:val="00723387"/>
    <w:rsid w:val="00723BFD"/>
    <w:rsid w:val="00725C8B"/>
    <w:rsid w:val="00726FE8"/>
    <w:rsid w:val="00727129"/>
    <w:rsid w:val="00727B62"/>
    <w:rsid w:val="00727CDB"/>
    <w:rsid w:val="007309AF"/>
    <w:rsid w:val="00731BE9"/>
    <w:rsid w:val="0073290D"/>
    <w:rsid w:val="007339D3"/>
    <w:rsid w:val="007356A6"/>
    <w:rsid w:val="00736A3B"/>
    <w:rsid w:val="00737778"/>
    <w:rsid w:val="00737888"/>
    <w:rsid w:val="00740975"/>
    <w:rsid w:val="00740CAB"/>
    <w:rsid w:val="0074140C"/>
    <w:rsid w:val="00741E6D"/>
    <w:rsid w:val="0074466C"/>
    <w:rsid w:val="00744AC5"/>
    <w:rsid w:val="00744C18"/>
    <w:rsid w:val="007454CA"/>
    <w:rsid w:val="00746D97"/>
    <w:rsid w:val="007472F3"/>
    <w:rsid w:val="00747750"/>
    <w:rsid w:val="00747BBC"/>
    <w:rsid w:val="00751322"/>
    <w:rsid w:val="007513EE"/>
    <w:rsid w:val="0075189C"/>
    <w:rsid w:val="00751A7E"/>
    <w:rsid w:val="00751B0D"/>
    <w:rsid w:val="0075205D"/>
    <w:rsid w:val="007527DE"/>
    <w:rsid w:val="00753A75"/>
    <w:rsid w:val="00756FF7"/>
    <w:rsid w:val="00760CA1"/>
    <w:rsid w:val="0076116E"/>
    <w:rsid w:val="007618F7"/>
    <w:rsid w:val="00761E57"/>
    <w:rsid w:val="00761E86"/>
    <w:rsid w:val="007620A0"/>
    <w:rsid w:val="00765931"/>
    <w:rsid w:val="007675B1"/>
    <w:rsid w:val="00770F98"/>
    <w:rsid w:val="00771D1A"/>
    <w:rsid w:val="00771F3F"/>
    <w:rsid w:val="007725F1"/>
    <w:rsid w:val="007728DE"/>
    <w:rsid w:val="00772FAA"/>
    <w:rsid w:val="00773696"/>
    <w:rsid w:val="00773929"/>
    <w:rsid w:val="00774597"/>
    <w:rsid w:val="007747C7"/>
    <w:rsid w:val="00776243"/>
    <w:rsid w:val="00777BA8"/>
    <w:rsid w:val="007805ED"/>
    <w:rsid w:val="007812C8"/>
    <w:rsid w:val="00781A68"/>
    <w:rsid w:val="00782551"/>
    <w:rsid w:val="007841A8"/>
    <w:rsid w:val="007848F4"/>
    <w:rsid w:val="00784B83"/>
    <w:rsid w:val="00785B57"/>
    <w:rsid w:val="00785DB1"/>
    <w:rsid w:val="007866CB"/>
    <w:rsid w:val="00786721"/>
    <w:rsid w:val="00786A01"/>
    <w:rsid w:val="007875D7"/>
    <w:rsid w:val="00787B5C"/>
    <w:rsid w:val="00790782"/>
    <w:rsid w:val="00790EEB"/>
    <w:rsid w:val="007936E3"/>
    <w:rsid w:val="00793B91"/>
    <w:rsid w:val="00794BF9"/>
    <w:rsid w:val="00796932"/>
    <w:rsid w:val="007A056B"/>
    <w:rsid w:val="007A1087"/>
    <w:rsid w:val="007A3CD5"/>
    <w:rsid w:val="007A474B"/>
    <w:rsid w:val="007A512B"/>
    <w:rsid w:val="007A5F19"/>
    <w:rsid w:val="007A6CDD"/>
    <w:rsid w:val="007B0778"/>
    <w:rsid w:val="007B15B3"/>
    <w:rsid w:val="007B2676"/>
    <w:rsid w:val="007B2B3C"/>
    <w:rsid w:val="007B3A46"/>
    <w:rsid w:val="007B43F5"/>
    <w:rsid w:val="007B4FB7"/>
    <w:rsid w:val="007B589A"/>
    <w:rsid w:val="007B6241"/>
    <w:rsid w:val="007B6D92"/>
    <w:rsid w:val="007B718F"/>
    <w:rsid w:val="007B769E"/>
    <w:rsid w:val="007C04C8"/>
    <w:rsid w:val="007C0C8F"/>
    <w:rsid w:val="007C2491"/>
    <w:rsid w:val="007C3476"/>
    <w:rsid w:val="007C52D4"/>
    <w:rsid w:val="007C5F2F"/>
    <w:rsid w:val="007C6645"/>
    <w:rsid w:val="007C6C8D"/>
    <w:rsid w:val="007C6F94"/>
    <w:rsid w:val="007C78A1"/>
    <w:rsid w:val="007C7A5B"/>
    <w:rsid w:val="007D00CF"/>
    <w:rsid w:val="007D06A8"/>
    <w:rsid w:val="007D7091"/>
    <w:rsid w:val="007D73FA"/>
    <w:rsid w:val="007D7E45"/>
    <w:rsid w:val="007E097E"/>
    <w:rsid w:val="007E0B01"/>
    <w:rsid w:val="007E1B7F"/>
    <w:rsid w:val="007E363C"/>
    <w:rsid w:val="007E3CD4"/>
    <w:rsid w:val="007E44F1"/>
    <w:rsid w:val="007E4628"/>
    <w:rsid w:val="007E4653"/>
    <w:rsid w:val="007E469F"/>
    <w:rsid w:val="007E780D"/>
    <w:rsid w:val="007E7EF7"/>
    <w:rsid w:val="007F0445"/>
    <w:rsid w:val="007F063E"/>
    <w:rsid w:val="007F12B5"/>
    <w:rsid w:val="007F1958"/>
    <w:rsid w:val="007F1DE3"/>
    <w:rsid w:val="007F2E57"/>
    <w:rsid w:val="007F3A4E"/>
    <w:rsid w:val="007F5CEC"/>
    <w:rsid w:val="007F7839"/>
    <w:rsid w:val="008016E2"/>
    <w:rsid w:val="00802F30"/>
    <w:rsid w:val="00802FDF"/>
    <w:rsid w:val="00803208"/>
    <w:rsid w:val="0080378D"/>
    <w:rsid w:val="00804874"/>
    <w:rsid w:val="00805CB2"/>
    <w:rsid w:val="00806DB0"/>
    <w:rsid w:val="00811019"/>
    <w:rsid w:val="00812577"/>
    <w:rsid w:val="0081454A"/>
    <w:rsid w:val="008151E1"/>
    <w:rsid w:val="00815395"/>
    <w:rsid w:val="00815424"/>
    <w:rsid w:val="00815821"/>
    <w:rsid w:val="00816842"/>
    <w:rsid w:val="008171B3"/>
    <w:rsid w:val="00817FD9"/>
    <w:rsid w:val="0082262E"/>
    <w:rsid w:val="008232C6"/>
    <w:rsid w:val="0082344F"/>
    <w:rsid w:val="00823561"/>
    <w:rsid w:val="00823765"/>
    <w:rsid w:val="008244DE"/>
    <w:rsid w:val="008249AA"/>
    <w:rsid w:val="00826AC5"/>
    <w:rsid w:val="0082726F"/>
    <w:rsid w:val="008304B4"/>
    <w:rsid w:val="008305C4"/>
    <w:rsid w:val="0083191B"/>
    <w:rsid w:val="008320EA"/>
    <w:rsid w:val="00835183"/>
    <w:rsid w:val="008354E0"/>
    <w:rsid w:val="008370ED"/>
    <w:rsid w:val="00837666"/>
    <w:rsid w:val="0083787D"/>
    <w:rsid w:val="00837BB8"/>
    <w:rsid w:val="00840068"/>
    <w:rsid w:val="008413A8"/>
    <w:rsid w:val="00842171"/>
    <w:rsid w:val="00842744"/>
    <w:rsid w:val="00843F21"/>
    <w:rsid w:val="00844535"/>
    <w:rsid w:val="00844AB1"/>
    <w:rsid w:val="00845855"/>
    <w:rsid w:val="00845A23"/>
    <w:rsid w:val="008473B3"/>
    <w:rsid w:val="00850DC9"/>
    <w:rsid w:val="0085133A"/>
    <w:rsid w:val="00854499"/>
    <w:rsid w:val="00855D04"/>
    <w:rsid w:val="00857E5F"/>
    <w:rsid w:val="00860072"/>
    <w:rsid w:val="00860FFD"/>
    <w:rsid w:val="00861020"/>
    <w:rsid w:val="00861044"/>
    <w:rsid w:val="008616F7"/>
    <w:rsid w:val="00862F0A"/>
    <w:rsid w:val="008636CE"/>
    <w:rsid w:val="00870734"/>
    <w:rsid w:val="00871275"/>
    <w:rsid w:val="008718B8"/>
    <w:rsid w:val="008719FB"/>
    <w:rsid w:val="00871F25"/>
    <w:rsid w:val="00873092"/>
    <w:rsid w:val="008733B6"/>
    <w:rsid w:val="0087748E"/>
    <w:rsid w:val="008822E7"/>
    <w:rsid w:val="008833C1"/>
    <w:rsid w:val="00885A21"/>
    <w:rsid w:val="0088619A"/>
    <w:rsid w:val="00886E92"/>
    <w:rsid w:val="00892E61"/>
    <w:rsid w:val="008936FB"/>
    <w:rsid w:val="008937C8"/>
    <w:rsid w:val="008939BC"/>
    <w:rsid w:val="00893F77"/>
    <w:rsid w:val="00894384"/>
    <w:rsid w:val="0089443E"/>
    <w:rsid w:val="00894D1D"/>
    <w:rsid w:val="00895029"/>
    <w:rsid w:val="00897960"/>
    <w:rsid w:val="008A1D4B"/>
    <w:rsid w:val="008A2C52"/>
    <w:rsid w:val="008A43DC"/>
    <w:rsid w:val="008A584C"/>
    <w:rsid w:val="008A58B0"/>
    <w:rsid w:val="008A63B5"/>
    <w:rsid w:val="008A63D0"/>
    <w:rsid w:val="008A67B2"/>
    <w:rsid w:val="008A6B1E"/>
    <w:rsid w:val="008A70DF"/>
    <w:rsid w:val="008A759A"/>
    <w:rsid w:val="008B0691"/>
    <w:rsid w:val="008B2222"/>
    <w:rsid w:val="008B26FF"/>
    <w:rsid w:val="008B3C82"/>
    <w:rsid w:val="008B5F2F"/>
    <w:rsid w:val="008B795F"/>
    <w:rsid w:val="008C0208"/>
    <w:rsid w:val="008C1E30"/>
    <w:rsid w:val="008C269B"/>
    <w:rsid w:val="008C2975"/>
    <w:rsid w:val="008C4C6A"/>
    <w:rsid w:val="008C5891"/>
    <w:rsid w:val="008C75D3"/>
    <w:rsid w:val="008C7F05"/>
    <w:rsid w:val="008D0169"/>
    <w:rsid w:val="008D093A"/>
    <w:rsid w:val="008D1512"/>
    <w:rsid w:val="008D1F78"/>
    <w:rsid w:val="008D5D1A"/>
    <w:rsid w:val="008D7165"/>
    <w:rsid w:val="008D7884"/>
    <w:rsid w:val="008E087A"/>
    <w:rsid w:val="008E0FE4"/>
    <w:rsid w:val="008E27A4"/>
    <w:rsid w:val="008E2D51"/>
    <w:rsid w:val="008E3A60"/>
    <w:rsid w:val="008E50D8"/>
    <w:rsid w:val="008E67E9"/>
    <w:rsid w:val="008E759B"/>
    <w:rsid w:val="008E7F11"/>
    <w:rsid w:val="008F024C"/>
    <w:rsid w:val="008F115E"/>
    <w:rsid w:val="008F2A33"/>
    <w:rsid w:val="008F6A14"/>
    <w:rsid w:val="00900751"/>
    <w:rsid w:val="0090083E"/>
    <w:rsid w:val="00901E42"/>
    <w:rsid w:val="00902277"/>
    <w:rsid w:val="00903269"/>
    <w:rsid w:val="00904646"/>
    <w:rsid w:val="00905125"/>
    <w:rsid w:val="00905BD5"/>
    <w:rsid w:val="009068B0"/>
    <w:rsid w:val="00907CE1"/>
    <w:rsid w:val="00911192"/>
    <w:rsid w:val="009125C6"/>
    <w:rsid w:val="00915D23"/>
    <w:rsid w:val="0092140D"/>
    <w:rsid w:val="00922985"/>
    <w:rsid w:val="00922DB8"/>
    <w:rsid w:val="00925C4B"/>
    <w:rsid w:val="0092604E"/>
    <w:rsid w:val="00927012"/>
    <w:rsid w:val="00927776"/>
    <w:rsid w:val="009277DE"/>
    <w:rsid w:val="00927AE6"/>
    <w:rsid w:val="00927FB7"/>
    <w:rsid w:val="0093037B"/>
    <w:rsid w:val="00930B99"/>
    <w:rsid w:val="0093120D"/>
    <w:rsid w:val="009316DC"/>
    <w:rsid w:val="009318FA"/>
    <w:rsid w:val="009320C3"/>
    <w:rsid w:val="00933215"/>
    <w:rsid w:val="00935528"/>
    <w:rsid w:val="00935A3E"/>
    <w:rsid w:val="00942416"/>
    <w:rsid w:val="009427D7"/>
    <w:rsid w:val="009448F2"/>
    <w:rsid w:val="00945B47"/>
    <w:rsid w:val="00946ADF"/>
    <w:rsid w:val="00952960"/>
    <w:rsid w:val="00953992"/>
    <w:rsid w:val="009541A2"/>
    <w:rsid w:val="009566D5"/>
    <w:rsid w:val="00957BDF"/>
    <w:rsid w:val="00960C9D"/>
    <w:rsid w:val="009613D7"/>
    <w:rsid w:val="00961501"/>
    <w:rsid w:val="009619F9"/>
    <w:rsid w:val="0096370F"/>
    <w:rsid w:val="00963C24"/>
    <w:rsid w:val="009661F5"/>
    <w:rsid w:val="00967F04"/>
    <w:rsid w:val="00967F8C"/>
    <w:rsid w:val="00970126"/>
    <w:rsid w:val="00970545"/>
    <w:rsid w:val="009709BD"/>
    <w:rsid w:val="00971AA5"/>
    <w:rsid w:val="00971FED"/>
    <w:rsid w:val="00972353"/>
    <w:rsid w:val="009737B9"/>
    <w:rsid w:val="009738E0"/>
    <w:rsid w:val="00976568"/>
    <w:rsid w:val="009769B2"/>
    <w:rsid w:val="00977EC6"/>
    <w:rsid w:val="00980555"/>
    <w:rsid w:val="00980C9B"/>
    <w:rsid w:val="00980D93"/>
    <w:rsid w:val="009818B4"/>
    <w:rsid w:val="009831C1"/>
    <w:rsid w:val="00984241"/>
    <w:rsid w:val="009842AE"/>
    <w:rsid w:val="0098465D"/>
    <w:rsid w:val="00984EC5"/>
    <w:rsid w:val="00987851"/>
    <w:rsid w:val="00987A1D"/>
    <w:rsid w:val="00990439"/>
    <w:rsid w:val="00990765"/>
    <w:rsid w:val="00992079"/>
    <w:rsid w:val="009932A8"/>
    <w:rsid w:val="0099360A"/>
    <w:rsid w:val="00993CD6"/>
    <w:rsid w:val="00994070"/>
    <w:rsid w:val="009948EA"/>
    <w:rsid w:val="00995248"/>
    <w:rsid w:val="009954C6"/>
    <w:rsid w:val="00997164"/>
    <w:rsid w:val="00997646"/>
    <w:rsid w:val="00997652"/>
    <w:rsid w:val="00997A97"/>
    <w:rsid w:val="009A1A93"/>
    <w:rsid w:val="009A1FA9"/>
    <w:rsid w:val="009A2BCC"/>
    <w:rsid w:val="009A450B"/>
    <w:rsid w:val="009A5E02"/>
    <w:rsid w:val="009A704D"/>
    <w:rsid w:val="009A7268"/>
    <w:rsid w:val="009B0283"/>
    <w:rsid w:val="009B1A8C"/>
    <w:rsid w:val="009B1ABB"/>
    <w:rsid w:val="009B4671"/>
    <w:rsid w:val="009B4DF7"/>
    <w:rsid w:val="009B760F"/>
    <w:rsid w:val="009B7800"/>
    <w:rsid w:val="009B7836"/>
    <w:rsid w:val="009C2600"/>
    <w:rsid w:val="009C3060"/>
    <w:rsid w:val="009C3B47"/>
    <w:rsid w:val="009C529C"/>
    <w:rsid w:val="009C5432"/>
    <w:rsid w:val="009C5B9B"/>
    <w:rsid w:val="009C6166"/>
    <w:rsid w:val="009D2B0A"/>
    <w:rsid w:val="009D3A0E"/>
    <w:rsid w:val="009D4462"/>
    <w:rsid w:val="009D5F04"/>
    <w:rsid w:val="009D65DB"/>
    <w:rsid w:val="009D7585"/>
    <w:rsid w:val="009D7AB1"/>
    <w:rsid w:val="009E4229"/>
    <w:rsid w:val="009E4A0D"/>
    <w:rsid w:val="009E4C51"/>
    <w:rsid w:val="009E4CDD"/>
    <w:rsid w:val="009E5299"/>
    <w:rsid w:val="009E6DAC"/>
    <w:rsid w:val="009E6F89"/>
    <w:rsid w:val="009E7D67"/>
    <w:rsid w:val="009F012C"/>
    <w:rsid w:val="009F032F"/>
    <w:rsid w:val="009F2E9B"/>
    <w:rsid w:val="009F340C"/>
    <w:rsid w:val="009F3766"/>
    <w:rsid w:val="009F3E12"/>
    <w:rsid w:val="009F4256"/>
    <w:rsid w:val="009F7761"/>
    <w:rsid w:val="009F780F"/>
    <w:rsid w:val="009F7B9F"/>
    <w:rsid w:val="009F7DC4"/>
    <w:rsid w:val="00A00734"/>
    <w:rsid w:val="00A02428"/>
    <w:rsid w:val="00A043D0"/>
    <w:rsid w:val="00A054DE"/>
    <w:rsid w:val="00A06369"/>
    <w:rsid w:val="00A11211"/>
    <w:rsid w:val="00A11F37"/>
    <w:rsid w:val="00A12EAD"/>
    <w:rsid w:val="00A13A46"/>
    <w:rsid w:val="00A13BDC"/>
    <w:rsid w:val="00A153FC"/>
    <w:rsid w:val="00A15456"/>
    <w:rsid w:val="00A15E26"/>
    <w:rsid w:val="00A161B1"/>
    <w:rsid w:val="00A164E6"/>
    <w:rsid w:val="00A206C3"/>
    <w:rsid w:val="00A22DEA"/>
    <w:rsid w:val="00A24C97"/>
    <w:rsid w:val="00A27E76"/>
    <w:rsid w:val="00A27F1D"/>
    <w:rsid w:val="00A30BE1"/>
    <w:rsid w:val="00A30E7A"/>
    <w:rsid w:val="00A31D94"/>
    <w:rsid w:val="00A32020"/>
    <w:rsid w:val="00A3244F"/>
    <w:rsid w:val="00A337F0"/>
    <w:rsid w:val="00A36478"/>
    <w:rsid w:val="00A36B59"/>
    <w:rsid w:val="00A37046"/>
    <w:rsid w:val="00A37C8F"/>
    <w:rsid w:val="00A40266"/>
    <w:rsid w:val="00A406E4"/>
    <w:rsid w:val="00A408BA"/>
    <w:rsid w:val="00A411A0"/>
    <w:rsid w:val="00A41AF5"/>
    <w:rsid w:val="00A433E5"/>
    <w:rsid w:val="00A434CC"/>
    <w:rsid w:val="00A43C2A"/>
    <w:rsid w:val="00A441DE"/>
    <w:rsid w:val="00A45CAD"/>
    <w:rsid w:val="00A47793"/>
    <w:rsid w:val="00A47BBE"/>
    <w:rsid w:val="00A506CE"/>
    <w:rsid w:val="00A507DC"/>
    <w:rsid w:val="00A51383"/>
    <w:rsid w:val="00A51911"/>
    <w:rsid w:val="00A53087"/>
    <w:rsid w:val="00A5461F"/>
    <w:rsid w:val="00A56857"/>
    <w:rsid w:val="00A57265"/>
    <w:rsid w:val="00A5762A"/>
    <w:rsid w:val="00A603D1"/>
    <w:rsid w:val="00A61115"/>
    <w:rsid w:val="00A62513"/>
    <w:rsid w:val="00A6276B"/>
    <w:rsid w:val="00A62F81"/>
    <w:rsid w:val="00A64B9C"/>
    <w:rsid w:val="00A667A8"/>
    <w:rsid w:val="00A6682D"/>
    <w:rsid w:val="00A66975"/>
    <w:rsid w:val="00A67819"/>
    <w:rsid w:val="00A71FA4"/>
    <w:rsid w:val="00A749B5"/>
    <w:rsid w:val="00A772DF"/>
    <w:rsid w:val="00A77E17"/>
    <w:rsid w:val="00A82CA1"/>
    <w:rsid w:val="00A8372C"/>
    <w:rsid w:val="00A8546E"/>
    <w:rsid w:val="00A86E19"/>
    <w:rsid w:val="00A9092F"/>
    <w:rsid w:val="00A90E04"/>
    <w:rsid w:val="00A921D7"/>
    <w:rsid w:val="00A936FC"/>
    <w:rsid w:val="00A93906"/>
    <w:rsid w:val="00A93D3F"/>
    <w:rsid w:val="00A94782"/>
    <w:rsid w:val="00A97391"/>
    <w:rsid w:val="00A97C68"/>
    <w:rsid w:val="00AA0108"/>
    <w:rsid w:val="00AA031D"/>
    <w:rsid w:val="00AA1E82"/>
    <w:rsid w:val="00AA2118"/>
    <w:rsid w:val="00AA25DE"/>
    <w:rsid w:val="00AA3F5B"/>
    <w:rsid w:val="00AA5F71"/>
    <w:rsid w:val="00AA626B"/>
    <w:rsid w:val="00AA7268"/>
    <w:rsid w:val="00AA7E65"/>
    <w:rsid w:val="00AB0DD1"/>
    <w:rsid w:val="00AB0FE5"/>
    <w:rsid w:val="00AB13F2"/>
    <w:rsid w:val="00AB1D29"/>
    <w:rsid w:val="00AB223E"/>
    <w:rsid w:val="00AB2AA2"/>
    <w:rsid w:val="00AB480A"/>
    <w:rsid w:val="00AB4D8C"/>
    <w:rsid w:val="00AC06E9"/>
    <w:rsid w:val="00AC136B"/>
    <w:rsid w:val="00AC1C90"/>
    <w:rsid w:val="00AC27F4"/>
    <w:rsid w:val="00AC2D58"/>
    <w:rsid w:val="00AC2F0C"/>
    <w:rsid w:val="00AC5AEB"/>
    <w:rsid w:val="00AC7667"/>
    <w:rsid w:val="00AC773D"/>
    <w:rsid w:val="00AD091F"/>
    <w:rsid w:val="00AD585E"/>
    <w:rsid w:val="00AD6C38"/>
    <w:rsid w:val="00AD73DB"/>
    <w:rsid w:val="00AE0A2D"/>
    <w:rsid w:val="00AE0A9C"/>
    <w:rsid w:val="00AE0AB0"/>
    <w:rsid w:val="00AE0D0D"/>
    <w:rsid w:val="00AE1BC4"/>
    <w:rsid w:val="00AE380E"/>
    <w:rsid w:val="00AE3C85"/>
    <w:rsid w:val="00AE4535"/>
    <w:rsid w:val="00AE467E"/>
    <w:rsid w:val="00AE58B2"/>
    <w:rsid w:val="00AE6743"/>
    <w:rsid w:val="00AF03E3"/>
    <w:rsid w:val="00AF09EF"/>
    <w:rsid w:val="00AF2790"/>
    <w:rsid w:val="00AF4327"/>
    <w:rsid w:val="00AF4AF4"/>
    <w:rsid w:val="00AF5CAB"/>
    <w:rsid w:val="00AF5D9E"/>
    <w:rsid w:val="00AF6ABE"/>
    <w:rsid w:val="00AF79D9"/>
    <w:rsid w:val="00B00A6F"/>
    <w:rsid w:val="00B0111D"/>
    <w:rsid w:val="00B01A80"/>
    <w:rsid w:val="00B01CC5"/>
    <w:rsid w:val="00B038CB"/>
    <w:rsid w:val="00B03DB4"/>
    <w:rsid w:val="00B041B9"/>
    <w:rsid w:val="00B04265"/>
    <w:rsid w:val="00B048D6"/>
    <w:rsid w:val="00B056C0"/>
    <w:rsid w:val="00B11228"/>
    <w:rsid w:val="00B11E00"/>
    <w:rsid w:val="00B12867"/>
    <w:rsid w:val="00B129DA"/>
    <w:rsid w:val="00B12FA8"/>
    <w:rsid w:val="00B12FA9"/>
    <w:rsid w:val="00B1400D"/>
    <w:rsid w:val="00B14077"/>
    <w:rsid w:val="00B14490"/>
    <w:rsid w:val="00B14F2C"/>
    <w:rsid w:val="00B1563D"/>
    <w:rsid w:val="00B169E4"/>
    <w:rsid w:val="00B16C07"/>
    <w:rsid w:val="00B17B54"/>
    <w:rsid w:val="00B17CBF"/>
    <w:rsid w:val="00B214B6"/>
    <w:rsid w:val="00B21EAB"/>
    <w:rsid w:val="00B22308"/>
    <w:rsid w:val="00B22471"/>
    <w:rsid w:val="00B228DA"/>
    <w:rsid w:val="00B24669"/>
    <w:rsid w:val="00B252E2"/>
    <w:rsid w:val="00B2563B"/>
    <w:rsid w:val="00B26E0F"/>
    <w:rsid w:val="00B273EC"/>
    <w:rsid w:val="00B27653"/>
    <w:rsid w:val="00B30D60"/>
    <w:rsid w:val="00B31740"/>
    <w:rsid w:val="00B32F14"/>
    <w:rsid w:val="00B3457A"/>
    <w:rsid w:val="00B346DB"/>
    <w:rsid w:val="00B356AF"/>
    <w:rsid w:val="00B35C66"/>
    <w:rsid w:val="00B406B3"/>
    <w:rsid w:val="00B4093C"/>
    <w:rsid w:val="00B44863"/>
    <w:rsid w:val="00B45EA7"/>
    <w:rsid w:val="00B471B1"/>
    <w:rsid w:val="00B50548"/>
    <w:rsid w:val="00B523BB"/>
    <w:rsid w:val="00B526AF"/>
    <w:rsid w:val="00B5314C"/>
    <w:rsid w:val="00B547A0"/>
    <w:rsid w:val="00B552D0"/>
    <w:rsid w:val="00B57C7F"/>
    <w:rsid w:val="00B60881"/>
    <w:rsid w:val="00B612F9"/>
    <w:rsid w:val="00B621C0"/>
    <w:rsid w:val="00B62FA3"/>
    <w:rsid w:val="00B62FD0"/>
    <w:rsid w:val="00B64887"/>
    <w:rsid w:val="00B65F25"/>
    <w:rsid w:val="00B7061B"/>
    <w:rsid w:val="00B711AA"/>
    <w:rsid w:val="00B72675"/>
    <w:rsid w:val="00B737E5"/>
    <w:rsid w:val="00B73AE6"/>
    <w:rsid w:val="00B7629C"/>
    <w:rsid w:val="00B76527"/>
    <w:rsid w:val="00B76F2D"/>
    <w:rsid w:val="00B7725C"/>
    <w:rsid w:val="00B779F4"/>
    <w:rsid w:val="00B80D14"/>
    <w:rsid w:val="00B80DB2"/>
    <w:rsid w:val="00B80E0C"/>
    <w:rsid w:val="00B81781"/>
    <w:rsid w:val="00B81C42"/>
    <w:rsid w:val="00B83FB0"/>
    <w:rsid w:val="00B855EB"/>
    <w:rsid w:val="00B905DF"/>
    <w:rsid w:val="00B90F6A"/>
    <w:rsid w:val="00B92C4A"/>
    <w:rsid w:val="00B9363A"/>
    <w:rsid w:val="00B93DDC"/>
    <w:rsid w:val="00B945BC"/>
    <w:rsid w:val="00B959D5"/>
    <w:rsid w:val="00B96AAB"/>
    <w:rsid w:val="00B96DDF"/>
    <w:rsid w:val="00BA040B"/>
    <w:rsid w:val="00BA1D69"/>
    <w:rsid w:val="00BA2453"/>
    <w:rsid w:val="00BA2FC1"/>
    <w:rsid w:val="00BA33E6"/>
    <w:rsid w:val="00BA4799"/>
    <w:rsid w:val="00BA51C8"/>
    <w:rsid w:val="00BA785E"/>
    <w:rsid w:val="00BB2432"/>
    <w:rsid w:val="00BB2CD4"/>
    <w:rsid w:val="00BB2E21"/>
    <w:rsid w:val="00BB3D8F"/>
    <w:rsid w:val="00BB4C4A"/>
    <w:rsid w:val="00BB50DE"/>
    <w:rsid w:val="00BB6257"/>
    <w:rsid w:val="00BB6B81"/>
    <w:rsid w:val="00BB7A31"/>
    <w:rsid w:val="00BC1841"/>
    <w:rsid w:val="00BC2259"/>
    <w:rsid w:val="00BC3C0D"/>
    <w:rsid w:val="00BC400B"/>
    <w:rsid w:val="00BC4615"/>
    <w:rsid w:val="00BC5159"/>
    <w:rsid w:val="00BC5A23"/>
    <w:rsid w:val="00BC5A3C"/>
    <w:rsid w:val="00BC5EE6"/>
    <w:rsid w:val="00BC66CD"/>
    <w:rsid w:val="00BC6AF0"/>
    <w:rsid w:val="00BC6C80"/>
    <w:rsid w:val="00BC6E5A"/>
    <w:rsid w:val="00BC7357"/>
    <w:rsid w:val="00BD088C"/>
    <w:rsid w:val="00BD099B"/>
    <w:rsid w:val="00BD1110"/>
    <w:rsid w:val="00BD1ADA"/>
    <w:rsid w:val="00BD3A85"/>
    <w:rsid w:val="00BD3C80"/>
    <w:rsid w:val="00BD4AA9"/>
    <w:rsid w:val="00BD4FCF"/>
    <w:rsid w:val="00BD50FA"/>
    <w:rsid w:val="00BD54A0"/>
    <w:rsid w:val="00BD57AA"/>
    <w:rsid w:val="00BD580E"/>
    <w:rsid w:val="00BD5BC9"/>
    <w:rsid w:val="00BD6045"/>
    <w:rsid w:val="00BD672B"/>
    <w:rsid w:val="00BD6944"/>
    <w:rsid w:val="00BD74F2"/>
    <w:rsid w:val="00BD7823"/>
    <w:rsid w:val="00BD7E9C"/>
    <w:rsid w:val="00BE3804"/>
    <w:rsid w:val="00BE4225"/>
    <w:rsid w:val="00BE517A"/>
    <w:rsid w:val="00BE598B"/>
    <w:rsid w:val="00BE69F6"/>
    <w:rsid w:val="00BE72A8"/>
    <w:rsid w:val="00BE7582"/>
    <w:rsid w:val="00BF0B63"/>
    <w:rsid w:val="00BF38D8"/>
    <w:rsid w:val="00BF401D"/>
    <w:rsid w:val="00BF5442"/>
    <w:rsid w:val="00BF71FA"/>
    <w:rsid w:val="00BF7C85"/>
    <w:rsid w:val="00C0068D"/>
    <w:rsid w:val="00C01F56"/>
    <w:rsid w:val="00C025CD"/>
    <w:rsid w:val="00C02DD9"/>
    <w:rsid w:val="00C04F73"/>
    <w:rsid w:val="00C05522"/>
    <w:rsid w:val="00C059A6"/>
    <w:rsid w:val="00C05E75"/>
    <w:rsid w:val="00C06661"/>
    <w:rsid w:val="00C1128E"/>
    <w:rsid w:val="00C11C9A"/>
    <w:rsid w:val="00C12437"/>
    <w:rsid w:val="00C13FF6"/>
    <w:rsid w:val="00C141FD"/>
    <w:rsid w:val="00C17FBB"/>
    <w:rsid w:val="00C2000E"/>
    <w:rsid w:val="00C24BA5"/>
    <w:rsid w:val="00C253B3"/>
    <w:rsid w:val="00C273CB"/>
    <w:rsid w:val="00C2782B"/>
    <w:rsid w:val="00C27EA0"/>
    <w:rsid w:val="00C30CE9"/>
    <w:rsid w:val="00C36328"/>
    <w:rsid w:val="00C37EBF"/>
    <w:rsid w:val="00C4023E"/>
    <w:rsid w:val="00C407C5"/>
    <w:rsid w:val="00C40924"/>
    <w:rsid w:val="00C4252F"/>
    <w:rsid w:val="00C42833"/>
    <w:rsid w:val="00C4300E"/>
    <w:rsid w:val="00C43C52"/>
    <w:rsid w:val="00C43CF2"/>
    <w:rsid w:val="00C440EC"/>
    <w:rsid w:val="00C4679C"/>
    <w:rsid w:val="00C475AD"/>
    <w:rsid w:val="00C52567"/>
    <w:rsid w:val="00C53327"/>
    <w:rsid w:val="00C537DD"/>
    <w:rsid w:val="00C54E27"/>
    <w:rsid w:val="00C556CB"/>
    <w:rsid w:val="00C55E85"/>
    <w:rsid w:val="00C56E1E"/>
    <w:rsid w:val="00C6275B"/>
    <w:rsid w:val="00C62C23"/>
    <w:rsid w:val="00C630EE"/>
    <w:rsid w:val="00C63BD1"/>
    <w:rsid w:val="00C6450E"/>
    <w:rsid w:val="00C64AB8"/>
    <w:rsid w:val="00C67E36"/>
    <w:rsid w:val="00C70075"/>
    <w:rsid w:val="00C704D5"/>
    <w:rsid w:val="00C71100"/>
    <w:rsid w:val="00C72557"/>
    <w:rsid w:val="00C73B73"/>
    <w:rsid w:val="00C7522A"/>
    <w:rsid w:val="00C7658E"/>
    <w:rsid w:val="00C81145"/>
    <w:rsid w:val="00C816F4"/>
    <w:rsid w:val="00C81B46"/>
    <w:rsid w:val="00C81E94"/>
    <w:rsid w:val="00C82090"/>
    <w:rsid w:val="00C82A5B"/>
    <w:rsid w:val="00C82C09"/>
    <w:rsid w:val="00C85D01"/>
    <w:rsid w:val="00C85D68"/>
    <w:rsid w:val="00C864DE"/>
    <w:rsid w:val="00C8730B"/>
    <w:rsid w:val="00C87D03"/>
    <w:rsid w:val="00C900CE"/>
    <w:rsid w:val="00C90FD2"/>
    <w:rsid w:val="00C92B01"/>
    <w:rsid w:val="00C92C71"/>
    <w:rsid w:val="00C93082"/>
    <w:rsid w:val="00C93F09"/>
    <w:rsid w:val="00C94D4F"/>
    <w:rsid w:val="00C94EDF"/>
    <w:rsid w:val="00C95660"/>
    <w:rsid w:val="00C9595B"/>
    <w:rsid w:val="00C95AB5"/>
    <w:rsid w:val="00C96556"/>
    <w:rsid w:val="00C97350"/>
    <w:rsid w:val="00C97FC6"/>
    <w:rsid w:val="00CA0081"/>
    <w:rsid w:val="00CA563C"/>
    <w:rsid w:val="00CA60FA"/>
    <w:rsid w:val="00CB10A5"/>
    <w:rsid w:val="00CB2235"/>
    <w:rsid w:val="00CB2544"/>
    <w:rsid w:val="00CB2A66"/>
    <w:rsid w:val="00CB3822"/>
    <w:rsid w:val="00CB3FB6"/>
    <w:rsid w:val="00CB7588"/>
    <w:rsid w:val="00CB784A"/>
    <w:rsid w:val="00CC0372"/>
    <w:rsid w:val="00CC3F5C"/>
    <w:rsid w:val="00CC4251"/>
    <w:rsid w:val="00CC4E9B"/>
    <w:rsid w:val="00CC4FDE"/>
    <w:rsid w:val="00CC6A85"/>
    <w:rsid w:val="00CC7054"/>
    <w:rsid w:val="00CC7CEF"/>
    <w:rsid w:val="00CD1104"/>
    <w:rsid w:val="00CD1306"/>
    <w:rsid w:val="00CD1BFC"/>
    <w:rsid w:val="00CD1ECC"/>
    <w:rsid w:val="00CD2605"/>
    <w:rsid w:val="00CD26B0"/>
    <w:rsid w:val="00CD26FA"/>
    <w:rsid w:val="00CD29AF"/>
    <w:rsid w:val="00CD3BEC"/>
    <w:rsid w:val="00CD3E22"/>
    <w:rsid w:val="00CD4A45"/>
    <w:rsid w:val="00CD656E"/>
    <w:rsid w:val="00CD6E89"/>
    <w:rsid w:val="00CE00D2"/>
    <w:rsid w:val="00CE1D8C"/>
    <w:rsid w:val="00CE3BCF"/>
    <w:rsid w:val="00CE4A31"/>
    <w:rsid w:val="00CE51B4"/>
    <w:rsid w:val="00CE730D"/>
    <w:rsid w:val="00CE7B1C"/>
    <w:rsid w:val="00CF0740"/>
    <w:rsid w:val="00CF2B18"/>
    <w:rsid w:val="00CF3882"/>
    <w:rsid w:val="00CF5DBB"/>
    <w:rsid w:val="00CF655D"/>
    <w:rsid w:val="00CF6CF9"/>
    <w:rsid w:val="00CF704B"/>
    <w:rsid w:val="00CF781B"/>
    <w:rsid w:val="00D00A38"/>
    <w:rsid w:val="00D00BF5"/>
    <w:rsid w:val="00D00E84"/>
    <w:rsid w:val="00D02248"/>
    <w:rsid w:val="00D03499"/>
    <w:rsid w:val="00D04433"/>
    <w:rsid w:val="00D058A8"/>
    <w:rsid w:val="00D0598D"/>
    <w:rsid w:val="00D05A26"/>
    <w:rsid w:val="00D06666"/>
    <w:rsid w:val="00D06FD0"/>
    <w:rsid w:val="00D0761A"/>
    <w:rsid w:val="00D110A8"/>
    <w:rsid w:val="00D112BB"/>
    <w:rsid w:val="00D113E4"/>
    <w:rsid w:val="00D11D30"/>
    <w:rsid w:val="00D125C4"/>
    <w:rsid w:val="00D1282F"/>
    <w:rsid w:val="00D12E49"/>
    <w:rsid w:val="00D1499C"/>
    <w:rsid w:val="00D153C1"/>
    <w:rsid w:val="00D161C6"/>
    <w:rsid w:val="00D1716E"/>
    <w:rsid w:val="00D175D8"/>
    <w:rsid w:val="00D205DA"/>
    <w:rsid w:val="00D21CEB"/>
    <w:rsid w:val="00D21FD3"/>
    <w:rsid w:val="00D232CC"/>
    <w:rsid w:val="00D241A6"/>
    <w:rsid w:val="00D26680"/>
    <w:rsid w:val="00D305BF"/>
    <w:rsid w:val="00D31C64"/>
    <w:rsid w:val="00D33523"/>
    <w:rsid w:val="00D33622"/>
    <w:rsid w:val="00D33925"/>
    <w:rsid w:val="00D35175"/>
    <w:rsid w:val="00D35D73"/>
    <w:rsid w:val="00D3602F"/>
    <w:rsid w:val="00D37248"/>
    <w:rsid w:val="00D372DE"/>
    <w:rsid w:val="00D40E3C"/>
    <w:rsid w:val="00D42EEE"/>
    <w:rsid w:val="00D42F6C"/>
    <w:rsid w:val="00D437B3"/>
    <w:rsid w:val="00D4419A"/>
    <w:rsid w:val="00D45278"/>
    <w:rsid w:val="00D45650"/>
    <w:rsid w:val="00D4706C"/>
    <w:rsid w:val="00D502CD"/>
    <w:rsid w:val="00D517BF"/>
    <w:rsid w:val="00D52996"/>
    <w:rsid w:val="00D53114"/>
    <w:rsid w:val="00D540BE"/>
    <w:rsid w:val="00D545AC"/>
    <w:rsid w:val="00D54A9E"/>
    <w:rsid w:val="00D56772"/>
    <w:rsid w:val="00D56ADA"/>
    <w:rsid w:val="00D5762C"/>
    <w:rsid w:val="00D57A5D"/>
    <w:rsid w:val="00D60307"/>
    <w:rsid w:val="00D61D36"/>
    <w:rsid w:val="00D61E1C"/>
    <w:rsid w:val="00D62952"/>
    <w:rsid w:val="00D64715"/>
    <w:rsid w:val="00D65F5F"/>
    <w:rsid w:val="00D67934"/>
    <w:rsid w:val="00D7059E"/>
    <w:rsid w:val="00D706DD"/>
    <w:rsid w:val="00D718D2"/>
    <w:rsid w:val="00D72D30"/>
    <w:rsid w:val="00D7680C"/>
    <w:rsid w:val="00D82538"/>
    <w:rsid w:val="00D82BD6"/>
    <w:rsid w:val="00D82CD5"/>
    <w:rsid w:val="00D83DE3"/>
    <w:rsid w:val="00D85032"/>
    <w:rsid w:val="00D851C9"/>
    <w:rsid w:val="00D8567E"/>
    <w:rsid w:val="00D860B0"/>
    <w:rsid w:val="00D86672"/>
    <w:rsid w:val="00D86C99"/>
    <w:rsid w:val="00D871FD"/>
    <w:rsid w:val="00D8743C"/>
    <w:rsid w:val="00D9079B"/>
    <w:rsid w:val="00D92C33"/>
    <w:rsid w:val="00D937B8"/>
    <w:rsid w:val="00D94ECC"/>
    <w:rsid w:val="00D94F9B"/>
    <w:rsid w:val="00D95B9D"/>
    <w:rsid w:val="00D965DE"/>
    <w:rsid w:val="00D96BB4"/>
    <w:rsid w:val="00DA0D20"/>
    <w:rsid w:val="00DA18FE"/>
    <w:rsid w:val="00DA1A06"/>
    <w:rsid w:val="00DA2BB1"/>
    <w:rsid w:val="00DA2BEC"/>
    <w:rsid w:val="00DA34EF"/>
    <w:rsid w:val="00DA4FD5"/>
    <w:rsid w:val="00DA7069"/>
    <w:rsid w:val="00DA7964"/>
    <w:rsid w:val="00DB016B"/>
    <w:rsid w:val="00DB0BE5"/>
    <w:rsid w:val="00DB4F48"/>
    <w:rsid w:val="00DB4FAB"/>
    <w:rsid w:val="00DB6B80"/>
    <w:rsid w:val="00DB6D25"/>
    <w:rsid w:val="00DB7174"/>
    <w:rsid w:val="00DB735E"/>
    <w:rsid w:val="00DB789C"/>
    <w:rsid w:val="00DC0270"/>
    <w:rsid w:val="00DC1067"/>
    <w:rsid w:val="00DC201C"/>
    <w:rsid w:val="00DC3249"/>
    <w:rsid w:val="00DC3F37"/>
    <w:rsid w:val="00DC5004"/>
    <w:rsid w:val="00DC5DE9"/>
    <w:rsid w:val="00DC604B"/>
    <w:rsid w:val="00DC6124"/>
    <w:rsid w:val="00DC665A"/>
    <w:rsid w:val="00DD1671"/>
    <w:rsid w:val="00DD287D"/>
    <w:rsid w:val="00DD34BD"/>
    <w:rsid w:val="00DD35E9"/>
    <w:rsid w:val="00DD3AA3"/>
    <w:rsid w:val="00DD3B6E"/>
    <w:rsid w:val="00DD43E0"/>
    <w:rsid w:val="00DD445B"/>
    <w:rsid w:val="00DD4F27"/>
    <w:rsid w:val="00DD554A"/>
    <w:rsid w:val="00DD7A6E"/>
    <w:rsid w:val="00DE0A22"/>
    <w:rsid w:val="00DE0E06"/>
    <w:rsid w:val="00DE1437"/>
    <w:rsid w:val="00DE1DCE"/>
    <w:rsid w:val="00DE1EB0"/>
    <w:rsid w:val="00DE21BC"/>
    <w:rsid w:val="00DE22B5"/>
    <w:rsid w:val="00DE26A7"/>
    <w:rsid w:val="00DE299B"/>
    <w:rsid w:val="00DE4DD6"/>
    <w:rsid w:val="00DE55A6"/>
    <w:rsid w:val="00DE6453"/>
    <w:rsid w:val="00DE7E1D"/>
    <w:rsid w:val="00DF0181"/>
    <w:rsid w:val="00DF0926"/>
    <w:rsid w:val="00DF0AF7"/>
    <w:rsid w:val="00DF1A99"/>
    <w:rsid w:val="00DF20D7"/>
    <w:rsid w:val="00DF4C7E"/>
    <w:rsid w:val="00DF559C"/>
    <w:rsid w:val="00DF5713"/>
    <w:rsid w:val="00DF6C40"/>
    <w:rsid w:val="00DF6FC6"/>
    <w:rsid w:val="00DF7B0C"/>
    <w:rsid w:val="00E02DB3"/>
    <w:rsid w:val="00E04F90"/>
    <w:rsid w:val="00E05FB1"/>
    <w:rsid w:val="00E06CCA"/>
    <w:rsid w:val="00E113D7"/>
    <w:rsid w:val="00E13EEA"/>
    <w:rsid w:val="00E14388"/>
    <w:rsid w:val="00E15EE8"/>
    <w:rsid w:val="00E1664D"/>
    <w:rsid w:val="00E21A39"/>
    <w:rsid w:val="00E23593"/>
    <w:rsid w:val="00E245A8"/>
    <w:rsid w:val="00E24928"/>
    <w:rsid w:val="00E2552E"/>
    <w:rsid w:val="00E25CC7"/>
    <w:rsid w:val="00E26113"/>
    <w:rsid w:val="00E262D2"/>
    <w:rsid w:val="00E264DB"/>
    <w:rsid w:val="00E3092C"/>
    <w:rsid w:val="00E30BC1"/>
    <w:rsid w:val="00E31538"/>
    <w:rsid w:val="00E31E38"/>
    <w:rsid w:val="00E34908"/>
    <w:rsid w:val="00E34F73"/>
    <w:rsid w:val="00E35B13"/>
    <w:rsid w:val="00E37646"/>
    <w:rsid w:val="00E37FEE"/>
    <w:rsid w:val="00E414BD"/>
    <w:rsid w:val="00E41B76"/>
    <w:rsid w:val="00E429F1"/>
    <w:rsid w:val="00E44505"/>
    <w:rsid w:val="00E44601"/>
    <w:rsid w:val="00E45845"/>
    <w:rsid w:val="00E45AE2"/>
    <w:rsid w:val="00E45BE7"/>
    <w:rsid w:val="00E45E83"/>
    <w:rsid w:val="00E46489"/>
    <w:rsid w:val="00E51D6B"/>
    <w:rsid w:val="00E52365"/>
    <w:rsid w:val="00E531AD"/>
    <w:rsid w:val="00E53D09"/>
    <w:rsid w:val="00E54C17"/>
    <w:rsid w:val="00E55162"/>
    <w:rsid w:val="00E571B9"/>
    <w:rsid w:val="00E6039A"/>
    <w:rsid w:val="00E60E95"/>
    <w:rsid w:val="00E6141C"/>
    <w:rsid w:val="00E63012"/>
    <w:rsid w:val="00E6342B"/>
    <w:rsid w:val="00E6401E"/>
    <w:rsid w:val="00E64F48"/>
    <w:rsid w:val="00E65D29"/>
    <w:rsid w:val="00E6603D"/>
    <w:rsid w:val="00E67DE0"/>
    <w:rsid w:val="00E7164D"/>
    <w:rsid w:val="00E719CF"/>
    <w:rsid w:val="00E72182"/>
    <w:rsid w:val="00E74342"/>
    <w:rsid w:val="00E74EDB"/>
    <w:rsid w:val="00E7547F"/>
    <w:rsid w:val="00E762C4"/>
    <w:rsid w:val="00E76CB5"/>
    <w:rsid w:val="00E7706D"/>
    <w:rsid w:val="00E77351"/>
    <w:rsid w:val="00E77802"/>
    <w:rsid w:val="00E77F3B"/>
    <w:rsid w:val="00E80EE1"/>
    <w:rsid w:val="00E81EBB"/>
    <w:rsid w:val="00E84CC0"/>
    <w:rsid w:val="00E85689"/>
    <w:rsid w:val="00E87C38"/>
    <w:rsid w:val="00E90BE5"/>
    <w:rsid w:val="00E90C08"/>
    <w:rsid w:val="00E918BE"/>
    <w:rsid w:val="00E923AC"/>
    <w:rsid w:val="00E92907"/>
    <w:rsid w:val="00E92C6C"/>
    <w:rsid w:val="00E936D6"/>
    <w:rsid w:val="00E93A7F"/>
    <w:rsid w:val="00E93F3D"/>
    <w:rsid w:val="00E94019"/>
    <w:rsid w:val="00E95D01"/>
    <w:rsid w:val="00E9694C"/>
    <w:rsid w:val="00EA0E50"/>
    <w:rsid w:val="00EA110C"/>
    <w:rsid w:val="00EA2BA1"/>
    <w:rsid w:val="00EA2C46"/>
    <w:rsid w:val="00EA3530"/>
    <w:rsid w:val="00EA47F2"/>
    <w:rsid w:val="00EA4AA2"/>
    <w:rsid w:val="00EA502D"/>
    <w:rsid w:val="00EA5569"/>
    <w:rsid w:val="00EA5C12"/>
    <w:rsid w:val="00EB04DA"/>
    <w:rsid w:val="00EB0DF7"/>
    <w:rsid w:val="00EB126D"/>
    <w:rsid w:val="00EB21F8"/>
    <w:rsid w:val="00EB3483"/>
    <w:rsid w:val="00EB3620"/>
    <w:rsid w:val="00EB3760"/>
    <w:rsid w:val="00EB3948"/>
    <w:rsid w:val="00EB44E1"/>
    <w:rsid w:val="00EB4AE2"/>
    <w:rsid w:val="00EB4F41"/>
    <w:rsid w:val="00EB59BE"/>
    <w:rsid w:val="00EB68B6"/>
    <w:rsid w:val="00EB7665"/>
    <w:rsid w:val="00EB77CA"/>
    <w:rsid w:val="00EB7D17"/>
    <w:rsid w:val="00EC07EC"/>
    <w:rsid w:val="00EC1FC7"/>
    <w:rsid w:val="00EC2D74"/>
    <w:rsid w:val="00EC3569"/>
    <w:rsid w:val="00EC4031"/>
    <w:rsid w:val="00EC49B9"/>
    <w:rsid w:val="00EC4C31"/>
    <w:rsid w:val="00EC536D"/>
    <w:rsid w:val="00EC62DA"/>
    <w:rsid w:val="00EC7EF2"/>
    <w:rsid w:val="00ED00D5"/>
    <w:rsid w:val="00ED0C86"/>
    <w:rsid w:val="00ED1B5B"/>
    <w:rsid w:val="00ED1B6E"/>
    <w:rsid w:val="00ED2A9A"/>
    <w:rsid w:val="00ED412B"/>
    <w:rsid w:val="00ED5420"/>
    <w:rsid w:val="00ED60CF"/>
    <w:rsid w:val="00ED6B18"/>
    <w:rsid w:val="00ED7387"/>
    <w:rsid w:val="00ED7645"/>
    <w:rsid w:val="00EE05E4"/>
    <w:rsid w:val="00EE0781"/>
    <w:rsid w:val="00EE0FA7"/>
    <w:rsid w:val="00EE3D05"/>
    <w:rsid w:val="00EE4AB7"/>
    <w:rsid w:val="00EE560C"/>
    <w:rsid w:val="00EE58A7"/>
    <w:rsid w:val="00EE5D0C"/>
    <w:rsid w:val="00EF011C"/>
    <w:rsid w:val="00EF12E6"/>
    <w:rsid w:val="00EF155C"/>
    <w:rsid w:val="00EF1760"/>
    <w:rsid w:val="00EF1B56"/>
    <w:rsid w:val="00EF1C24"/>
    <w:rsid w:val="00EF4D97"/>
    <w:rsid w:val="00EF591A"/>
    <w:rsid w:val="00EF5FB6"/>
    <w:rsid w:val="00EF749E"/>
    <w:rsid w:val="00EF79C2"/>
    <w:rsid w:val="00EF7D56"/>
    <w:rsid w:val="00EF7F8F"/>
    <w:rsid w:val="00F01829"/>
    <w:rsid w:val="00F01C57"/>
    <w:rsid w:val="00F01E02"/>
    <w:rsid w:val="00F01FAA"/>
    <w:rsid w:val="00F02744"/>
    <w:rsid w:val="00F03D3D"/>
    <w:rsid w:val="00F054EC"/>
    <w:rsid w:val="00F066A8"/>
    <w:rsid w:val="00F077B0"/>
    <w:rsid w:val="00F07D0B"/>
    <w:rsid w:val="00F1076B"/>
    <w:rsid w:val="00F11256"/>
    <w:rsid w:val="00F119E6"/>
    <w:rsid w:val="00F11CA2"/>
    <w:rsid w:val="00F121B3"/>
    <w:rsid w:val="00F12223"/>
    <w:rsid w:val="00F13FCB"/>
    <w:rsid w:val="00F148B2"/>
    <w:rsid w:val="00F150A8"/>
    <w:rsid w:val="00F153DD"/>
    <w:rsid w:val="00F15833"/>
    <w:rsid w:val="00F15A89"/>
    <w:rsid w:val="00F15D29"/>
    <w:rsid w:val="00F1602B"/>
    <w:rsid w:val="00F16FC8"/>
    <w:rsid w:val="00F17090"/>
    <w:rsid w:val="00F174A5"/>
    <w:rsid w:val="00F17A02"/>
    <w:rsid w:val="00F17A9B"/>
    <w:rsid w:val="00F20EE7"/>
    <w:rsid w:val="00F237D3"/>
    <w:rsid w:val="00F23A91"/>
    <w:rsid w:val="00F2426C"/>
    <w:rsid w:val="00F24BB0"/>
    <w:rsid w:val="00F25CD0"/>
    <w:rsid w:val="00F27F96"/>
    <w:rsid w:val="00F30F67"/>
    <w:rsid w:val="00F3419F"/>
    <w:rsid w:val="00F3470C"/>
    <w:rsid w:val="00F36528"/>
    <w:rsid w:val="00F36FF4"/>
    <w:rsid w:val="00F370CA"/>
    <w:rsid w:val="00F375AB"/>
    <w:rsid w:val="00F379D6"/>
    <w:rsid w:val="00F4103A"/>
    <w:rsid w:val="00F41458"/>
    <w:rsid w:val="00F414C9"/>
    <w:rsid w:val="00F41866"/>
    <w:rsid w:val="00F41E2B"/>
    <w:rsid w:val="00F41FD1"/>
    <w:rsid w:val="00F43A5C"/>
    <w:rsid w:val="00F45CBE"/>
    <w:rsid w:val="00F502C3"/>
    <w:rsid w:val="00F52397"/>
    <w:rsid w:val="00F536DD"/>
    <w:rsid w:val="00F53AE9"/>
    <w:rsid w:val="00F5490A"/>
    <w:rsid w:val="00F54A3C"/>
    <w:rsid w:val="00F551A6"/>
    <w:rsid w:val="00F5557A"/>
    <w:rsid w:val="00F55C8F"/>
    <w:rsid w:val="00F56656"/>
    <w:rsid w:val="00F60195"/>
    <w:rsid w:val="00F60DF4"/>
    <w:rsid w:val="00F61719"/>
    <w:rsid w:val="00F632C3"/>
    <w:rsid w:val="00F63825"/>
    <w:rsid w:val="00F64E06"/>
    <w:rsid w:val="00F6723E"/>
    <w:rsid w:val="00F6784D"/>
    <w:rsid w:val="00F7010D"/>
    <w:rsid w:val="00F70DEE"/>
    <w:rsid w:val="00F711D6"/>
    <w:rsid w:val="00F716CE"/>
    <w:rsid w:val="00F71998"/>
    <w:rsid w:val="00F73150"/>
    <w:rsid w:val="00F745F9"/>
    <w:rsid w:val="00F808D5"/>
    <w:rsid w:val="00F816FD"/>
    <w:rsid w:val="00F81B74"/>
    <w:rsid w:val="00F830F9"/>
    <w:rsid w:val="00F85B78"/>
    <w:rsid w:val="00F86AA9"/>
    <w:rsid w:val="00F87574"/>
    <w:rsid w:val="00F87E31"/>
    <w:rsid w:val="00F90FE5"/>
    <w:rsid w:val="00F922B4"/>
    <w:rsid w:val="00F94F2D"/>
    <w:rsid w:val="00F95BEF"/>
    <w:rsid w:val="00F95E5C"/>
    <w:rsid w:val="00F963E1"/>
    <w:rsid w:val="00FA09C5"/>
    <w:rsid w:val="00FA26F2"/>
    <w:rsid w:val="00FA3A60"/>
    <w:rsid w:val="00FA50E4"/>
    <w:rsid w:val="00FA5E90"/>
    <w:rsid w:val="00FA5F13"/>
    <w:rsid w:val="00FA648A"/>
    <w:rsid w:val="00FA67DA"/>
    <w:rsid w:val="00FA68AD"/>
    <w:rsid w:val="00FA693D"/>
    <w:rsid w:val="00FB39D7"/>
    <w:rsid w:val="00FB6027"/>
    <w:rsid w:val="00FB6791"/>
    <w:rsid w:val="00FB7A5D"/>
    <w:rsid w:val="00FC0F77"/>
    <w:rsid w:val="00FC3D16"/>
    <w:rsid w:val="00FC6114"/>
    <w:rsid w:val="00FC761B"/>
    <w:rsid w:val="00FD04F2"/>
    <w:rsid w:val="00FD1084"/>
    <w:rsid w:val="00FD13CF"/>
    <w:rsid w:val="00FD17EE"/>
    <w:rsid w:val="00FD1D50"/>
    <w:rsid w:val="00FD2848"/>
    <w:rsid w:val="00FD43F9"/>
    <w:rsid w:val="00FD53A5"/>
    <w:rsid w:val="00FD54BC"/>
    <w:rsid w:val="00FD5679"/>
    <w:rsid w:val="00FD62F0"/>
    <w:rsid w:val="00FE0C99"/>
    <w:rsid w:val="00FE10A8"/>
    <w:rsid w:val="00FE25E5"/>
    <w:rsid w:val="00FE29C4"/>
    <w:rsid w:val="00FE324B"/>
    <w:rsid w:val="00FE3E82"/>
    <w:rsid w:val="00FE66F7"/>
    <w:rsid w:val="00FE68D3"/>
    <w:rsid w:val="00FE706B"/>
    <w:rsid w:val="00FE7ECD"/>
    <w:rsid w:val="00FF1170"/>
    <w:rsid w:val="00FF2291"/>
    <w:rsid w:val="00FF23D6"/>
    <w:rsid w:val="00FF2DC9"/>
    <w:rsid w:val="00FF3B22"/>
    <w:rsid w:val="00FF3FA5"/>
    <w:rsid w:val="00FF4B2A"/>
    <w:rsid w:val="00FF4DEE"/>
    <w:rsid w:val="00FF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F24F54"/>
  <w15:chartTrackingRefBased/>
  <w15:docId w15:val="{CC363B1A-E02F-41AE-A89C-A9EB714D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C8F"/>
    <w:pPr>
      <w:spacing w:before="120" w:after="120"/>
      <w:jc w:val="both"/>
    </w:pPr>
    <w:rPr>
      <w:rFonts w:ascii="Times New Roman" w:eastAsia="Calibri" w:hAnsi="Times New Roman"/>
      <w:sz w:val="24"/>
    </w:rPr>
  </w:style>
  <w:style w:type="paragraph" w:styleId="Heading1">
    <w:name w:val="heading 1"/>
    <w:basedOn w:val="Normal"/>
    <w:next w:val="Normal"/>
    <w:link w:val="Heading1Char"/>
    <w:autoRedefine/>
    <w:uiPriority w:val="9"/>
    <w:qFormat/>
    <w:rsid w:val="00A32020"/>
    <w:pPr>
      <w:keepNext/>
      <w:keepLines/>
      <w:spacing w:before="240" w:after="240"/>
      <w:outlineLvl w:val="0"/>
    </w:pPr>
    <w:rPr>
      <w:rFonts w:eastAsiaTheme="majorEastAsia" w:cstheme="majorBidi"/>
      <w:b/>
      <w:caps/>
      <w:szCs w:val="32"/>
    </w:rPr>
  </w:style>
  <w:style w:type="paragraph" w:styleId="Heading2">
    <w:name w:val="heading 2"/>
    <w:basedOn w:val="Normal"/>
    <w:next w:val="Normal"/>
    <w:link w:val="Heading2Char"/>
    <w:autoRedefine/>
    <w:uiPriority w:val="9"/>
    <w:unhideWhenUsed/>
    <w:qFormat/>
    <w:rsid w:val="004332AB"/>
    <w:pPr>
      <w:keepNext/>
      <w:keepLines/>
      <w:numPr>
        <w:ilvl w:val="1"/>
        <w:numId w:val="6"/>
      </w:numPr>
      <w:spacing w:before="40"/>
      <w:outlineLvl w:val="1"/>
    </w:pPr>
    <w:rPr>
      <w:rFonts w:cs="Times New Roman"/>
      <w:b/>
      <w:szCs w:val="24"/>
    </w:rPr>
  </w:style>
  <w:style w:type="paragraph" w:styleId="Heading3">
    <w:name w:val="heading 3"/>
    <w:basedOn w:val="Normal"/>
    <w:next w:val="Normal"/>
    <w:link w:val="Heading3Char"/>
    <w:uiPriority w:val="9"/>
    <w:unhideWhenUsed/>
    <w:qFormat/>
    <w:rsid w:val="00E6039A"/>
    <w:pPr>
      <w:keepNext/>
      <w:keepLines/>
      <w:numPr>
        <w:ilvl w:val="2"/>
        <w:numId w:val="6"/>
      </w:numPr>
      <w:spacing w:before="40"/>
      <w:outlineLvl w:val="2"/>
    </w:pPr>
    <w:rPr>
      <w:rFonts w:cs="Times New Roman"/>
      <w:b/>
      <w:i/>
      <w:iCs/>
    </w:rPr>
  </w:style>
  <w:style w:type="paragraph" w:styleId="Heading4">
    <w:name w:val="heading 4"/>
    <w:basedOn w:val="Normal"/>
    <w:next w:val="Normal"/>
    <w:link w:val="Heading4Char"/>
    <w:uiPriority w:val="9"/>
    <w:unhideWhenUsed/>
    <w:qFormat/>
    <w:rsid w:val="00892E61"/>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2E61"/>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2E61"/>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2E61"/>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2E6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E6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020"/>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4332AB"/>
    <w:rPr>
      <w:rFonts w:ascii="Times New Roman" w:eastAsia="Calibri" w:hAnsi="Times New Roman" w:cs="Times New Roman"/>
      <w:b/>
      <w:sz w:val="24"/>
      <w:szCs w:val="24"/>
    </w:rPr>
  </w:style>
  <w:style w:type="character" w:customStyle="1" w:styleId="Heading3Char">
    <w:name w:val="Heading 3 Char"/>
    <w:basedOn w:val="DefaultParagraphFont"/>
    <w:link w:val="Heading3"/>
    <w:uiPriority w:val="9"/>
    <w:rsid w:val="00E6039A"/>
    <w:rPr>
      <w:rFonts w:ascii="Times New Roman" w:eastAsia="Calibri" w:hAnsi="Times New Roman" w:cs="Times New Roman"/>
      <w:b/>
      <w:i/>
      <w:iCs/>
      <w:sz w:val="24"/>
    </w:rPr>
  </w:style>
  <w:style w:type="paragraph" w:styleId="Header">
    <w:name w:val="header"/>
    <w:basedOn w:val="Normal"/>
    <w:link w:val="HeaderChar"/>
    <w:uiPriority w:val="99"/>
    <w:unhideWhenUsed/>
    <w:rsid w:val="00927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FB7"/>
    <w:rPr>
      <w:rFonts w:ascii="Times New Roman" w:hAnsi="Times New Roman"/>
      <w:sz w:val="24"/>
    </w:rPr>
  </w:style>
  <w:style w:type="paragraph" w:styleId="Footer">
    <w:name w:val="footer"/>
    <w:basedOn w:val="Normal"/>
    <w:link w:val="FooterChar"/>
    <w:uiPriority w:val="99"/>
    <w:unhideWhenUsed/>
    <w:rsid w:val="00927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FB7"/>
    <w:rPr>
      <w:rFonts w:ascii="Times New Roman" w:hAnsi="Times New Roman"/>
      <w:sz w:val="24"/>
    </w:rPr>
  </w:style>
  <w:style w:type="paragraph" w:styleId="TOCHeading">
    <w:name w:val="TOC Heading"/>
    <w:basedOn w:val="Heading1"/>
    <w:next w:val="Normal"/>
    <w:uiPriority w:val="39"/>
    <w:unhideWhenUsed/>
    <w:qFormat/>
    <w:rsid w:val="00927FB7"/>
    <w:pPr>
      <w:spacing w:line="259" w:lineRule="auto"/>
      <w:outlineLvl w:val="9"/>
    </w:pPr>
    <w:rPr>
      <w:rFonts w:asciiTheme="majorHAnsi" w:hAnsiTheme="majorHAnsi"/>
      <w:b w:val="0"/>
      <w:caps w:val="0"/>
      <w:color w:val="365F91" w:themeColor="accent1" w:themeShade="BF"/>
      <w:sz w:val="32"/>
      <w:lang w:val="en-US"/>
    </w:rPr>
  </w:style>
  <w:style w:type="paragraph" w:styleId="TOC1">
    <w:name w:val="toc 1"/>
    <w:basedOn w:val="Normal"/>
    <w:next w:val="Normal"/>
    <w:autoRedefine/>
    <w:uiPriority w:val="39"/>
    <w:unhideWhenUsed/>
    <w:rsid w:val="00E90BE5"/>
    <w:pPr>
      <w:tabs>
        <w:tab w:val="left" w:pos="1200"/>
        <w:tab w:val="right" w:leader="dot" w:pos="8636"/>
      </w:tabs>
      <w:spacing w:before="240"/>
      <w:jc w:val="left"/>
    </w:pPr>
    <w:rPr>
      <w:rFonts w:asciiTheme="minorHAnsi" w:hAnsiTheme="minorHAnsi" w:cstheme="minorHAnsi"/>
      <w:b/>
      <w:bCs/>
      <w:sz w:val="20"/>
      <w:szCs w:val="20"/>
    </w:rPr>
  </w:style>
  <w:style w:type="paragraph" w:styleId="TOC2">
    <w:name w:val="toc 2"/>
    <w:basedOn w:val="Normal"/>
    <w:next w:val="Normal"/>
    <w:autoRedefine/>
    <w:uiPriority w:val="39"/>
    <w:unhideWhenUsed/>
    <w:rsid w:val="0089443E"/>
    <w:pPr>
      <w:tabs>
        <w:tab w:val="left" w:pos="1440"/>
        <w:tab w:val="right" w:leader="dot" w:pos="8636"/>
      </w:tabs>
      <w:spacing w:after="0"/>
      <w:ind w:left="240"/>
      <w:jc w:val="left"/>
    </w:pPr>
    <w:rPr>
      <w:rFonts w:asciiTheme="minorHAnsi" w:hAnsiTheme="minorHAnsi" w:cstheme="minorHAnsi"/>
      <w:i/>
      <w:iCs/>
      <w:sz w:val="20"/>
      <w:szCs w:val="20"/>
    </w:rPr>
  </w:style>
  <w:style w:type="paragraph" w:styleId="TOC3">
    <w:name w:val="toc 3"/>
    <w:basedOn w:val="Normal"/>
    <w:next w:val="Normal"/>
    <w:autoRedefine/>
    <w:uiPriority w:val="39"/>
    <w:unhideWhenUsed/>
    <w:rsid w:val="00AE380E"/>
    <w:pPr>
      <w:tabs>
        <w:tab w:val="right" w:leader="dot" w:pos="8636"/>
      </w:tabs>
      <w:spacing w:before="0" w:after="0"/>
      <w:ind w:left="480"/>
      <w:jc w:val="left"/>
    </w:pPr>
    <w:rPr>
      <w:rFonts w:asciiTheme="minorHAnsi" w:hAnsiTheme="minorHAnsi" w:cstheme="minorHAnsi"/>
      <w:sz w:val="20"/>
      <w:szCs w:val="20"/>
    </w:rPr>
  </w:style>
  <w:style w:type="character" w:styleId="Hyperlink">
    <w:name w:val="Hyperlink"/>
    <w:basedOn w:val="DefaultParagraphFont"/>
    <w:uiPriority w:val="99"/>
    <w:unhideWhenUsed/>
    <w:rsid w:val="00927FB7"/>
    <w:rPr>
      <w:color w:val="0000FF" w:themeColor="hyperlink"/>
      <w:u w:val="single"/>
    </w:rPr>
  </w:style>
  <w:style w:type="paragraph" w:styleId="FootnoteText">
    <w:name w:val="footnote text"/>
    <w:aliases w:val="Footnote Text Char1,Schriftart: 9 pt,Schriftart: 10 pt,Schriftart: 8 pt,WB-Fußnotentext,Reference,Fußnote,fn,Footnote Text Char2,Footnote Text Char Char1,Footnote Text Char1 Char Char,Footnote Text Char Char Char Char,Ch,stile 1,o,footnote"/>
    <w:basedOn w:val="Normal"/>
    <w:link w:val="FootnoteTextChar"/>
    <w:uiPriority w:val="99"/>
    <w:unhideWhenUsed/>
    <w:qFormat/>
    <w:rsid w:val="00C27EA0"/>
    <w:pPr>
      <w:spacing w:before="0" w:after="0" w:line="240" w:lineRule="auto"/>
    </w:pPr>
    <w:rPr>
      <w:sz w:val="18"/>
      <w:szCs w:val="20"/>
    </w:rPr>
  </w:style>
  <w:style w:type="character" w:customStyle="1" w:styleId="FootnoteTextChar">
    <w:name w:val="Footnote Text Char"/>
    <w:aliases w:val="Footnote Text Char1 Char,Schriftart: 9 pt Char,Schriftart: 10 pt Char,Schriftart: 8 pt Char,WB-Fußnotentext Char,Reference Char,Fußnote Char,fn Char,Footnote Text Char2 Char,Footnote Text Char Char1 Char,Ch Char,stile 1 Char,o Char"/>
    <w:basedOn w:val="DefaultParagraphFont"/>
    <w:link w:val="FootnoteText"/>
    <w:uiPriority w:val="99"/>
    <w:qFormat/>
    <w:rsid w:val="00C27EA0"/>
    <w:rPr>
      <w:rFonts w:ascii="Times New Roman" w:eastAsia="Calibri" w:hAnsi="Times New Roman"/>
      <w:sz w:val="18"/>
      <w:szCs w:val="20"/>
      <w:lang w:val="en-IE"/>
    </w:rPr>
  </w:style>
  <w:style w:type="character" w:styleId="FootnoteReference">
    <w:name w:val="footnote reference"/>
    <w:aliases w:val="Footnote symbol,Voetnootverwijzing,Times 10 Point,Exposant 3 Point,Footnote reference number,Ref,de nota al pie,note TESI,SUPERS,EN Footnote Reference,Footnote sign,Footnote Reference Superscript,stylish,fr,FR,Foo,No, Exposant 3 Point"/>
    <w:basedOn w:val="DefaultParagraphFont"/>
    <w:link w:val="FootnotesymbolCharCharCharChar"/>
    <w:uiPriority w:val="99"/>
    <w:unhideWhenUsed/>
    <w:qFormat/>
    <w:rsid w:val="00C54E27"/>
    <w:rPr>
      <w:vertAlign w:val="superscript"/>
    </w:rPr>
  </w:style>
  <w:style w:type="paragraph" w:styleId="BalloonText">
    <w:name w:val="Balloon Text"/>
    <w:basedOn w:val="Normal"/>
    <w:link w:val="BalloonTextChar"/>
    <w:uiPriority w:val="99"/>
    <w:semiHidden/>
    <w:unhideWhenUsed/>
    <w:rsid w:val="00237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6DF"/>
    <w:rPr>
      <w:rFonts w:ascii="Segoe UI" w:hAnsi="Segoe UI" w:cs="Segoe UI"/>
      <w:sz w:val="18"/>
      <w:szCs w:val="18"/>
    </w:rPr>
  </w:style>
  <w:style w:type="table" w:styleId="TableGrid">
    <w:name w:val="Table Grid"/>
    <w:basedOn w:val="TableNormal"/>
    <w:uiPriority w:val="59"/>
    <w:rsid w:val="00047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B8"/>
    <w:rPr>
      <w:sz w:val="16"/>
      <w:szCs w:val="16"/>
    </w:rPr>
  </w:style>
  <w:style w:type="paragraph" w:styleId="CommentText">
    <w:name w:val="annotation text"/>
    <w:basedOn w:val="Normal"/>
    <w:link w:val="CommentTextChar"/>
    <w:uiPriority w:val="99"/>
    <w:unhideWhenUsed/>
    <w:rsid w:val="000630B8"/>
    <w:pPr>
      <w:spacing w:line="240" w:lineRule="auto"/>
    </w:pPr>
    <w:rPr>
      <w:sz w:val="20"/>
      <w:szCs w:val="20"/>
    </w:rPr>
  </w:style>
  <w:style w:type="character" w:customStyle="1" w:styleId="CommentTextChar">
    <w:name w:val="Comment Text Char"/>
    <w:basedOn w:val="DefaultParagraphFont"/>
    <w:link w:val="CommentText"/>
    <w:uiPriority w:val="99"/>
    <w:rsid w:val="000630B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630B8"/>
    <w:rPr>
      <w:b/>
      <w:bCs/>
    </w:rPr>
  </w:style>
  <w:style w:type="character" w:customStyle="1" w:styleId="CommentSubjectChar">
    <w:name w:val="Comment Subject Char"/>
    <w:basedOn w:val="CommentTextChar"/>
    <w:link w:val="CommentSubject"/>
    <w:uiPriority w:val="99"/>
    <w:semiHidden/>
    <w:rsid w:val="000630B8"/>
    <w:rPr>
      <w:rFonts w:ascii="Times New Roman" w:hAnsi="Times New Roman"/>
      <w:b/>
      <w:bCs/>
      <w:sz w:val="20"/>
      <w:szCs w:val="20"/>
    </w:rPr>
  </w:style>
  <w:style w:type="paragraph" w:styleId="ListParagraph">
    <w:name w:val="List Paragraph"/>
    <w:aliases w:val="List1,List11,List111,List1111,1st level - Bullet List Paragraph,List Paragraph1,Lettre d'introduction,Paragrafo elenco,Normal bullet 2,Medium Grid 1 - Accent 21,List Paragraph11,FooterText,Paragraphe de liste1,Bullet list,List11111,Dot pt"/>
    <w:basedOn w:val="Normal"/>
    <w:link w:val="ListParagraphChar"/>
    <w:uiPriority w:val="34"/>
    <w:qFormat/>
    <w:rsid w:val="00B80E0C"/>
    <w:pPr>
      <w:spacing w:after="160" w:line="259" w:lineRule="auto"/>
      <w:ind w:left="720"/>
      <w:contextualSpacing/>
      <w:jc w:val="left"/>
    </w:pPr>
    <w:rPr>
      <w:rFonts w:asciiTheme="minorHAnsi" w:hAnsiTheme="minorHAnsi"/>
      <w:sz w:val="22"/>
      <w:lang w:val="fr-BE"/>
    </w:rPr>
  </w:style>
  <w:style w:type="character" w:customStyle="1" w:styleId="ListParagraphChar">
    <w:name w:val="List Paragraph Char"/>
    <w:aliases w:val="List1 Char,List11 Char,List111 Char,List1111 Char,1st level - Bullet List Paragraph Char,List Paragraph1 Char,Lettre d'introduction Char,Paragrafo elenco Char,Normal bullet 2 Char,Medium Grid 1 - Accent 21 Char,List Paragraph11 Char"/>
    <w:basedOn w:val="DefaultParagraphFont"/>
    <w:link w:val="ListParagraph"/>
    <w:uiPriority w:val="34"/>
    <w:qFormat/>
    <w:rsid w:val="00B80E0C"/>
    <w:rPr>
      <w:lang w:val="fr-BE"/>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qFormat/>
    <w:rsid w:val="00B80E0C"/>
    <w:pPr>
      <w:spacing w:after="160" w:line="240" w:lineRule="exact"/>
      <w:jc w:val="left"/>
    </w:pPr>
    <w:rPr>
      <w:rFonts w:asciiTheme="minorHAnsi" w:hAnsiTheme="minorHAnsi"/>
      <w:sz w:val="22"/>
      <w:vertAlign w:val="superscript"/>
    </w:rPr>
  </w:style>
  <w:style w:type="paragraph" w:styleId="Revision">
    <w:name w:val="Revision"/>
    <w:hidden/>
    <w:uiPriority w:val="99"/>
    <w:semiHidden/>
    <w:rsid w:val="00B2563B"/>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7527DE"/>
    <w:rPr>
      <w:color w:val="800080" w:themeColor="followedHyperlink"/>
      <w:u w:val="single"/>
    </w:rPr>
  </w:style>
  <w:style w:type="character" w:customStyle="1" w:styleId="Heading4Char">
    <w:name w:val="Heading 4 Char"/>
    <w:basedOn w:val="DefaultParagraphFont"/>
    <w:link w:val="Heading4"/>
    <w:uiPriority w:val="9"/>
    <w:rsid w:val="00892E61"/>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892E61"/>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892E61"/>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892E6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892E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E61"/>
    <w:rPr>
      <w:rFonts w:asciiTheme="majorHAnsi" w:eastAsiaTheme="majorEastAsia" w:hAnsiTheme="majorHAnsi" w:cstheme="majorBidi"/>
      <w:i/>
      <w:iCs/>
      <w:color w:val="272727" w:themeColor="text1" w:themeTint="D8"/>
      <w:sz w:val="21"/>
      <w:szCs w:val="21"/>
    </w:rPr>
  </w:style>
  <w:style w:type="paragraph" w:customStyle="1" w:styleId="Actionnumrote">
    <w:name w:val="Action numérotée"/>
    <w:basedOn w:val="Debutaction"/>
    <w:next w:val="Subaction"/>
    <w:link w:val="ActionnumroteChar"/>
    <w:autoRedefine/>
    <w:rsid w:val="001E3D1E"/>
    <w:pPr>
      <w:keepLines/>
      <w:pBdr>
        <w:top w:val="none" w:sz="0" w:space="0" w:color="auto"/>
        <w:bottom w:val="single" w:sz="4" w:space="1" w:color="auto"/>
      </w:pBdr>
      <w:tabs>
        <w:tab w:val="left" w:pos="851"/>
      </w:tabs>
      <w:spacing w:before="0" w:after="240"/>
      <w:ind w:left="426" w:hanging="284"/>
      <w:outlineLvl w:val="0"/>
    </w:pPr>
    <w:rPr>
      <w:lang w:eastAsia="en-GB"/>
    </w:rPr>
  </w:style>
  <w:style w:type="paragraph" w:customStyle="1" w:styleId="Idea">
    <w:name w:val="Idea"/>
    <w:basedOn w:val="Normal"/>
    <w:link w:val="IdeaChar"/>
    <w:qFormat/>
    <w:rsid w:val="009F7B9F"/>
    <w:pPr>
      <w:spacing w:line="240" w:lineRule="auto"/>
      <w:ind w:left="714" w:hanging="357"/>
      <w:jc w:val="left"/>
    </w:pPr>
    <w:rPr>
      <w:szCs w:val="24"/>
    </w:rPr>
  </w:style>
  <w:style w:type="character" w:customStyle="1" w:styleId="ActionnumroteChar">
    <w:name w:val="Action numérotée Char"/>
    <w:basedOn w:val="ListParagraphChar"/>
    <w:link w:val="Actionnumrote"/>
    <w:rsid w:val="001E3D1E"/>
    <w:rPr>
      <w:rFonts w:eastAsia="Calibri"/>
      <w:sz w:val="24"/>
      <w:szCs w:val="24"/>
      <w:shd w:val="clear" w:color="auto" w:fill="D9D9D9" w:themeFill="background1" w:themeFillShade="D9"/>
      <w:lang w:val="fr-BE" w:eastAsia="en-GB"/>
    </w:rPr>
  </w:style>
  <w:style w:type="character" w:customStyle="1" w:styleId="IdeaChar">
    <w:name w:val="Idea Char"/>
    <w:basedOn w:val="ListParagraphChar"/>
    <w:link w:val="Idea"/>
    <w:rsid w:val="009F7B9F"/>
    <w:rPr>
      <w:rFonts w:ascii="Times New Roman" w:eastAsia="Calibri" w:hAnsi="Times New Roman"/>
      <w:sz w:val="24"/>
      <w:szCs w:val="24"/>
      <w:lang w:val="en-IE"/>
    </w:rPr>
  </w:style>
  <w:style w:type="paragraph" w:styleId="EndnoteText">
    <w:name w:val="endnote text"/>
    <w:basedOn w:val="Normal"/>
    <w:link w:val="EndnoteTextChar"/>
    <w:uiPriority w:val="99"/>
    <w:semiHidden/>
    <w:unhideWhenUsed/>
    <w:rsid w:val="00A66975"/>
    <w:pPr>
      <w:spacing w:after="0" w:line="240" w:lineRule="auto"/>
      <w:jc w:val="left"/>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66975"/>
    <w:rPr>
      <w:sz w:val="20"/>
      <w:szCs w:val="20"/>
    </w:rPr>
  </w:style>
  <w:style w:type="character" w:styleId="EndnoteReference">
    <w:name w:val="endnote reference"/>
    <w:basedOn w:val="DefaultParagraphFont"/>
    <w:uiPriority w:val="99"/>
    <w:semiHidden/>
    <w:unhideWhenUsed/>
    <w:rsid w:val="00A66975"/>
    <w:rPr>
      <w:vertAlign w:val="superscript"/>
    </w:rPr>
  </w:style>
  <w:style w:type="paragraph" w:styleId="NormalWeb">
    <w:name w:val="Normal (Web)"/>
    <w:basedOn w:val="Normal"/>
    <w:uiPriority w:val="99"/>
    <w:unhideWhenUsed/>
    <w:rsid w:val="00972353"/>
    <w:pPr>
      <w:spacing w:before="100" w:beforeAutospacing="1" w:after="100" w:afterAutospacing="1" w:line="240" w:lineRule="auto"/>
      <w:jc w:val="left"/>
    </w:pPr>
    <w:rPr>
      <w:rFonts w:cs="Times New Roman"/>
      <w:szCs w:val="24"/>
      <w:lang w:eastAsia="en-GB"/>
    </w:rPr>
  </w:style>
  <w:style w:type="paragraph" w:customStyle="1" w:styleId="msonormal0">
    <w:name w:val="msonormal"/>
    <w:basedOn w:val="Normal"/>
    <w:uiPriority w:val="99"/>
    <w:semiHidden/>
    <w:rsid w:val="00B14F2C"/>
    <w:pPr>
      <w:spacing w:before="100" w:beforeAutospacing="1" w:after="100" w:afterAutospacing="1" w:line="240" w:lineRule="auto"/>
      <w:jc w:val="left"/>
    </w:pPr>
    <w:rPr>
      <w:rFonts w:cs="Times New Roman"/>
      <w:szCs w:val="24"/>
      <w:lang w:eastAsia="en-GB"/>
    </w:rPr>
  </w:style>
  <w:style w:type="character" w:customStyle="1" w:styleId="FootnoteTextChar3">
    <w:name w:val="Footnote Text Char3"/>
    <w:aliases w:val="Footnote Text Char1 Char1,Schriftart: 9 pt Char1,Schriftart: 10 pt Char1,Schriftart: 8 pt Char1,WB-Fußnotentext Char1,Reference Char1,Fußnote Char1,fn Char1,Footnote Text Char2 Char1,Footnote Text Char Char1 Char1,Ch Char1,o Char1"/>
    <w:basedOn w:val="DefaultParagraphFont"/>
    <w:uiPriority w:val="99"/>
    <w:semiHidden/>
    <w:rsid w:val="00B14F2C"/>
    <w:rPr>
      <w:rFonts w:ascii="Times New Roman" w:hAnsi="Times New Roman"/>
    </w:rPr>
  </w:style>
  <w:style w:type="numbering" w:customStyle="1" w:styleId="Subactions">
    <w:name w:val="Subactions"/>
    <w:basedOn w:val="NoList"/>
    <w:uiPriority w:val="99"/>
    <w:rsid w:val="00714591"/>
    <w:pPr>
      <w:numPr>
        <w:numId w:val="4"/>
      </w:numPr>
    </w:pPr>
  </w:style>
  <w:style w:type="paragraph" w:customStyle="1" w:styleId="Subaction">
    <w:name w:val="Subaction"/>
    <w:basedOn w:val="Actionnumrote"/>
    <w:next w:val="Normal"/>
    <w:link w:val="SubactionChar"/>
    <w:autoRedefine/>
    <w:qFormat/>
    <w:rsid w:val="00786A01"/>
    <w:pPr>
      <w:tabs>
        <w:tab w:val="left" w:pos="1418"/>
      </w:tabs>
      <w:ind w:left="2836" w:firstLine="0"/>
    </w:pPr>
  </w:style>
  <w:style w:type="paragraph" w:styleId="TOC4">
    <w:name w:val="toc 4"/>
    <w:basedOn w:val="Normal"/>
    <w:next w:val="Normal"/>
    <w:autoRedefine/>
    <w:uiPriority w:val="39"/>
    <w:unhideWhenUsed/>
    <w:rsid w:val="00714591"/>
    <w:pPr>
      <w:spacing w:before="0" w:after="0"/>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714591"/>
    <w:pPr>
      <w:spacing w:before="0" w:after="0"/>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714591"/>
    <w:pPr>
      <w:spacing w:before="0"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714591"/>
    <w:pPr>
      <w:spacing w:before="0"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714591"/>
    <w:pPr>
      <w:spacing w:before="0"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714591"/>
    <w:pPr>
      <w:spacing w:before="0" w:after="0"/>
      <w:ind w:left="1920"/>
      <w:jc w:val="left"/>
    </w:pPr>
    <w:rPr>
      <w:rFonts w:asciiTheme="minorHAnsi" w:hAnsiTheme="minorHAnsi" w:cstheme="minorHAnsi"/>
      <w:sz w:val="20"/>
      <w:szCs w:val="20"/>
    </w:rPr>
  </w:style>
  <w:style w:type="paragraph" w:styleId="Caption">
    <w:name w:val="caption"/>
    <w:basedOn w:val="Normal"/>
    <w:next w:val="Normal"/>
    <w:uiPriority w:val="35"/>
    <w:unhideWhenUsed/>
    <w:qFormat/>
    <w:rsid w:val="00F56656"/>
    <w:pPr>
      <w:spacing w:before="0" w:after="200" w:line="240" w:lineRule="auto"/>
    </w:pPr>
    <w:rPr>
      <w:i/>
      <w:iCs/>
      <w:color w:val="1F497D" w:themeColor="text2"/>
      <w:sz w:val="18"/>
      <w:szCs w:val="18"/>
    </w:rPr>
  </w:style>
  <w:style w:type="paragraph" w:styleId="Bibliography">
    <w:name w:val="Bibliography"/>
    <w:basedOn w:val="Normal"/>
    <w:next w:val="Normal"/>
    <w:uiPriority w:val="37"/>
    <w:semiHidden/>
    <w:unhideWhenUsed/>
    <w:rsid w:val="00F56656"/>
  </w:style>
  <w:style w:type="paragraph" w:customStyle="1" w:styleId="Debutaction">
    <w:name w:val="Debut action"/>
    <w:basedOn w:val="Normal"/>
    <w:next w:val="Actionnumrote"/>
    <w:link w:val="DebutactionChar"/>
    <w:autoRedefine/>
    <w:qFormat/>
    <w:rsid w:val="009954C6"/>
    <w:pPr>
      <w:widowControl w:val="0"/>
      <w:pBdr>
        <w:top w:val="single" w:sz="4" w:space="1" w:color="auto"/>
        <w:left w:val="single" w:sz="4" w:space="4" w:color="auto"/>
        <w:right w:val="single" w:sz="4" w:space="4" w:color="auto"/>
      </w:pBdr>
      <w:shd w:val="clear" w:color="auto" w:fill="D9D9D9" w:themeFill="background1" w:themeFillShade="D9"/>
      <w:spacing w:after="0" w:line="240" w:lineRule="auto"/>
      <w:ind w:left="142"/>
    </w:pPr>
    <w:rPr>
      <w:rFonts w:asciiTheme="minorHAnsi" w:hAnsiTheme="minorHAnsi"/>
      <w:szCs w:val="24"/>
    </w:rPr>
  </w:style>
  <w:style w:type="numbering" w:customStyle="1" w:styleId="Actionssubactions">
    <w:name w:val="Actions subactions"/>
    <w:uiPriority w:val="99"/>
    <w:rsid w:val="00C27EA0"/>
    <w:pPr>
      <w:numPr>
        <w:numId w:val="5"/>
      </w:numPr>
    </w:pPr>
  </w:style>
  <w:style w:type="character" w:customStyle="1" w:styleId="SubactionChar">
    <w:name w:val="Subaction Char"/>
    <w:basedOn w:val="ActionnumroteChar"/>
    <w:link w:val="Subaction"/>
    <w:rsid w:val="00786A01"/>
    <w:rPr>
      <w:rFonts w:eastAsia="Calibri"/>
      <w:sz w:val="24"/>
      <w:szCs w:val="24"/>
      <w:shd w:val="clear" w:color="auto" w:fill="D9D9D9" w:themeFill="background1" w:themeFillShade="D9"/>
      <w:lang w:val="fr-BE" w:eastAsia="en-GB"/>
    </w:rPr>
  </w:style>
  <w:style w:type="character" w:customStyle="1" w:styleId="DebutactionChar">
    <w:name w:val="Debut action Char"/>
    <w:basedOn w:val="SubactionChar"/>
    <w:link w:val="Debutaction"/>
    <w:rsid w:val="009954C6"/>
    <w:rPr>
      <w:rFonts w:eastAsia="Calibri"/>
      <w:sz w:val="24"/>
      <w:szCs w:val="24"/>
      <w:shd w:val="clear" w:color="auto" w:fill="D9D9D9" w:themeFill="background1" w:themeFillShade="D9"/>
      <w:lang w:val="fr-BE" w:eastAsia="en-GB"/>
    </w:rPr>
  </w:style>
  <w:style w:type="table" w:customStyle="1" w:styleId="TableGrid1">
    <w:name w:val="Table Grid1"/>
    <w:basedOn w:val="TableNormal"/>
    <w:next w:val="TableGrid"/>
    <w:uiPriority w:val="59"/>
    <w:rsid w:val="00271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normakl">
    <w:name w:val="Bullet normakl"/>
    <w:basedOn w:val="Normal"/>
    <w:link w:val="BulletnormaklChar"/>
    <w:qFormat/>
    <w:rsid w:val="00CE730D"/>
    <w:pPr>
      <w:numPr>
        <w:numId w:val="2"/>
      </w:numPr>
      <w:spacing w:line="240" w:lineRule="auto"/>
      <w:ind w:left="426" w:hanging="357"/>
    </w:pPr>
    <w:rPr>
      <w:szCs w:val="24"/>
    </w:rPr>
  </w:style>
  <w:style w:type="character" w:customStyle="1" w:styleId="BulletnormaklChar">
    <w:name w:val="Bullet normakl Char"/>
    <w:basedOn w:val="DefaultParagraphFont"/>
    <w:link w:val="Bulletnormakl"/>
    <w:rsid w:val="00CE730D"/>
    <w:rPr>
      <w:rFonts w:ascii="Times New Roman" w:eastAsia="Calibri" w:hAnsi="Times New Roman"/>
      <w:sz w:val="24"/>
      <w:szCs w:val="24"/>
    </w:rPr>
  </w:style>
  <w:style w:type="table" w:customStyle="1" w:styleId="TableGrid2">
    <w:name w:val="Table Grid2"/>
    <w:basedOn w:val="TableNormal"/>
    <w:next w:val="TableGrid"/>
    <w:uiPriority w:val="59"/>
    <w:rsid w:val="00772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72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039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otnotedescriptionChar">
    <w:name w:val="footnote description Char"/>
    <w:link w:val="footnotedescription"/>
    <w:locked/>
    <w:rsid w:val="00E6039A"/>
    <w:rPr>
      <w:rFonts w:ascii="Calibri" w:eastAsia="Calibri" w:hAnsi="Calibri" w:cs="Calibri"/>
      <w:color w:val="000000"/>
      <w:sz w:val="20"/>
      <w:lang w:eastAsia="en-GB"/>
    </w:rPr>
  </w:style>
  <w:style w:type="paragraph" w:customStyle="1" w:styleId="footnotedescription">
    <w:name w:val="footnote description"/>
    <w:next w:val="Normal"/>
    <w:link w:val="footnotedescriptionChar"/>
    <w:rsid w:val="00E6039A"/>
    <w:pPr>
      <w:spacing w:after="0" w:line="256" w:lineRule="auto"/>
      <w:ind w:left="77"/>
    </w:pPr>
    <w:rPr>
      <w:rFonts w:ascii="Calibri" w:eastAsia="Calibri" w:hAnsi="Calibri" w:cs="Calibri"/>
      <w:color w:val="000000"/>
      <w:sz w:val="20"/>
      <w:lang w:eastAsia="en-GB"/>
    </w:rPr>
  </w:style>
  <w:style w:type="character" w:customStyle="1" w:styleId="footnotemark">
    <w:name w:val="footnote mark"/>
    <w:rsid w:val="00E6039A"/>
    <w:rPr>
      <w:rFonts w:ascii="Calibri" w:eastAsia="Calibri" w:hAnsi="Calibri" w:cs="Calibri" w:hint="default"/>
      <w:color w:val="000000"/>
      <w:sz w:val="20"/>
      <w:vertAlign w:val="superscript"/>
    </w:rPr>
  </w:style>
  <w:style w:type="paragraph" w:customStyle="1" w:styleId="Wayforward">
    <w:name w:val="Way forward"/>
    <w:basedOn w:val="Normal"/>
    <w:link w:val="WayforwardChar"/>
    <w:rsid w:val="00493F54"/>
    <w:pPr>
      <w:numPr>
        <w:numId w:val="7"/>
      </w:numPr>
      <w:ind w:left="357" w:hanging="357"/>
    </w:pPr>
    <w:rPr>
      <w:rFonts w:cs="Times New Roman"/>
      <w:lang w:val="en-IE" w:eastAsia="en-GB"/>
    </w:rPr>
  </w:style>
  <w:style w:type="paragraph" w:styleId="NoSpacing">
    <w:name w:val="No Spacing"/>
    <w:uiPriority w:val="1"/>
    <w:qFormat/>
    <w:rsid w:val="001E3D1E"/>
    <w:pPr>
      <w:spacing w:after="0" w:line="240" w:lineRule="auto"/>
      <w:jc w:val="both"/>
    </w:pPr>
    <w:rPr>
      <w:rFonts w:ascii="Times New Roman" w:eastAsia="Calibri" w:hAnsi="Times New Roman"/>
      <w:sz w:val="24"/>
    </w:rPr>
  </w:style>
  <w:style w:type="character" w:customStyle="1" w:styleId="WayforwardChar">
    <w:name w:val="Way forward Char"/>
    <w:basedOn w:val="ListParagraphChar"/>
    <w:link w:val="Wayforward"/>
    <w:rsid w:val="00493F54"/>
    <w:rPr>
      <w:rFonts w:ascii="Times New Roman" w:eastAsia="Calibri" w:hAnsi="Times New Roman" w:cs="Times New Roman"/>
      <w:sz w:val="24"/>
      <w:lang w:val="en-IE" w:eastAsia="en-GB"/>
    </w:rPr>
  </w:style>
  <w:style w:type="paragraph" w:customStyle="1" w:styleId="Style1">
    <w:name w:val="Style1"/>
    <w:basedOn w:val="Wayforward"/>
    <w:qFormat/>
    <w:rsid w:val="00493F54"/>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qFormat/>
    <w:rsid w:val="00AE4535"/>
    <w:pPr>
      <w:spacing w:before="0" w:after="0" w:line="240" w:lineRule="exact"/>
    </w:pPr>
    <w:rPr>
      <w:rFonts w:asciiTheme="minorHAnsi" w:eastAsiaTheme="minorHAnsi" w:hAnsiTheme="minorHAnsi"/>
      <w:sz w:val="22"/>
      <w:vertAlign w:val="superscript"/>
      <w:lang w:val="fr-BE"/>
    </w:rPr>
  </w:style>
  <w:style w:type="character" w:customStyle="1" w:styleId="Marker">
    <w:name w:val="Marker"/>
    <w:basedOn w:val="DefaultParagraphFont"/>
    <w:rsid w:val="00337722"/>
    <w:rPr>
      <w:color w:val="0000FF"/>
      <w:shd w:val="clear" w:color="auto" w:fill="auto"/>
    </w:rPr>
  </w:style>
  <w:style w:type="paragraph" w:customStyle="1" w:styleId="Pagedecouverture">
    <w:name w:val="Page de couverture"/>
    <w:basedOn w:val="Normal"/>
    <w:next w:val="Normal"/>
    <w:rsid w:val="00337722"/>
    <w:pPr>
      <w:spacing w:before="0" w:after="0" w:line="240" w:lineRule="auto"/>
    </w:pPr>
    <w:rPr>
      <w:rFonts w:eastAsiaTheme="minorHAnsi" w:cs="Times New Roman"/>
    </w:rPr>
  </w:style>
  <w:style w:type="paragraph" w:customStyle="1" w:styleId="FooterCoverPage">
    <w:name w:val="Footer Cover Page"/>
    <w:basedOn w:val="Normal"/>
    <w:link w:val="FooterCoverPageChar"/>
    <w:rsid w:val="00337722"/>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Heading1Char"/>
    <w:link w:val="FooterCoverPage"/>
    <w:rsid w:val="00337722"/>
    <w:rPr>
      <w:rFonts w:ascii="Times New Roman" w:eastAsia="Calibri" w:hAnsi="Times New Roman" w:cstheme="majorBidi"/>
      <w:b w:val="0"/>
      <w:caps w:val="0"/>
      <w:sz w:val="24"/>
      <w:szCs w:val="32"/>
    </w:rPr>
  </w:style>
  <w:style w:type="paragraph" w:customStyle="1" w:styleId="FooterSensitivity">
    <w:name w:val="Footer Sensitivity"/>
    <w:basedOn w:val="Normal"/>
    <w:link w:val="FooterSensitivityChar"/>
    <w:rsid w:val="0033772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Heading1Char"/>
    <w:link w:val="FooterSensitivity"/>
    <w:rsid w:val="00337722"/>
    <w:rPr>
      <w:rFonts w:ascii="Times New Roman" w:eastAsia="Calibri" w:hAnsi="Times New Roman" w:cstheme="majorBidi"/>
      <w:b/>
      <w:caps w:val="0"/>
      <w:sz w:val="32"/>
      <w:szCs w:val="32"/>
    </w:rPr>
  </w:style>
  <w:style w:type="paragraph" w:customStyle="1" w:styleId="HeaderCoverPage">
    <w:name w:val="Header Cover Page"/>
    <w:basedOn w:val="Normal"/>
    <w:link w:val="HeaderCoverPageChar"/>
    <w:rsid w:val="00337722"/>
    <w:pPr>
      <w:tabs>
        <w:tab w:val="center" w:pos="4535"/>
        <w:tab w:val="right" w:pos="9071"/>
      </w:tabs>
      <w:spacing w:before="0" w:line="240" w:lineRule="auto"/>
    </w:pPr>
  </w:style>
  <w:style w:type="character" w:customStyle="1" w:styleId="HeaderCoverPageChar">
    <w:name w:val="Header Cover Page Char"/>
    <w:basedOn w:val="Heading1Char"/>
    <w:link w:val="HeaderCoverPage"/>
    <w:rsid w:val="00337722"/>
    <w:rPr>
      <w:rFonts w:ascii="Times New Roman" w:eastAsia="Calibri" w:hAnsi="Times New Roman" w:cstheme="majorBidi"/>
      <w:b w:val="0"/>
      <w:caps w:val="0"/>
      <w:sz w:val="24"/>
      <w:szCs w:val="32"/>
    </w:rPr>
  </w:style>
  <w:style w:type="paragraph" w:customStyle="1" w:styleId="HeaderSensitivity">
    <w:name w:val="Header Sensitivity"/>
    <w:basedOn w:val="Normal"/>
    <w:link w:val="HeaderSensitivityChar"/>
    <w:rsid w:val="00337722"/>
    <w:pPr>
      <w:pBdr>
        <w:top w:val="single" w:sz="4" w:space="1" w:color="auto"/>
        <w:left w:val="single" w:sz="4" w:space="4" w:color="auto"/>
        <w:bottom w:val="single" w:sz="4" w:space="1" w:color="auto"/>
        <w:right w:val="single" w:sz="4" w:space="4" w:color="auto"/>
      </w:pBdr>
      <w:spacing w:before="0" w:line="240" w:lineRule="auto"/>
      <w:ind w:left="113" w:right="113"/>
      <w:jc w:val="center"/>
    </w:pPr>
    <w:rPr>
      <w:b/>
      <w:sz w:val="32"/>
    </w:rPr>
  </w:style>
  <w:style w:type="character" w:customStyle="1" w:styleId="HeaderSensitivityChar">
    <w:name w:val="Header Sensitivity Char"/>
    <w:basedOn w:val="Heading1Char"/>
    <w:link w:val="HeaderSensitivity"/>
    <w:rsid w:val="00337722"/>
    <w:rPr>
      <w:rFonts w:ascii="Times New Roman" w:eastAsia="Calibri" w:hAnsi="Times New Roman" w:cstheme="majorBidi"/>
      <w:b/>
      <w:caps w:val="0"/>
      <w:sz w:val="32"/>
      <w:szCs w:val="32"/>
    </w:rPr>
  </w:style>
  <w:style w:type="paragraph" w:customStyle="1" w:styleId="HeaderSensitivityRight">
    <w:name w:val="Header Sensitivity Right"/>
    <w:basedOn w:val="Normal"/>
    <w:link w:val="HeaderSensitivityRightChar"/>
    <w:rsid w:val="00337722"/>
    <w:pPr>
      <w:spacing w:before="0" w:line="240" w:lineRule="auto"/>
      <w:jc w:val="right"/>
    </w:pPr>
    <w:rPr>
      <w:sz w:val="28"/>
    </w:rPr>
  </w:style>
  <w:style w:type="character" w:customStyle="1" w:styleId="HeaderSensitivityRightChar">
    <w:name w:val="Header Sensitivity Right Char"/>
    <w:basedOn w:val="Heading1Char"/>
    <w:link w:val="HeaderSensitivityRight"/>
    <w:rsid w:val="00337722"/>
    <w:rPr>
      <w:rFonts w:ascii="Times New Roman" w:eastAsia="Calibri" w:hAnsi="Times New Roman" w:cstheme="majorBidi"/>
      <w:b w:val="0"/>
      <w:caps w:val="0"/>
      <w:sz w:val="28"/>
      <w:szCs w:val="32"/>
    </w:rPr>
  </w:style>
  <w:style w:type="paragraph" w:customStyle="1" w:styleId="Action">
    <w:name w:val="Action"/>
    <w:basedOn w:val="Normal"/>
    <w:link w:val="ActionChar"/>
    <w:autoRedefine/>
    <w:qFormat/>
    <w:rsid w:val="00DB4F48"/>
    <w:pPr>
      <w:keepNext/>
      <w:keepLines/>
      <w:pBdr>
        <w:top w:val="single" w:sz="4" w:space="0" w:color="auto"/>
        <w:left w:val="single" w:sz="4" w:space="4" w:color="auto"/>
        <w:bottom w:val="single" w:sz="4" w:space="1" w:color="auto"/>
        <w:right w:val="single" w:sz="4" w:space="4" w:color="auto"/>
      </w:pBdr>
      <w:shd w:val="pct10" w:color="auto" w:fill="auto"/>
      <w:tabs>
        <w:tab w:val="left" w:pos="284"/>
        <w:tab w:val="left" w:pos="1134"/>
        <w:tab w:val="left" w:pos="1418"/>
      </w:tabs>
      <w:spacing w:before="240" w:line="240" w:lineRule="auto"/>
    </w:pPr>
    <w:rPr>
      <w:b/>
      <w:szCs w:val="24"/>
      <w:u w:val="single"/>
      <w:lang w:val="en-IE"/>
    </w:rPr>
  </w:style>
  <w:style w:type="character" w:customStyle="1" w:styleId="ActionChar">
    <w:name w:val="Action Char"/>
    <w:basedOn w:val="DefaultParagraphFont"/>
    <w:link w:val="Action"/>
    <w:rsid w:val="00DB4F48"/>
    <w:rPr>
      <w:rFonts w:ascii="Times New Roman" w:eastAsia="Calibri" w:hAnsi="Times New Roman"/>
      <w:b/>
      <w:sz w:val="24"/>
      <w:szCs w:val="24"/>
      <w:u w:val="single"/>
      <w:shd w:val="pct10" w:color="auto" w:fill="auto"/>
      <w:lang w:val="en-IE"/>
    </w:rPr>
  </w:style>
  <w:style w:type="character" w:customStyle="1" w:styleId="markedcontent">
    <w:name w:val="markedcontent"/>
    <w:basedOn w:val="DefaultParagraphFont"/>
    <w:rsid w:val="008D0169"/>
  </w:style>
  <w:style w:type="character" w:customStyle="1" w:styleId="ib-brac">
    <w:name w:val="ib-brac"/>
    <w:basedOn w:val="DefaultParagraphFont"/>
    <w:rsid w:val="00675741"/>
  </w:style>
  <w:style w:type="character" w:customStyle="1" w:styleId="ib-content">
    <w:name w:val="ib-content"/>
    <w:basedOn w:val="DefaultParagraphFont"/>
    <w:rsid w:val="00675741"/>
  </w:style>
  <w:style w:type="character" w:customStyle="1" w:styleId="hgkelc">
    <w:name w:val="hgkelc"/>
    <w:basedOn w:val="DefaultParagraphFont"/>
    <w:rsid w:val="00E05FB1"/>
  </w:style>
  <w:style w:type="character" w:customStyle="1" w:styleId="jpfdse">
    <w:name w:val="jpfdse"/>
    <w:basedOn w:val="DefaultParagraphFont"/>
    <w:rsid w:val="00E0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519">
      <w:bodyDiv w:val="1"/>
      <w:marLeft w:val="0"/>
      <w:marRight w:val="0"/>
      <w:marTop w:val="0"/>
      <w:marBottom w:val="0"/>
      <w:divBdr>
        <w:top w:val="none" w:sz="0" w:space="0" w:color="auto"/>
        <w:left w:val="none" w:sz="0" w:space="0" w:color="auto"/>
        <w:bottom w:val="none" w:sz="0" w:space="0" w:color="auto"/>
        <w:right w:val="none" w:sz="0" w:space="0" w:color="auto"/>
      </w:divBdr>
    </w:div>
    <w:div w:id="63572630">
      <w:bodyDiv w:val="1"/>
      <w:marLeft w:val="0"/>
      <w:marRight w:val="0"/>
      <w:marTop w:val="0"/>
      <w:marBottom w:val="0"/>
      <w:divBdr>
        <w:top w:val="none" w:sz="0" w:space="0" w:color="auto"/>
        <w:left w:val="none" w:sz="0" w:space="0" w:color="auto"/>
        <w:bottom w:val="none" w:sz="0" w:space="0" w:color="auto"/>
        <w:right w:val="none" w:sz="0" w:space="0" w:color="auto"/>
      </w:divBdr>
    </w:div>
    <w:div w:id="231163202">
      <w:bodyDiv w:val="1"/>
      <w:marLeft w:val="0"/>
      <w:marRight w:val="0"/>
      <w:marTop w:val="0"/>
      <w:marBottom w:val="0"/>
      <w:divBdr>
        <w:top w:val="none" w:sz="0" w:space="0" w:color="auto"/>
        <w:left w:val="none" w:sz="0" w:space="0" w:color="auto"/>
        <w:bottom w:val="none" w:sz="0" w:space="0" w:color="auto"/>
        <w:right w:val="none" w:sz="0" w:space="0" w:color="auto"/>
      </w:divBdr>
    </w:div>
    <w:div w:id="239218015">
      <w:bodyDiv w:val="1"/>
      <w:marLeft w:val="0"/>
      <w:marRight w:val="0"/>
      <w:marTop w:val="0"/>
      <w:marBottom w:val="0"/>
      <w:divBdr>
        <w:top w:val="none" w:sz="0" w:space="0" w:color="auto"/>
        <w:left w:val="none" w:sz="0" w:space="0" w:color="auto"/>
        <w:bottom w:val="none" w:sz="0" w:space="0" w:color="auto"/>
        <w:right w:val="none" w:sz="0" w:space="0" w:color="auto"/>
      </w:divBdr>
    </w:div>
    <w:div w:id="395056957">
      <w:bodyDiv w:val="1"/>
      <w:marLeft w:val="0"/>
      <w:marRight w:val="0"/>
      <w:marTop w:val="0"/>
      <w:marBottom w:val="0"/>
      <w:divBdr>
        <w:top w:val="none" w:sz="0" w:space="0" w:color="auto"/>
        <w:left w:val="none" w:sz="0" w:space="0" w:color="auto"/>
        <w:bottom w:val="none" w:sz="0" w:space="0" w:color="auto"/>
        <w:right w:val="none" w:sz="0" w:space="0" w:color="auto"/>
      </w:divBdr>
    </w:div>
    <w:div w:id="429010955">
      <w:bodyDiv w:val="1"/>
      <w:marLeft w:val="0"/>
      <w:marRight w:val="0"/>
      <w:marTop w:val="0"/>
      <w:marBottom w:val="0"/>
      <w:divBdr>
        <w:top w:val="none" w:sz="0" w:space="0" w:color="auto"/>
        <w:left w:val="none" w:sz="0" w:space="0" w:color="auto"/>
        <w:bottom w:val="none" w:sz="0" w:space="0" w:color="auto"/>
        <w:right w:val="none" w:sz="0" w:space="0" w:color="auto"/>
      </w:divBdr>
    </w:div>
    <w:div w:id="444690074">
      <w:bodyDiv w:val="1"/>
      <w:marLeft w:val="0"/>
      <w:marRight w:val="0"/>
      <w:marTop w:val="0"/>
      <w:marBottom w:val="0"/>
      <w:divBdr>
        <w:top w:val="none" w:sz="0" w:space="0" w:color="auto"/>
        <w:left w:val="none" w:sz="0" w:space="0" w:color="auto"/>
        <w:bottom w:val="none" w:sz="0" w:space="0" w:color="auto"/>
        <w:right w:val="none" w:sz="0" w:space="0" w:color="auto"/>
      </w:divBdr>
    </w:div>
    <w:div w:id="473957495">
      <w:bodyDiv w:val="1"/>
      <w:marLeft w:val="0"/>
      <w:marRight w:val="0"/>
      <w:marTop w:val="0"/>
      <w:marBottom w:val="0"/>
      <w:divBdr>
        <w:top w:val="none" w:sz="0" w:space="0" w:color="auto"/>
        <w:left w:val="none" w:sz="0" w:space="0" w:color="auto"/>
        <w:bottom w:val="none" w:sz="0" w:space="0" w:color="auto"/>
        <w:right w:val="none" w:sz="0" w:space="0" w:color="auto"/>
      </w:divBdr>
    </w:div>
    <w:div w:id="475874949">
      <w:bodyDiv w:val="1"/>
      <w:marLeft w:val="0"/>
      <w:marRight w:val="0"/>
      <w:marTop w:val="0"/>
      <w:marBottom w:val="0"/>
      <w:divBdr>
        <w:top w:val="none" w:sz="0" w:space="0" w:color="auto"/>
        <w:left w:val="none" w:sz="0" w:space="0" w:color="auto"/>
        <w:bottom w:val="none" w:sz="0" w:space="0" w:color="auto"/>
        <w:right w:val="none" w:sz="0" w:space="0" w:color="auto"/>
      </w:divBdr>
    </w:div>
    <w:div w:id="513685946">
      <w:bodyDiv w:val="1"/>
      <w:marLeft w:val="0"/>
      <w:marRight w:val="0"/>
      <w:marTop w:val="0"/>
      <w:marBottom w:val="0"/>
      <w:divBdr>
        <w:top w:val="none" w:sz="0" w:space="0" w:color="auto"/>
        <w:left w:val="none" w:sz="0" w:space="0" w:color="auto"/>
        <w:bottom w:val="none" w:sz="0" w:space="0" w:color="auto"/>
        <w:right w:val="none" w:sz="0" w:space="0" w:color="auto"/>
      </w:divBdr>
    </w:div>
    <w:div w:id="538861465">
      <w:bodyDiv w:val="1"/>
      <w:marLeft w:val="0"/>
      <w:marRight w:val="0"/>
      <w:marTop w:val="0"/>
      <w:marBottom w:val="0"/>
      <w:divBdr>
        <w:top w:val="none" w:sz="0" w:space="0" w:color="auto"/>
        <w:left w:val="none" w:sz="0" w:space="0" w:color="auto"/>
        <w:bottom w:val="none" w:sz="0" w:space="0" w:color="auto"/>
        <w:right w:val="none" w:sz="0" w:space="0" w:color="auto"/>
      </w:divBdr>
    </w:div>
    <w:div w:id="666175745">
      <w:bodyDiv w:val="1"/>
      <w:marLeft w:val="0"/>
      <w:marRight w:val="0"/>
      <w:marTop w:val="0"/>
      <w:marBottom w:val="0"/>
      <w:divBdr>
        <w:top w:val="none" w:sz="0" w:space="0" w:color="auto"/>
        <w:left w:val="none" w:sz="0" w:space="0" w:color="auto"/>
        <w:bottom w:val="none" w:sz="0" w:space="0" w:color="auto"/>
        <w:right w:val="none" w:sz="0" w:space="0" w:color="auto"/>
      </w:divBdr>
    </w:div>
    <w:div w:id="857504282">
      <w:bodyDiv w:val="1"/>
      <w:marLeft w:val="0"/>
      <w:marRight w:val="0"/>
      <w:marTop w:val="0"/>
      <w:marBottom w:val="0"/>
      <w:divBdr>
        <w:top w:val="none" w:sz="0" w:space="0" w:color="auto"/>
        <w:left w:val="none" w:sz="0" w:space="0" w:color="auto"/>
        <w:bottom w:val="none" w:sz="0" w:space="0" w:color="auto"/>
        <w:right w:val="none" w:sz="0" w:space="0" w:color="auto"/>
      </w:divBdr>
    </w:div>
    <w:div w:id="871191807">
      <w:bodyDiv w:val="1"/>
      <w:marLeft w:val="0"/>
      <w:marRight w:val="0"/>
      <w:marTop w:val="0"/>
      <w:marBottom w:val="0"/>
      <w:divBdr>
        <w:top w:val="none" w:sz="0" w:space="0" w:color="auto"/>
        <w:left w:val="none" w:sz="0" w:space="0" w:color="auto"/>
        <w:bottom w:val="none" w:sz="0" w:space="0" w:color="auto"/>
        <w:right w:val="none" w:sz="0" w:space="0" w:color="auto"/>
      </w:divBdr>
    </w:div>
    <w:div w:id="958024359">
      <w:bodyDiv w:val="1"/>
      <w:marLeft w:val="0"/>
      <w:marRight w:val="0"/>
      <w:marTop w:val="0"/>
      <w:marBottom w:val="0"/>
      <w:divBdr>
        <w:top w:val="none" w:sz="0" w:space="0" w:color="auto"/>
        <w:left w:val="none" w:sz="0" w:space="0" w:color="auto"/>
        <w:bottom w:val="none" w:sz="0" w:space="0" w:color="auto"/>
        <w:right w:val="none" w:sz="0" w:space="0" w:color="auto"/>
      </w:divBdr>
    </w:div>
    <w:div w:id="959457687">
      <w:bodyDiv w:val="1"/>
      <w:marLeft w:val="0"/>
      <w:marRight w:val="0"/>
      <w:marTop w:val="0"/>
      <w:marBottom w:val="0"/>
      <w:divBdr>
        <w:top w:val="none" w:sz="0" w:space="0" w:color="auto"/>
        <w:left w:val="none" w:sz="0" w:space="0" w:color="auto"/>
        <w:bottom w:val="none" w:sz="0" w:space="0" w:color="auto"/>
        <w:right w:val="none" w:sz="0" w:space="0" w:color="auto"/>
      </w:divBdr>
    </w:div>
    <w:div w:id="1063916310">
      <w:bodyDiv w:val="1"/>
      <w:marLeft w:val="0"/>
      <w:marRight w:val="0"/>
      <w:marTop w:val="0"/>
      <w:marBottom w:val="0"/>
      <w:divBdr>
        <w:top w:val="none" w:sz="0" w:space="0" w:color="auto"/>
        <w:left w:val="none" w:sz="0" w:space="0" w:color="auto"/>
        <w:bottom w:val="none" w:sz="0" w:space="0" w:color="auto"/>
        <w:right w:val="none" w:sz="0" w:space="0" w:color="auto"/>
      </w:divBdr>
    </w:div>
    <w:div w:id="1094669610">
      <w:bodyDiv w:val="1"/>
      <w:marLeft w:val="0"/>
      <w:marRight w:val="0"/>
      <w:marTop w:val="0"/>
      <w:marBottom w:val="0"/>
      <w:divBdr>
        <w:top w:val="none" w:sz="0" w:space="0" w:color="auto"/>
        <w:left w:val="none" w:sz="0" w:space="0" w:color="auto"/>
        <w:bottom w:val="none" w:sz="0" w:space="0" w:color="auto"/>
        <w:right w:val="none" w:sz="0" w:space="0" w:color="auto"/>
      </w:divBdr>
    </w:div>
    <w:div w:id="1258174410">
      <w:bodyDiv w:val="1"/>
      <w:marLeft w:val="0"/>
      <w:marRight w:val="0"/>
      <w:marTop w:val="0"/>
      <w:marBottom w:val="0"/>
      <w:divBdr>
        <w:top w:val="none" w:sz="0" w:space="0" w:color="auto"/>
        <w:left w:val="none" w:sz="0" w:space="0" w:color="auto"/>
        <w:bottom w:val="none" w:sz="0" w:space="0" w:color="auto"/>
        <w:right w:val="none" w:sz="0" w:space="0" w:color="auto"/>
      </w:divBdr>
    </w:div>
    <w:div w:id="1277177113">
      <w:bodyDiv w:val="1"/>
      <w:marLeft w:val="0"/>
      <w:marRight w:val="0"/>
      <w:marTop w:val="0"/>
      <w:marBottom w:val="0"/>
      <w:divBdr>
        <w:top w:val="none" w:sz="0" w:space="0" w:color="auto"/>
        <w:left w:val="none" w:sz="0" w:space="0" w:color="auto"/>
        <w:bottom w:val="none" w:sz="0" w:space="0" w:color="auto"/>
        <w:right w:val="none" w:sz="0" w:space="0" w:color="auto"/>
      </w:divBdr>
    </w:div>
    <w:div w:id="1613632379">
      <w:bodyDiv w:val="1"/>
      <w:marLeft w:val="0"/>
      <w:marRight w:val="0"/>
      <w:marTop w:val="0"/>
      <w:marBottom w:val="0"/>
      <w:divBdr>
        <w:top w:val="none" w:sz="0" w:space="0" w:color="auto"/>
        <w:left w:val="none" w:sz="0" w:space="0" w:color="auto"/>
        <w:bottom w:val="none" w:sz="0" w:space="0" w:color="auto"/>
        <w:right w:val="none" w:sz="0" w:space="0" w:color="auto"/>
      </w:divBdr>
    </w:div>
    <w:div w:id="1732540104">
      <w:bodyDiv w:val="1"/>
      <w:marLeft w:val="0"/>
      <w:marRight w:val="0"/>
      <w:marTop w:val="0"/>
      <w:marBottom w:val="0"/>
      <w:divBdr>
        <w:top w:val="none" w:sz="0" w:space="0" w:color="auto"/>
        <w:left w:val="none" w:sz="0" w:space="0" w:color="auto"/>
        <w:bottom w:val="none" w:sz="0" w:space="0" w:color="auto"/>
        <w:right w:val="none" w:sz="0" w:space="0" w:color="auto"/>
      </w:divBdr>
    </w:div>
    <w:div w:id="1793859560">
      <w:bodyDiv w:val="1"/>
      <w:marLeft w:val="0"/>
      <w:marRight w:val="0"/>
      <w:marTop w:val="0"/>
      <w:marBottom w:val="0"/>
      <w:divBdr>
        <w:top w:val="none" w:sz="0" w:space="0" w:color="auto"/>
        <w:left w:val="none" w:sz="0" w:space="0" w:color="auto"/>
        <w:bottom w:val="none" w:sz="0" w:space="0" w:color="auto"/>
        <w:right w:val="none" w:sz="0" w:space="0" w:color="auto"/>
      </w:divBdr>
    </w:div>
    <w:div w:id="1884562918">
      <w:bodyDiv w:val="1"/>
      <w:marLeft w:val="0"/>
      <w:marRight w:val="0"/>
      <w:marTop w:val="0"/>
      <w:marBottom w:val="0"/>
      <w:divBdr>
        <w:top w:val="none" w:sz="0" w:space="0" w:color="auto"/>
        <w:left w:val="none" w:sz="0" w:space="0" w:color="auto"/>
        <w:bottom w:val="none" w:sz="0" w:space="0" w:color="auto"/>
        <w:right w:val="none" w:sz="0" w:space="0" w:color="auto"/>
      </w:divBdr>
    </w:div>
    <w:div w:id="213910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strategy-and-policy/priorities-2019-2024/europe-fit-digital-age/european-chips-act_en" TargetMode="External"/><Relationship Id="rId2" Type="http://schemas.openxmlformats.org/officeDocument/2006/relationships/hyperlink" Target="https://ec.europa.eu/commission/presscorner/detail/en/STATEMENT_22_5523" TargetMode="External"/><Relationship Id="rId1" Type="http://schemas.openxmlformats.org/officeDocument/2006/relationships/hyperlink" Target="https://data.consilium.europa.eu/doc/document/ST-7371-2022-INIT/en/pdf" TargetMode="External"/><Relationship Id="rId4" Type="http://schemas.openxmlformats.org/officeDocument/2006/relationships/hyperlink" Target="https://data.consilium.europa.eu/doc/document/PE-46-2022-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B5AD-CC7A-4B3F-AD34-C2159AE3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6752</Words>
  <Characters>38689</Characters>
  <Application>Microsoft Office Word</Application>
  <DocSecurity>0</DocSecurity>
  <Lines>604</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45243</CharactersWithSpaces>
  <SharedDoc>false</SharedDoc>
  <HLinks>
    <vt:vector size="180" baseType="variant">
      <vt:variant>
        <vt:i4>1048637</vt:i4>
      </vt:variant>
      <vt:variant>
        <vt:i4>176</vt:i4>
      </vt:variant>
      <vt:variant>
        <vt:i4>0</vt:i4>
      </vt:variant>
      <vt:variant>
        <vt:i4>5</vt:i4>
      </vt:variant>
      <vt:variant>
        <vt:lpwstr/>
      </vt:variant>
      <vt:variant>
        <vt:lpwstr>_Toc112689693</vt:lpwstr>
      </vt:variant>
      <vt:variant>
        <vt:i4>1048637</vt:i4>
      </vt:variant>
      <vt:variant>
        <vt:i4>170</vt:i4>
      </vt:variant>
      <vt:variant>
        <vt:i4>0</vt:i4>
      </vt:variant>
      <vt:variant>
        <vt:i4>5</vt:i4>
      </vt:variant>
      <vt:variant>
        <vt:lpwstr/>
      </vt:variant>
      <vt:variant>
        <vt:lpwstr>_Toc112689692</vt:lpwstr>
      </vt:variant>
      <vt:variant>
        <vt:i4>1048637</vt:i4>
      </vt:variant>
      <vt:variant>
        <vt:i4>164</vt:i4>
      </vt:variant>
      <vt:variant>
        <vt:i4>0</vt:i4>
      </vt:variant>
      <vt:variant>
        <vt:i4>5</vt:i4>
      </vt:variant>
      <vt:variant>
        <vt:lpwstr/>
      </vt:variant>
      <vt:variant>
        <vt:lpwstr>_Toc112689691</vt:lpwstr>
      </vt:variant>
      <vt:variant>
        <vt:i4>1048637</vt:i4>
      </vt:variant>
      <vt:variant>
        <vt:i4>158</vt:i4>
      </vt:variant>
      <vt:variant>
        <vt:i4>0</vt:i4>
      </vt:variant>
      <vt:variant>
        <vt:i4>5</vt:i4>
      </vt:variant>
      <vt:variant>
        <vt:lpwstr/>
      </vt:variant>
      <vt:variant>
        <vt:lpwstr>_Toc112689690</vt:lpwstr>
      </vt:variant>
      <vt:variant>
        <vt:i4>1114173</vt:i4>
      </vt:variant>
      <vt:variant>
        <vt:i4>152</vt:i4>
      </vt:variant>
      <vt:variant>
        <vt:i4>0</vt:i4>
      </vt:variant>
      <vt:variant>
        <vt:i4>5</vt:i4>
      </vt:variant>
      <vt:variant>
        <vt:lpwstr/>
      </vt:variant>
      <vt:variant>
        <vt:lpwstr>_Toc112689689</vt:lpwstr>
      </vt:variant>
      <vt:variant>
        <vt:i4>1114173</vt:i4>
      </vt:variant>
      <vt:variant>
        <vt:i4>146</vt:i4>
      </vt:variant>
      <vt:variant>
        <vt:i4>0</vt:i4>
      </vt:variant>
      <vt:variant>
        <vt:i4>5</vt:i4>
      </vt:variant>
      <vt:variant>
        <vt:lpwstr/>
      </vt:variant>
      <vt:variant>
        <vt:lpwstr>_Toc112689688</vt:lpwstr>
      </vt:variant>
      <vt:variant>
        <vt:i4>1114173</vt:i4>
      </vt:variant>
      <vt:variant>
        <vt:i4>140</vt:i4>
      </vt:variant>
      <vt:variant>
        <vt:i4>0</vt:i4>
      </vt:variant>
      <vt:variant>
        <vt:i4>5</vt:i4>
      </vt:variant>
      <vt:variant>
        <vt:lpwstr/>
      </vt:variant>
      <vt:variant>
        <vt:lpwstr>_Toc112689687</vt:lpwstr>
      </vt:variant>
      <vt:variant>
        <vt:i4>1114173</vt:i4>
      </vt:variant>
      <vt:variant>
        <vt:i4>134</vt:i4>
      </vt:variant>
      <vt:variant>
        <vt:i4>0</vt:i4>
      </vt:variant>
      <vt:variant>
        <vt:i4>5</vt:i4>
      </vt:variant>
      <vt:variant>
        <vt:lpwstr/>
      </vt:variant>
      <vt:variant>
        <vt:lpwstr>_Toc112689686</vt:lpwstr>
      </vt:variant>
      <vt:variant>
        <vt:i4>1114173</vt:i4>
      </vt:variant>
      <vt:variant>
        <vt:i4>128</vt:i4>
      </vt:variant>
      <vt:variant>
        <vt:i4>0</vt:i4>
      </vt:variant>
      <vt:variant>
        <vt:i4>5</vt:i4>
      </vt:variant>
      <vt:variant>
        <vt:lpwstr/>
      </vt:variant>
      <vt:variant>
        <vt:lpwstr>_Toc112689685</vt:lpwstr>
      </vt:variant>
      <vt:variant>
        <vt:i4>1114173</vt:i4>
      </vt:variant>
      <vt:variant>
        <vt:i4>122</vt:i4>
      </vt:variant>
      <vt:variant>
        <vt:i4>0</vt:i4>
      </vt:variant>
      <vt:variant>
        <vt:i4>5</vt:i4>
      </vt:variant>
      <vt:variant>
        <vt:lpwstr/>
      </vt:variant>
      <vt:variant>
        <vt:lpwstr>_Toc112689684</vt:lpwstr>
      </vt:variant>
      <vt:variant>
        <vt:i4>1114173</vt:i4>
      </vt:variant>
      <vt:variant>
        <vt:i4>116</vt:i4>
      </vt:variant>
      <vt:variant>
        <vt:i4>0</vt:i4>
      </vt:variant>
      <vt:variant>
        <vt:i4>5</vt:i4>
      </vt:variant>
      <vt:variant>
        <vt:lpwstr/>
      </vt:variant>
      <vt:variant>
        <vt:lpwstr>_Toc112689683</vt:lpwstr>
      </vt:variant>
      <vt:variant>
        <vt:i4>1114173</vt:i4>
      </vt:variant>
      <vt:variant>
        <vt:i4>110</vt:i4>
      </vt:variant>
      <vt:variant>
        <vt:i4>0</vt:i4>
      </vt:variant>
      <vt:variant>
        <vt:i4>5</vt:i4>
      </vt:variant>
      <vt:variant>
        <vt:lpwstr/>
      </vt:variant>
      <vt:variant>
        <vt:lpwstr>_Toc112689682</vt:lpwstr>
      </vt:variant>
      <vt:variant>
        <vt:i4>1114173</vt:i4>
      </vt:variant>
      <vt:variant>
        <vt:i4>104</vt:i4>
      </vt:variant>
      <vt:variant>
        <vt:i4>0</vt:i4>
      </vt:variant>
      <vt:variant>
        <vt:i4>5</vt:i4>
      </vt:variant>
      <vt:variant>
        <vt:lpwstr/>
      </vt:variant>
      <vt:variant>
        <vt:lpwstr>_Toc112689681</vt:lpwstr>
      </vt:variant>
      <vt:variant>
        <vt:i4>1114173</vt:i4>
      </vt:variant>
      <vt:variant>
        <vt:i4>98</vt:i4>
      </vt:variant>
      <vt:variant>
        <vt:i4>0</vt:i4>
      </vt:variant>
      <vt:variant>
        <vt:i4>5</vt:i4>
      </vt:variant>
      <vt:variant>
        <vt:lpwstr/>
      </vt:variant>
      <vt:variant>
        <vt:lpwstr>_Toc112689680</vt:lpwstr>
      </vt:variant>
      <vt:variant>
        <vt:i4>1966141</vt:i4>
      </vt:variant>
      <vt:variant>
        <vt:i4>92</vt:i4>
      </vt:variant>
      <vt:variant>
        <vt:i4>0</vt:i4>
      </vt:variant>
      <vt:variant>
        <vt:i4>5</vt:i4>
      </vt:variant>
      <vt:variant>
        <vt:lpwstr/>
      </vt:variant>
      <vt:variant>
        <vt:lpwstr>_Toc112689679</vt:lpwstr>
      </vt:variant>
      <vt:variant>
        <vt:i4>1966141</vt:i4>
      </vt:variant>
      <vt:variant>
        <vt:i4>86</vt:i4>
      </vt:variant>
      <vt:variant>
        <vt:i4>0</vt:i4>
      </vt:variant>
      <vt:variant>
        <vt:i4>5</vt:i4>
      </vt:variant>
      <vt:variant>
        <vt:lpwstr/>
      </vt:variant>
      <vt:variant>
        <vt:lpwstr>_Toc112689678</vt:lpwstr>
      </vt:variant>
      <vt:variant>
        <vt:i4>1966141</vt:i4>
      </vt:variant>
      <vt:variant>
        <vt:i4>80</vt:i4>
      </vt:variant>
      <vt:variant>
        <vt:i4>0</vt:i4>
      </vt:variant>
      <vt:variant>
        <vt:i4>5</vt:i4>
      </vt:variant>
      <vt:variant>
        <vt:lpwstr/>
      </vt:variant>
      <vt:variant>
        <vt:lpwstr>_Toc112689677</vt:lpwstr>
      </vt:variant>
      <vt:variant>
        <vt:i4>1966141</vt:i4>
      </vt:variant>
      <vt:variant>
        <vt:i4>74</vt:i4>
      </vt:variant>
      <vt:variant>
        <vt:i4>0</vt:i4>
      </vt:variant>
      <vt:variant>
        <vt:i4>5</vt:i4>
      </vt:variant>
      <vt:variant>
        <vt:lpwstr/>
      </vt:variant>
      <vt:variant>
        <vt:lpwstr>_Toc112689676</vt:lpwstr>
      </vt:variant>
      <vt:variant>
        <vt:i4>1966141</vt:i4>
      </vt:variant>
      <vt:variant>
        <vt:i4>68</vt:i4>
      </vt:variant>
      <vt:variant>
        <vt:i4>0</vt:i4>
      </vt:variant>
      <vt:variant>
        <vt:i4>5</vt:i4>
      </vt:variant>
      <vt:variant>
        <vt:lpwstr/>
      </vt:variant>
      <vt:variant>
        <vt:lpwstr>_Toc112689675</vt:lpwstr>
      </vt:variant>
      <vt:variant>
        <vt:i4>1966141</vt:i4>
      </vt:variant>
      <vt:variant>
        <vt:i4>62</vt:i4>
      </vt:variant>
      <vt:variant>
        <vt:i4>0</vt:i4>
      </vt:variant>
      <vt:variant>
        <vt:i4>5</vt:i4>
      </vt:variant>
      <vt:variant>
        <vt:lpwstr/>
      </vt:variant>
      <vt:variant>
        <vt:lpwstr>_Toc112689674</vt:lpwstr>
      </vt:variant>
      <vt:variant>
        <vt:i4>1966141</vt:i4>
      </vt:variant>
      <vt:variant>
        <vt:i4>56</vt:i4>
      </vt:variant>
      <vt:variant>
        <vt:i4>0</vt:i4>
      </vt:variant>
      <vt:variant>
        <vt:i4>5</vt:i4>
      </vt:variant>
      <vt:variant>
        <vt:lpwstr/>
      </vt:variant>
      <vt:variant>
        <vt:lpwstr>_Toc112689673</vt:lpwstr>
      </vt:variant>
      <vt:variant>
        <vt:i4>1966141</vt:i4>
      </vt:variant>
      <vt:variant>
        <vt:i4>50</vt:i4>
      </vt:variant>
      <vt:variant>
        <vt:i4>0</vt:i4>
      </vt:variant>
      <vt:variant>
        <vt:i4>5</vt:i4>
      </vt:variant>
      <vt:variant>
        <vt:lpwstr/>
      </vt:variant>
      <vt:variant>
        <vt:lpwstr>_Toc112689672</vt:lpwstr>
      </vt:variant>
      <vt:variant>
        <vt:i4>1966141</vt:i4>
      </vt:variant>
      <vt:variant>
        <vt:i4>44</vt:i4>
      </vt:variant>
      <vt:variant>
        <vt:i4>0</vt:i4>
      </vt:variant>
      <vt:variant>
        <vt:i4>5</vt:i4>
      </vt:variant>
      <vt:variant>
        <vt:lpwstr/>
      </vt:variant>
      <vt:variant>
        <vt:lpwstr>_Toc112689671</vt:lpwstr>
      </vt:variant>
      <vt:variant>
        <vt:i4>1966141</vt:i4>
      </vt:variant>
      <vt:variant>
        <vt:i4>38</vt:i4>
      </vt:variant>
      <vt:variant>
        <vt:i4>0</vt:i4>
      </vt:variant>
      <vt:variant>
        <vt:i4>5</vt:i4>
      </vt:variant>
      <vt:variant>
        <vt:lpwstr/>
      </vt:variant>
      <vt:variant>
        <vt:lpwstr>_Toc112689670</vt:lpwstr>
      </vt:variant>
      <vt:variant>
        <vt:i4>2031677</vt:i4>
      </vt:variant>
      <vt:variant>
        <vt:i4>32</vt:i4>
      </vt:variant>
      <vt:variant>
        <vt:i4>0</vt:i4>
      </vt:variant>
      <vt:variant>
        <vt:i4>5</vt:i4>
      </vt:variant>
      <vt:variant>
        <vt:lpwstr/>
      </vt:variant>
      <vt:variant>
        <vt:lpwstr>_Toc112689669</vt:lpwstr>
      </vt:variant>
      <vt:variant>
        <vt:i4>2031677</vt:i4>
      </vt:variant>
      <vt:variant>
        <vt:i4>26</vt:i4>
      </vt:variant>
      <vt:variant>
        <vt:i4>0</vt:i4>
      </vt:variant>
      <vt:variant>
        <vt:i4>5</vt:i4>
      </vt:variant>
      <vt:variant>
        <vt:lpwstr/>
      </vt:variant>
      <vt:variant>
        <vt:lpwstr>_Toc112689668</vt:lpwstr>
      </vt:variant>
      <vt:variant>
        <vt:i4>2031677</vt:i4>
      </vt:variant>
      <vt:variant>
        <vt:i4>20</vt:i4>
      </vt:variant>
      <vt:variant>
        <vt:i4>0</vt:i4>
      </vt:variant>
      <vt:variant>
        <vt:i4>5</vt:i4>
      </vt:variant>
      <vt:variant>
        <vt:lpwstr/>
      </vt:variant>
      <vt:variant>
        <vt:lpwstr>_Toc112689667</vt:lpwstr>
      </vt:variant>
      <vt:variant>
        <vt:i4>2031677</vt:i4>
      </vt:variant>
      <vt:variant>
        <vt:i4>14</vt:i4>
      </vt:variant>
      <vt:variant>
        <vt:i4>0</vt:i4>
      </vt:variant>
      <vt:variant>
        <vt:i4>5</vt:i4>
      </vt:variant>
      <vt:variant>
        <vt:lpwstr/>
      </vt:variant>
      <vt:variant>
        <vt:lpwstr>_Toc112689666</vt:lpwstr>
      </vt:variant>
      <vt:variant>
        <vt:i4>2031677</vt:i4>
      </vt:variant>
      <vt:variant>
        <vt:i4>8</vt:i4>
      </vt:variant>
      <vt:variant>
        <vt:i4>0</vt:i4>
      </vt:variant>
      <vt:variant>
        <vt:i4>5</vt:i4>
      </vt:variant>
      <vt:variant>
        <vt:lpwstr/>
      </vt:variant>
      <vt:variant>
        <vt:lpwstr>_Toc112689665</vt:lpwstr>
      </vt:variant>
      <vt:variant>
        <vt:i4>2031677</vt:i4>
      </vt:variant>
      <vt:variant>
        <vt:i4>2</vt:i4>
      </vt:variant>
      <vt:variant>
        <vt:i4>0</vt:i4>
      </vt:variant>
      <vt:variant>
        <vt:i4>5</vt:i4>
      </vt:variant>
      <vt:variant>
        <vt:lpwstr/>
      </vt:variant>
      <vt:variant>
        <vt:lpwstr>_Toc112689664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cp:lastPrinted>2023-03-02T12:44:00Z</cp:lastPrinted>
  <dcterms:created xsi:type="dcterms:W3CDTF">2023-03-09T22:03:00Z</dcterms:created>
  <dcterms:modified xsi:type="dcterms:W3CDTF">2023-03-10T08:43:00Z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2022-12-11T08:02:39Z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322c9137-f7af-4abf-b9ab-dc34b3d546a8</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CP-015</vt:lpwstr>
  </property>
  <property fmtid="{D5CDD505-2E9C-101B-9397-08002B2CF9AE}" pid="14" name="Last edited using">
    <vt:lpwstr>LW 8.1, Build 20230124</vt:lpwstr>
  </property>
  <property fmtid="{D5CDD505-2E9C-101B-9397-08002B2CF9AE}" pid="15" name="Created using">
    <vt:lpwstr>LW 8.1, Build 20220902</vt:lpwstr>
  </property>
  <property fmtid="{D5CDD505-2E9C-101B-9397-08002B2CF9AE}" pid="16" name="Offisync_ServerID">
    <vt:lpwstr>f0775455-b351-42cc-8efc-cb8136d21947</vt:lpwstr>
  </property>
  <property fmtid="{D5CDD505-2E9C-101B-9397-08002B2CF9AE}" pid="17" name="Offisync_ProviderInitializationData">
    <vt:lpwstr>https://together.eeas.europa.eu/</vt:lpwstr>
  </property>
  <property fmtid="{D5CDD505-2E9C-101B-9397-08002B2CF9AE}" pid="18" name="Offisync_UpdateToken">
    <vt:lpwstr>19</vt:lpwstr>
  </property>
  <property fmtid="{D5CDD505-2E9C-101B-9397-08002B2CF9AE}" pid="19" name="Jive_PrevVersionNumber">
    <vt:lpwstr>18</vt:lpwstr>
  </property>
  <property fmtid="{D5CDD505-2E9C-101B-9397-08002B2CF9AE}" pid="20" name="Jive_LatestUserAccountName">
    <vt:lpwstr>chatapa</vt:lpwstr>
  </property>
  <property fmtid="{D5CDD505-2E9C-101B-9397-08002B2CF9AE}" pid="21" name="Jive_LatestFileFullName">
    <vt:lpwstr>7df5f095ba9087f89b4d54c90babc550</vt:lpwstr>
  </property>
  <property fmtid="{D5CDD505-2E9C-101B-9397-08002B2CF9AE}" pid="22" name="Jive_ModifiedButNotPublished">
    <vt:lpwstr>True</vt:lpwstr>
  </property>
  <property fmtid="{D5CDD505-2E9C-101B-9397-08002B2CF9AE}" pid="23" name="Offisync_UniqueId">
    <vt:lpwstr>33221</vt:lpwstr>
  </property>
  <property fmtid="{D5CDD505-2E9C-101B-9397-08002B2CF9AE}" pid="24" name="Jive_VersionGuid_v2.5">
    <vt:lpwstr>f7bb3f3c4a4142e69a0c27349504c834</vt:lpwstr>
  </property>
  <property fmtid="{D5CDD505-2E9C-101B-9397-08002B2CF9AE}" pid="25" name="Jive_VersionGuid">
    <vt:lpwstr>deecad14ec984035a33aa510dfdcab1b</vt:lpwstr>
  </property>
</Properties>
</file>