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B02EE7" w14:textId="3AEAD10A" w:rsidR="00263247" w:rsidRPr="00A61691" w:rsidRDefault="00CB1AA3" w:rsidP="00CB1AA3">
      <w:pPr>
        <w:pStyle w:val="Pagedecouverture"/>
        <w:rPr>
          <w:noProof/>
        </w:rPr>
      </w:pPr>
      <w:r>
        <w:rPr>
          <w:noProof/>
        </w:rPr>
        <w:pict w14:anchorId="07C4F2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alt="EBBCEE7B-AD2A-4B28-AA33-E74B43C75583" style="width:455.25pt;height:383.25pt">
            <v:imagedata r:id="rId8" o:title=""/>
          </v:shape>
        </w:pict>
      </w:r>
    </w:p>
    <w:p w14:paraId="0F043BB2" w14:textId="77777777" w:rsidR="00263247" w:rsidRPr="00A61691" w:rsidRDefault="00263247" w:rsidP="00263247">
      <w:pPr>
        <w:rPr>
          <w:noProof/>
        </w:rPr>
        <w:sectPr w:rsidR="00263247" w:rsidRPr="00A61691" w:rsidSect="00CB1AA3">
          <w:headerReference w:type="even" r:id="rId9"/>
          <w:headerReference w:type="default" r:id="rId10"/>
          <w:footerReference w:type="even" r:id="rId11"/>
          <w:footerReference w:type="default" r:id="rId12"/>
          <w:headerReference w:type="first" r:id="rId13"/>
          <w:footerReference w:type="first" r:id="rId14"/>
          <w:pgSz w:w="11907" w:h="16839"/>
          <w:pgMar w:top="1134" w:right="1417" w:bottom="1134" w:left="1417" w:header="709" w:footer="709" w:gutter="0"/>
          <w:pgNumType w:start="0"/>
          <w:cols w:space="720"/>
          <w:docGrid w:linePitch="360"/>
        </w:sectPr>
      </w:pPr>
    </w:p>
    <w:p w14:paraId="3072E52C" w14:textId="77777777" w:rsidR="00263247" w:rsidRPr="00A61691" w:rsidRDefault="00263247" w:rsidP="00263247">
      <w:pPr>
        <w:pStyle w:val="Exposdesmotifstitre"/>
        <w:rPr>
          <w:noProof/>
        </w:rPr>
      </w:pPr>
      <w:r w:rsidRPr="00A61691">
        <w:rPr>
          <w:noProof/>
        </w:rPr>
        <w:lastRenderedPageBreak/>
        <w:t>ΑΙΤΙΟΛΟΓΙΚΗ ΕΚΘΕΣΗ</w:t>
      </w:r>
    </w:p>
    <w:p w14:paraId="42CE83BA" w14:textId="2D0F408E" w:rsidR="007D34B3" w:rsidRPr="00A61691" w:rsidRDefault="00A61691" w:rsidP="00A61691">
      <w:pPr>
        <w:pStyle w:val="Point0"/>
        <w:rPr>
          <w:noProof/>
        </w:rPr>
      </w:pPr>
      <w:r>
        <w:rPr>
          <w:noProof/>
        </w:rPr>
        <w:t>1)</w:t>
      </w:r>
      <w:r>
        <w:rPr>
          <w:noProof/>
        </w:rPr>
        <w:tab/>
      </w:r>
      <w:r w:rsidR="007D34B3" w:rsidRPr="00A61691">
        <w:rPr>
          <w:noProof/>
        </w:rPr>
        <w:t>Ο κανονισμός (ΕΕ) αριθ. 833/2014 του Συμβουλίου απαγορεύει την πώληση, προμήθεια, μεταβίβαση ή εξαγωγή αγαθών και τεχνολογιών διπλής χρήσης σε οποιοδήποτε πρόσωπο, οντότητα ή οργανισμό στη Ρωσία ή προς χρήση στη Ρωσία, εάν τα είδη αυτά προορίζονται για στρατιωτική χρήση ή για στρατιωτικούς τελικούς χρήστες. Απαγορεύει επίσης την πώληση τέτοιων αγαθών και τεχνολογιών σε συγκεκριμένα νομικά πρόσωπα στη Ρωσία, την παροχή τεχνικής βοήθειας και άλλων συναφών υπηρεσιών, καθώς και τη χρηματοδότηση και τη χρηματοδοτική βοήθεια που συνδέονται με τα εν λόγω αγαθά και τεχνολογίες. Επιπλέον, απαιτεί από τους ενδιαφερόμενους να λαμβάνουν προηγούμενη άδεια για την πώληση, την προμήθεια, τη μεταβίβαση ή την εξαγωγή ορισμένων τεχνολογιών για τη βιομηχανία πετρελαίου στη Ρωσία και απαγορεύει την παροχή συναφών υπηρεσιών απαραίτητων για την έρευνα και την παραγωγή πετρελαίου σε βαθέα ύδατα, την έρευνα και την παραγωγή πετρελαίου στην Αρκτική ή για έργα σχιστολιθικού πετρελαίου στη Ρωσία, συμπεριλαμβανομένων της αποκλειστικής οικονομικής ζώνης και της υφαλοκρηπίδας της. Απαγορεύει επίσης την παροχή τεχνικής βοήθειας που συνδέεται με τα αγαθά και τις τεχνολογίες που απαριθμούνται στον κοινό στρατιωτικό κατάλογο της Ευρωπαϊκής Ένωσης ή με την παροχή, κατασκευή, συντήρηση και χρήση των εν λόγω αγαθών. Επιβάλλει επίσης περιορισμούς στην πρόσβαση ορισμένων ρωσικών χρηματοπιστωτικών ιδρυμάτων στην κεφαλαιαγορά.</w:t>
      </w:r>
    </w:p>
    <w:p w14:paraId="07A06000" w14:textId="43A966EB" w:rsidR="007D34B3" w:rsidRPr="00A61691" w:rsidRDefault="00A61691" w:rsidP="00A61691">
      <w:pPr>
        <w:pStyle w:val="Point0"/>
        <w:rPr>
          <w:noProof/>
        </w:rPr>
      </w:pPr>
      <w:r>
        <w:rPr>
          <w:noProof/>
        </w:rPr>
        <w:t>2)</w:t>
      </w:r>
      <w:r>
        <w:rPr>
          <w:noProof/>
        </w:rPr>
        <w:tab/>
      </w:r>
      <w:r w:rsidR="007D34B3" w:rsidRPr="00A61691">
        <w:rPr>
          <w:noProof/>
        </w:rPr>
        <w:t>Ο κανονισμός (ΕΕ) αριθ. 833/2014 του Συμβουλίου θέτει σε ισχύ ορισμένα μέτρα που προβλέπονται στην απόφαση 2014/512/ΚΕΠΠΑ του Συμβουλίου.</w:t>
      </w:r>
    </w:p>
    <w:p w14:paraId="2E8F82EB" w14:textId="0A417EE8" w:rsidR="007D34B3" w:rsidRPr="00A61691" w:rsidRDefault="00A61691" w:rsidP="00A61691">
      <w:pPr>
        <w:pStyle w:val="Point0"/>
        <w:rPr>
          <w:noProof/>
        </w:rPr>
      </w:pPr>
      <w:r>
        <w:rPr>
          <w:noProof/>
        </w:rPr>
        <w:t>3)</w:t>
      </w:r>
      <w:r>
        <w:rPr>
          <w:noProof/>
        </w:rPr>
        <w:tab/>
      </w:r>
      <w:r w:rsidR="007D34B3" w:rsidRPr="00A61691">
        <w:rPr>
          <w:noProof/>
        </w:rPr>
        <w:t>Η απόφαση (ΚΕΠΠΑ) 2022/XXX του Συμβουλίου τροποποιεί την απόφαση 2014/512/ΚΕΠΠΑ του Συμβουλίου και θεσπίζει περαιτέρω στοχευμένες οικονομικές κυρώσεις μετά την υπογραφή από τον πρόεδρο της Ρωσικής Ομοσπονδίας διατάγματος για την αναγνώριση της «ανεξαρτησίας και κυριαρχίας» των μη ελεγχόμενων από την κυβέρνηση περιοχών των περιφερειών Ντονέτσκ και Λουχάνσκ της Ουκρανίας, με το οποίο διέταξε τις ρωσικές ένοπλες δυνάμεις να εισέλθουν στην περιοχή.</w:t>
      </w:r>
    </w:p>
    <w:p w14:paraId="529E3D93" w14:textId="6B789633" w:rsidR="007D34B3" w:rsidRPr="00A61691" w:rsidRDefault="00A61691" w:rsidP="00A61691">
      <w:pPr>
        <w:pStyle w:val="Point0"/>
        <w:rPr>
          <w:noProof/>
        </w:rPr>
      </w:pPr>
      <w:r>
        <w:rPr>
          <w:noProof/>
        </w:rPr>
        <w:t>4)</w:t>
      </w:r>
      <w:r>
        <w:rPr>
          <w:noProof/>
        </w:rPr>
        <w:tab/>
      </w:r>
      <w:r w:rsidR="007D34B3" w:rsidRPr="00A61691">
        <w:rPr>
          <w:noProof/>
        </w:rPr>
        <w:t>Η απόφαση (ΚΕΠΠΑ) 2022/XXX του Συμβουλίου απαγορεύει τη χρηματοδότηση της Ρωσίας, της κυβέρνησής της και της Κεντρικής της Τράπεζας.</w:t>
      </w:r>
    </w:p>
    <w:p w14:paraId="1BACFFD4" w14:textId="35398F4F" w:rsidR="007D34B3" w:rsidRPr="00A61691" w:rsidRDefault="00A61691" w:rsidP="00A61691">
      <w:pPr>
        <w:pStyle w:val="Point0"/>
        <w:rPr>
          <w:noProof/>
        </w:rPr>
      </w:pPr>
      <w:r>
        <w:rPr>
          <w:noProof/>
        </w:rPr>
        <w:t>5)</w:t>
      </w:r>
      <w:r>
        <w:rPr>
          <w:noProof/>
        </w:rPr>
        <w:tab/>
      </w:r>
      <w:r w:rsidR="007D34B3" w:rsidRPr="00A61691">
        <w:rPr>
          <w:noProof/>
        </w:rPr>
        <w:t xml:space="preserve">Οι εν λόγω τροποποιήσεις εμπίπτουν στο πεδίο εφαρμογής της Συνθήκης και, επομένως, απαιτείται κανονιστική δράση στο επίπεδο της Ένωσης, κυρίως για να διασφαλιστεί η ομοιόμορφη εφαρμογή της σε όλα τα κράτη μέλη. </w:t>
      </w:r>
    </w:p>
    <w:p w14:paraId="56DF302C" w14:textId="11DBB6E8" w:rsidR="007D34B3" w:rsidRPr="00A61691" w:rsidRDefault="00A61691" w:rsidP="00A61691">
      <w:pPr>
        <w:pStyle w:val="Point0"/>
        <w:rPr>
          <w:noProof/>
        </w:rPr>
      </w:pPr>
      <w:r>
        <w:rPr>
          <w:noProof/>
        </w:rPr>
        <w:t>6)</w:t>
      </w:r>
      <w:r>
        <w:rPr>
          <w:noProof/>
        </w:rPr>
        <w:tab/>
      </w:r>
      <w:r w:rsidR="007D34B3" w:rsidRPr="00A61691">
        <w:rPr>
          <w:noProof/>
        </w:rPr>
        <w:t xml:space="preserve">Ως εκ τούτου, ο ύπατος εκπρόσωπος για θέματα εξωτερικής πολιτικής και πολιτικής ασφαλείας και η Επιτροπή θα πρέπει να προτείνουν να τροποποιηθεί αναλόγως ο κανονισμός (ΕΕ) αριθ. 833/2014. </w:t>
      </w:r>
    </w:p>
    <w:p w14:paraId="4B47DEC0" w14:textId="77777777" w:rsidR="00263247" w:rsidRPr="00A61691" w:rsidRDefault="00263247" w:rsidP="004C78E7">
      <w:pPr>
        <w:rPr>
          <w:noProof/>
        </w:rPr>
        <w:sectPr w:rsidR="00263247" w:rsidRPr="00A61691" w:rsidSect="00CB1AA3">
          <w:footerReference w:type="default" r:id="rId15"/>
          <w:footerReference w:type="first" r:id="rId16"/>
          <w:pgSz w:w="11907" w:h="16839"/>
          <w:pgMar w:top="1134" w:right="1417" w:bottom="1134" w:left="1417" w:header="709" w:footer="709" w:gutter="0"/>
          <w:cols w:space="708"/>
          <w:docGrid w:linePitch="360"/>
        </w:sectPr>
      </w:pPr>
    </w:p>
    <w:p w14:paraId="7E1B90DF" w14:textId="706265DB" w:rsidR="00F949B2" w:rsidRDefault="00CB1AA3" w:rsidP="00CB1AA3">
      <w:pPr>
        <w:pStyle w:val="Rfrenceinterinstitutionnelle"/>
        <w:rPr>
          <w:noProof/>
        </w:rPr>
      </w:pPr>
      <w:r w:rsidRPr="00CB1AA3">
        <w:lastRenderedPageBreak/>
        <w:t>2022/0056 (NLE)</w:t>
      </w:r>
    </w:p>
    <w:p w14:paraId="1F3952A1" w14:textId="2D5A592B" w:rsidR="00263247" w:rsidRPr="00A61691" w:rsidRDefault="00A61691" w:rsidP="00A61691">
      <w:pPr>
        <w:pStyle w:val="Statut"/>
        <w:rPr>
          <w:noProof/>
        </w:rPr>
      </w:pPr>
      <w:r w:rsidRPr="00A61691">
        <w:rPr>
          <w:noProof/>
        </w:rPr>
        <w:t>Κοινή πρόταση</w:t>
      </w:r>
    </w:p>
    <w:p w14:paraId="7523AD06" w14:textId="2F3CD815" w:rsidR="00263247" w:rsidRPr="00A61691" w:rsidRDefault="00A61691" w:rsidP="00A61691">
      <w:pPr>
        <w:pStyle w:val="Typedudocument"/>
        <w:rPr>
          <w:noProof/>
        </w:rPr>
      </w:pPr>
      <w:r w:rsidRPr="00A61691">
        <w:rPr>
          <w:noProof/>
        </w:rPr>
        <w:t>ΚΑΝΟΝΙΣΜΟΣ ΤΟΥ ΣΥΜΒΟΥΛΙΟΥ</w:t>
      </w:r>
    </w:p>
    <w:p w14:paraId="74B1A468" w14:textId="794850CC" w:rsidR="00263247" w:rsidRPr="00A61691" w:rsidRDefault="00A61691" w:rsidP="00A61691">
      <w:pPr>
        <w:pStyle w:val="Titreobjet"/>
        <w:rPr>
          <w:noProof/>
        </w:rPr>
      </w:pPr>
      <w:r w:rsidRPr="00A61691">
        <w:rPr>
          <w:noProof/>
        </w:rPr>
        <w:t>για την τροποποίηση του κανονισμού (ΕΕ) αριθ. 833/2014 του Συμβουλίου σχετικά με περιοριστικά μέτρα λόγω ενεργειών της Ρωσίας που αποσταθεροποιούν την κατάσταση στην Ουκρανία</w:t>
      </w:r>
    </w:p>
    <w:p w14:paraId="5DFD12E7" w14:textId="77777777" w:rsidR="00263247" w:rsidRPr="00A61691" w:rsidRDefault="00263247" w:rsidP="00CE48A5">
      <w:pPr>
        <w:pStyle w:val="Institutionquiagit"/>
        <w:rPr>
          <w:noProof/>
        </w:rPr>
      </w:pPr>
      <w:r w:rsidRPr="00A61691">
        <w:rPr>
          <w:noProof/>
        </w:rPr>
        <w:t>ΤΟ ΣΥΜΒΟΥΛΙΟ ΤΗΣ ΕΥΡΩΠΑΪΚΗΣ ΕΝΩΣΗΣ,</w:t>
      </w:r>
    </w:p>
    <w:p w14:paraId="50CB2220" w14:textId="77777777" w:rsidR="007D34B3" w:rsidRPr="00A61691" w:rsidRDefault="007D34B3" w:rsidP="007D34B3">
      <w:pPr>
        <w:rPr>
          <w:noProof/>
        </w:rPr>
      </w:pPr>
      <w:r w:rsidRPr="00A61691">
        <w:rPr>
          <w:noProof/>
        </w:rPr>
        <w:t>Έχοντας υπόψη τη Συνθήκη για τη λειτουργία της Ευρωπαϊκής Ένωσης, και ιδίως το άρθρο 215,</w:t>
      </w:r>
    </w:p>
    <w:p w14:paraId="1BE90948" w14:textId="77777777" w:rsidR="007D34B3" w:rsidRPr="00A61691" w:rsidRDefault="007D34B3" w:rsidP="007D34B3">
      <w:pPr>
        <w:rPr>
          <w:noProof/>
        </w:rPr>
      </w:pPr>
      <w:r w:rsidRPr="00A61691">
        <w:rPr>
          <w:noProof/>
        </w:rPr>
        <w:t>Έχοντας υπόψη την απόφαση (ΚΕΠΠΑ)2022/xxx</w:t>
      </w:r>
      <w:r w:rsidRPr="00A61691">
        <w:rPr>
          <w:rStyle w:val="FootnoteReference"/>
          <w:noProof/>
        </w:rPr>
        <w:footnoteReference w:id="1"/>
      </w:r>
      <w:r w:rsidRPr="00A61691">
        <w:rPr>
          <w:noProof/>
        </w:rPr>
        <w:t>, της ΧΧ Φεβρουαρίου 2022, για την τροποποίηση της απόφασης 2014/512/ΚΕΠΠΑ σχετικά με περιοριστικά μέτρα λόγω ενεργειών της Ρωσίας που αποσταθεροποιούν την κατάσταση στην Ουκρανία,</w:t>
      </w:r>
    </w:p>
    <w:p w14:paraId="5615D8F6" w14:textId="77777777" w:rsidR="00263247" w:rsidRPr="00A61691" w:rsidRDefault="00263247" w:rsidP="00CE48A5">
      <w:pPr>
        <w:rPr>
          <w:noProof/>
        </w:rPr>
      </w:pPr>
      <w:r w:rsidRPr="00A61691">
        <w:rPr>
          <w:noProof/>
        </w:rPr>
        <w:t>Έχοντας υπόψη την κοινή πρόταση του ύπατου εκπροσώπου της Ένωσης για θέματα εξωτερικής πολιτικής και πολιτικής ασφαλείας και της Ευρωπαϊκής Επιτροπής,</w:t>
      </w:r>
    </w:p>
    <w:p w14:paraId="1F312BFD" w14:textId="77777777" w:rsidR="00263247" w:rsidRPr="00A61691" w:rsidRDefault="00263247" w:rsidP="00CE48A5">
      <w:pPr>
        <w:rPr>
          <w:noProof/>
        </w:rPr>
      </w:pPr>
      <w:r w:rsidRPr="00A61691">
        <w:rPr>
          <w:noProof/>
        </w:rPr>
        <w:t>Εκτιμώντας τα ακόλουθα:</w:t>
      </w:r>
    </w:p>
    <w:p w14:paraId="3C713B7D" w14:textId="66D94F6B" w:rsidR="007D34B3" w:rsidRPr="00A61691" w:rsidRDefault="00A075E4" w:rsidP="00A075E4">
      <w:pPr>
        <w:pStyle w:val="ManualConsidrant"/>
        <w:rPr>
          <w:noProof/>
        </w:rPr>
      </w:pPr>
      <w:r w:rsidRPr="00A075E4">
        <w:rPr>
          <w:noProof/>
        </w:rPr>
        <w:t>(1)</w:t>
      </w:r>
      <w:r w:rsidRPr="00A075E4">
        <w:rPr>
          <w:noProof/>
        </w:rPr>
        <w:tab/>
      </w:r>
      <w:r w:rsidR="007D34B3" w:rsidRPr="00A61691">
        <w:rPr>
          <w:noProof/>
        </w:rPr>
        <w:t xml:space="preserve">Στις 31 Ιουλίου 2014 το Συμβούλιο εξέδωσε τον κανονισμό (EΕ) αριθ. 833/2014 σχετικά με περιοριστικά μέτρα λόγω ενεργειών της Ρωσίας που αποσταθεροποιούν την κατάσταση στην Ουκρανία. </w:t>
      </w:r>
    </w:p>
    <w:p w14:paraId="5F03F530" w14:textId="1B45FBCB" w:rsidR="007D34B3" w:rsidRPr="00A61691" w:rsidRDefault="00A075E4" w:rsidP="00A075E4">
      <w:pPr>
        <w:pStyle w:val="ManualConsidrant"/>
        <w:rPr>
          <w:noProof/>
        </w:rPr>
      </w:pPr>
      <w:r w:rsidRPr="00A075E4">
        <w:rPr>
          <w:noProof/>
        </w:rPr>
        <w:t>(2)</w:t>
      </w:r>
      <w:r w:rsidRPr="00A075E4">
        <w:rPr>
          <w:noProof/>
        </w:rPr>
        <w:tab/>
      </w:r>
      <w:r w:rsidR="007D34B3" w:rsidRPr="00A61691">
        <w:rPr>
          <w:noProof/>
        </w:rPr>
        <w:t>Ο κανονισμός (ΕΕ) αριθ. 833/2014 θέτει σε ισχύ ορισμένα μέτρα που προβλέπονται στην απόφαση 2014/512/ΚΕΠΠΑ του Συμβουλίου και απαγορεύει την πώληση, προμήθεια, μεταβίβαση ή εξαγωγή αγαθών και τεχνολογιών διπλής χρήσης σε οποιοδήποτε πρόσωπο, οντότητα ή οργανισμό στη Ρωσία ή προς χρήση στη Ρωσία, εάν τα είδη αυτά προορίζονται για στρατιωτική χρήση ή για στρατιωτικούς τελικούς χρήστες. Απαγορεύει επίσης την πώληση τέτοιων αγαθών και τεχνολογιών σε συγκεκριμένα νομικά πρόσωπα στη Ρωσία, την παροχή τεχνικής βοήθειας και άλλων συναφών υπηρεσιών, καθώς και τη χρηματοδότηση και τη χρηματοδοτική βοήθεια που συνδέονται με τα εν λόγω αγαθά και τεχνολογίες. Επιπλέον, απαιτεί από τους ενδιαφερόμενους να λαμβάνουν προηγούμενη άδεια για την πώληση, την προμήθεια, τη μεταβίβαση ή την εξαγωγή ορισμένων τεχνολογιών για τη βιομηχανία πετρελαίου στη Ρωσία και απαγορεύει την παροχή συναφών υπηρεσιών απαραίτητων για την έρευνα και την παραγωγή πετρελαίου σε βαθέα ύδατα, την έρευνα και την παραγωγή πετρελαίου στην Αρκτική ή για έργα σχιστολιθικού πετρελαίου στη Ρωσία, συμπεριλαμβανομένων της αποκλειστικής οικονομικής ζώνης και της υφαλοκρηπίδας της. Απαγορεύει επίσης την παροχή τεχνικής βοήθειας που συνδέεται με τα αγαθά και τις τεχνολογίες που απαριθμούνται στον κοινό στρατιωτικό κατάλογο της Ευρωπαϊκής Ένωσης ή με την παροχή, κατασκευή, συντήρηση και χρήση των εν λόγω αγαθών. Επιβάλλει επίσης περιορισμούς στην πρόσβαση ορισμένων ρωσικών χρηματοπιστωτικών ιδρυμάτων στην κεφαλαιαγορά.</w:t>
      </w:r>
    </w:p>
    <w:p w14:paraId="35E216EB" w14:textId="5409E93F" w:rsidR="007D34B3" w:rsidRPr="00A61691" w:rsidRDefault="00A075E4" w:rsidP="00A075E4">
      <w:pPr>
        <w:pStyle w:val="ManualConsidrant"/>
        <w:rPr>
          <w:noProof/>
        </w:rPr>
      </w:pPr>
      <w:r w:rsidRPr="00A075E4">
        <w:rPr>
          <w:noProof/>
        </w:rPr>
        <w:t>(3)</w:t>
      </w:r>
      <w:r w:rsidRPr="00A075E4">
        <w:rPr>
          <w:noProof/>
        </w:rPr>
        <w:tab/>
      </w:r>
      <w:r w:rsidR="007D34B3" w:rsidRPr="00A61691">
        <w:rPr>
          <w:noProof/>
        </w:rPr>
        <w:t>Στις 21 Φεβρουαρίου 2022, ο πρόεδρος της Ρωσικής Ομοσπονδίας υπέγραψε διάταγμα για την αναγνώριση της «ανεξαρτησίας και κυριαρχίας» των μη ελεγχόμενων από την κυβέρνηση περιοχών των περιφερειών Ντονέτσκ και Λουχάνσκ της Ουκρανίας και διέταξε τις ρωσικές ένοπλες δυνάμεις να εισέλθουν στην περιοχή.</w:t>
      </w:r>
    </w:p>
    <w:p w14:paraId="3D95FF1A" w14:textId="5920A294" w:rsidR="007D34B3" w:rsidRPr="00A61691" w:rsidRDefault="00A075E4" w:rsidP="00A075E4">
      <w:pPr>
        <w:pStyle w:val="ManualConsidrant"/>
        <w:rPr>
          <w:noProof/>
        </w:rPr>
      </w:pPr>
      <w:r w:rsidRPr="00A075E4">
        <w:rPr>
          <w:noProof/>
        </w:rPr>
        <w:t>(4)</w:t>
      </w:r>
      <w:r w:rsidRPr="00A075E4">
        <w:rPr>
          <w:noProof/>
        </w:rPr>
        <w:tab/>
      </w:r>
      <w:r w:rsidR="007D34B3" w:rsidRPr="00A61691">
        <w:rPr>
          <w:noProof/>
        </w:rPr>
        <w:t>Λόγω της σοβαρότητας της κατάστασης, στις [ΗΜΕΡΟΜΗΝΙΑ] το Συμβούλιο εξέδωσε την απόφαση 2022/XXX/ΚΕΠΠΑ, της XX Φεβρουαρίου 2022, για την τροποποίηση της απόφασης 2014/512/ΚΕΠΠΑ και την επιβολή περαιτέρω περιοριστικών μέτρων που απαγορεύουν τη χρηματοδότηση της Ρωσίας, της κυβέρνησής της και της Κεντρικής της Τράπεζας.</w:t>
      </w:r>
    </w:p>
    <w:p w14:paraId="3E685818" w14:textId="2DE8DADA" w:rsidR="00D933B2" w:rsidRPr="00A61691" w:rsidRDefault="00A075E4" w:rsidP="00A075E4">
      <w:pPr>
        <w:pStyle w:val="ManualConsidrant"/>
        <w:rPr>
          <w:noProof/>
        </w:rPr>
      </w:pPr>
      <w:r w:rsidRPr="00A075E4">
        <w:rPr>
          <w:noProof/>
        </w:rPr>
        <w:t>(5)</w:t>
      </w:r>
      <w:r w:rsidRPr="00A075E4">
        <w:rPr>
          <w:noProof/>
        </w:rPr>
        <w:tab/>
      </w:r>
      <w:r w:rsidR="00D933B2" w:rsidRPr="00A61691">
        <w:rPr>
          <w:noProof/>
        </w:rPr>
        <w:t>Συνεπώς, ο κανονισμός (ΕΕ) αριθ. 833/2014 θα πρέπει να τροποποιηθεί αναλόγως</w:t>
      </w:r>
      <w:r w:rsidR="00A61691" w:rsidRPr="00A61691">
        <w:rPr>
          <w:noProof/>
        </w:rPr>
        <w:t>,</w:t>
      </w:r>
    </w:p>
    <w:p w14:paraId="44086DC8" w14:textId="77777777" w:rsidR="00263247" w:rsidRPr="00A61691" w:rsidRDefault="00263247" w:rsidP="00CE48A5">
      <w:pPr>
        <w:pStyle w:val="Formuledadoption"/>
        <w:rPr>
          <w:noProof/>
        </w:rPr>
      </w:pPr>
      <w:r w:rsidRPr="00A61691">
        <w:rPr>
          <w:noProof/>
        </w:rPr>
        <w:t>ΕΞΕΔΩΣΕ ΤΟΝ ΠΑΡΟΝΤΑ ΚΑΝΟΝΙΣΜΟ:</w:t>
      </w:r>
    </w:p>
    <w:p w14:paraId="12685C10" w14:textId="77777777" w:rsidR="00263247" w:rsidRPr="00A61691" w:rsidRDefault="00263247" w:rsidP="00CE48A5">
      <w:pPr>
        <w:pStyle w:val="Titrearticle"/>
        <w:rPr>
          <w:noProof/>
        </w:rPr>
      </w:pPr>
      <w:r w:rsidRPr="00A61691">
        <w:rPr>
          <w:noProof/>
        </w:rPr>
        <w:t>Άρθρο 1</w:t>
      </w:r>
    </w:p>
    <w:p w14:paraId="48A09373" w14:textId="77777777" w:rsidR="00D933B2" w:rsidRPr="00A61691" w:rsidRDefault="00D933B2" w:rsidP="00D933B2">
      <w:pPr>
        <w:spacing w:before="240"/>
        <w:rPr>
          <w:rFonts w:eastAsia="Times New Roman"/>
          <w:noProof/>
          <w:szCs w:val="24"/>
        </w:rPr>
      </w:pPr>
      <w:r w:rsidRPr="00A61691">
        <w:rPr>
          <w:noProof/>
        </w:rPr>
        <w:t xml:space="preserve">Ο κανονισμός (ΕΕ) 833/2014 τροποποιείται ως εξής: </w:t>
      </w:r>
    </w:p>
    <w:p w14:paraId="5345811C" w14:textId="0208E3D4" w:rsidR="00D933B2" w:rsidRPr="00A61691" w:rsidRDefault="00A61691" w:rsidP="00A61691">
      <w:pPr>
        <w:pStyle w:val="Point0"/>
        <w:rPr>
          <w:noProof/>
        </w:rPr>
      </w:pPr>
      <w:r>
        <w:rPr>
          <w:noProof/>
        </w:rPr>
        <w:t>1)</w:t>
      </w:r>
      <w:r>
        <w:rPr>
          <w:noProof/>
        </w:rPr>
        <w:tab/>
      </w:r>
      <w:r w:rsidR="00D933B2" w:rsidRPr="00A61691">
        <w:rPr>
          <w:noProof/>
        </w:rPr>
        <w:t>Στο άρθρο 1 στοιχείο στ), το σημείο iii) αντικαθίσταται από το ακόλουθο κείμενο:</w:t>
      </w:r>
    </w:p>
    <w:p w14:paraId="2C770350" w14:textId="77777777" w:rsidR="008150B6" w:rsidRPr="00A61691" w:rsidRDefault="008150B6" w:rsidP="008150B6">
      <w:pPr>
        <w:ind w:left="1428"/>
        <w:rPr>
          <w:noProof/>
        </w:rPr>
      </w:pPr>
      <w:r w:rsidRPr="00A61691">
        <w:rPr>
          <w:noProof/>
        </w:rPr>
        <w:t>«iii) κάθε άλλη κινητή αξία που παρέχει δικαίωμα αγοράς ή πώλησης τέτοιων κινητών αξιών ή επιδεχόμενη διακανονισμού με ρευστά διαθέσιμα προσδιοριζόμενου κατ’ αναφορά προς κινητές αξίες,»</w:t>
      </w:r>
    </w:p>
    <w:p w14:paraId="6CC6DC5E" w14:textId="07FDB6FB" w:rsidR="008150B6" w:rsidRPr="00A61691" w:rsidRDefault="00A61691" w:rsidP="00A61691">
      <w:pPr>
        <w:pStyle w:val="Point0"/>
        <w:rPr>
          <w:noProof/>
        </w:rPr>
      </w:pPr>
      <w:r>
        <w:rPr>
          <w:noProof/>
        </w:rPr>
        <w:t>2)</w:t>
      </w:r>
      <w:r>
        <w:rPr>
          <w:noProof/>
        </w:rPr>
        <w:tab/>
      </w:r>
      <w:r w:rsidR="002F136C" w:rsidRPr="00A61691">
        <w:rPr>
          <w:noProof/>
        </w:rPr>
        <w:t>Προστίθεται το ακόλουθο άρθρο:</w:t>
      </w:r>
    </w:p>
    <w:p w14:paraId="2400E6DB" w14:textId="77777777" w:rsidR="008150B6" w:rsidRPr="00A61691" w:rsidRDefault="008150B6" w:rsidP="008150B6">
      <w:pPr>
        <w:pStyle w:val="Titrearticle"/>
        <w:rPr>
          <w:noProof/>
        </w:rPr>
      </w:pPr>
      <w:r w:rsidRPr="00A61691">
        <w:rPr>
          <w:noProof/>
        </w:rPr>
        <w:t>«Άρθρο 5a</w:t>
      </w:r>
    </w:p>
    <w:p w14:paraId="51A517D4" w14:textId="4F3135C6" w:rsidR="008150B6" w:rsidRPr="00A61691" w:rsidRDefault="00A075E4" w:rsidP="00A075E4">
      <w:pPr>
        <w:pStyle w:val="ManualNumPar1"/>
        <w:rPr>
          <w:noProof/>
        </w:rPr>
      </w:pPr>
      <w:r w:rsidRPr="00A075E4">
        <w:rPr>
          <w:noProof/>
        </w:rPr>
        <w:t>1.</w:t>
      </w:r>
      <w:r w:rsidRPr="00A075E4">
        <w:rPr>
          <w:noProof/>
        </w:rPr>
        <w:tab/>
      </w:r>
      <w:r w:rsidR="008150B6" w:rsidRPr="00A61691">
        <w:rPr>
          <w:noProof/>
        </w:rPr>
        <w:t>Απαγορεύεται η άμεση ή έμμεση αγορά, πώληση, παροχή επενδυτικών υπηρεσιών ή παροχή βοήθειας για την έκδοση, ή η ετεροτρόπως διαπραγμάτευση κινητών αξιών και μέσων χρηματαγοράς τα οποία εκδόθηκαν μετά τη(ν) [14 ημέρες από την ημερομηνία έναρξη ισχύος] από:</w:t>
      </w:r>
    </w:p>
    <w:p w14:paraId="459009AA" w14:textId="38FF5277" w:rsidR="008150B6" w:rsidRPr="00A61691" w:rsidRDefault="00A61691" w:rsidP="00A61691">
      <w:pPr>
        <w:pStyle w:val="Point1"/>
        <w:rPr>
          <w:noProof/>
        </w:rPr>
      </w:pPr>
      <w:r>
        <w:rPr>
          <w:noProof/>
        </w:rPr>
        <w:t>α)</w:t>
      </w:r>
      <w:r>
        <w:rPr>
          <w:noProof/>
        </w:rPr>
        <w:tab/>
      </w:r>
      <w:r w:rsidR="008150B6" w:rsidRPr="00A61691">
        <w:rPr>
          <w:noProof/>
        </w:rPr>
        <w:t>τη Ρωσία και την κυβέρνησή της ή</w:t>
      </w:r>
    </w:p>
    <w:p w14:paraId="41CF9CF1" w14:textId="5CD401A2" w:rsidR="008150B6" w:rsidRPr="00A61691" w:rsidRDefault="00A61691" w:rsidP="00A61691">
      <w:pPr>
        <w:pStyle w:val="Point1"/>
        <w:rPr>
          <w:noProof/>
        </w:rPr>
      </w:pPr>
      <w:r>
        <w:rPr>
          <w:noProof/>
        </w:rPr>
        <w:t>β)</w:t>
      </w:r>
      <w:r>
        <w:rPr>
          <w:noProof/>
        </w:rPr>
        <w:tab/>
      </w:r>
      <w:r w:rsidR="008150B6" w:rsidRPr="00A61691">
        <w:rPr>
          <w:noProof/>
        </w:rPr>
        <w:t>την Κεντρική Τράπεζα της Ρωσίας ή</w:t>
      </w:r>
    </w:p>
    <w:p w14:paraId="54C4AFC1" w14:textId="61FA096F" w:rsidR="002F136C" w:rsidRPr="00A61691" w:rsidRDefault="00A61691" w:rsidP="00A61691">
      <w:pPr>
        <w:pStyle w:val="Point1"/>
        <w:rPr>
          <w:noProof/>
        </w:rPr>
      </w:pPr>
      <w:r>
        <w:rPr>
          <w:noProof/>
        </w:rPr>
        <w:t>γ)</w:t>
      </w:r>
      <w:r>
        <w:rPr>
          <w:noProof/>
        </w:rPr>
        <w:tab/>
      </w:r>
      <w:r w:rsidR="002F136C" w:rsidRPr="00A61691">
        <w:rPr>
          <w:noProof/>
        </w:rPr>
        <w:t>νομικό πρόσωπο, οντότητα ή φορέα που ενεργεί εξ ονόματος ή κατ’ εντολή οντότητας αναφερόμενης στο στοιχείο β) της παρούσας παραγράφου.</w:t>
      </w:r>
    </w:p>
    <w:p w14:paraId="18974FAA" w14:textId="5CFC1EAA" w:rsidR="002F136C" w:rsidRPr="00A61691" w:rsidRDefault="00A075E4" w:rsidP="00A075E4">
      <w:pPr>
        <w:pStyle w:val="ManualNumPar1"/>
        <w:rPr>
          <w:noProof/>
        </w:rPr>
      </w:pPr>
      <w:r w:rsidRPr="00A075E4">
        <w:rPr>
          <w:noProof/>
        </w:rPr>
        <w:t>2.</w:t>
      </w:r>
      <w:r w:rsidRPr="00A075E4">
        <w:rPr>
          <w:noProof/>
        </w:rPr>
        <w:tab/>
      </w:r>
      <w:r w:rsidR="002F136C" w:rsidRPr="00A61691">
        <w:rPr>
          <w:noProof/>
        </w:rPr>
        <w:t>Απαγορεύεται η άμεση ή έμμεση σύναψη ή συμμετοχή σε οποιαδήποτε συμφωνία για τη σύναψη νέων δανείων ή πιστώσεων προς οποιοδήποτε νομικό πρόσωπο, οντότητα ή φορέα που αναφέρεται στην παράγραφο 1 μετά τη(ν) [ημερομηνία έναρξης ισχύος].</w:t>
      </w:r>
    </w:p>
    <w:p w14:paraId="7FD7EA58" w14:textId="4B4BC0A7" w:rsidR="00653E0F" w:rsidRPr="00A61691" w:rsidRDefault="002F136C" w:rsidP="005C6758">
      <w:pPr>
        <w:pStyle w:val="Text1"/>
        <w:rPr>
          <w:noProof/>
        </w:rPr>
      </w:pPr>
      <w:r w:rsidRPr="00A61691">
        <w:rPr>
          <w:noProof/>
        </w:rPr>
        <w:t>Η απαγόρευση δεν ισχύει για δάνεια ή πιστώσεις που έχουν ειδικό και καταγεγραμμένο σκοπό την παροχή χρηματοδότησης για μη απαγορευμένες εισαγωγές ή εξαγωγές αγαθών και μη χρηματοοικονομικών υπηρεσιών μεταξύ της Ένωσης και οποιουδήποτε τρίτου κράτους, συμπεριλαμβανομένων των δαπανών για αγαθά και υπηρεσίες από άλλο τρίτο κράτος που είναι απαραίτητες για την εκτέλεση των συμβάσεων εξαγωγής ή εισαγωγής.</w:t>
      </w:r>
    </w:p>
    <w:p w14:paraId="19463E03" w14:textId="065A9B15" w:rsidR="002F136C" w:rsidRPr="00A61691" w:rsidRDefault="00A075E4" w:rsidP="00A075E4">
      <w:pPr>
        <w:pStyle w:val="ManualNumPar1"/>
        <w:rPr>
          <w:noProof/>
        </w:rPr>
      </w:pPr>
      <w:r w:rsidRPr="00A075E4">
        <w:rPr>
          <w:noProof/>
        </w:rPr>
        <w:t>3.</w:t>
      </w:r>
      <w:r w:rsidRPr="00A075E4">
        <w:rPr>
          <w:noProof/>
        </w:rPr>
        <w:tab/>
      </w:r>
      <w:r w:rsidR="002F136C" w:rsidRPr="00A61691">
        <w:rPr>
          <w:noProof/>
        </w:rPr>
        <w:t>Η απαγόρευση της παραγράφου 2 δεν ισχύει για αναλήψεις ή εκταμιεύσεις που πραγματοποιούνται βάσει σύμβασης που συνήφθη πριν από τη(ν) [έναρξη ισχύος] εφόσον πληρούνται οι ακόλουθες προϋποθέσεις:</w:t>
      </w:r>
    </w:p>
    <w:p w14:paraId="36C5BF4C" w14:textId="5E1D8959" w:rsidR="002F136C" w:rsidRPr="00A61691" w:rsidRDefault="00A61691" w:rsidP="00A61691">
      <w:pPr>
        <w:pStyle w:val="Point1"/>
        <w:rPr>
          <w:noProof/>
        </w:rPr>
      </w:pPr>
      <w:r>
        <w:rPr>
          <w:noProof/>
        </w:rPr>
        <w:t>α)</w:t>
      </w:r>
      <w:r>
        <w:rPr>
          <w:noProof/>
        </w:rPr>
        <w:tab/>
      </w:r>
      <w:r w:rsidR="002F136C" w:rsidRPr="00A61691">
        <w:rPr>
          <w:noProof/>
        </w:rPr>
        <w:t>όλοι οι όροι και οι προϋποθέσεις των εν λόγω αναλήψεων ή εκταμιεύσεων:</w:t>
      </w:r>
    </w:p>
    <w:p w14:paraId="5B48A804" w14:textId="1AD7BAAD" w:rsidR="002F136C" w:rsidRPr="00A61691" w:rsidRDefault="005C6758" w:rsidP="005C6758">
      <w:pPr>
        <w:ind w:left="1440"/>
        <w:rPr>
          <w:noProof/>
        </w:rPr>
      </w:pPr>
      <w:r w:rsidRPr="00A61691">
        <w:rPr>
          <w:noProof/>
        </w:rPr>
        <w:t>i)</w:t>
      </w:r>
      <w:r w:rsidRPr="00A61691">
        <w:rPr>
          <w:noProof/>
        </w:rPr>
        <w:tab/>
        <w:t xml:space="preserve"> συμφωνήθηκαν πριν από τη(ν) [ημερομηνία έναρξης ισχύος] και</w:t>
      </w:r>
    </w:p>
    <w:p w14:paraId="0D628064" w14:textId="3D02DB91" w:rsidR="002F136C" w:rsidRPr="00A61691" w:rsidRDefault="002F136C" w:rsidP="005C6758">
      <w:pPr>
        <w:ind w:left="1440"/>
        <w:rPr>
          <w:noProof/>
        </w:rPr>
      </w:pPr>
      <w:r w:rsidRPr="00A61691">
        <w:rPr>
          <w:noProof/>
        </w:rPr>
        <w:t xml:space="preserve">ii) </w:t>
      </w:r>
      <w:r w:rsidR="00A61691">
        <w:rPr>
          <w:noProof/>
        </w:rPr>
        <w:tab/>
      </w:r>
      <w:r w:rsidRPr="00A61691">
        <w:rPr>
          <w:noProof/>
        </w:rPr>
        <w:t>δεν έχουν τροποποιηθεί από την ημερομηνία αυτή και μετά, και</w:t>
      </w:r>
    </w:p>
    <w:p w14:paraId="16E43520" w14:textId="0E0242CA" w:rsidR="002F136C" w:rsidRPr="00A61691" w:rsidRDefault="00A61691" w:rsidP="00A61691">
      <w:pPr>
        <w:pStyle w:val="Point1"/>
        <w:rPr>
          <w:noProof/>
        </w:rPr>
      </w:pPr>
      <w:r>
        <w:rPr>
          <w:noProof/>
        </w:rPr>
        <w:t>β)</w:t>
      </w:r>
      <w:r>
        <w:rPr>
          <w:noProof/>
        </w:rPr>
        <w:tab/>
      </w:r>
      <w:r w:rsidR="002F136C" w:rsidRPr="00A61691">
        <w:rPr>
          <w:noProof/>
        </w:rPr>
        <w:t>πριν από τη(ν) [ημερομηνία έναρξης ισχύος] καθορίστηκε συμβατική ημερομηνία λήξης για την πλήρη εξόφληση όλων των κεφαλαίων που διατέθηκαν και για την ακύρωση όλων των δεσμεύσεων, των δικαιωμάτων και των υποχρεώσεων δυνάμει της σύμβασης.</w:t>
      </w:r>
    </w:p>
    <w:p w14:paraId="4BD6DA53" w14:textId="77777777" w:rsidR="002F136C" w:rsidRPr="00A61691" w:rsidRDefault="002F136C" w:rsidP="00653E0F">
      <w:pPr>
        <w:ind w:left="720"/>
        <w:rPr>
          <w:noProof/>
        </w:rPr>
      </w:pPr>
      <w:r w:rsidRPr="00A61691">
        <w:rPr>
          <w:noProof/>
        </w:rPr>
        <w:t>Οι όροι και οι προϋποθέσεις για τις αναλήψεις και τις εκταμιεύσεις που αναφέρονται στο σημείο α) περιλαμβάνουν διατάξεις σχετικά με τη διάρκεια της περιόδου εξόφλησης για κάθε ανάληψη ή εκταμίευση, το επιτόκιο που εφαρμόζεται ή τη μέθοδο υπολογισμού του επιτοκίου, καθώς και το μέγιστο ποσό.»</w:t>
      </w:r>
    </w:p>
    <w:p w14:paraId="0C8289DB" w14:textId="77777777" w:rsidR="00415A05" w:rsidRPr="00A61691" w:rsidRDefault="00415A05" w:rsidP="007F161E">
      <w:pPr>
        <w:rPr>
          <w:noProof/>
        </w:rPr>
      </w:pPr>
    </w:p>
    <w:p w14:paraId="06EF5906" w14:textId="13D9EBB5" w:rsidR="007D6AB5" w:rsidRPr="00A61691" w:rsidRDefault="00A61691" w:rsidP="00A61691">
      <w:pPr>
        <w:pStyle w:val="Point0"/>
        <w:rPr>
          <w:noProof/>
        </w:rPr>
      </w:pPr>
      <w:r>
        <w:rPr>
          <w:noProof/>
        </w:rPr>
        <w:t>3)</w:t>
      </w:r>
      <w:r>
        <w:rPr>
          <w:noProof/>
        </w:rPr>
        <w:tab/>
      </w:r>
      <w:r w:rsidR="007D6AB5" w:rsidRPr="00A61691">
        <w:rPr>
          <w:noProof/>
        </w:rPr>
        <w:t>Στο άρθρο 11 παράγραφος 1, το στοιχείο α) αντικαθίσταται από το ακόλουθο κείμενο:</w:t>
      </w:r>
    </w:p>
    <w:p w14:paraId="2736F314" w14:textId="77777777" w:rsidR="007D6AB5" w:rsidRPr="00A61691" w:rsidRDefault="007D6AB5" w:rsidP="007D6AB5">
      <w:pPr>
        <w:ind w:left="850"/>
        <w:rPr>
          <w:noProof/>
        </w:rPr>
      </w:pPr>
      <w:r w:rsidRPr="00A61691">
        <w:rPr>
          <w:noProof/>
        </w:rPr>
        <w:t>«α) νομικά πρόσωπα, οντότητες ή φορείς που αναφέρονται στα στοιχεία β) και γ) του άρθρου 5 παράγραφος 1 και στα στοιχεία γ) και δ) του άρθρου 5 παράγραφος 2 και στα στοιχεία α), β) και γ) του άρθρου 5α ή παρατίθενται στα παραρτήματα III, IV, V και VI,»</w:t>
      </w:r>
    </w:p>
    <w:p w14:paraId="02180D14" w14:textId="32C6FA81" w:rsidR="007D6AB5" w:rsidRPr="00A61691" w:rsidRDefault="00A61691" w:rsidP="00A61691">
      <w:pPr>
        <w:pStyle w:val="Point0"/>
        <w:rPr>
          <w:noProof/>
        </w:rPr>
      </w:pPr>
      <w:r>
        <w:rPr>
          <w:noProof/>
        </w:rPr>
        <w:t>4)</w:t>
      </w:r>
      <w:r>
        <w:rPr>
          <w:noProof/>
        </w:rPr>
        <w:tab/>
      </w:r>
      <w:r w:rsidR="007D6AB5" w:rsidRPr="00A61691">
        <w:rPr>
          <w:noProof/>
        </w:rPr>
        <w:t xml:space="preserve">Το άρθρο 12 αντικαθίσταται από το ακόλουθο κείμενο: </w:t>
      </w:r>
    </w:p>
    <w:p w14:paraId="6FBA5E54" w14:textId="77777777" w:rsidR="008150B6" w:rsidRPr="00A61691" w:rsidRDefault="007D6AB5" w:rsidP="005D3694">
      <w:pPr>
        <w:ind w:left="850"/>
        <w:rPr>
          <w:noProof/>
        </w:rPr>
      </w:pPr>
      <w:r w:rsidRPr="00A61691">
        <w:rPr>
          <w:noProof/>
        </w:rPr>
        <w:t>«Απαγορεύεται η εν γνώσει και εκ προθέσεως συμμετοχή σε δραστηριότητες που έχουν ως αντικείμενο ή αποτέλεσμα την καταστρατήγηση των απαγορεύσεων του παρόντος κανονισμού, συμπεριλαμβανομένης της υποκατάστασης των νομικών προσώπων, οντοτήτων ή φορέων που αναφέρονται στα άρθρα 5 ή 5α ή της ανάληψης ενεργειών προς όφελός τους με χρήση των εξαιρέσεων του άρθρου 5 παράγραφος 3 ή του άρθρου 5α παράγραφος 2.»</w:t>
      </w:r>
    </w:p>
    <w:p w14:paraId="5BC1A0D8" w14:textId="77777777" w:rsidR="00263247" w:rsidRPr="00A61691" w:rsidRDefault="00263247" w:rsidP="00CE48A5">
      <w:pPr>
        <w:pStyle w:val="Titrearticle"/>
        <w:rPr>
          <w:noProof/>
        </w:rPr>
      </w:pPr>
      <w:r w:rsidRPr="00A61691">
        <w:rPr>
          <w:noProof/>
        </w:rPr>
        <w:t>Άρθρο 2</w:t>
      </w:r>
    </w:p>
    <w:p w14:paraId="2E4477A1" w14:textId="77777777" w:rsidR="00263247" w:rsidRPr="00A61691" w:rsidRDefault="00263247" w:rsidP="00CE48A5">
      <w:pPr>
        <w:rPr>
          <w:noProof/>
        </w:rPr>
      </w:pPr>
      <w:r w:rsidRPr="00A61691">
        <w:rPr>
          <w:noProof/>
        </w:rPr>
        <w:t xml:space="preserve">Ο παρών κανονισμός αρχίζει να ισχύει την επομένη της δημοσίευσής του στην </w:t>
      </w:r>
      <w:r w:rsidRPr="00A61691">
        <w:rPr>
          <w:i/>
          <w:noProof/>
        </w:rPr>
        <w:t>Επίσημη Εφημερίδα της Ευρωπαϊκής Ένωσης</w:t>
      </w:r>
      <w:r w:rsidRPr="00A61691">
        <w:rPr>
          <w:noProof/>
        </w:rPr>
        <w:t>.</w:t>
      </w:r>
    </w:p>
    <w:p w14:paraId="13AE2A51" w14:textId="77777777" w:rsidR="00263247" w:rsidRPr="00A61691" w:rsidRDefault="00263247" w:rsidP="00CE48A5">
      <w:pPr>
        <w:pStyle w:val="Applicationdirecte"/>
        <w:rPr>
          <w:noProof/>
        </w:rPr>
      </w:pPr>
      <w:r w:rsidRPr="00A61691">
        <w:rPr>
          <w:noProof/>
        </w:rPr>
        <w:t>Ο παρών κανονισμός είναι δεσμευτικός ως προς όλα τα μέρη του και ισχύει άμεσα σε κάθε κράτος μέλος.</w:t>
      </w:r>
    </w:p>
    <w:p w14:paraId="1B9A1C33" w14:textId="5FC9902F" w:rsidR="00263247" w:rsidRPr="00A61691" w:rsidRDefault="00CB1AA3" w:rsidP="00CB1AA3">
      <w:pPr>
        <w:pStyle w:val="Fait"/>
        <w:rPr>
          <w:noProof/>
        </w:rPr>
      </w:pPr>
      <w:r w:rsidRPr="00CB1AA3">
        <w:t>Βρυξέλλες,</w:t>
      </w:r>
    </w:p>
    <w:p w14:paraId="0238A1E7" w14:textId="77777777" w:rsidR="00263247" w:rsidRPr="00A61691" w:rsidRDefault="00263247" w:rsidP="0078730E">
      <w:pPr>
        <w:pStyle w:val="Institutionquisigne"/>
        <w:rPr>
          <w:noProof/>
        </w:rPr>
      </w:pPr>
      <w:r w:rsidRPr="00A61691">
        <w:rPr>
          <w:noProof/>
        </w:rPr>
        <w:tab/>
        <w:t>Για το Συμβούλιο</w:t>
      </w:r>
    </w:p>
    <w:p w14:paraId="51A7D86F" w14:textId="77777777" w:rsidR="00263247" w:rsidRPr="00A61691" w:rsidRDefault="00263247" w:rsidP="00263247">
      <w:pPr>
        <w:pStyle w:val="Personnequisigne"/>
        <w:rPr>
          <w:noProof/>
        </w:rPr>
      </w:pPr>
      <w:r w:rsidRPr="00A61691">
        <w:rPr>
          <w:noProof/>
        </w:rPr>
        <w:tab/>
        <w:t>Ο Πρόεδρος</w:t>
      </w:r>
    </w:p>
    <w:sectPr w:rsidR="00263247" w:rsidRPr="00A61691" w:rsidSect="00CB1AA3">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748F9F" w14:textId="77777777" w:rsidR="001F4935" w:rsidRDefault="001F4935" w:rsidP="00263247">
      <w:pPr>
        <w:spacing w:before="0" w:after="0"/>
      </w:pPr>
      <w:r>
        <w:separator/>
      </w:r>
    </w:p>
  </w:endnote>
  <w:endnote w:type="continuationSeparator" w:id="0">
    <w:p w14:paraId="7AA5B2CA" w14:textId="77777777" w:rsidR="001F4935" w:rsidRDefault="001F4935" w:rsidP="0026324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0EA3F" w14:textId="77777777" w:rsidR="00CB1AA3" w:rsidRPr="00CB1AA3" w:rsidRDefault="00CB1AA3" w:rsidP="00CB1A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51982" w14:textId="4D416395" w:rsidR="00CB1AA3" w:rsidRPr="00CB1AA3" w:rsidRDefault="00CB1AA3" w:rsidP="00CB1AA3">
    <w:pPr>
      <w:pStyle w:val="Footer"/>
      <w:rPr>
        <w:rFonts w:ascii="Arial" w:hAnsi="Arial" w:cs="Arial"/>
        <w:b/>
        <w:sz w:val="48"/>
      </w:rPr>
    </w:pPr>
    <w:r w:rsidRPr="00CB1AA3">
      <w:rPr>
        <w:rFonts w:ascii="Arial" w:hAnsi="Arial" w:cs="Arial"/>
        <w:b/>
        <w:sz w:val="48"/>
      </w:rPr>
      <w:t>EL</w:t>
    </w:r>
    <w:r w:rsidRPr="00CB1AA3">
      <w:rPr>
        <w:rFonts w:ascii="Arial" w:hAnsi="Arial" w:cs="Arial"/>
        <w:b/>
        <w:sz w:val="48"/>
      </w:rPr>
      <w:tab/>
    </w:r>
    <w:r w:rsidRPr="00CB1AA3">
      <w:rPr>
        <w:rFonts w:ascii="Arial" w:hAnsi="Arial" w:cs="Arial"/>
        <w:b/>
        <w:sz w:val="48"/>
      </w:rPr>
      <w:tab/>
    </w:r>
    <w:r w:rsidRPr="00CB1AA3">
      <w:tab/>
    </w:r>
    <w:r w:rsidRPr="00CB1AA3">
      <w:rPr>
        <w:rFonts w:ascii="Arial" w:hAnsi="Arial" w:cs="Arial"/>
        <w:b/>
        <w:sz w:val="48"/>
      </w:rPr>
      <w:t>EL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B1FC7" w14:textId="77777777" w:rsidR="00CB1AA3" w:rsidRPr="00CB1AA3" w:rsidRDefault="00CB1AA3" w:rsidP="00CB1AA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7969D" w14:textId="572F35B3" w:rsidR="00CB1AA3" w:rsidRPr="00CB1AA3" w:rsidRDefault="00CB1AA3" w:rsidP="00CB1AA3">
    <w:pPr>
      <w:pStyle w:val="Footer"/>
      <w:rPr>
        <w:rFonts w:ascii="Arial" w:hAnsi="Arial" w:cs="Arial"/>
        <w:b/>
        <w:sz w:val="48"/>
      </w:rPr>
    </w:pPr>
    <w:r w:rsidRPr="00CB1AA3">
      <w:rPr>
        <w:rFonts w:ascii="Arial" w:hAnsi="Arial" w:cs="Arial"/>
        <w:b/>
        <w:sz w:val="48"/>
      </w:rPr>
      <w:t>EL</w:t>
    </w:r>
    <w:r w:rsidRPr="00CB1AA3">
      <w:rPr>
        <w:rFonts w:ascii="Arial" w:hAnsi="Arial" w:cs="Arial"/>
        <w:b/>
        <w:sz w:val="48"/>
      </w:rPr>
      <w:tab/>
    </w:r>
    <w:r>
      <w:fldChar w:fldCharType="begin"/>
    </w:r>
    <w:r>
      <w:instrText xml:space="preserve"> PAGE  \* MERGEFORMAT </w:instrText>
    </w:r>
    <w:r>
      <w:fldChar w:fldCharType="separate"/>
    </w:r>
    <w:r>
      <w:rPr>
        <w:noProof/>
      </w:rPr>
      <w:t>1</w:t>
    </w:r>
    <w:r>
      <w:fldChar w:fldCharType="end"/>
    </w:r>
    <w:r>
      <w:tab/>
    </w:r>
    <w:r w:rsidRPr="00CB1AA3">
      <w:tab/>
    </w:r>
    <w:r w:rsidRPr="00CB1AA3">
      <w:rPr>
        <w:rFonts w:ascii="Arial" w:hAnsi="Arial" w:cs="Arial"/>
        <w:b/>
        <w:sz w:val="48"/>
      </w:rPr>
      <w:t>EL</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4AA6B" w14:textId="77777777" w:rsidR="00CB1AA3" w:rsidRPr="00CB1AA3" w:rsidRDefault="00CB1AA3" w:rsidP="00CB1A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B1B6F2" w14:textId="77777777" w:rsidR="001F4935" w:rsidRDefault="001F4935" w:rsidP="00263247">
      <w:pPr>
        <w:spacing w:before="0" w:after="0"/>
      </w:pPr>
      <w:r>
        <w:separator/>
      </w:r>
    </w:p>
  </w:footnote>
  <w:footnote w:type="continuationSeparator" w:id="0">
    <w:p w14:paraId="7D804070" w14:textId="77777777" w:rsidR="001F4935" w:rsidRDefault="001F4935" w:rsidP="00263247">
      <w:pPr>
        <w:spacing w:before="0" w:after="0"/>
      </w:pPr>
      <w:r>
        <w:continuationSeparator/>
      </w:r>
    </w:p>
  </w:footnote>
  <w:footnote w:id="1">
    <w:p w14:paraId="2EA6BF27" w14:textId="5A0D431F" w:rsidR="007D34B3" w:rsidRPr="004B4693" w:rsidRDefault="007D34B3" w:rsidP="007D34B3">
      <w:pPr>
        <w:pStyle w:val="FootnoteText"/>
      </w:pPr>
      <w:r>
        <w:rPr>
          <w:rStyle w:val="FootnoteReference"/>
        </w:rPr>
        <w:footnoteRef/>
      </w:r>
      <w:r>
        <w:tab/>
        <w:t>ΕΕ L  της , σ.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C58BF" w14:textId="77777777" w:rsidR="00CB1AA3" w:rsidRPr="00CB1AA3" w:rsidRDefault="00CB1AA3" w:rsidP="00CB1A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E4A50" w14:textId="77777777" w:rsidR="00CB1AA3" w:rsidRPr="00CB1AA3" w:rsidRDefault="00CB1AA3" w:rsidP="00CB1AA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E5C57" w14:textId="77777777" w:rsidR="00CB1AA3" w:rsidRPr="00CB1AA3" w:rsidRDefault="00CB1AA3" w:rsidP="00CB1A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A9C8E356"/>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C754970E"/>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890E762E"/>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1602B25A"/>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4DEE07CC"/>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43629900"/>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602A0BA"/>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4308E53A"/>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2E44180"/>
    <w:multiLevelType w:val="multilevel"/>
    <w:tmpl w:val="DFC88CEC"/>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2FC077D"/>
    <w:multiLevelType w:val="singleLevel"/>
    <w:tmpl w:val="4128FD03"/>
    <w:lvl w:ilvl="0">
      <w:start w:val="1"/>
      <w:numFmt w:val="bullet"/>
      <w:lvlRestart w:val="0"/>
      <w:pStyle w:val="Tiret5"/>
      <w:lvlText w:val="–"/>
      <w:lvlJc w:val="left"/>
      <w:pPr>
        <w:tabs>
          <w:tab w:val="num" w:pos="3685"/>
        </w:tabs>
        <w:ind w:left="3685" w:hanging="567"/>
      </w:pPr>
    </w:lvl>
  </w:abstractNum>
  <w:abstractNum w:abstractNumId="15"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8"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15:restartNumberingAfterBreak="0">
    <w:nsid w:val="64A12FA4"/>
    <w:multiLevelType w:val="multilevel"/>
    <w:tmpl w:val="428ECF3E"/>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16cid:durableId="1983923793">
    <w:abstractNumId w:val="7"/>
  </w:num>
  <w:num w:numId="2" w16cid:durableId="572660477">
    <w:abstractNumId w:val="5"/>
  </w:num>
  <w:num w:numId="3" w16cid:durableId="2054032875">
    <w:abstractNumId w:val="4"/>
  </w:num>
  <w:num w:numId="4" w16cid:durableId="613051642">
    <w:abstractNumId w:val="3"/>
  </w:num>
  <w:num w:numId="5" w16cid:durableId="756291030">
    <w:abstractNumId w:val="6"/>
  </w:num>
  <w:num w:numId="6" w16cid:durableId="464467595">
    <w:abstractNumId w:val="2"/>
  </w:num>
  <w:num w:numId="7" w16cid:durableId="1297178424">
    <w:abstractNumId w:val="1"/>
  </w:num>
  <w:num w:numId="8" w16cid:durableId="1833792939">
    <w:abstractNumId w:val="0"/>
  </w:num>
  <w:num w:numId="9" w16cid:durableId="1170675402">
    <w:abstractNumId w:val="19"/>
  </w:num>
  <w:num w:numId="10" w16cid:durableId="482965086">
    <w:abstractNumId w:val="12"/>
  </w:num>
  <w:num w:numId="11" w16cid:durableId="1455557078">
    <w:abstractNumId w:val="21"/>
  </w:num>
  <w:num w:numId="12" w16cid:durableId="1866482780">
    <w:abstractNumId w:val="11"/>
  </w:num>
  <w:num w:numId="13" w16cid:durableId="2013753370">
    <w:abstractNumId w:val="13"/>
  </w:num>
  <w:num w:numId="14" w16cid:durableId="530457909">
    <w:abstractNumId w:val="8"/>
  </w:num>
  <w:num w:numId="15" w16cid:durableId="1175075519">
    <w:abstractNumId w:val="15"/>
  </w:num>
  <w:num w:numId="16" w16cid:durableId="411437511">
    <w:abstractNumId w:val="17"/>
  </w:num>
  <w:num w:numId="17" w16cid:durableId="1054505974">
    <w:abstractNumId w:val="18"/>
  </w:num>
  <w:num w:numId="18" w16cid:durableId="345910045">
    <w:abstractNumId w:val="10"/>
  </w:num>
  <w:num w:numId="19" w16cid:durableId="29770129">
    <w:abstractNumId w:val="16"/>
  </w:num>
  <w:num w:numId="20" w16cid:durableId="1384409490">
    <w:abstractNumId w:val="22"/>
  </w:num>
  <w:num w:numId="21" w16cid:durableId="1221525896">
    <w:abstractNumId w:val="20"/>
  </w:num>
  <w:num w:numId="22" w16cid:durableId="75983282">
    <w:abstractNumId w:val="14"/>
  </w:num>
  <w:num w:numId="23" w16cid:durableId="179853938">
    <w:abstractNumId w:val="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ttachedTemplate r:id="rId1"/>
  <w:defaultTabStop w:val="720"/>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DQCDateTime" w:val="2023-03-13 09:30:30"/>
    <w:docVar w:name="DQCResult_Distribution" w:val="0;1"/>
    <w:docVar w:name="DQCResult_DocumentContent" w:val="0;0"/>
    <w:docVar w:name="DQCResult_DocumentSize" w:val="0;0"/>
    <w:docVar w:name="DQCResult_DocumentVersions" w:val="0;0"/>
    <w:docVar w:name="DQCResult_InvalidFootnotes" w:val="0;0"/>
    <w:docVar w:name="DQCResult_LinkedStyles" w:val="0;0"/>
    <w:docVar w:name="DQCResult_ModifiedMargins" w:val="0;6"/>
    <w:docVar w:name="DQCResult_ModifiedMarkers" w:val="0;0"/>
    <w:docVar w:name="DQCResult_ModifiedNumbering" w:val="0;0"/>
    <w:docVar w:name="DQCResult_Objects" w:val="0;0"/>
    <w:docVar w:name="DQCResult_Sections" w:val="0;0"/>
    <w:docVar w:name="DQCResult_StructureCheck" w:val="0;0"/>
    <w:docVar w:name="DQCResult_SuperfluousWhitespace" w:val="0;3"/>
    <w:docVar w:name="DQCResult_UnknownFonts" w:val="0;0"/>
    <w:docVar w:name="DQCResult_UnknownStyles" w:val="0;0"/>
    <w:docVar w:name="DQCStatus" w:val="Yellow"/>
    <w:docVar w:name="DQCVersion" w:val="3"/>
    <w:docVar w:name="DQCWithWarnings" w:val="0"/>
    <w:docVar w:name="LW_CORRIGENDUM" w:val="&lt;UNUSED&gt;"/>
    <w:docVar w:name="LW_COVERPAGE_EXISTS" w:val="True"/>
    <w:docVar w:name="LW_COVERPAGE_GUID" w:val="EBBCEE7B-AD2A-4B28-AA33-E74B43C75583"/>
    <w:docVar w:name="LW_COVERPAGE_TYPE" w:val="1"/>
    <w:docVar w:name="LW_CROSSREFERENCE" w:val="&lt;UNUSED&gt;"/>
    <w:docVar w:name="LW_DocType" w:val="COM"/>
    <w:docVar w:name="LW_EMISSION" w:val="22.2.2022"/>
    <w:docVar w:name="LW_EMISSION_ISODATE" w:val="2022-02-22"/>
    <w:docVar w:name="LW_EMISSION_LOCATION" w:val="BRX"/>
    <w:docVar w:name="LW_EMISSION_PREFIX" w:val="\u914?\u961?\u965?\u958?\u941?\u955?\u955?\u949?\u962?, "/>
    <w:docVar w:name="LW_EMISSION_SUFFIX" w:val=" "/>
    <w:docVar w:name="LW_ID_DOCMODEL" w:val="SG-057"/>
    <w:docVar w:name="LW_ID_DOCSIGNATURE" w:val="SJ-016"/>
    <w:docVar w:name="LW_ID_DOCSTRUCTURE" w:val="COM/PL/ORG"/>
    <w:docVar w:name="LW_ID_DOCTYPE" w:val="SG-057"/>
    <w:docVar w:name="LW_ID_EXP.MOTIFS.NEW" w:val="EM_PL_"/>
    <w:docVar w:name="LW_ID_STATUT" w:val="SG-057"/>
    <w:docVar w:name="LW_INTERETEEE.CP" w:val="&lt;UNUSED&gt;"/>
    <w:docVar w:name="LW_LANGUE" w:val="EL"/>
    <w:docVar w:name="LW_LEVEL_OF_SENSITIVITY" w:val="Standard treatment"/>
    <w:docVar w:name="LW_NOM.INST" w:val="\u917?\u933?\u929?\u937?\u928?\u913?\u938?\u922?\u919? \u917?\u928?\u921?\u932?\u929?\u927?\u928?\u919?"/>
    <w:docVar w:name="LW_NOM.INST_JOINTDOC" w:val="\u933?\u928?\u913?\u932?\u927?\u931? \u917?\u922?\u928?\u929?\u927?\u931?\u937?\u928?\u927?\u931? \u932?\u919?\u931? _x000b_\u917?\u925?\u937?\u931?\u919?\u931? \u915?\u921?\u913? \u920?\u917?\u924?\u913?\u932?\u913? _x000b_\u922?\u927?\u921?\u925?\u919?\u931? \u917?\u926?\u937?\u932?\u917?\u929?\u921?\u922?\u919?\u931? \u928?\u927?\u923?\u921?\u932?\u921?\u922?\u919?\u931?_x000b_ \u922?\u913?\u921? \u928?\u927?\u923?\u921?\u932?\u921?\u922?\u919?\u931? \u913?\u931?\u934?\u913?\u923?\u917?\u921?\u913?\u931?"/>
    <w:docVar w:name="LW_PART_NBR" w:val="1"/>
    <w:docVar w:name="LW_PART_NBR_TOTAL" w:val="1"/>
    <w:docVar w:name="LW_REF.II.NEW.CP" w:val="NLE"/>
    <w:docVar w:name="LW_REF.II.NEW.CP_NUMBER" w:val="0056"/>
    <w:docVar w:name="LW_REF.II.NEW.CP_YEAR" w:val="2022"/>
    <w:docVar w:name="LW_REF.INST.NEW" w:val="JOIN"/>
    <w:docVar w:name="LW_REF.INST.NEW_ADOPTED" w:val="final/2 -     DOWNGRADED ON 14.3.2023"/>
    <w:docVar w:name="LW_REF.INST.NEW_TEXT" w:val="(2022) 18"/>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Κοινή πρόταση"/>
    <w:docVar w:name="LW_SUPERTITRE" w:val="&lt;UNUSED&gt;"/>
    <w:docVar w:name="LW_TITRE.OBJ.CP" w:val="για την τροποποίηση του κανονισμού (ΕΕ) αριθ. 833/2014 του Συμβουλίου σχετικά με περιοριστικά μέτρα λόγω ενεργειών της Ρωσίας που αποσταθεροποιούν την κατάσταση στην Ουκρανία"/>
    <w:docVar w:name="LW_TYPE.DOC.CP" w:val="ΚΑΝΟΝΙΣΜΟΣ ΤΟΥ ΣΥΜΒΟΥΛΙΟΥ"/>
    <w:docVar w:name="LwApiVersions" w:val="LW4CoDe 1.23.2.0; LW 8.0, Build 20211117"/>
  </w:docVars>
  <w:rsids>
    <w:rsidRoot w:val="00263247"/>
    <w:rsid w:val="00022C15"/>
    <w:rsid w:val="000E569B"/>
    <w:rsid w:val="00105AAD"/>
    <w:rsid w:val="00192F8B"/>
    <w:rsid w:val="001F4935"/>
    <w:rsid w:val="002278A8"/>
    <w:rsid w:val="002334A2"/>
    <w:rsid w:val="00263247"/>
    <w:rsid w:val="002C0C3E"/>
    <w:rsid w:val="002E476B"/>
    <w:rsid w:val="002F136C"/>
    <w:rsid w:val="0031390C"/>
    <w:rsid w:val="00345A33"/>
    <w:rsid w:val="00352527"/>
    <w:rsid w:val="003937D4"/>
    <w:rsid w:val="003C23ED"/>
    <w:rsid w:val="003D2323"/>
    <w:rsid w:val="003F423E"/>
    <w:rsid w:val="004104C7"/>
    <w:rsid w:val="00410A33"/>
    <w:rsid w:val="00415A05"/>
    <w:rsid w:val="004234E3"/>
    <w:rsid w:val="0049272A"/>
    <w:rsid w:val="004A1C45"/>
    <w:rsid w:val="005A66A1"/>
    <w:rsid w:val="005C6758"/>
    <w:rsid w:val="005D3694"/>
    <w:rsid w:val="005F6370"/>
    <w:rsid w:val="00612D33"/>
    <w:rsid w:val="006350E3"/>
    <w:rsid w:val="00637DA3"/>
    <w:rsid w:val="00653E0F"/>
    <w:rsid w:val="00660EED"/>
    <w:rsid w:val="00727234"/>
    <w:rsid w:val="00735CD7"/>
    <w:rsid w:val="00771F8E"/>
    <w:rsid w:val="007825D7"/>
    <w:rsid w:val="0078730E"/>
    <w:rsid w:val="007D178B"/>
    <w:rsid w:val="007D34B3"/>
    <w:rsid w:val="007D6AB5"/>
    <w:rsid w:val="007F161E"/>
    <w:rsid w:val="008150B6"/>
    <w:rsid w:val="00854007"/>
    <w:rsid w:val="00856A5A"/>
    <w:rsid w:val="00877878"/>
    <w:rsid w:val="0088357C"/>
    <w:rsid w:val="00886F23"/>
    <w:rsid w:val="009D66DB"/>
    <w:rsid w:val="00A075E4"/>
    <w:rsid w:val="00A61691"/>
    <w:rsid w:val="00B1652D"/>
    <w:rsid w:val="00B5682A"/>
    <w:rsid w:val="00C03C2F"/>
    <w:rsid w:val="00C15088"/>
    <w:rsid w:val="00C36E0D"/>
    <w:rsid w:val="00C41E24"/>
    <w:rsid w:val="00C761A9"/>
    <w:rsid w:val="00C80015"/>
    <w:rsid w:val="00CB1AA3"/>
    <w:rsid w:val="00CE2F39"/>
    <w:rsid w:val="00D02F7B"/>
    <w:rsid w:val="00D319C3"/>
    <w:rsid w:val="00D9000D"/>
    <w:rsid w:val="00D933B2"/>
    <w:rsid w:val="00DA72DC"/>
    <w:rsid w:val="00DC0D75"/>
    <w:rsid w:val="00E57484"/>
    <w:rsid w:val="00EB1CD0"/>
    <w:rsid w:val="00EB2A82"/>
    <w:rsid w:val="00EC3CDD"/>
    <w:rsid w:val="00ED54E9"/>
    <w:rsid w:val="00EF1F14"/>
    <w:rsid w:val="00F0238F"/>
    <w:rsid w:val="00F44F09"/>
    <w:rsid w:val="00F60039"/>
    <w:rsid w:val="00F949B2"/>
    <w:rsid w:val="00FD5B07"/>
    <w:rsid w:val="00FE4A31"/>
    <w:rsid w:val="00FF17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1F48497C"/>
  <w15:docId w15:val="{40F8BD24-15A9-4B46-B8FF-61DF41EA0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after="120" w:line="240" w:lineRule="auto"/>
      <w:jc w:val="both"/>
    </w:pPr>
    <w:rPr>
      <w:rFonts w:ascii="Times New Roman" w:hAnsi="Times New Roman" w:cs="Times New Roman"/>
      <w:sz w:val="24"/>
      <w:lang w:val="el-GR"/>
    </w:rPr>
  </w:style>
  <w:style w:type="paragraph" w:styleId="Heading1">
    <w:name w:val="heading 1"/>
    <w:basedOn w:val="Normal"/>
    <w:next w:val="Text1"/>
    <w:link w:val="Heading1Char"/>
    <w:uiPriority w:val="9"/>
    <w:qFormat/>
    <w:rsid w:val="009B7138"/>
    <w:pPr>
      <w:keepNext/>
      <w:numPr>
        <w:numId w:val="21"/>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rsid w:val="009B7138"/>
    <w:pPr>
      <w:keepNext/>
      <w:numPr>
        <w:ilvl w:val="1"/>
        <w:numId w:val="21"/>
      </w:numPr>
      <w:outlineLvl w:val="1"/>
    </w:pPr>
    <w:rPr>
      <w:rFonts w:eastAsiaTheme="majorEastAsia"/>
      <w:b/>
      <w:bCs/>
      <w:szCs w:val="26"/>
    </w:rPr>
  </w:style>
  <w:style w:type="paragraph" w:styleId="Heading3">
    <w:name w:val="heading 3"/>
    <w:basedOn w:val="Normal"/>
    <w:next w:val="Text1"/>
    <w:link w:val="Heading3Char"/>
    <w:uiPriority w:val="9"/>
    <w:semiHidden/>
    <w:unhideWhenUsed/>
    <w:qFormat/>
    <w:rsid w:val="009B7138"/>
    <w:pPr>
      <w:keepNext/>
      <w:numPr>
        <w:ilvl w:val="2"/>
        <w:numId w:val="21"/>
      </w:numPr>
      <w:outlineLvl w:val="2"/>
    </w:pPr>
    <w:rPr>
      <w:rFonts w:eastAsiaTheme="majorEastAsia"/>
      <w:bCs/>
      <w:i/>
    </w:rPr>
  </w:style>
  <w:style w:type="paragraph" w:styleId="Heading4">
    <w:name w:val="heading 4"/>
    <w:basedOn w:val="Normal"/>
    <w:next w:val="Text1"/>
    <w:link w:val="Heading4Char"/>
    <w:uiPriority w:val="9"/>
    <w:semiHidden/>
    <w:unhideWhenUsed/>
    <w:qFormat/>
    <w:rsid w:val="009B7138"/>
    <w:pPr>
      <w:keepNext/>
      <w:numPr>
        <w:ilvl w:val="3"/>
        <w:numId w:val="21"/>
      </w:numPr>
      <w:outlineLvl w:val="3"/>
    </w:pPr>
    <w:rPr>
      <w:rFonts w:eastAsiaTheme="majorEastAsia"/>
      <w:bCs/>
      <w:iCs/>
    </w:rPr>
  </w:style>
  <w:style w:type="paragraph" w:styleId="Heading5">
    <w:name w:val="heading 5"/>
    <w:basedOn w:val="Normal"/>
    <w:next w:val="Text2"/>
    <w:link w:val="Heading5Char"/>
    <w:uiPriority w:val="9"/>
    <w:semiHidden/>
    <w:unhideWhenUsed/>
    <w:qFormat/>
    <w:rsid w:val="00410A33"/>
    <w:pPr>
      <w:keepNext/>
      <w:numPr>
        <w:ilvl w:val="4"/>
        <w:numId w:val="21"/>
      </w:numPr>
      <w:outlineLvl w:val="4"/>
    </w:pPr>
    <w:rPr>
      <w:rFonts w:eastAsiaTheme="majorEastAsia"/>
    </w:rPr>
  </w:style>
  <w:style w:type="paragraph" w:styleId="Heading6">
    <w:name w:val="heading 6"/>
    <w:basedOn w:val="Normal"/>
    <w:next w:val="Text2"/>
    <w:link w:val="Heading6Char"/>
    <w:uiPriority w:val="9"/>
    <w:semiHidden/>
    <w:unhideWhenUsed/>
    <w:qFormat/>
    <w:rsid w:val="00410A33"/>
    <w:pPr>
      <w:keepNext/>
      <w:numPr>
        <w:ilvl w:val="5"/>
        <w:numId w:val="21"/>
      </w:numPr>
      <w:outlineLvl w:val="5"/>
    </w:pPr>
    <w:rPr>
      <w:rFonts w:eastAsiaTheme="majorEastAsia"/>
      <w:iCs/>
    </w:rPr>
  </w:style>
  <w:style w:type="paragraph" w:styleId="Heading7">
    <w:name w:val="heading 7"/>
    <w:basedOn w:val="Normal"/>
    <w:next w:val="Text2"/>
    <w:link w:val="Heading7Char"/>
    <w:uiPriority w:val="9"/>
    <w:semiHidden/>
    <w:unhideWhenUsed/>
    <w:qFormat/>
    <w:rsid w:val="00410A33"/>
    <w:pPr>
      <w:keepNext/>
      <w:numPr>
        <w:ilvl w:val="6"/>
        <w:numId w:val="21"/>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F161E"/>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161E"/>
    <w:rPr>
      <w:rFonts w:ascii="Segoe UI" w:hAnsi="Segoe UI" w:cs="Segoe UI"/>
      <w:sz w:val="18"/>
      <w:szCs w:val="18"/>
      <w:lang w:val="el-GR"/>
    </w:rPr>
  </w:style>
  <w:style w:type="paragraph" w:styleId="ListBullet">
    <w:name w:val="List Bullet"/>
    <w:basedOn w:val="Normal"/>
    <w:uiPriority w:val="99"/>
    <w:semiHidden/>
    <w:unhideWhenUsed/>
    <w:rsid w:val="00653E0F"/>
    <w:pPr>
      <w:numPr>
        <w:numId w:val="1"/>
      </w:numPr>
      <w:contextualSpacing/>
    </w:pPr>
  </w:style>
  <w:style w:type="paragraph" w:styleId="ListBullet2">
    <w:name w:val="List Bullet 2"/>
    <w:basedOn w:val="Normal"/>
    <w:uiPriority w:val="99"/>
    <w:semiHidden/>
    <w:unhideWhenUsed/>
    <w:rsid w:val="00653E0F"/>
    <w:pPr>
      <w:numPr>
        <w:numId w:val="2"/>
      </w:numPr>
      <w:contextualSpacing/>
    </w:pPr>
  </w:style>
  <w:style w:type="paragraph" w:styleId="ListBullet3">
    <w:name w:val="List Bullet 3"/>
    <w:basedOn w:val="Normal"/>
    <w:uiPriority w:val="99"/>
    <w:semiHidden/>
    <w:unhideWhenUsed/>
    <w:rsid w:val="00653E0F"/>
    <w:pPr>
      <w:numPr>
        <w:numId w:val="3"/>
      </w:numPr>
      <w:contextualSpacing/>
    </w:pPr>
  </w:style>
  <w:style w:type="paragraph" w:styleId="ListBullet4">
    <w:name w:val="List Bullet 4"/>
    <w:basedOn w:val="Normal"/>
    <w:uiPriority w:val="99"/>
    <w:semiHidden/>
    <w:unhideWhenUsed/>
    <w:rsid w:val="00653E0F"/>
    <w:pPr>
      <w:numPr>
        <w:numId w:val="4"/>
      </w:numPr>
      <w:contextualSpacing/>
    </w:pPr>
  </w:style>
  <w:style w:type="paragraph" w:styleId="Caption">
    <w:name w:val="caption"/>
    <w:basedOn w:val="Normal"/>
    <w:next w:val="Normal"/>
    <w:uiPriority w:val="35"/>
    <w:semiHidden/>
    <w:unhideWhenUsed/>
    <w:qFormat/>
    <w:rsid w:val="00FF17AE"/>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rsid w:val="00FF17AE"/>
    <w:pPr>
      <w:spacing w:after="0"/>
    </w:pPr>
  </w:style>
  <w:style w:type="paragraph" w:styleId="ListNumber">
    <w:name w:val="List Number"/>
    <w:basedOn w:val="Normal"/>
    <w:uiPriority w:val="99"/>
    <w:semiHidden/>
    <w:unhideWhenUsed/>
    <w:rsid w:val="00FF17AE"/>
    <w:pPr>
      <w:numPr>
        <w:numId w:val="5"/>
      </w:numPr>
      <w:contextualSpacing/>
    </w:pPr>
  </w:style>
  <w:style w:type="paragraph" w:styleId="ListNumber2">
    <w:name w:val="List Number 2"/>
    <w:basedOn w:val="Normal"/>
    <w:uiPriority w:val="99"/>
    <w:semiHidden/>
    <w:unhideWhenUsed/>
    <w:rsid w:val="00FF17AE"/>
    <w:pPr>
      <w:numPr>
        <w:numId w:val="6"/>
      </w:numPr>
      <w:contextualSpacing/>
    </w:pPr>
  </w:style>
  <w:style w:type="paragraph" w:styleId="ListNumber3">
    <w:name w:val="List Number 3"/>
    <w:basedOn w:val="Normal"/>
    <w:uiPriority w:val="99"/>
    <w:semiHidden/>
    <w:unhideWhenUsed/>
    <w:rsid w:val="00FF17AE"/>
    <w:pPr>
      <w:numPr>
        <w:numId w:val="7"/>
      </w:numPr>
      <w:contextualSpacing/>
    </w:pPr>
  </w:style>
  <w:style w:type="paragraph" w:styleId="ListNumber4">
    <w:name w:val="List Number 4"/>
    <w:basedOn w:val="Normal"/>
    <w:uiPriority w:val="99"/>
    <w:semiHidden/>
    <w:unhideWhenUsed/>
    <w:rsid w:val="00FF17AE"/>
    <w:pPr>
      <w:numPr>
        <w:numId w:val="8"/>
      </w:numPr>
      <w:contextualSpacing/>
    </w:pPr>
  </w:style>
  <w:style w:type="character" w:styleId="CommentReference">
    <w:name w:val="annotation reference"/>
    <w:basedOn w:val="DefaultParagraphFont"/>
    <w:uiPriority w:val="99"/>
    <w:semiHidden/>
    <w:unhideWhenUsed/>
    <w:rsid w:val="003D2323"/>
    <w:rPr>
      <w:sz w:val="16"/>
      <w:szCs w:val="16"/>
    </w:rPr>
  </w:style>
  <w:style w:type="paragraph" w:styleId="CommentText">
    <w:name w:val="annotation text"/>
    <w:basedOn w:val="Normal"/>
    <w:link w:val="CommentTextChar"/>
    <w:uiPriority w:val="99"/>
    <w:semiHidden/>
    <w:unhideWhenUsed/>
    <w:rsid w:val="003D2323"/>
    <w:rPr>
      <w:sz w:val="20"/>
      <w:szCs w:val="20"/>
    </w:rPr>
  </w:style>
  <w:style w:type="character" w:customStyle="1" w:styleId="CommentTextChar">
    <w:name w:val="Comment Text Char"/>
    <w:basedOn w:val="DefaultParagraphFont"/>
    <w:link w:val="CommentText"/>
    <w:uiPriority w:val="99"/>
    <w:semiHidden/>
    <w:rsid w:val="003D2323"/>
    <w:rPr>
      <w:rFonts w:ascii="Times New Roman" w:hAnsi="Times New Roman" w:cs="Times New Roman"/>
      <w:sz w:val="20"/>
      <w:szCs w:val="20"/>
      <w:lang w:val="el-GR"/>
    </w:rPr>
  </w:style>
  <w:style w:type="paragraph" w:styleId="CommentSubject">
    <w:name w:val="annotation subject"/>
    <w:basedOn w:val="CommentText"/>
    <w:next w:val="CommentText"/>
    <w:link w:val="CommentSubjectChar"/>
    <w:uiPriority w:val="99"/>
    <w:semiHidden/>
    <w:unhideWhenUsed/>
    <w:rsid w:val="003D2323"/>
    <w:rPr>
      <w:b/>
      <w:bCs/>
    </w:rPr>
  </w:style>
  <w:style w:type="character" w:customStyle="1" w:styleId="CommentSubjectChar">
    <w:name w:val="Comment Subject Char"/>
    <w:basedOn w:val="CommentTextChar"/>
    <w:link w:val="CommentSubject"/>
    <w:uiPriority w:val="99"/>
    <w:semiHidden/>
    <w:rsid w:val="003D2323"/>
    <w:rPr>
      <w:rFonts w:ascii="Times New Roman" w:hAnsi="Times New Roman" w:cs="Times New Roman"/>
      <w:b/>
      <w:bCs/>
      <w:sz w:val="20"/>
      <w:szCs w:val="20"/>
      <w:lang w:val="el-GR"/>
    </w:rPr>
  </w:style>
  <w:style w:type="character" w:styleId="Hyperlink">
    <w:name w:val="Hyperlink"/>
    <w:basedOn w:val="DefaultParagraphFont"/>
    <w:uiPriority w:val="99"/>
    <w:unhideWhenUsed/>
    <w:rsid w:val="003D2323"/>
    <w:rPr>
      <w:color w:val="0000FF" w:themeColor="hyperlink"/>
      <w:u w:val="single"/>
    </w:rPr>
  </w:style>
  <w:style w:type="paragraph" w:styleId="ListParagraph">
    <w:name w:val="List Paragraph"/>
    <w:basedOn w:val="Normal"/>
    <w:uiPriority w:val="34"/>
    <w:qFormat/>
    <w:rsid w:val="005C6758"/>
    <w:pPr>
      <w:ind w:left="720"/>
      <w:contextualSpacing/>
    </w:pPr>
  </w:style>
  <w:style w:type="paragraph" w:styleId="Header">
    <w:name w:val="header"/>
    <w:basedOn w:val="Normal"/>
    <w:link w:val="HeaderChar"/>
    <w:uiPriority w:val="99"/>
    <w:unhideWhenUsed/>
    <w:rsid w:val="00CB1AA3"/>
    <w:pPr>
      <w:tabs>
        <w:tab w:val="center" w:pos="4535"/>
        <w:tab w:val="right" w:pos="9071"/>
      </w:tabs>
      <w:spacing w:before="0"/>
    </w:pPr>
  </w:style>
  <w:style w:type="character" w:customStyle="1" w:styleId="HeaderChar">
    <w:name w:val="Header Char"/>
    <w:basedOn w:val="DefaultParagraphFont"/>
    <w:link w:val="Header"/>
    <w:uiPriority w:val="99"/>
    <w:rsid w:val="00CB1AA3"/>
    <w:rPr>
      <w:rFonts w:ascii="Times New Roman" w:hAnsi="Times New Roman" w:cs="Times New Roman"/>
      <w:sz w:val="24"/>
      <w:lang w:val="el-GR"/>
    </w:rPr>
  </w:style>
  <w:style w:type="paragraph" w:styleId="Footer">
    <w:name w:val="footer"/>
    <w:basedOn w:val="Normal"/>
    <w:link w:val="FooterChar"/>
    <w:uiPriority w:val="99"/>
    <w:unhideWhenUsed/>
    <w:rsid w:val="00CB1AA3"/>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CB1AA3"/>
    <w:rPr>
      <w:rFonts w:ascii="Times New Roman" w:hAnsi="Times New Roman" w:cs="Times New Roman"/>
      <w:sz w:val="24"/>
      <w:lang w:val="el-GR"/>
    </w:rPr>
  </w:style>
  <w:style w:type="paragraph" w:styleId="FootnoteText">
    <w:name w:val="footnote text"/>
    <w:basedOn w:val="Normal"/>
    <w:link w:val="FootnoteTextChar"/>
    <w:uiPriority w:val="99"/>
    <w:semiHidden/>
    <w:unhideWhenUsed/>
    <w:rsid w:val="009B7138"/>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sid w:val="009B7138"/>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sid w:val="009B7138"/>
    <w:rPr>
      <w:rFonts w:ascii="Times New Roman" w:eastAsiaTheme="majorEastAsia" w:hAnsi="Times New Roman" w:cs="Times New Roman"/>
      <w:b/>
      <w:bCs/>
      <w:smallCaps/>
      <w:sz w:val="24"/>
      <w:szCs w:val="28"/>
      <w:lang w:val="el-GR"/>
    </w:rPr>
  </w:style>
  <w:style w:type="character" w:customStyle="1" w:styleId="Heading2Char">
    <w:name w:val="Heading 2 Char"/>
    <w:basedOn w:val="DefaultParagraphFont"/>
    <w:link w:val="Heading2"/>
    <w:uiPriority w:val="9"/>
    <w:semiHidden/>
    <w:rsid w:val="009B7138"/>
    <w:rPr>
      <w:rFonts w:ascii="Times New Roman" w:eastAsiaTheme="majorEastAsia" w:hAnsi="Times New Roman" w:cs="Times New Roman"/>
      <w:b/>
      <w:bCs/>
      <w:sz w:val="24"/>
      <w:szCs w:val="26"/>
      <w:lang w:val="el-GR"/>
    </w:rPr>
  </w:style>
  <w:style w:type="character" w:customStyle="1" w:styleId="Heading3Char">
    <w:name w:val="Heading 3 Char"/>
    <w:basedOn w:val="DefaultParagraphFont"/>
    <w:link w:val="Heading3"/>
    <w:uiPriority w:val="9"/>
    <w:semiHidden/>
    <w:rsid w:val="009B7138"/>
    <w:rPr>
      <w:rFonts w:ascii="Times New Roman" w:eastAsiaTheme="majorEastAsia" w:hAnsi="Times New Roman" w:cs="Times New Roman"/>
      <w:bCs/>
      <w:i/>
      <w:sz w:val="24"/>
      <w:lang w:val="el-GR"/>
    </w:rPr>
  </w:style>
  <w:style w:type="character" w:customStyle="1" w:styleId="Heading4Char">
    <w:name w:val="Heading 4 Char"/>
    <w:basedOn w:val="DefaultParagraphFont"/>
    <w:link w:val="Heading4"/>
    <w:uiPriority w:val="9"/>
    <w:semiHidden/>
    <w:rsid w:val="009B7138"/>
    <w:rPr>
      <w:rFonts w:ascii="Times New Roman" w:eastAsiaTheme="majorEastAsia" w:hAnsi="Times New Roman" w:cs="Times New Roman"/>
      <w:bCs/>
      <w:iCs/>
      <w:sz w:val="24"/>
      <w:lang w:val="el-GR"/>
    </w:rPr>
  </w:style>
  <w:style w:type="paragraph" w:styleId="TOCHeading">
    <w:name w:val="TOC Heading"/>
    <w:basedOn w:val="Normal"/>
    <w:next w:val="Normal"/>
    <w:uiPriority w:val="39"/>
    <w:semiHidden/>
    <w:unhideWhenUsed/>
    <w:qFormat/>
    <w:rsid w:val="009B7138"/>
    <w:pPr>
      <w:spacing w:after="240"/>
      <w:jc w:val="center"/>
    </w:pPr>
    <w:rPr>
      <w:b/>
      <w:sz w:val="28"/>
    </w:rPr>
  </w:style>
  <w:style w:type="paragraph" w:styleId="TOC1">
    <w:name w:val="toc 1"/>
    <w:basedOn w:val="Normal"/>
    <w:next w:val="Normal"/>
    <w:uiPriority w:val="39"/>
    <w:semiHidden/>
    <w:unhideWhenUsed/>
    <w:rsid w:val="009B7138"/>
    <w:pPr>
      <w:tabs>
        <w:tab w:val="right" w:leader="dot" w:pos="9071"/>
      </w:tabs>
      <w:spacing w:before="60"/>
      <w:ind w:left="850" w:hanging="850"/>
      <w:jc w:val="left"/>
    </w:pPr>
  </w:style>
  <w:style w:type="paragraph" w:styleId="TOC2">
    <w:name w:val="toc 2"/>
    <w:basedOn w:val="Normal"/>
    <w:next w:val="Normal"/>
    <w:uiPriority w:val="39"/>
    <w:semiHidden/>
    <w:unhideWhenUsed/>
    <w:rsid w:val="009B7138"/>
    <w:pPr>
      <w:tabs>
        <w:tab w:val="right" w:leader="dot" w:pos="9071"/>
      </w:tabs>
      <w:spacing w:before="60"/>
      <w:ind w:left="850" w:hanging="850"/>
      <w:jc w:val="left"/>
    </w:pPr>
  </w:style>
  <w:style w:type="paragraph" w:styleId="TOC3">
    <w:name w:val="toc 3"/>
    <w:basedOn w:val="Normal"/>
    <w:next w:val="Normal"/>
    <w:uiPriority w:val="39"/>
    <w:semiHidden/>
    <w:unhideWhenUsed/>
    <w:rsid w:val="009B7138"/>
    <w:pPr>
      <w:tabs>
        <w:tab w:val="right" w:leader="dot" w:pos="9071"/>
      </w:tabs>
      <w:spacing w:before="60"/>
      <w:ind w:left="850" w:hanging="850"/>
      <w:jc w:val="left"/>
    </w:pPr>
  </w:style>
  <w:style w:type="paragraph" w:styleId="TOC4">
    <w:name w:val="toc 4"/>
    <w:basedOn w:val="Normal"/>
    <w:next w:val="Normal"/>
    <w:uiPriority w:val="39"/>
    <w:semiHidden/>
    <w:unhideWhenUsed/>
    <w:rsid w:val="009B7138"/>
    <w:pPr>
      <w:tabs>
        <w:tab w:val="right" w:leader="dot" w:pos="9071"/>
      </w:tabs>
      <w:spacing w:before="60"/>
      <w:ind w:left="850" w:hanging="850"/>
      <w:jc w:val="left"/>
    </w:pPr>
  </w:style>
  <w:style w:type="paragraph" w:styleId="TOC5">
    <w:name w:val="toc 5"/>
    <w:basedOn w:val="Normal"/>
    <w:next w:val="Normal"/>
    <w:uiPriority w:val="39"/>
    <w:semiHidden/>
    <w:unhideWhenUsed/>
    <w:rsid w:val="009B7138"/>
    <w:pPr>
      <w:tabs>
        <w:tab w:val="right" w:leader="dot" w:pos="9071"/>
      </w:tabs>
      <w:spacing w:before="300"/>
      <w:jc w:val="left"/>
    </w:pPr>
  </w:style>
  <w:style w:type="paragraph" w:styleId="TOC6">
    <w:name w:val="toc 6"/>
    <w:basedOn w:val="Normal"/>
    <w:next w:val="Normal"/>
    <w:uiPriority w:val="39"/>
    <w:semiHidden/>
    <w:unhideWhenUsed/>
    <w:rsid w:val="009B7138"/>
    <w:pPr>
      <w:tabs>
        <w:tab w:val="right" w:leader="dot" w:pos="9071"/>
      </w:tabs>
      <w:spacing w:before="240"/>
      <w:jc w:val="left"/>
    </w:pPr>
  </w:style>
  <w:style w:type="paragraph" w:styleId="TOC7">
    <w:name w:val="toc 7"/>
    <w:basedOn w:val="Normal"/>
    <w:next w:val="Normal"/>
    <w:uiPriority w:val="39"/>
    <w:semiHidden/>
    <w:unhideWhenUsed/>
    <w:rsid w:val="009B7138"/>
    <w:pPr>
      <w:tabs>
        <w:tab w:val="right" w:leader="dot" w:pos="9071"/>
      </w:tabs>
      <w:spacing w:before="180"/>
      <w:jc w:val="left"/>
    </w:pPr>
  </w:style>
  <w:style w:type="paragraph" w:styleId="TOC8">
    <w:name w:val="toc 8"/>
    <w:basedOn w:val="Normal"/>
    <w:next w:val="Normal"/>
    <w:uiPriority w:val="39"/>
    <w:semiHidden/>
    <w:unhideWhenUsed/>
    <w:rsid w:val="009B7138"/>
    <w:pPr>
      <w:tabs>
        <w:tab w:val="right" w:leader="dot" w:pos="9071"/>
      </w:tabs>
      <w:jc w:val="left"/>
    </w:pPr>
  </w:style>
  <w:style w:type="paragraph" w:styleId="TOC9">
    <w:name w:val="toc 9"/>
    <w:basedOn w:val="Normal"/>
    <w:next w:val="Normal"/>
    <w:uiPriority w:val="39"/>
    <w:semiHidden/>
    <w:unhideWhenUsed/>
    <w:rsid w:val="009B7138"/>
    <w:pPr>
      <w:tabs>
        <w:tab w:val="right" w:leader="dot" w:pos="9071"/>
      </w:tabs>
    </w:pPr>
  </w:style>
  <w:style w:type="paragraph" w:customStyle="1" w:styleId="HeaderLandscape">
    <w:name w:val="HeaderLandscape"/>
    <w:basedOn w:val="Normal"/>
    <w:rsid w:val="00CB1AA3"/>
    <w:pPr>
      <w:tabs>
        <w:tab w:val="center" w:pos="7285"/>
        <w:tab w:val="right" w:pos="14003"/>
      </w:tabs>
      <w:spacing w:before="0"/>
    </w:pPr>
  </w:style>
  <w:style w:type="paragraph" w:customStyle="1" w:styleId="FooterLandscape">
    <w:name w:val="FooterLandscape"/>
    <w:basedOn w:val="Normal"/>
    <w:rsid w:val="00CB1AA3"/>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sid w:val="009B7138"/>
    <w:rPr>
      <w:shd w:val="clear" w:color="auto" w:fill="auto"/>
      <w:vertAlign w:val="superscript"/>
    </w:rPr>
  </w:style>
  <w:style w:type="paragraph" w:customStyle="1" w:styleId="HeaderSensitivity">
    <w:name w:val="Header Sensitivity"/>
    <w:basedOn w:val="Normal"/>
    <w:rsid w:val="00CB1AA3"/>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CB1AA3"/>
    <w:pPr>
      <w:spacing w:before="0"/>
      <w:jc w:val="right"/>
    </w:pPr>
    <w:rPr>
      <w:sz w:val="28"/>
    </w:rPr>
  </w:style>
  <w:style w:type="paragraph" w:customStyle="1" w:styleId="FooterSensitivity">
    <w:name w:val="Footer Sensitivity"/>
    <w:basedOn w:val="Normal"/>
    <w:rsid w:val="00CB1AA3"/>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rsid w:val="009B7138"/>
    <w:pPr>
      <w:ind w:left="850"/>
    </w:pPr>
  </w:style>
  <w:style w:type="paragraph" w:customStyle="1" w:styleId="Text2">
    <w:name w:val="Text 2"/>
    <w:basedOn w:val="Normal"/>
    <w:rsid w:val="009B7138"/>
    <w:pPr>
      <w:ind w:left="1417"/>
    </w:pPr>
  </w:style>
  <w:style w:type="paragraph" w:customStyle="1" w:styleId="Text3">
    <w:name w:val="Text 3"/>
    <w:basedOn w:val="Normal"/>
    <w:rsid w:val="009B7138"/>
    <w:pPr>
      <w:ind w:left="1984"/>
    </w:pPr>
  </w:style>
  <w:style w:type="paragraph" w:customStyle="1" w:styleId="Text4">
    <w:name w:val="Text 4"/>
    <w:basedOn w:val="Normal"/>
    <w:rsid w:val="009B7138"/>
    <w:pPr>
      <w:ind w:left="2551"/>
    </w:pPr>
  </w:style>
  <w:style w:type="paragraph" w:customStyle="1" w:styleId="NormalCentered">
    <w:name w:val="Normal Centered"/>
    <w:basedOn w:val="Normal"/>
    <w:rsid w:val="009B7138"/>
    <w:pPr>
      <w:jc w:val="center"/>
    </w:pPr>
  </w:style>
  <w:style w:type="paragraph" w:customStyle="1" w:styleId="NormalLeft">
    <w:name w:val="Normal Left"/>
    <w:basedOn w:val="Normal"/>
    <w:rsid w:val="009B7138"/>
    <w:pPr>
      <w:jc w:val="left"/>
    </w:pPr>
  </w:style>
  <w:style w:type="paragraph" w:customStyle="1" w:styleId="NormalRight">
    <w:name w:val="Normal Right"/>
    <w:basedOn w:val="Normal"/>
    <w:rsid w:val="009B7138"/>
    <w:pPr>
      <w:jc w:val="right"/>
    </w:pPr>
  </w:style>
  <w:style w:type="paragraph" w:customStyle="1" w:styleId="QuotedText">
    <w:name w:val="Quoted Text"/>
    <w:basedOn w:val="Normal"/>
    <w:rsid w:val="009B7138"/>
    <w:pPr>
      <w:ind w:left="1417"/>
    </w:pPr>
  </w:style>
  <w:style w:type="paragraph" w:customStyle="1" w:styleId="Point0">
    <w:name w:val="Point 0"/>
    <w:basedOn w:val="Normal"/>
    <w:rsid w:val="009B7138"/>
    <w:pPr>
      <w:ind w:left="850" w:hanging="850"/>
    </w:pPr>
  </w:style>
  <w:style w:type="paragraph" w:customStyle="1" w:styleId="Point1">
    <w:name w:val="Point 1"/>
    <w:basedOn w:val="Normal"/>
    <w:rsid w:val="009B7138"/>
    <w:pPr>
      <w:ind w:left="1417" w:hanging="567"/>
    </w:pPr>
  </w:style>
  <w:style w:type="paragraph" w:customStyle="1" w:styleId="Point2">
    <w:name w:val="Point 2"/>
    <w:basedOn w:val="Normal"/>
    <w:rsid w:val="009B7138"/>
    <w:pPr>
      <w:ind w:left="1984" w:hanging="567"/>
    </w:pPr>
  </w:style>
  <w:style w:type="paragraph" w:customStyle="1" w:styleId="Point3">
    <w:name w:val="Point 3"/>
    <w:basedOn w:val="Normal"/>
    <w:rsid w:val="009B7138"/>
    <w:pPr>
      <w:ind w:left="2551" w:hanging="567"/>
    </w:pPr>
  </w:style>
  <w:style w:type="paragraph" w:customStyle="1" w:styleId="Point4">
    <w:name w:val="Point 4"/>
    <w:basedOn w:val="Normal"/>
    <w:rsid w:val="009B7138"/>
    <w:pPr>
      <w:ind w:left="3118" w:hanging="567"/>
    </w:pPr>
  </w:style>
  <w:style w:type="paragraph" w:customStyle="1" w:styleId="Tiret0">
    <w:name w:val="Tiret 0"/>
    <w:basedOn w:val="Point0"/>
    <w:rsid w:val="009B7138"/>
    <w:pPr>
      <w:numPr>
        <w:numId w:val="9"/>
      </w:numPr>
    </w:pPr>
  </w:style>
  <w:style w:type="paragraph" w:customStyle="1" w:styleId="Tiret1">
    <w:name w:val="Tiret 1"/>
    <w:basedOn w:val="Point1"/>
    <w:rsid w:val="009B7138"/>
    <w:pPr>
      <w:numPr>
        <w:numId w:val="10"/>
      </w:numPr>
    </w:pPr>
  </w:style>
  <w:style w:type="paragraph" w:customStyle="1" w:styleId="Tiret2">
    <w:name w:val="Tiret 2"/>
    <w:basedOn w:val="Point2"/>
    <w:rsid w:val="009B7138"/>
    <w:pPr>
      <w:numPr>
        <w:numId w:val="11"/>
      </w:numPr>
    </w:pPr>
  </w:style>
  <w:style w:type="paragraph" w:customStyle="1" w:styleId="Tiret3">
    <w:name w:val="Tiret 3"/>
    <w:basedOn w:val="Point3"/>
    <w:rsid w:val="009B7138"/>
    <w:pPr>
      <w:numPr>
        <w:numId w:val="12"/>
      </w:numPr>
    </w:pPr>
  </w:style>
  <w:style w:type="paragraph" w:customStyle="1" w:styleId="Tiret4">
    <w:name w:val="Tiret 4"/>
    <w:basedOn w:val="Point4"/>
    <w:rsid w:val="009B7138"/>
    <w:pPr>
      <w:numPr>
        <w:numId w:val="13"/>
      </w:numPr>
    </w:pPr>
  </w:style>
  <w:style w:type="paragraph" w:customStyle="1" w:styleId="PointDouble0">
    <w:name w:val="PointDouble 0"/>
    <w:basedOn w:val="Normal"/>
    <w:rsid w:val="009B7138"/>
    <w:pPr>
      <w:tabs>
        <w:tab w:val="left" w:pos="850"/>
      </w:tabs>
      <w:ind w:left="1417" w:hanging="1417"/>
    </w:pPr>
  </w:style>
  <w:style w:type="paragraph" w:customStyle="1" w:styleId="PointDouble1">
    <w:name w:val="PointDouble 1"/>
    <w:basedOn w:val="Normal"/>
    <w:rsid w:val="009B7138"/>
    <w:pPr>
      <w:tabs>
        <w:tab w:val="left" w:pos="1417"/>
      </w:tabs>
      <w:ind w:left="1984" w:hanging="1134"/>
    </w:pPr>
  </w:style>
  <w:style w:type="paragraph" w:customStyle="1" w:styleId="PointDouble2">
    <w:name w:val="PointDouble 2"/>
    <w:basedOn w:val="Normal"/>
    <w:rsid w:val="009B7138"/>
    <w:pPr>
      <w:tabs>
        <w:tab w:val="left" w:pos="1984"/>
      </w:tabs>
      <w:ind w:left="2551" w:hanging="1134"/>
    </w:pPr>
  </w:style>
  <w:style w:type="paragraph" w:customStyle="1" w:styleId="PointDouble3">
    <w:name w:val="PointDouble 3"/>
    <w:basedOn w:val="Normal"/>
    <w:rsid w:val="009B7138"/>
    <w:pPr>
      <w:tabs>
        <w:tab w:val="left" w:pos="2551"/>
      </w:tabs>
      <w:ind w:left="3118" w:hanging="1134"/>
    </w:pPr>
  </w:style>
  <w:style w:type="paragraph" w:customStyle="1" w:styleId="PointDouble4">
    <w:name w:val="PointDouble 4"/>
    <w:basedOn w:val="Normal"/>
    <w:rsid w:val="009B7138"/>
    <w:pPr>
      <w:tabs>
        <w:tab w:val="left" w:pos="3118"/>
      </w:tabs>
      <w:ind w:left="3685" w:hanging="1134"/>
    </w:pPr>
  </w:style>
  <w:style w:type="paragraph" w:customStyle="1" w:styleId="PointTriple0">
    <w:name w:val="PointTriple 0"/>
    <w:basedOn w:val="Normal"/>
    <w:rsid w:val="009B7138"/>
    <w:pPr>
      <w:tabs>
        <w:tab w:val="left" w:pos="850"/>
        <w:tab w:val="left" w:pos="1417"/>
      </w:tabs>
      <w:ind w:left="1984" w:hanging="1984"/>
    </w:pPr>
  </w:style>
  <w:style w:type="paragraph" w:customStyle="1" w:styleId="PointTriple1">
    <w:name w:val="PointTriple 1"/>
    <w:basedOn w:val="Normal"/>
    <w:rsid w:val="009B7138"/>
    <w:pPr>
      <w:tabs>
        <w:tab w:val="left" w:pos="1417"/>
        <w:tab w:val="left" w:pos="1984"/>
      </w:tabs>
      <w:ind w:left="2551" w:hanging="1701"/>
    </w:pPr>
  </w:style>
  <w:style w:type="paragraph" w:customStyle="1" w:styleId="PointTriple2">
    <w:name w:val="PointTriple 2"/>
    <w:basedOn w:val="Normal"/>
    <w:rsid w:val="009B7138"/>
    <w:pPr>
      <w:tabs>
        <w:tab w:val="left" w:pos="1984"/>
        <w:tab w:val="left" w:pos="2551"/>
      </w:tabs>
      <w:ind w:left="3118" w:hanging="1701"/>
    </w:pPr>
  </w:style>
  <w:style w:type="paragraph" w:customStyle="1" w:styleId="PointTriple3">
    <w:name w:val="PointTriple 3"/>
    <w:basedOn w:val="Normal"/>
    <w:rsid w:val="009B7138"/>
    <w:pPr>
      <w:tabs>
        <w:tab w:val="left" w:pos="2551"/>
        <w:tab w:val="left" w:pos="3118"/>
      </w:tabs>
      <w:ind w:left="3685" w:hanging="1701"/>
    </w:pPr>
  </w:style>
  <w:style w:type="paragraph" w:customStyle="1" w:styleId="PointTriple4">
    <w:name w:val="PointTriple 4"/>
    <w:basedOn w:val="Normal"/>
    <w:rsid w:val="009B7138"/>
    <w:pPr>
      <w:tabs>
        <w:tab w:val="left" w:pos="3118"/>
        <w:tab w:val="left" w:pos="3685"/>
      </w:tabs>
      <w:ind w:left="4252" w:hanging="1701"/>
    </w:pPr>
  </w:style>
  <w:style w:type="paragraph" w:customStyle="1" w:styleId="NumPar1">
    <w:name w:val="NumPar 1"/>
    <w:basedOn w:val="Normal"/>
    <w:next w:val="Text1"/>
    <w:rsid w:val="009B7138"/>
    <w:pPr>
      <w:numPr>
        <w:numId w:val="23"/>
      </w:numPr>
    </w:pPr>
  </w:style>
  <w:style w:type="paragraph" w:customStyle="1" w:styleId="NumPar2">
    <w:name w:val="NumPar 2"/>
    <w:basedOn w:val="Normal"/>
    <w:next w:val="Text1"/>
    <w:rsid w:val="009B7138"/>
    <w:pPr>
      <w:numPr>
        <w:ilvl w:val="1"/>
        <w:numId w:val="23"/>
      </w:numPr>
    </w:pPr>
  </w:style>
  <w:style w:type="paragraph" w:customStyle="1" w:styleId="NumPar3">
    <w:name w:val="NumPar 3"/>
    <w:basedOn w:val="Normal"/>
    <w:next w:val="Text1"/>
    <w:rsid w:val="009B7138"/>
    <w:pPr>
      <w:numPr>
        <w:ilvl w:val="2"/>
        <w:numId w:val="23"/>
      </w:numPr>
    </w:pPr>
  </w:style>
  <w:style w:type="paragraph" w:customStyle="1" w:styleId="NumPar4">
    <w:name w:val="NumPar 4"/>
    <w:basedOn w:val="Normal"/>
    <w:next w:val="Text1"/>
    <w:rsid w:val="009B7138"/>
    <w:pPr>
      <w:numPr>
        <w:ilvl w:val="3"/>
        <w:numId w:val="23"/>
      </w:numPr>
    </w:pPr>
  </w:style>
  <w:style w:type="paragraph" w:customStyle="1" w:styleId="ManualNumPar1">
    <w:name w:val="Manual NumPar 1"/>
    <w:basedOn w:val="Normal"/>
    <w:next w:val="Text1"/>
    <w:rsid w:val="009B7138"/>
    <w:pPr>
      <w:ind w:left="850" w:hanging="850"/>
    </w:pPr>
  </w:style>
  <w:style w:type="paragraph" w:customStyle="1" w:styleId="ManualNumPar2">
    <w:name w:val="Manual NumPar 2"/>
    <w:basedOn w:val="Normal"/>
    <w:next w:val="Text1"/>
    <w:rsid w:val="009B7138"/>
    <w:pPr>
      <w:ind w:left="850" w:hanging="850"/>
    </w:pPr>
  </w:style>
  <w:style w:type="paragraph" w:customStyle="1" w:styleId="ManualNumPar3">
    <w:name w:val="Manual NumPar 3"/>
    <w:basedOn w:val="Normal"/>
    <w:next w:val="Text1"/>
    <w:rsid w:val="009B7138"/>
    <w:pPr>
      <w:ind w:left="850" w:hanging="850"/>
    </w:pPr>
  </w:style>
  <w:style w:type="paragraph" w:customStyle="1" w:styleId="ManualNumPar4">
    <w:name w:val="Manual NumPar 4"/>
    <w:basedOn w:val="Normal"/>
    <w:next w:val="Text1"/>
    <w:rsid w:val="009B7138"/>
    <w:pPr>
      <w:ind w:left="850" w:hanging="850"/>
    </w:pPr>
  </w:style>
  <w:style w:type="paragraph" w:customStyle="1" w:styleId="QuotedNumPar">
    <w:name w:val="Quoted NumPar"/>
    <w:basedOn w:val="Normal"/>
    <w:rsid w:val="009B7138"/>
    <w:pPr>
      <w:ind w:left="1417" w:hanging="567"/>
    </w:pPr>
  </w:style>
  <w:style w:type="paragraph" w:customStyle="1" w:styleId="ManualHeading1">
    <w:name w:val="Manual Heading 1"/>
    <w:basedOn w:val="Normal"/>
    <w:next w:val="Text1"/>
    <w:rsid w:val="009B7138"/>
    <w:pPr>
      <w:keepNext/>
      <w:tabs>
        <w:tab w:val="left" w:pos="850"/>
      </w:tabs>
      <w:spacing w:before="360"/>
      <w:ind w:left="850" w:hanging="850"/>
      <w:outlineLvl w:val="0"/>
    </w:pPr>
    <w:rPr>
      <w:b/>
      <w:smallCaps/>
    </w:rPr>
  </w:style>
  <w:style w:type="paragraph" w:customStyle="1" w:styleId="ManualHeading2">
    <w:name w:val="Manual Heading 2"/>
    <w:basedOn w:val="Normal"/>
    <w:next w:val="Text1"/>
    <w:rsid w:val="009B7138"/>
    <w:pPr>
      <w:keepNext/>
      <w:tabs>
        <w:tab w:val="left" w:pos="850"/>
      </w:tabs>
      <w:ind w:left="850" w:hanging="850"/>
      <w:outlineLvl w:val="1"/>
    </w:pPr>
    <w:rPr>
      <w:b/>
    </w:rPr>
  </w:style>
  <w:style w:type="paragraph" w:customStyle="1" w:styleId="ManualHeading3">
    <w:name w:val="Manual Heading 3"/>
    <w:basedOn w:val="Normal"/>
    <w:next w:val="Text1"/>
    <w:rsid w:val="009B7138"/>
    <w:pPr>
      <w:keepNext/>
      <w:tabs>
        <w:tab w:val="left" w:pos="850"/>
      </w:tabs>
      <w:ind w:left="850" w:hanging="850"/>
      <w:outlineLvl w:val="2"/>
    </w:pPr>
    <w:rPr>
      <w:i/>
    </w:rPr>
  </w:style>
  <w:style w:type="paragraph" w:customStyle="1" w:styleId="ManualHeading4">
    <w:name w:val="Manual Heading 4"/>
    <w:basedOn w:val="Normal"/>
    <w:next w:val="Text1"/>
    <w:rsid w:val="009B7138"/>
    <w:pPr>
      <w:keepNext/>
      <w:tabs>
        <w:tab w:val="left" w:pos="850"/>
      </w:tabs>
      <w:ind w:left="850" w:hanging="850"/>
      <w:outlineLvl w:val="3"/>
    </w:pPr>
  </w:style>
  <w:style w:type="paragraph" w:customStyle="1" w:styleId="ChapterTitle">
    <w:name w:val="ChapterTitle"/>
    <w:basedOn w:val="Normal"/>
    <w:next w:val="Normal"/>
    <w:rsid w:val="009B7138"/>
    <w:pPr>
      <w:keepNext/>
      <w:spacing w:after="360"/>
      <w:jc w:val="center"/>
    </w:pPr>
    <w:rPr>
      <w:b/>
      <w:sz w:val="32"/>
    </w:rPr>
  </w:style>
  <w:style w:type="paragraph" w:customStyle="1" w:styleId="PartTitle">
    <w:name w:val="PartTitle"/>
    <w:basedOn w:val="Normal"/>
    <w:next w:val="ChapterTitle"/>
    <w:rsid w:val="009B7138"/>
    <w:pPr>
      <w:keepNext/>
      <w:pageBreakBefore/>
      <w:spacing w:after="360"/>
      <w:jc w:val="center"/>
    </w:pPr>
    <w:rPr>
      <w:b/>
      <w:sz w:val="36"/>
    </w:rPr>
  </w:style>
  <w:style w:type="paragraph" w:customStyle="1" w:styleId="SectionTitle">
    <w:name w:val="SectionTitle"/>
    <w:basedOn w:val="Normal"/>
    <w:next w:val="Heading1"/>
    <w:rsid w:val="009B7138"/>
    <w:pPr>
      <w:keepNext/>
      <w:spacing w:after="360"/>
      <w:jc w:val="center"/>
    </w:pPr>
    <w:rPr>
      <w:b/>
      <w:smallCaps/>
      <w:sz w:val="28"/>
    </w:rPr>
  </w:style>
  <w:style w:type="paragraph" w:customStyle="1" w:styleId="TableTitle">
    <w:name w:val="Table Title"/>
    <w:basedOn w:val="Normal"/>
    <w:next w:val="Normal"/>
    <w:rsid w:val="009B7138"/>
    <w:pPr>
      <w:jc w:val="center"/>
    </w:pPr>
    <w:rPr>
      <w:b/>
    </w:rPr>
  </w:style>
  <w:style w:type="character" w:customStyle="1" w:styleId="Marker">
    <w:name w:val="Marker"/>
    <w:basedOn w:val="DefaultParagraphFont"/>
    <w:rsid w:val="00C03C2F"/>
    <w:rPr>
      <w:color w:val="0000FF"/>
      <w:shd w:val="clear" w:color="auto" w:fill="auto"/>
    </w:rPr>
  </w:style>
  <w:style w:type="character" w:customStyle="1" w:styleId="Marker1">
    <w:name w:val="Marker1"/>
    <w:basedOn w:val="DefaultParagraphFont"/>
    <w:rsid w:val="009B7138"/>
    <w:rPr>
      <w:color w:val="008000"/>
      <w:shd w:val="clear" w:color="auto" w:fill="auto"/>
    </w:rPr>
  </w:style>
  <w:style w:type="character" w:customStyle="1" w:styleId="Marker2">
    <w:name w:val="Marker2"/>
    <w:basedOn w:val="DefaultParagraphFont"/>
    <w:rsid w:val="009B7138"/>
    <w:rPr>
      <w:color w:val="FF0000"/>
      <w:shd w:val="clear" w:color="auto" w:fill="auto"/>
    </w:rPr>
  </w:style>
  <w:style w:type="paragraph" w:customStyle="1" w:styleId="Point0number">
    <w:name w:val="Point 0 (number)"/>
    <w:basedOn w:val="Normal"/>
    <w:rsid w:val="009B7138"/>
    <w:pPr>
      <w:numPr>
        <w:numId w:val="14"/>
      </w:numPr>
    </w:pPr>
  </w:style>
  <w:style w:type="paragraph" w:customStyle="1" w:styleId="Point1number">
    <w:name w:val="Point 1 (number)"/>
    <w:basedOn w:val="Normal"/>
    <w:rsid w:val="009B7138"/>
    <w:pPr>
      <w:numPr>
        <w:ilvl w:val="2"/>
        <w:numId w:val="14"/>
      </w:numPr>
    </w:pPr>
  </w:style>
  <w:style w:type="paragraph" w:customStyle="1" w:styleId="Point2number">
    <w:name w:val="Point 2 (number)"/>
    <w:basedOn w:val="Normal"/>
    <w:rsid w:val="009B7138"/>
    <w:pPr>
      <w:numPr>
        <w:ilvl w:val="4"/>
        <w:numId w:val="14"/>
      </w:numPr>
    </w:pPr>
  </w:style>
  <w:style w:type="paragraph" w:customStyle="1" w:styleId="Point3number">
    <w:name w:val="Point 3 (number)"/>
    <w:basedOn w:val="Normal"/>
    <w:rsid w:val="009B7138"/>
    <w:pPr>
      <w:numPr>
        <w:ilvl w:val="6"/>
        <w:numId w:val="14"/>
      </w:numPr>
    </w:pPr>
  </w:style>
  <w:style w:type="paragraph" w:customStyle="1" w:styleId="Point0letter">
    <w:name w:val="Point 0 (letter)"/>
    <w:basedOn w:val="Normal"/>
    <w:rsid w:val="009B7138"/>
    <w:pPr>
      <w:numPr>
        <w:ilvl w:val="1"/>
        <w:numId w:val="14"/>
      </w:numPr>
    </w:pPr>
  </w:style>
  <w:style w:type="paragraph" w:customStyle="1" w:styleId="Point1letter">
    <w:name w:val="Point 1 (letter)"/>
    <w:basedOn w:val="Normal"/>
    <w:rsid w:val="009B7138"/>
    <w:pPr>
      <w:numPr>
        <w:ilvl w:val="3"/>
        <w:numId w:val="14"/>
      </w:numPr>
    </w:pPr>
  </w:style>
  <w:style w:type="paragraph" w:customStyle="1" w:styleId="Point2letter">
    <w:name w:val="Point 2 (letter)"/>
    <w:basedOn w:val="Normal"/>
    <w:rsid w:val="009B7138"/>
    <w:pPr>
      <w:numPr>
        <w:ilvl w:val="5"/>
        <w:numId w:val="14"/>
      </w:numPr>
    </w:pPr>
  </w:style>
  <w:style w:type="paragraph" w:customStyle="1" w:styleId="Point3letter">
    <w:name w:val="Point 3 (letter)"/>
    <w:basedOn w:val="Normal"/>
    <w:rsid w:val="009B7138"/>
    <w:pPr>
      <w:numPr>
        <w:ilvl w:val="7"/>
        <w:numId w:val="14"/>
      </w:numPr>
    </w:pPr>
  </w:style>
  <w:style w:type="paragraph" w:customStyle="1" w:styleId="Point4letter">
    <w:name w:val="Point 4 (letter)"/>
    <w:basedOn w:val="Normal"/>
    <w:rsid w:val="009B7138"/>
    <w:pPr>
      <w:numPr>
        <w:ilvl w:val="8"/>
        <w:numId w:val="14"/>
      </w:numPr>
    </w:pPr>
  </w:style>
  <w:style w:type="paragraph" w:customStyle="1" w:styleId="Bullet0">
    <w:name w:val="Bullet 0"/>
    <w:basedOn w:val="Normal"/>
    <w:rsid w:val="009B7138"/>
    <w:pPr>
      <w:numPr>
        <w:numId w:val="15"/>
      </w:numPr>
    </w:pPr>
  </w:style>
  <w:style w:type="paragraph" w:customStyle="1" w:styleId="Bullet1">
    <w:name w:val="Bullet 1"/>
    <w:basedOn w:val="Normal"/>
    <w:rsid w:val="009B7138"/>
    <w:pPr>
      <w:numPr>
        <w:numId w:val="16"/>
      </w:numPr>
    </w:pPr>
  </w:style>
  <w:style w:type="paragraph" w:customStyle="1" w:styleId="Bullet2">
    <w:name w:val="Bullet 2"/>
    <w:basedOn w:val="Normal"/>
    <w:rsid w:val="009B7138"/>
    <w:pPr>
      <w:numPr>
        <w:numId w:val="17"/>
      </w:numPr>
    </w:pPr>
  </w:style>
  <w:style w:type="paragraph" w:customStyle="1" w:styleId="Bullet3">
    <w:name w:val="Bullet 3"/>
    <w:basedOn w:val="Normal"/>
    <w:rsid w:val="009B7138"/>
    <w:pPr>
      <w:numPr>
        <w:numId w:val="18"/>
      </w:numPr>
    </w:pPr>
  </w:style>
  <w:style w:type="paragraph" w:customStyle="1" w:styleId="Bullet4">
    <w:name w:val="Bullet 4"/>
    <w:basedOn w:val="Normal"/>
    <w:rsid w:val="009B7138"/>
    <w:pPr>
      <w:numPr>
        <w:numId w:val="19"/>
      </w:numPr>
    </w:pPr>
  </w:style>
  <w:style w:type="paragraph" w:customStyle="1" w:styleId="Langue">
    <w:name w:val="Langue"/>
    <w:basedOn w:val="Normal"/>
    <w:next w:val="Rfrenceinterne"/>
    <w:rsid w:val="009B7138"/>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rsid w:val="009B7138"/>
    <w:pPr>
      <w:spacing w:before="0" w:after="0"/>
      <w:jc w:val="left"/>
    </w:pPr>
    <w:rPr>
      <w:rFonts w:ascii="Arial" w:hAnsi="Arial" w:cs="Arial"/>
    </w:rPr>
  </w:style>
  <w:style w:type="paragraph" w:customStyle="1" w:styleId="Emission">
    <w:name w:val="Emission"/>
    <w:basedOn w:val="Normal"/>
    <w:next w:val="Rfrenceinstitutionnelle"/>
    <w:rsid w:val="009B7138"/>
    <w:pPr>
      <w:spacing w:before="0" w:after="0"/>
      <w:ind w:left="5103"/>
      <w:jc w:val="left"/>
    </w:pPr>
  </w:style>
  <w:style w:type="paragraph" w:customStyle="1" w:styleId="Rfrenceinstitutionnelle">
    <w:name w:val="Référence institutionnelle"/>
    <w:basedOn w:val="Normal"/>
    <w:next w:val="Confidentialit"/>
    <w:rsid w:val="009B7138"/>
    <w:pPr>
      <w:spacing w:before="0" w:after="240"/>
      <w:ind w:left="5103"/>
      <w:jc w:val="left"/>
    </w:pPr>
  </w:style>
  <w:style w:type="paragraph" w:customStyle="1" w:styleId="Pagedecouverture">
    <w:name w:val="Page de couverture"/>
    <w:basedOn w:val="Normal"/>
    <w:next w:val="Normal"/>
    <w:rsid w:val="009B7138"/>
    <w:pPr>
      <w:spacing w:before="0" w:after="0"/>
    </w:pPr>
  </w:style>
  <w:style w:type="paragraph" w:customStyle="1" w:styleId="Declassification">
    <w:name w:val="Declassification"/>
    <w:basedOn w:val="Normal"/>
    <w:next w:val="Normal"/>
    <w:rsid w:val="009B7138"/>
    <w:pPr>
      <w:spacing w:before="0" w:after="0"/>
    </w:pPr>
  </w:style>
  <w:style w:type="paragraph" w:customStyle="1" w:styleId="Disclaimer">
    <w:name w:val="Disclaimer"/>
    <w:basedOn w:val="Normal"/>
    <w:rsid w:val="009B7138"/>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rsid w:val="009B7138"/>
    <w:pPr>
      <w:spacing w:before="0" w:after="0" w:line="276" w:lineRule="auto"/>
      <w:ind w:left="5103"/>
      <w:jc w:val="left"/>
    </w:pPr>
    <w:rPr>
      <w:sz w:val="28"/>
    </w:rPr>
  </w:style>
  <w:style w:type="paragraph" w:customStyle="1" w:styleId="DateMarking">
    <w:name w:val="DateMarking"/>
    <w:basedOn w:val="Normal"/>
    <w:rsid w:val="009B7138"/>
    <w:pPr>
      <w:spacing w:before="0" w:after="0" w:line="276" w:lineRule="auto"/>
      <w:ind w:left="5103"/>
      <w:jc w:val="left"/>
    </w:pPr>
    <w:rPr>
      <w:i/>
      <w:sz w:val="28"/>
    </w:rPr>
  </w:style>
  <w:style w:type="paragraph" w:customStyle="1" w:styleId="ReleasableTo">
    <w:name w:val="ReleasableTo"/>
    <w:basedOn w:val="Normal"/>
    <w:rsid w:val="009B7138"/>
    <w:pPr>
      <w:spacing w:before="0" w:after="0" w:line="276" w:lineRule="auto"/>
      <w:ind w:left="5103"/>
      <w:jc w:val="left"/>
    </w:pPr>
    <w:rPr>
      <w:i/>
      <w:sz w:val="28"/>
    </w:rPr>
  </w:style>
  <w:style w:type="paragraph" w:customStyle="1" w:styleId="Annexetitreexpos">
    <w:name w:val="Annexe titre (exposé)"/>
    <w:basedOn w:val="Normal"/>
    <w:next w:val="Normal"/>
    <w:rsid w:val="009B7138"/>
    <w:pPr>
      <w:jc w:val="center"/>
    </w:pPr>
    <w:rPr>
      <w:b/>
      <w:u w:val="single"/>
    </w:rPr>
  </w:style>
  <w:style w:type="paragraph" w:customStyle="1" w:styleId="Annexetitre">
    <w:name w:val="Annexe titre"/>
    <w:basedOn w:val="Normal"/>
    <w:next w:val="Normal"/>
    <w:rsid w:val="009B7138"/>
    <w:pPr>
      <w:jc w:val="center"/>
    </w:pPr>
    <w:rPr>
      <w:b/>
      <w:u w:val="single"/>
    </w:rPr>
  </w:style>
  <w:style w:type="paragraph" w:customStyle="1" w:styleId="Annexetitrefichefinancire">
    <w:name w:val="Annexe titre (fiche financière)"/>
    <w:basedOn w:val="Normal"/>
    <w:next w:val="Normal"/>
    <w:rsid w:val="009B7138"/>
    <w:pPr>
      <w:jc w:val="center"/>
    </w:pPr>
    <w:rPr>
      <w:b/>
      <w:u w:val="single"/>
    </w:rPr>
  </w:style>
  <w:style w:type="paragraph" w:customStyle="1" w:styleId="Applicationdirecte">
    <w:name w:val="Application directe"/>
    <w:basedOn w:val="Normal"/>
    <w:next w:val="Fait"/>
    <w:rsid w:val="009B7138"/>
    <w:pPr>
      <w:spacing w:before="480"/>
    </w:pPr>
  </w:style>
  <w:style w:type="paragraph" w:customStyle="1" w:styleId="Avertissementtitre">
    <w:name w:val="Avertissement titre"/>
    <w:basedOn w:val="Normal"/>
    <w:next w:val="Normal"/>
    <w:rsid w:val="009B7138"/>
    <w:pPr>
      <w:keepNext/>
      <w:spacing w:before="480"/>
    </w:pPr>
    <w:rPr>
      <w:u w:val="single"/>
    </w:rPr>
  </w:style>
  <w:style w:type="paragraph" w:customStyle="1" w:styleId="Confidence">
    <w:name w:val="Confidence"/>
    <w:basedOn w:val="Normal"/>
    <w:next w:val="Normal"/>
    <w:rsid w:val="009B7138"/>
    <w:pPr>
      <w:spacing w:before="360"/>
      <w:jc w:val="center"/>
    </w:pPr>
  </w:style>
  <w:style w:type="paragraph" w:customStyle="1" w:styleId="Confidentialit">
    <w:name w:val="Confidentialité"/>
    <w:basedOn w:val="Normal"/>
    <w:next w:val="TypedudocumentPagedecouverture"/>
    <w:rsid w:val="009B7138"/>
    <w:pPr>
      <w:spacing w:before="240" w:after="240"/>
      <w:ind w:left="5103"/>
      <w:jc w:val="left"/>
    </w:pPr>
    <w:rPr>
      <w:i/>
      <w:sz w:val="32"/>
    </w:rPr>
  </w:style>
  <w:style w:type="paragraph" w:customStyle="1" w:styleId="Considrant">
    <w:name w:val="Considérant"/>
    <w:basedOn w:val="Normal"/>
    <w:rsid w:val="009B7138"/>
    <w:pPr>
      <w:numPr>
        <w:numId w:val="20"/>
      </w:numPr>
    </w:pPr>
  </w:style>
  <w:style w:type="paragraph" w:customStyle="1" w:styleId="Corrigendum">
    <w:name w:val="Corrigendum"/>
    <w:basedOn w:val="Normal"/>
    <w:next w:val="Normal"/>
    <w:rsid w:val="009B7138"/>
    <w:pPr>
      <w:spacing w:before="0" w:after="240"/>
      <w:jc w:val="left"/>
    </w:pPr>
  </w:style>
  <w:style w:type="paragraph" w:customStyle="1" w:styleId="Datedadoption">
    <w:name w:val="Date d'adoption"/>
    <w:basedOn w:val="Normal"/>
    <w:next w:val="Titreobjet"/>
    <w:rsid w:val="009B7138"/>
    <w:pPr>
      <w:spacing w:before="360" w:after="0"/>
      <w:jc w:val="center"/>
    </w:pPr>
    <w:rPr>
      <w:b/>
    </w:rPr>
  </w:style>
  <w:style w:type="paragraph" w:customStyle="1" w:styleId="Exposdesmotifstitre">
    <w:name w:val="Exposé des motifs titre"/>
    <w:basedOn w:val="Normal"/>
    <w:next w:val="Normal"/>
    <w:rsid w:val="009B7138"/>
    <w:pPr>
      <w:jc w:val="center"/>
    </w:pPr>
    <w:rPr>
      <w:b/>
      <w:u w:val="single"/>
    </w:rPr>
  </w:style>
  <w:style w:type="paragraph" w:customStyle="1" w:styleId="Fait">
    <w:name w:val="Fait à"/>
    <w:basedOn w:val="Normal"/>
    <w:next w:val="Institutionquisigne"/>
    <w:rsid w:val="009B7138"/>
    <w:pPr>
      <w:keepNext/>
      <w:spacing w:after="0"/>
    </w:pPr>
  </w:style>
  <w:style w:type="paragraph" w:customStyle="1" w:styleId="Formuledadoption">
    <w:name w:val="Formule d'adoption"/>
    <w:basedOn w:val="Normal"/>
    <w:next w:val="Titrearticle"/>
    <w:rsid w:val="009B7138"/>
    <w:pPr>
      <w:keepNext/>
    </w:pPr>
  </w:style>
  <w:style w:type="paragraph" w:customStyle="1" w:styleId="Institutionquiagit">
    <w:name w:val="Institution qui agit"/>
    <w:basedOn w:val="Normal"/>
    <w:next w:val="Normal"/>
    <w:rsid w:val="009B7138"/>
    <w:pPr>
      <w:keepNext/>
      <w:spacing w:before="600"/>
    </w:pPr>
  </w:style>
  <w:style w:type="paragraph" w:customStyle="1" w:styleId="Institutionquisigne">
    <w:name w:val="Institution qui signe"/>
    <w:basedOn w:val="Normal"/>
    <w:next w:val="Personnequisigne"/>
    <w:rsid w:val="009B7138"/>
    <w:pPr>
      <w:keepNext/>
      <w:tabs>
        <w:tab w:val="left" w:pos="4252"/>
      </w:tabs>
      <w:spacing w:before="720" w:after="0"/>
    </w:pPr>
    <w:rPr>
      <w:i/>
    </w:rPr>
  </w:style>
  <w:style w:type="paragraph" w:customStyle="1" w:styleId="ManualConsidrant">
    <w:name w:val="Manual Considérant"/>
    <w:basedOn w:val="Normal"/>
    <w:rsid w:val="009B7138"/>
    <w:pPr>
      <w:ind w:left="709" w:hanging="709"/>
    </w:pPr>
  </w:style>
  <w:style w:type="paragraph" w:customStyle="1" w:styleId="Personnequisigne">
    <w:name w:val="Personne qui signe"/>
    <w:basedOn w:val="Normal"/>
    <w:next w:val="Institutionquisigne"/>
    <w:rsid w:val="009B7138"/>
    <w:pPr>
      <w:tabs>
        <w:tab w:val="left" w:pos="4252"/>
      </w:tabs>
      <w:spacing w:before="0" w:after="0"/>
      <w:jc w:val="left"/>
    </w:pPr>
    <w:rPr>
      <w:i/>
    </w:rPr>
  </w:style>
  <w:style w:type="paragraph" w:customStyle="1" w:styleId="Rfrenceinterinstitutionnelle">
    <w:name w:val="Référence interinstitutionnelle"/>
    <w:basedOn w:val="Normal"/>
    <w:next w:val="Statut"/>
    <w:rsid w:val="009B7138"/>
    <w:pPr>
      <w:spacing w:before="0" w:after="0"/>
      <w:ind w:left="5103"/>
      <w:jc w:val="left"/>
    </w:pPr>
  </w:style>
  <w:style w:type="paragraph" w:customStyle="1" w:styleId="Rfrenceinterne">
    <w:name w:val="Référence interne"/>
    <w:basedOn w:val="Normal"/>
    <w:next w:val="Rfrenceinterinstitutionnelle"/>
    <w:rsid w:val="009B7138"/>
    <w:pPr>
      <w:spacing w:before="0" w:after="0"/>
      <w:ind w:left="5103"/>
      <w:jc w:val="left"/>
    </w:pPr>
  </w:style>
  <w:style w:type="paragraph" w:customStyle="1" w:styleId="Statut">
    <w:name w:val="Statut"/>
    <w:basedOn w:val="Normal"/>
    <w:next w:val="Typedudocument"/>
    <w:rsid w:val="009B7138"/>
    <w:pPr>
      <w:spacing w:before="360" w:after="0"/>
      <w:jc w:val="center"/>
    </w:pPr>
  </w:style>
  <w:style w:type="paragraph" w:customStyle="1" w:styleId="Titrearticle">
    <w:name w:val="Titre article"/>
    <w:basedOn w:val="Normal"/>
    <w:next w:val="Normal"/>
    <w:rsid w:val="009B7138"/>
    <w:pPr>
      <w:keepNext/>
      <w:spacing w:before="360"/>
      <w:jc w:val="center"/>
    </w:pPr>
    <w:rPr>
      <w:i/>
    </w:rPr>
  </w:style>
  <w:style w:type="paragraph" w:customStyle="1" w:styleId="Titreobjet">
    <w:name w:val="Titre objet"/>
    <w:basedOn w:val="Normal"/>
    <w:next w:val="IntrtEEE"/>
    <w:rsid w:val="009B7138"/>
    <w:pPr>
      <w:spacing w:before="360" w:after="360"/>
      <w:jc w:val="center"/>
    </w:pPr>
    <w:rPr>
      <w:b/>
    </w:rPr>
  </w:style>
  <w:style w:type="paragraph" w:customStyle="1" w:styleId="Typedudocument">
    <w:name w:val="Type du document"/>
    <w:basedOn w:val="Normal"/>
    <w:next w:val="Titreobjet"/>
    <w:rsid w:val="009B7138"/>
    <w:pPr>
      <w:spacing w:before="360" w:after="0"/>
      <w:jc w:val="center"/>
    </w:pPr>
    <w:rPr>
      <w:b/>
    </w:rPr>
  </w:style>
  <w:style w:type="character" w:customStyle="1" w:styleId="Added">
    <w:name w:val="Added"/>
    <w:basedOn w:val="DefaultParagraphFont"/>
    <w:rsid w:val="009B7138"/>
    <w:rPr>
      <w:b/>
      <w:u w:val="single"/>
      <w:shd w:val="clear" w:color="auto" w:fill="auto"/>
    </w:rPr>
  </w:style>
  <w:style w:type="character" w:customStyle="1" w:styleId="Deleted">
    <w:name w:val="Deleted"/>
    <w:basedOn w:val="DefaultParagraphFont"/>
    <w:rsid w:val="009B7138"/>
    <w:rPr>
      <w:strike/>
      <w:dstrike w:val="0"/>
      <w:shd w:val="clear" w:color="auto" w:fill="auto"/>
    </w:rPr>
  </w:style>
  <w:style w:type="paragraph" w:customStyle="1" w:styleId="Address">
    <w:name w:val="Address"/>
    <w:basedOn w:val="Normal"/>
    <w:next w:val="Normal"/>
    <w:rsid w:val="009B7138"/>
    <w:pPr>
      <w:keepLines/>
      <w:spacing w:line="360" w:lineRule="auto"/>
      <w:ind w:left="3402"/>
      <w:jc w:val="left"/>
    </w:pPr>
  </w:style>
  <w:style w:type="paragraph" w:customStyle="1" w:styleId="Objetexterne">
    <w:name w:val="Objet externe"/>
    <w:basedOn w:val="Normal"/>
    <w:next w:val="Normal"/>
    <w:rsid w:val="009B7138"/>
    <w:rPr>
      <w:i/>
      <w:caps/>
    </w:rPr>
  </w:style>
  <w:style w:type="paragraph" w:customStyle="1" w:styleId="Supertitre">
    <w:name w:val="Supertitre"/>
    <w:basedOn w:val="Normal"/>
    <w:next w:val="Normal"/>
    <w:rsid w:val="009B7138"/>
    <w:pPr>
      <w:spacing w:before="0" w:after="600"/>
      <w:jc w:val="center"/>
    </w:pPr>
    <w:rPr>
      <w:b/>
    </w:rPr>
  </w:style>
  <w:style w:type="paragraph" w:customStyle="1" w:styleId="Languesfaisantfoi">
    <w:name w:val="Langues faisant foi"/>
    <w:basedOn w:val="Normal"/>
    <w:next w:val="Normal"/>
    <w:rsid w:val="009B7138"/>
    <w:pPr>
      <w:spacing w:before="360" w:after="0"/>
      <w:jc w:val="center"/>
    </w:pPr>
  </w:style>
  <w:style w:type="paragraph" w:customStyle="1" w:styleId="Rfrencecroise">
    <w:name w:val="Référence croisée"/>
    <w:basedOn w:val="Normal"/>
    <w:rsid w:val="009B7138"/>
    <w:pPr>
      <w:spacing w:before="0" w:after="0"/>
      <w:jc w:val="center"/>
    </w:pPr>
  </w:style>
  <w:style w:type="paragraph" w:customStyle="1" w:styleId="Fichefinanciretitre">
    <w:name w:val="Fiche financière titre"/>
    <w:basedOn w:val="Normal"/>
    <w:next w:val="Normal"/>
    <w:rsid w:val="009B7138"/>
    <w:pPr>
      <w:jc w:val="center"/>
    </w:pPr>
    <w:rPr>
      <w:b/>
      <w:u w:val="single"/>
    </w:rPr>
  </w:style>
  <w:style w:type="paragraph" w:customStyle="1" w:styleId="DatedadoptionPagedecouverture">
    <w:name w:val="Date d'adoption (Page de couverture)"/>
    <w:basedOn w:val="Datedadoption"/>
    <w:next w:val="TitreobjetPagedecouverture"/>
    <w:rsid w:val="009B7138"/>
  </w:style>
  <w:style w:type="paragraph" w:customStyle="1" w:styleId="RfrenceinterinstitutionnellePagedecouverture">
    <w:name w:val="Référence interinstitutionnelle (Page de couverture)"/>
    <w:basedOn w:val="Rfrenceinterinstitutionnelle"/>
    <w:next w:val="Confidentialit"/>
    <w:rsid w:val="009B7138"/>
  </w:style>
  <w:style w:type="paragraph" w:customStyle="1" w:styleId="StatutPagedecouverture">
    <w:name w:val="Statut (Page de couverture)"/>
    <w:basedOn w:val="Statut"/>
    <w:next w:val="TypedudocumentPagedecouverture"/>
    <w:rsid w:val="009B7138"/>
  </w:style>
  <w:style w:type="paragraph" w:customStyle="1" w:styleId="TitreobjetPagedecouverture">
    <w:name w:val="Titre objet (Page de couverture)"/>
    <w:basedOn w:val="Titreobjet"/>
    <w:next w:val="IntrtEEEPagedecouverture"/>
    <w:rsid w:val="009B7138"/>
  </w:style>
  <w:style w:type="paragraph" w:customStyle="1" w:styleId="TypedudocumentPagedecouverture">
    <w:name w:val="Type du document (Page de couverture)"/>
    <w:basedOn w:val="Typedudocument"/>
    <w:next w:val="TitreobjetPagedecouverture"/>
    <w:rsid w:val="009B7138"/>
  </w:style>
  <w:style w:type="paragraph" w:customStyle="1" w:styleId="Volume">
    <w:name w:val="Volume"/>
    <w:basedOn w:val="Normal"/>
    <w:next w:val="Confidentialit"/>
    <w:rsid w:val="009B7138"/>
    <w:pPr>
      <w:spacing w:before="0" w:after="240"/>
      <w:ind w:left="5103"/>
      <w:jc w:val="left"/>
    </w:pPr>
  </w:style>
  <w:style w:type="paragraph" w:customStyle="1" w:styleId="IntrtEEE">
    <w:name w:val="Intérêt EEE"/>
    <w:basedOn w:val="Languesfaisantfoi"/>
    <w:next w:val="Normal"/>
    <w:rsid w:val="009B7138"/>
    <w:pPr>
      <w:spacing w:after="240"/>
    </w:pPr>
  </w:style>
  <w:style w:type="paragraph" w:customStyle="1" w:styleId="Accompagnant">
    <w:name w:val="Accompagnant"/>
    <w:basedOn w:val="Normal"/>
    <w:next w:val="Typeacteprincipal"/>
    <w:rsid w:val="009B7138"/>
    <w:pPr>
      <w:spacing w:before="0" w:after="240"/>
      <w:jc w:val="center"/>
    </w:pPr>
    <w:rPr>
      <w:b/>
      <w:i/>
    </w:rPr>
  </w:style>
  <w:style w:type="paragraph" w:customStyle="1" w:styleId="Typeacteprincipal">
    <w:name w:val="Type acte principal"/>
    <w:basedOn w:val="Normal"/>
    <w:next w:val="Objetacteprincipal"/>
    <w:rsid w:val="009B7138"/>
    <w:pPr>
      <w:spacing w:before="0" w:after="240"/>
      <w:jc w:val="center"/>
    </w:pPr>
    <w:rPr>
      <w:b/>
    </w:rPr>
  </w:style>
  <w:style w:type="paragraph" w:customStyle="1" w:styleId="Objetacteprincipal">
    <w:name w:val="Objet acte principal"/>
    <w:basedOn w:val="Normal"/>
    <w:next w:val="Titrearticle"/>
    <w:rsid w:val="009B7138"/>
    <w:pPr>
      <w:spacing w:before="0" w:after="360"/>
      <w:jc w:val="center"/>
    </w:pPr>
    <w:rPr>
      <w:b/>
    </w:rPr>
  </w:style>
  <w:style w:type="paragraph" w:customStyle="1" w:styleId="IntrtEEEPagedecouverture">
    <w:name w:val="Intérêt EEE (Page de couverture)"/>
    <w:basedOn w:val="IntrtEEE"/>
    <w:next w:val="Rfrencecroise"/>
    <w:rsid w:val="009B7138"/>
  </w:style>
  <w:style w:type="paragraph" w:customStyle="1" w:styleId="AccompagnantPagedecouverture">
    <w:name w:val="Accompagnant (Page de couverture)"/>
    <w:basedOn w:val="Accompagnant"/>
    <w:next w:val="TypeacteprincipalPagedecouverture"/>
    <w:rsid w:val="009B7138"/>
  </w:style>
  <w:style w:type="paragraph" w:customStyle="1" w:styleId="TypeacteprincipalPagedecouverture">
    <w:name w:val="Type acte principal (Page de couverture)"/>
    <w:basedOn w:val="Typeacteprincipal"/>
    <w:next w:val="ObjetacteprincipalPagedecouverture"/>
    <w:rsid w:val="009B7138"/>
  </w:style>
  <w:style w:type="paragraph" w:customStyle="1" w:styleId="ObjetacteprincipalPagedecouverture">
    <w:name w:val="Objet acte principal (Page de couverture)"/>
    <w:basedOn w:val="Objetacteprincipal"/>
    <w:next w:val="Rfrencecroise"/>
    <w:rsid w:val="009B7138"/>
  </w:style>
  <w:style w:type="paragraph" w:customStyle="1" w:styleId="LanguesfaisantfoiPagedecouverture">
    <w:name w:val="Langues faisant foi (Page de couverture)"/>
    <w:basedOn w:val="Normal"/>
    <w:next w:val="Normal"/>
    <w:rsid w:val="009B7138"/>
    <w:pPr>
      <w:spacing w:before="360" w:after="0"/>
      <w:jc w:val="center"/>
    </w:pPr>
  </w:style>
  <w:style w:type="character" w:customStyle="1" w:styleId="Heading5Char">
    <w:name w:val="Heading 5 Char"/>
    <w:basedOn w:val="DefaultParagraphFont"/>
    <w:link w:val="Heading5"/>
    <w:uiPriority w:val="9"/>
    <w:semiHidden/>
    <w:rsid w:val="00410A33"/>
    <w:rPr>
      <w:rFonts w:ascii="Times New Roman" w:eastAsiaTheme="majorEastAsia" w:hAnsi="Times New Roman" w:cs="Times New Roman"/>
      <w:sz w:val="24"/>
      <w:lang w:val="el-GR"/>
    </w:rPr>
  </w:style>
  <w:style w:type="character" w:customStyle="1" w:styleId="Heading6Char">
    <w:name w:val="Heading 6 Char"/>
    <w:basedOn w:val="DefaultParagraphFont"/>
    <w:link w:val="Heading6"/>
    <w:uiPriority w:val="9"/>
    <w:semiHidden/>
    <w:rsid w:val="00410A33"/>
    <w:rPr>
      <w:rFonts w:ascii="Times New Roman" w:eastAsiaTheme="majorEastAsia" w:hAnsi="Times New Roman" w:cs="Times New Roman"/>
      <w:iCs/>
      <w:sz w:val="24"/>
      <w:lang w:val="el-GR"/>
    </w:rPr>
  </w:style>
  <w:style w:type="character" w:customStyle="1" w:styleId="Heading7Char">
    <w:name w:val="Heading 7 Char"/>
    <w:basedOn w:val="DefaultParagraphFont"/>
    <w:link w:val="Heading7"/>
    <w:uiPriority w:val="9"/>
    <w:semiHidden/>
    <w:rsid w:val="00410A33"/>
    <w:rPr>
      <w:rFonts w:ascii="Times New Roman" w:eastAsiaTheme="majorEastAsia" w:hAnsi="Times New Roman" w:cs="Times New Roman"/>
      <w:iCs/>
      <w:sz w:val="24"/>
      <w:lang w:val="el-GR"/>
    </w:rPr>
  </w:style>
  <w:style w:type="paragraph" w:customStyle="1" w:styleId="ManualHeading5">
    <w:name w:val="Manual Heading 5"/>
    <w:basedOn w:val="Normal"/>
    <w:next w:val="Text2"/>
    <w:rsid w:val="00410A33"/>
    <w:pPr>
      <w:keepNext/>
      <w:tabs>
        <w:tab w:val="left" w:pos="1417"/>
      </w:tabs>
      <w:ind w:left="1417" w:hanging="1417"/>
      <w:outlineLvl w:val="4"/>
    </w:pPr>
  </w:style>
  <w:style w:type="paragraph" w:customStyle="1" w:styleId="ManualHeading6">
    <w:name w:val="Manual Heading 6"/>
    <w:basedOn w:val="Normal"/>
    <w:next w:val="Text2"/>
    <w:rsid w:val="00410A33"/>
    <w:pPr>
      <w:keepNext/>
      <w:tabs>
        <w:tab w:val="left" w:pos="1417"/>
      </w:tabs>
      <w:ind w:left="1417" w:hanging="1417"/>
      <w:outlineLvl w:val="5"/>
    </w:pPr>
  </w:style>
  <w:style w:type="paragraph" w:customStyle="1" w:styleId="ManualHeading7">
    <w:name w:val="Manual Heading 7"/>
    <w:basedOn w:val="Normal"/>
    <w:next w:val="Text2"/>
    <w:rsid w:val="00410A33"/>
    <w:pPr>
      <w:keepNext/>
      <w:tabs>
        <w:tab w:val="left" w:pos="1417"/>
      </w:tabs>
      <w:ind w:left="1417" w:hanging="1417"/>
      <w:outlineLvl w:val="6"/>
    </w:pPr>
  </w:style>
  <w:style w:type="paragraph" w:customStyle="1" w:styleId="Text5">
    <w:name w:val="Text 5"/>
    <w:basedOn w:val="Normal"/>
    <w:rsid w:val="00410A33"/>
    <w:pPr>
      <w:ind w:left="3118"/>
    </w:pPr>
  </w:style>
  <w:style w:type="paragraph" w:customStyle="1" w:styleId="Text6">
    <w:name w:val="Text 6"/>
    <w:basedOn w:val="Normal"/>
    <w:rsid w:val="00410A33"/>
    <w:pPr>
      <w:ind w:left="3685"/>
    </w:pPr>
  </w:style>
  <w:style w:type="paragraph" w:customStyle="1" w:styleId="Point5">
    <w:name w:val="Point 5"/>
    <w:basedOn w:val="Normal"/>
    <w:rsid w:val="00410A33"/>
    <w:pPr>
      <w:ind w:left="3685" w:hanging="567"/>
    </w:pPr>
  </w:style>
  <w:style w:type="paragraph" w:customStyle="1" w:styleId="Tiret5">
    <w:name w:val="Tiret 5"/>
    <w:basedOn w:val="Point5"/>
    <w:rsid w:val="00410A33"/>
    <w:pPr>
      <w:numPr>
        <w:numId w:val="22"/>
      </w:numPr>
    </w:pPr>
  </w:style>
  <w:style w:type="paragraph" w:customStyle="1" w:styleId="NumPar5">
    <w:name w:val="NumPar 5"/>
    <w:basedOn w:val="Normal"/>
    <w:next w:val="Text2"/>
    <w:rsid w:val="00410A33"/>
    <w:pPr>
      <w:numPr>
        <w:ilvl w:val="4"/>
        <w:numId w:val="23"/>
      </w:numPr>
    </w:pPr>
  </w:style>
  <w:style w:type="paragraph" w:customStyle="1" w:styleId="NumPar6">
    <w:name w:val="NumPar 6"/>
    <w:basedOn w:val="Normal"/>
    <w:next w:val="Text2"/>
    <w:rsid w:val="00410A33"/>
    <w:pPr>
      <w:numPr>
        <w:ilvl w:val="5"/>
        <w:numId w:val="23"/>
      </w:numPr>
    </w:pPr>
  </w:style>
  <w:style w:type="paragraph" w:customStyle="1" w:styleId="NumPar7">
    <w:name w:val="NumPar 7"/>
    <w:basedOn w:val="Normal"/>
    <w:next w:val="Text2"/>
    <w:rsid w:val="00410A33"/>
    <w:pPr>
      <w:numPr>
        <w:ilvl w:val="6"/>
        <w:numId w:val="23"/>
      </w:numPr>
    </w:pPr>
  </w:style>
  <w:style w:type="paragraph" w:customStyle="1" w:styleId="ManualNumPar5">
    <w:name w:val="Manual NumPar 5"/>
    <w:basedOn w:val="Normal"/>
    <w:next w:val="Text2"/>
    <w:rsid w:val="00410A33"/>
    <w:pPr>
      <w:ind w:left="1417" w:hanging="1417"/>
    </w:pPr>
  </w:style>
  <w:style w:type="paragraph" w:customStyle="1" w:styleId="ManualNumPar6">
    <w:name w:val="Manual NumPar 6"/>
    <w:basedOn w:val="Normal"/>
    <w:next w:val="Text2"/>
    <w:rsid w:val="00410A33"/>
    <w:pPr>
      <w:ind w:left="1417" w:hanging="1417"/>
    </w:pPr>
  </w:style>
  <w:style w:type="paragraph" w:customStyle="1" w:styleId="ManualNumPar7">
    <w:name w:val="Manual NumPar 7"/>
    <w:basedOn w:val="Normal"/>
    <w:next w:val="Text2"/>
    <w:rsid w:val="00410A33"/>
    <w:pPr>
      <w:ind w:left="1417" w:hanging="141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D7A097F2-E1E8-4101-A93B-400A36015D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3</TotalTime>
  <Pages>5</Pages>
  <Words>1148</Words>
  <Characters>8082</Characters>
  <Application>Microsoft Office Word</Application>
  <DocSecurity>0</DocSecurity>
  <Lines>149</Lines>
  <Paragraphs>64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VANROY Anne (SG)</cp:lastModifiedBy>
  <cp:revision>72</cp:revision>
  <dcterms:created xsi:type="dcterms:W3CDTF">2022-02-22T20:58:00Z</dcterms:created>
  <dcterms:modified xsi:type="dcterms:W3CDTF">2023-03-13T11:52:00Z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6.0.100.0</vt:lpwstr>
  </property>
  <property fmtid="{D5CDD505-2E9C-101B-9397-08002B2CF9AE}" pid="4" name="Last edited using">
    <vt:lpwstr>LW 8.1, Build 20230124</vt:lpwstr>
  </property>
  <property fmtid="{D5CDD505-2E9C-101B-9397-08002B2CF9AE}" pid="5" name="Created using">
    <vt:lpwstr>LW 6.0.1, Build 20180503</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SG-057</vt:lpwstr>
  </property>
  <property fmtid="{D5CDD505-2E9C-101B-9397-08002B2CF9AE}" pid="10" name="DQCStatus">
    <vt:lpwstr>Yellow (DQC version 03)</vt:lpwstr>
  </property>
  <property fmtid="{D5CDD505-2E9C-101B-9397-08002B2CF9AE}" pid="11" name="MSIP_Label_6bd9ddd1-4d20-43f6-abfa-fc3c07406f94_Enabled">
    <vt:lpwstr>true</vt:lpwstr>
  </property>
  <property fmtid="{D5CDD505-2E9C-101B-9397-08002B2CF9AE}" pid="12" name="MSIP_Label_6bd9ddd1-4d20-43f6-abfa-fc3c07406f94_SetDate">
    <vt:lpwstr>2023-03-13T11:49:00Z</vt:lpwstr>
  </property>
  <property fmtid="{D5CDD505-2E9C-101B-9397-08002B2CF9AE}" pid="13" name="MSIP_Label_6bd9ddd1-4d20-43f6-abfa-fc3c07406f94_Method">
    <vt:lpwstr>Standard</vt:lpwstr>
  </property>
  <property fmtid="{D5CDD505-2E9C-101B-9397-08002B2CF9AE}" pid="14" name="MSIP_Label_6bd9ddd1-4d20-43f6-abfa-fc3c07406f94_Name">
    <vt:lpwstr>Commission Use</vt:lpwstr>
  </property>
  <property fmtid="{D5CDD505-2E9C-101B-9397-08002B2CF9AE}" pid="15" name="MSIP_Label_6bd9ddd1-4d20-43f6-abfa-fc3c07406f94_SiteId">
    <vt:lpwstr>b24c8b06-522c-46fe-9080-70926f8dddb1</vt:lpwstr>
  </property>
  <property fmtid="{D5CDD505-2E9C-101B-9397-08002B2CF9AE}" pid="16" name="MSIP_Label_6bd9ddd1-4d20-43f6-abfa-fc3c07406f94_ActionId">
    <vt:lpwstr>a65d7f1f-8005-4890-98f2-afe81647acba</vt:lpwstr>
  </property>
  <property fmtid="{D5CDD505-2E9C-101B-9397-08002B2CF9AE}" pid="17" name="MSIP_Label_6bd9ddd1-4d20-43f6-abfa-fc3c07406f94_ContentBits">
    <vt:lpwstr>0</vt:lpwstr>
  </property>
</Properties>
</file>