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E623" w14:textId="1715A7BE" w:rsidR="00FE2150" w:rsidRDefault="00DD5CE9" w:rsidP="00DD5CE9">
      <w:pPr>
        <w:pStyle w:val="Pagedecouverture"/>
        <w:rPr>
          <w:noProof/>
        </w:rPr>
      </w:pPr>
      <w:r>
        <w:rPr>
          <w:noProof/>
        </w:rPr>
        <w:pict w14:anchorId="1390B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0423BF3-18C7-47F1-A2DC-1ED16AD2AC3F" style="width:455.25pt;height:396.75pt">
            <v:imagedata r:id="rId11" o:title=""/>
          </v:shape>
        </w:pict>
      </w:r>
    </w:p>
    <w:p w14:paraId="71D6825C" w14:textId="77777777" w:rsidR="00FE2150" w:rsidRDefault="00FE2150" w:rsidP="00FE2150">
      <w:pPr>
        <w:rPr>
          <w:noProof/>
        </w:rPr>
        <w:sectPr w:rsidR="00FE2150" w:rsidSect="00DD5CE9">
          <w:footerReference w:type="default" r:id="rId12"/>
          <w:pgSz w:w="11907" w:h="16839"/>
          <w:pgMar w:top="1134" w:right="1417" w:bottom="1134" w:left="1417" w:header="709" w:footer="709" w:gutter="0"/>
          <w:pgNumType w:start="0"/>
          <w:cols w:space="720"/>
          <w:docGrid w:linePitch="360"/>
        </w:sectPr>
      </w:pPr>
    </w:p>
    <w:p w14:paraId="4D5405B9" w14:textId="77777777" w:rsidR="00FE2150" w:rsidRDefault="00FE2150" w:rsidP="00065472">
      <w:pPr>
        <w:pStyle w:val="Exposdesmotifstitre"/>
        <w:rPr>
          <w:noProof/>
        </w:rPr>
      </w:pPr>
      <w:bookmarkStart w:id="0" w:name="_GoBack"/>
      <w:bookmarkEnd w:id="0"/>
      <w:r w:rsidRPr="006F770D">
        <w:rPr>
          <w:noProof/>
        </w:rPr>
        <w:lastRenderedPageBreak/>
        <w:t>EXPLANATORY MEMORANDUM</w:t>
      </w:r>
    </w:p>
    <w:p w14:paraId="2B6C5F41" w14:textId="33AE42DC" w:rsidR="00FE2150" w:rsidRPr="00E34F04" w:rsidRDefault="009F7791" w:rsidP="009F7791">
      <w:pPr>
        <w:pStyle w:val="ManualHeading1"/>
        <w:rPr>
          <w:noProof/>
        </w:rPr>
      </w:pPr>
      <w:r w:rsidRPr="009F7791">
        <w:t>1.</w:t>
      </w:r>
      <w:r w:rsidRPr="009F7791">
        <w:tab/>
      </w:r>
      <w:r w:rsidR="00FE2150" w:rsidRPr="00E34F04">
        <w:rPr>
          <w:noProof/>
        </w:rPr>
        <w:t>Subject matter of the proposal</w:t>
      </w:r>
    </w:p>
    <w:p w14:paraId="778EFA4E" w14:textId="580478BC" w:rsidR="00FE2150" w:rsidRPr="00FE2150" w:rsidRDefault="00FE2150" w:rsidP="00FE2150">
      <w:pPr>
        <w:rPr>
          <w:noProof/>
        </w:rPr>
      </w:pPr>
      <w:r w:rsidRPr="00FE2150">
        <w:rPr>
          <w:noProof/>
        </w:rPr>
        <w:t xml:space="preserve">This proposal concerns the decision establishing the position to be taken on the Union's behalf in the Group of Experts on the </w:t>
      </w:r>
      <w:r w:rsidR="005C4E46" w:rsidRPr="005C4E46">
        <w:rPr>
          <w:noProof/>
        </w:rPr>
        <w:t>European Agreement concerning the work of crews of vehicles engaged in international road transport (</w:t>
      </w:r>
      <w:r w:rsidRPr="00FE2150">
        <w:rPr>
          <w:noProof/>
        </w:rPr>
        <w:t>AETR</w:t>
      </w:r>
      <w:r w:rsidR="005C4E46">
        <w:rPr>
          <w:noProof/>
        </w:rPr>
        <w:t>)</w:t>
      </w:r>
      <w:r w:rsidRPr="00FE2150">
        <w:rPr>
          <w:noProof/>
        </w:rPr>
        <w:t xml:space="preserve"> </w:t>
      </w:r>
      <w:r w:rsidR="005C4E46" w:rsidRPr="005C4E46">
        <w:rPr>
          <w:noProof/>
        </w:rPr>
        <w:t>of the United Nations Economic Commission for Europe (UNECE) and in the UNECE Working Party on Road Transport (SC.1)</w:t>
      </w:r>
      <w:r w:rsidR="005C4E46">
        <w:rPr>
          <w:noProof/>
        </w:rPr>
        <w:t xml:space="preserve">, </w:t>
      </w:r>
      <w:r w:rsidRPr="00FE2150">
        <w:rPr>
          <w:noProof/>
        </w:rPr>
        <w:t xml:space="preserve">in connection with the envisaged adoption of an amendment to the AETR Agreement as regards the introduction of a </w:t>
      </w:r>
      <w:r w:rsidR="001945C1">
        <w:rPr>
          <w:noProof/>
        </w:rPr>
        <w:t>‘</w:t>
      </w:r>
      <w:r w:rsidRPr="00FE2150">
        <w:rPr>
          <w:noProof/>
        </w:rPr>
        <w:t>force majeure</w:t>
      </w:r>
      <w:r w:rsidR="001945C1">
        <w:rPr>
          <w:noProof/>
        </w:rPr>
        <w:t>’</w:t>
      </w:r>
      <w:r w:rsidRPr="00FE2150">
        <w:rPr>
          <w:noProof/>
        </w:rPr>
        <w:t xml:space="preserve"> clause.</w:t>
      </w:r>
    </w:p>
    <w:p w14:paraId="43257D4B" w14:textId="37CC4CE2" w:rsidR="00FE2150" w:rsidRPr="00E34F04" w:rsidRDefault="009F7791" w:rsidP="009F7791">
      <w:pPr>
        <w:pStyle w:val="ManualHeading1"/>
        <w:rPr>
          <w:noProof/>
        </w:rPr>
      </w:pPr>
      <w:r w:rsidRPr="009F7791">
        <w:t>2.</w:t>
      </w:r>
      <w:r w:rsidRPr="009F7791">
        <w:tab/>
      </w:r>
      <w:r w:rsidR="00FE2150" w:rsidRPr="00E34F04">
        <w:rPr>
          <w:noProof/>
        </w:rPr>
        <w:t>Context of the proposal</w:t>
      </w:r>
    </w:p>
    <w:p w14:paraId="104482F0" w14:textId="1EB59971" w:rsidR="00FE2150" w:rsidRPr="00E34F04" w:rsidRDefault="009F7791" w:rsidP="009F7791">
      <w:pPr>
        <w:pStyle w:val="ManualHeading2"/>
        <w:rPr>
          <w:noProof/>
        </w:rPr>
      </w:pPr>
      <w:r w:rsidRPr="009F7791">
        <w:t>2.1.</w:t>
      </w:r>
      <w:r w:rsidRPr="009F7791">
        <w:tab/>
      </w:r>
      <w:r w:rsidR="00FE2150" w:rsidRPr="00E34F04">
        <w:rPr>
          <w:noProof/>
        </w:rPr>
        <w:t xml:space="preserve">The </w:t>
      </w:r>
      <w:r w:rsidR="001945C1">
        <w:rPr>
          <w:noProof/>
        </w:rPr>
        <w:t>European Agreement concerning the work of crews engaged in international road transport (</w:t>
      </w:r>
      <w:r w:rsidR="00FE2150" w:rsidRPr="00FE2150">
        <w:rPr>
          <w:noProof/>
        </w:rPr>
        <w:t>AETR</w:t>
      </w:r>
      <w:r w:rsidR="001945C1">
        <w:rPr>
          <w:noProof/>
        </w:rPr>
        <w:t>)</w:t>
      </w:r>
    </w:p>
    <w:p w14:paraId="2F5FD8C0" w14:textId="12F5C74E" w:rsidR="00FE2150" w:rsidRDefault="00FE2150" w:rsidP="00FE2150">
      <w:pPr>
        <w:rPr>
          <w:rFonts w:eastAsia="Arial Unicode MS"/>
          <w:noProof/>
        </w:rPr>
      </w:pPr>
      <w:r>
        <w:rPr>
          <w:rFonts w:eastAsia="Arial Unicode MS"/>
          <w:noProof/>
        </w:rPr>
        <w:t xml:space="preserve">The </w:t>
      </w:r>
      <w:r w:rsidR="00E842FD">
        <w:rPr>
          <w:rFonts w:eastAsia="Arial Unicode MS"/>
          <w:noProof/>
        </w:rPr>
        <w:t>AETR</w:t>
      </w:r>
      <w:r>
        <w:rPr>
          <w:rFonts w:eastAsia="Arial Unicode MS"/>
          <w:noProof/>
        </w:rPr>
        <w:t xml:space="preserve"> aims to harmonise the legislative framework of Contracting Parties to the </w:t>
      </w:r>
      <w:r w:rsidR="00071488">
        <w:rPr>
          <w:rFonts w:eastAsia="Arial Unicode MS"/>
          <w:noProof/>
        </w:rPr>
        <w:t xml:space="preserve">AETR </w:t>
      </w:r>
      <w:r>
        <w:rPr>
          <w:rFonts w:eastAsia="Arial Unicode MS"/>
          <w:noProof/>
        </w:rPr>
        <w:t>as regards driving and rest times for professional drivers</w:t>
      </w:r>
      <w:r w:rsidR="001945C1">
        <w:rPr>
          <w:rFonts w:eastAsia="Arial Unicode MS"/>
          <w:noProof/>
        </w:rPr>
        <w:t xml:space="preserve"> and</w:t>
      </w:r>
      <w:r>
        <w:rPr>
          <w:rFonts w:eastAsia="Arial Unicode MS"/>
          <w:noProof/>
        </w:rPr>
        <w:t xml:space="preserve"> the corresponding technical requirements for the construction and installation of the </w:t>
      </w:r>
      <w:r w:rsidR="001945C1">
        <w:rPr>
          <w:rFonts w:eastAsia="Arial Unicode MS"/>
          <w:noProof/>
        </w:rPr>
        <w:t xml:space="preserve">recording equipment used in vehicles (the </w:t>
      </w:r>
      <w:r>
        <w:rPr>
          <w:rFonts w:eastAsia="Arial Unicode MS"/>
          <w:noProof/>
        </w:rPr>
        <w:t>tachograph</w:t>
      </w:r>
      <w:r w:rsidR="001945C1">
        <w:rPr>
          <w:rFonts w:eastAsia="Arial Unicode MS"/>
          <w:noProof/>
        </w:rPr>
        <w:t>)</w:t>
      </w:r>
      <w:r>
        <w:rPr>
          <w:rFonts w:eastAsia="Arial Unicode MS"/>
          <w:noProof/>
        </w:rPr>
        <w:t xml:space="preserve">. The </w:t>
      </w:r>
      <w:r w:rsidR="00E842FD">
        <w:rPr>
          <w:rFonts w:eastAsia="Arial Unicode MS"/>
          <w:noProof/>
        </w:rPr>
        <w:t xml:space="preserve">AETR </w:t>
      </w:r>
      <w:r>
        <w:rPr>
          <w:rFonts w:eastAsia="Arial Unicode MS"/>
          <w:noProof/>
        </w:rPr>
        <w:t xml:space="preserve">entered into force on </w:t>
      </w:r>
      <w:r>
        <w:rPr>
          <w:noProof/>
        </w:rPr>
        <w:t>5 January 1976.</w:t>
      </w:r>
      <w:r w:rsidR="00E842FD">
        <w:rPr>
          <w:noProof/>
        </w:rPr>
        <w:t xml:space="preserve"> </w:t>
      </w:r>
      <w:r w:rsidR="00E842FD" w:rsidRPr="00E842FD">
        <w:rPr>
          <w:noProof/>
        </w:rPr>
        <w:t xml:space="preserve">It </w:t>
      </w:r>
      <w:r w:rsidR="001945C1">
        <w:rPr>
          <w:noProof/>
        </w:rPr>
        <w:t>has</w:t>
      </w:r>
      <w:r w:rsidR="001945C1" w:rsidRPr="00E842FD">
        <w:rPr>
          <w:noProof/>
        </w:rPr>
        <w:t xml:space="preserve"> </w:t>
      </w:r>
      <w:r w:rsidR="00E842FD" w:rsidRPr="00E842FD">
        <w:rPr>
          <w:noProof/>
        </w:rPr>
        <w:t xml:space="preserve">subsequently </w:t>
      </w:r>
      <w:r w:rsidR="001945C1">
        <w:rPr>
          <w:noProof/>
        </w:rPr>
        <w:t xml:space="preserve">been </w:t>
      </w:r>
      <w:r w:rsidR="00E842FD" w:rsidRPr="00E842FD">
        <w:rPr>
          <w:noProof/>
        </w:rPr>
        <w:t>amended, most recently on 20 September 2010.</w:t>
      </w:r>
    </w:p>
    <w:p w14:paraId="0B0B13FF" w14:textId="77777777" w:rsidR="00FE2150" w:rsidRDefault="00FE2150" w:rsidP="00FE2150">
      <w:pPr>
        <w:rPr>
          <w:rFonts w:eastAsia="Arial Unicode MS"/>
          <w:noProof/>
        </w:rPr>
      </w:pPr>
      <w:r>
        <w:rPr>
          <w:noProof/>
        </w:rPr>
        <w:t>A</w:t>
      </w:r>
      <w:r>
        <w:rPr>
          <w:rFonts w:eastAsia="Arial Unicode MS"/>
          <w:noProof/>
        </w:rPr>
        <w:t xml:space="preserve">ll Member States are parties to the </w:t>
      </w:r>
      <w:r w:rsidR="00071488">
        <w:rPr>
          <w:rFonts w:eastAsia="Arial Unicode MS"/>
          <w:noProof/>
        </w:rPr>
        <w:t>AETR</w:t>
      </w:r>
      <w:r>
        <w:rPr>
          <w:rStyle w:val="FootnoteReference"/>
          <w:rFonts w:eastAsia="Arial Unicode MS"/>
          <w:noProof/>
        </w:rPr>
        <w:footnoteReference w:id="1"/>
      </w:r>
      <w:r>
        <w:rPr>
          <w:rFonts w:eastAsia="Arial Unicode MS"/>
          <w:noProof/>
        </w:rPr>
        <w:t>.</w:t>
      </w:r>
    </w:p>
    <w:p w14:paraId="430AD3BC" w14:textId="4CEC423A" w:rsidR="00FE2150" w:rsidRPr="00E34F04" w:rsidRDefault="009F7791" w:rsidP="009F7791">
      <w:pPr>
        <w:pStyle w:val="ManualHeading2"/>
        <w:rPr>
          <w:noProof/>
        </w:rPr>
      </w:pPr>
      <w:r w:rsidRPr="009F7791">
        <w:t>2.2.</w:t>
      </w:r>
      <w:r w:rsidRPr="009F7791">
        <w:tab/>
      </w:r>
      <w:r w:rsidR="00FE2150" w:rsidRPr="00E34F04">
        <w:rPr>
          <w:noProof/>
        </w:rPr>
        <w:t>The</w:t>
      </w:r>
      <w:r w:rsidR="00FE2150">
        <w:rPr>
          <w:noProof/>
        </w:rPr>
        <w:t xml:space="preserve"> </w:t>
      </w:r>
      <w:r w:rsidR="00E842FD">
        <w:rPr>
          <w:noProof/>
        </w:rPr>
        <w:t xml:space="preserve">Group of Experts on the AETR and the </w:t>
      </w:r>
      <w:r w:rsidR="00FE2150">
        <w:rPr>
          <w:noProof/>
        </w:rPr>
        <w:t xml:space="preserve">Working Party on Road Transport </w:t>
      </w:r>
    </w:p>
    <w:p w14:paraId="1169B2AF" w14:textId="1DCB8C2B" w:rsidR="00FE2150" w:rsidRDefault="00FE2150" w:rsidP="00FE2150">
      <w:pPr>
        <w:rPr>
          <w:noProof/>
        </w:rPr>
      </w:pPr>
      <w:r>
        <w:rPr>
          <w:rFonts w:eastAsia="Arial Unicode MS"/>
          <w:noProof/>
        </w:rPr>
        <w:t xml:space="preserve">The Group of Experts on </w:t>
      </w:r>
      <w:r w:rsidR="00E842FD">
        <w:rPr>
          <w:rFonts w:eastAsia="Arial Unicode MS"/>
          <w:noProof/>
        </w:rPr>
        <w:t xml:space="preserve">the </w:t>
      </w:r>
      <w:r>
        <w:rPr>
          <w:rFonts w:eastAsia="Arial Unicode MS"/>
          <w:noProof/>
        </w:rPr>
        <w:t>AETR</w:t>
      </w:r>
      <w:r>
        <w:rPr>
          <w:noProof/>
        </w:rPr>
        <w:t xml:space="preserve"> is a technical group set up by the Inland Transport Committee of the UNECE </w:t>
      </w:r>
      <w:r w:rsidR="001945C1">
        <w:rPr>
          <w:noProof/>
        </w:rPr>
        <w:t xml:space="preserve">whose </w:t>
      </w:r>
      <w:r>
        <w:rPr>
          <w:noProof/>
        </w:rPr>
        <w:t xml:space="preserve">objective </w:t>
      </w:r>
      <w:r w:rsidR="001945C1">
        <w:rPr>
          <w:noProof/>
        </w:rPr>
        <w:t xml:space="preserve">is </w:t>
      </w:r>
      <w:r>
        <w:rPr>
          <w:noProof/>
        </w:rPr>
        <w:t xml:space="preserve">to develop proposals to </w:t>
      </w:r>
      <w:r w:rsidR="001945C1">
        <w:rPr>
          <w:noProof/>
        </w:rPr>
        <w:t xml:space="preserve">amend </w:t>
      </w:r>
      <w:r>
        <w:rPr>
          <w:noProof/>
        </w:rPr>
        <w:t>the A</w:t>
      </w:r>
      <w:r w:rsidR="001945C1">
        <w:rPr>
          <w:noProof/>
        </w:rPr>
        <w:t>ETR</w:t>
      </w:r>
      <w:r>
        <w:rPr>
          <w:noProof/>
        </w:rPr>
        <w:t xml:space="preserve">. </w:t>
      </w:r>
      <w:r w:rsidR="00E508CF" w:rsidRPr="00483AD3">
        <w:rPr>
          <w:noProof/>
        </w:rPr>
        <w:t xml:space="preserve">According to the Decision establishing the Group of experts on AETR, </w:t>
      </w:r>
      <w:r w:rsidR="00E508CF" w:rsidRPr="0060326F">
        <w:rPr>
          <w:noProof/>
        </w:rPr>
        <w:t>the European Union can partic</w:t>
      </w:r>
      <w:r w:rsidR="00E508CF" w:rsidRPr="00483AD3">
        <w:rPr>
          <w:noProof/>
        </w:rPr>
        <w:t>ipate in the Expert Group</w:t>
      </w:r>
      <w:r w:rsidR="00E508CF" w:rsidRPr="00483AD3">
        <w:rPr>
          <w:rStyle w:val="FootnoteReference"/>
          <w:noProof/>
        </w:rPr>
        <w:footnoteReference w:id="2"/>
      </w:r>
      <w:r w:rsidR="00E508CF" w:rsidRPr="00483AD3">
        <w:rPr>
          <w:noProof/>
        </w:rPr>
        <w:t>.</w:t>
      </w:r>
      <w:r w:rsidR="00E508CF">
        <w:rPr>
          <w:noProof/>
        </w:rPr>
        <w:t xml:space="preserve"> </w:t>
      </w:r>
    </w:p>
    <w:p w14:paraId="1EF89FD2" w14:textId="50D32E1A" w:rsidR="00E842FD" w:rsidRDefault="00E842FD" w:rsidP="00FE2150">
      <w:pPr>
        <w:rPr>
          <w:noProof/>
        </w:rPr>
      </w:pPr>
      <w:r w:rsidRPr="00E842FD">
        <w:rPr>
          <w:noProof/>
        </w:rPr>
        <w:t>The Working Party on Road Transport (SC.1) is a group set up by the Inland Transport Committee</w:t>
      </w:r>
      <w:r w:rsidR="001945C1">
        <w:rPr>
          <w:noProof/>
        </w:rPr>
        <w:t xml:space="preserve"> to </w:t>
      </w:r>
      <w:r w:rsidRPr="00E842FD">
        <w:rPr>
          <w:noProof/>
        </w:rPr>
        <w:t>promote the development and facilitation of international transport by road</w:t>
      </w:r>
      <w:r w:rsidR="001945C1">
        <w:rPr>
          <w:noProof/>
        </w:rPr>
        <w:t>.</w:t>
      </w:r>
      <w:r w:rsidRPr="00E842FD">
        <w:rPr>
          <w:noProof/>
        </w:rPr>
        <w:t xml:space="preserve"> </w:t>
      </w:r>
      <w:r w:rsidR="001945C1">
        <w:rPr>
          <w:noProof/>
        </w:rPr>
        <w:t>This includes</w:t>
      </w:r>
      <w:r w:rsidR="001945C1" w:rsidRPr="00E842FD">
        <w:rPr>
          <w:noProof/>
        </w:rPr>
        <w:t xml:space="preserve"> </w:t>
      </w:r>
      <w:r w:rsidRPr="00E842FD">
        <w:rPr>
          <w:noProof/>
        </w:rPr>
        <w:t>harmonising and simplifying the rules and requirements related to road transport.</w:t>
      </w:r>
      <w:r w:rsidR="00E508CF">
        <w:rPr>
          <w:noProof/>
        </w:rPr>
        <w:t xml:space="preserve"> </w:t>
      </w:r>
    </w:p>
    <w:p w14:paraId="44E542AE" w14:textId="777397A8" w:rsidR="00A35D50" w:rsidRPr="00AA43D1" w:rsidRDefault="00FE2150" w:rsidP="00065472">
      <w:pPr>
        <w:rPr>
          <w:noProof/>
        </w:rPr>
      </w:pPr>
      <w:r>
        <w:rPr>
          <w:noProof/>
        </w:rPr>
        <w:t xml:space="preserve">Proposals </w:t>
      </w:r>
      <w:r w:rsidR="001945C1">
        <w:rPr>
          <w:noProof/>
        </w:rPr>
        <w:t xml:space="preserve">to </w:t>
      </w:r>
      <w:r>
        <w:rPr>
          <w:noProof/>
        </w:rPr>
        <w:t xml:space="preserve">amend the </w:t>
      </w:r>
      <w:r w:rsidR="00071488">
        <w:rPr>
          <w:noProof/>
        </w:rPr>
        <w:t xml:space="preserve">AETR </w:t>
      </w:r>
      <w:r>
        <w:rPr>
          <w:noProof/>
        </w:rPr>
        <w:t>are</w:t>
      </w:r>
      <w:r w:rsidR="00B041B5">
        <w:rPr>
          <w:noProof/>
        </w:rPr>
        <w:t xml:space="preserve"> </w:t>
      </w:r>
      <w:r w:rsidR="008B5D77" w:rsidRPr="00AA43D1">
        <w:rPr>
          <w:noProof/>
        </w:rPr>
        <w:t>generally</w:t>
      </w:r>
      <w:r w:rsidRPr="00AA43D1">
        <w:rPr>
          <w:noProof/>
        </w:rPr>
        <w:t xml:space="preserve"> </w:t>
      </w:r>
      <w:r w:rsidR="001945C1" w:rsidRPr="00AA43D1">
        <w:rPr>
          <w:noProof/>
        </w:rPr>
        <w:t xml:space="preserve">first </w:t>
      </w:r>
      <w:r w:rsidRPr="00AA43D1">
        <w:rPr>
          <w:noProof/>
        </w:rPr>
        <w:t xml:space="preserve">discussed </w:t>
      </w:r>
      <w:r w:rsidR="001945C1" w:rsidRPr="00AA43D1">
        <w:rPr>
          <w:noProof/>
        </w:rPr>
        <w:t>by the members of the</w:t>
      </w:r>
      <w:r w:rsidR="00E842FD" w:rsidRPr="00AA43D1">
        <w:rPr>
          <w:noProof/>
        </w:rPr>
        <w:t xml:space="preserve"> Expert</w:t>
      </w:r>
      <w:r w:rsidRPr="00AA43D1">
        <w:rPr>
          <w:noProof/>
        </w:rPr>
        <w:t xml:space="preserve"> Group and</w:t>
      </w:r>
      <w:r w:rsidR="000136D8" w:rsidRPr="00AA43D1">
        <w:rPr>
          <w:noProof/>
        </w:rPr>
        <w:t xml:space="preserve"> </w:t>
      </w:r>
      <w:r w:rsidR="001945C1" w:rsidRPr="00AA43D1">
        <w:rPr>
          <w:noProof/>
        </w:rPr>
        <w:t>then</w:t>
      </w:r>
      <w:r w:rsidR="000136D8" w:rsidRPr="00AA43D1">
        <w:rPr>
          <w:noProof/>
        </w:rPr>
        <w:t>,</w:t>
      </w:r>
      <w:r w:rsidR="001945C1" w:rsidRPr="00AA43D1">
        <w:rPr>
          <w:noProof/>
        </w:rPr>
        <w:t xml:space="preserve"> </w:t>
      </w:r>
      <w:r w:rsidRPr="00AA43D1">
        <w:rPr>
          <w:noProof/>
        </w:rPr>
        <w:t>submitted to the UNECE Working Party on Road Transport (SC.1) for endorsement</w:t>
      </w:r>
      <w:r w:rsidR="00DC53DD" w:rsidRPr="00AA43D1">
        <w:rPr>
          <w:noProof/>
        </w:rPr>
        <w:t>.</w:t>
      </w:r>
      <w:r w:rsidR="001868E9" w:rsidRPr="00AA43D1">
        <w:rPr>
          <w:noProof/>
        </w:rPr>
        <w:t xml:space="preserve"> If consensus is reached in both groups, </w:t>
      </w:r>
      <w:r w:rsidR="00DC53DD" w:rsidRPr="00AA43D1">
        <w:rPr>
          <w:noProof/>
        </w:rPr>
        <w:t xml:space="preserve">a Contracting Party of the </w:t>
      </w:r>
      <w:r w:rsidR="00071488" w:rsidRPr="00AA43D1">
        <w:rPr>
          <w:noProof/>
        </w:rPr>
        <w:t xml:space="preserve">AETR </w:t>
      </w:r>
      <w:r w:rsidR="00DC53DD" w:rsidRPr="00AA43D1">
        <w:rPr>
          <w:noProof/>
        </w:rPr>
        <w:t>formally tables the amendment to the United Nations Secretary-General</w:t>
      </w:r>
      <w:r w:rsidR="000C3176" w:rsidRPr="00AA43D1">
        <w:rPr>
          <w:noProof/>
        </w:rPr>
        <w:t>, in</w:t>
      </w:r>
      <w:r w:rsidR="00E842FD" w:rsidRPr="00AA43D1">
        <w:rPr>
          <w:noProof/>
        </w:rPr>
        <w:t xml:space="preserve"> accordance with</w:t>
      </w:r>
      <w:r w:rsidR="000C3176" w:rsidRPr="00AA43D1">
        <w:rPr>
          <w:noProof/>
        </w:rPr>
        <w:t xml:space="preserve"> Article</w:t>
      </w:r>
      <w:r w:rsidR="001945C1" w:rsidRPr="00AA43D1">
        <w:rPr>
          <w:noProof/>
        </w:rPr>
        <w:t> </w:t>
      </w:r>
      <w:r w:rsidR="000C3176" w:rsidRPr="00AA43D1">
        <w:rPr>
          <w:noProof/>
        </w:rPr>
        <w:t xml:space="preserve">21 of </w:t>
      </w:r>
      <w:r w:rsidR="00B961D8" w:rsidRPr="00AA43D1">
        <w:rPr>
          <w:noProof/>
        </w:rPr>
        <w:t xml:space="preserve">the </w:t>
      </w:r>
      <w:r w:rsidR="00E842FD" w:rsidRPr="00AA43D1">
        <w:rPr>
          <w:noProof/>
        </w:rPr>
        <w:t>AETR</w:t>
      </w:r>
      <w:r w:rsidR="00DC53DD" w:rsidRPr="00AA43D1">
        <w:rPr>
          <w:noProof/>
        </w:rPr>
        <w:t>.</w:t>
      </w:r>
      <w:r w:rsidR="00E842FD" w:rsidRPr="00AA43D1">
        <w:rPr>
          <w:noProof/>
        </w:rPr>
        <w:t xml:space="preserve"> </w:t>
      </w:r>
      <w:r w:rsidR="00792E07" w:rsidRPr="00AA43D1">
        <w:rPr>
          <w:noProof/>
        </w:rPr>
        <w:t>T</w:t>
      </w:r>
      <w:r w:rsidR="00643A41" w:rsidRPr="00AA43D1">
        <w:rPr>
          <w:noProof/>
        </w:rPr>
        <w:t xml:space="preserve">he bodies set up in UNECE (the Expert </w:t>
      </w:r>
      <w:r w:rsidR="00B3559E" w:rsidRPr="00AA43D1">
        <w:rPr>
          <w:noProof/>
        </w:rPr>
        <w:t>Group on AETR and the Working Party on Road Transport)</w:t>
      </w:r>
      <w:r w:rsidR="00643A41" w:rsidRPr="00AA43D1">
        <w:rPr>
          <w:noProof/>
        </w:rPr>
        <w:t xml:space="preserve"> provide a forum for discussion </w:t>
      </w:r>
      <w:r w:rsidR="00146C88" w:rsidRPr="00AA43D1">
        <w:rPr>
          <w:noProof/>
        </w:rPr>
        <w:t xml:space="preserve">and endorsement, </w:t>
      </w:r>
      <w:r w:rsidR="00643A41" w:rsidRPr="00AA43D1">
        <w:rPr>
          <w:noProof/>
        </w:rPr>
        <w:t>so as to prepare the formal submission of an amendment according to the AETR</w:t>
      </w:r>
      <w:r w:rsidR="00146C88" w:rsidRPr="00AA43D1">
        <w:rPr>
          <w:noProof/>
        </w:rPr>
        <w:t>, and to avoid</w:t>
      </w:r>
      <w:r w:rsidR="00BA635D" w:rsidRPr="00AA43D1">
        <w:rPr>
          <w:noProof/>
        </w:rPr>
        <w:t xml:space="preserve"> objections once an amendment is formally tabled to the United Nations Secretary-General</w:t>
      </w:r>
      <w:r w:rsidR="00643A41" w:rsidRPr="00AA43D1">
        <w:rPr>
          <w:noProof/>
        </w:rPr>
        <w:t xml:space="preserve">. </w:t>
      </w:r>
      <w:r w:rsidR="007E30DB" w:rsidRPr="00AA43D1">
        <w:rPr>
          <w:noProof/>
        </w:rPr>
        <w:t xml:space="preserve">It is therefore relevant to establish Union positions </w:t>
      </w:r>
      <w:r w:rsidR="00146C88" w:rsidRPr="00AA43D1">
        <w:rPr>
          <w:noProof/>
        </w:rPr>
        <w:t>in</w:t>
      </w:r>
      <w:r w:rsidR="007E30DB" w:rsidRPr="00AA43D1">
        <w:rPr>
          <w:noProof/>
        </w:rPr>
        <w:t xml:space="preserve"> these groups</w:t>
      </w:r>
      <w:r w:rsidR="00BA635D" w:rsidRPr="00AA43D1">
        <w:rPr>
          <w:noProof/>
        </w:rPr>
        <w:t xml:space="preserve"> as well, so that </w:t>
      </w:r>
      <w:r w:rsidR="00512AEC" w:rsidRPr="00AA43D1">
        <w:rPr>
          <w:noProof/>
        </w:rPr>
        <w:t>non-EU Contracting Parties submitting proposals to the</w:t>
      </w:r>
      <w:r w:rsidR="00295113" w:rsidRPr="00AA43D1">
        <w:rPr>
          <w:noProof/>
        </w:rPr>
        <w:t xml:space="preserve"> relevant UNECE bodies</w:t>
      </w:r>
      <w:r w:rsidR="00512AEC" w:rsidRPr="00AA43D1">
        <w:rPr>
          <w:noProof/>
        </w:rPr>
        <w:t xml:space="preserve"> are aware of the position of the Union</w:t>
      </w:r>
      <w:r w:rsidR="00295113" w:rsidRPr="00AA43D1">
        <w:rPr>
          <w:noProof/>
        </w:rPr>
        <w:t xml:space="preserve"> as early as possible. </w:t>
      </w:r>
    </w:p>
    <w:p w14:paraId="4317F043" w14:textId="41CB653D" w:rsidR="00E842FD" w:rsidRPr="00AA43D1" w:rsidRDefault="00792E07" w:rsidP="00065472">
      <w:pPr>
        <w:rPr>
          <w:noProof/>
        </w:rPr>
      </w:pPr>
      <w:r w:rsidRPr="00AA43D1">
        <w:rPr>
          <w:noProof/>
        </w:rPr>
        <w:t xml:space="preserve">However, pursuant to Article 21(1) AETR, Contracting Parties can also directly communicate the text of a proposed amendment to the UN Secretary-General, which then communicates it to all Contracting Parties. </w:t>
      </w:r>
      <w:r w:rsidR="00B3559E" w:rsidRPr="00AA43D1">
        <w:rPr>
          <w:noProof/>
        </w:rPr>
        <w:t>Once the formal submission</w:t>
      </w:r>
      <w:r w:rsidR="00A35D50" w:rsidRPr="00AA43D1">
        <w:rPr>
          <w:noProof/>
        </w:rPr>
        <w:t xml:space="preserve"> to amend the AETR has been notified,</w:t>
      </w:r>
      <w:r w:rsidR="00A35D50">
        <w:rPr>
          <w:noProof/>
        </w:rPr>
        <w:t xml:space="preserve"> </w:t>
      </w:r>
      <w:r w:rsidR="00E842FD" w:rsidRPr="00AA43D1">
        <w:rPr>
          <w:noProof/>
        </w:rPr>
        <w:t xml:space="preserve">Contracting Parties </w:t>
      </w:r>
      <w:r w:rsidR="001945C1" w:rsidRPr="00AA43D1">
        <w:rPr>
          <w:noProof/>
        </w:rPr>
        <w:t xml:space="preserve">then </w:t>
      </w:r>
      <w:r w:rsidR="00E842FD" w:rsidRPr="00AA43D1">
        <w:rPr>
          <w:noProof/>
        </w:rPr>
        <w:t xml:space="preserve">have </w:t>
      </w:r>
      <w:r w:rsidR="001945C1" w:rsidRPr="00AA43D1">
        <w:rPr>
          <w:noProof/>
        </w:rPr>
        <w:t xml:space="preserve">6 </w:t>
      </w:r>
      <w:r w:rsidR="00E842FD" w:rsidRPr="00AA43D1">
        <w:rPr>
          <w:noProof/>
        </w:rPr>
        <w:t xml:space="preserve">months to object </w:t>
      </w:r>
      <w:r w:rsidR="001945C1" w:rsidRPr="00AA43D1">
        <w:rPr>
          <w:noProof/>
        </w:rPr>
        <w:t xml:space="preserve">to </w:t>
      </w:r>
      <w:r w:rsidR="00E842FD" w:rsidRPr="00AA43D1">
        <w:rPr>
          <w:noProof/>
        </w:rPr>
        <w:t>the proposal. The proposal is deemed to be adopted if no Contracting Party objects to th</w:t>
      </w:r>
      <w:r w:rsidR="001945C1" w:rsidRPr="00AA43D1">
        <w:rPr>
          <w:noProof/>
        </w:rPr>
        <w:t>e</w:t>
      </w:r>
      <w:r w:rsidR="00E842FD" w:rsidRPr="00AA43D1">
        <w:rPr>
          <w:noProof/>
        </w:rPr>
        <w:t xml:space="preserve"> amendment</w:t>
      </w:r>
      <w:r w:rsidR="001945C1" w:rsidRPr="00AA43D1">
        <w:rPr>
          <w:noProof/>
        </w:rPr>
        <w:t xml:space="preserve"> within that deadline</w:t>
      </w:r>
      <w:r w:rsidR="00E842FD" w:rsidRPr="00AA43D1">
        <w:rPr>
          <w:noProof/>
        </w:rPr>
        <w:t>.</w:t>
      </w:r>
    </w:p>
    <w:p w14:paraId="0869244B" w14:textId="77777777" w:rsidR="00FE2150" w:rsidRPr="00AA43D1" w:rsidRDefault="001868E9" w:rsidP="00065472">
      <w:pPr>
        <w:rPr>
          <w:rFonts w:eastAsia="Arial Unicode MS"/>
          <w:noProof/>
        </w:rPr>
      </w:pPr>
      <w:r w:rsidRPr="00AA43D1">
        <w:rPr>
          <w:noProof/>
        </w:rPr>
        <w:t xml:space="preserve"> </w:t>
      </w:r>
    </w:p>
    <w:p w14:paraId="44A1FE94" w14:textId="0BAED349" w:rsidR="00FE2150" w:rsidRPr="00AA43D1" w:rsidRDefault="009F7791" w:rsidP="009F7791">
      <w:pPr>
        <w:pStyle w:val="ManualHeading2"/>
        <w:rPr>
          <w:noProof/>
        </w:rPr>
      </w:pPr>
      <w:r w:rsidRPr="009F7791">
        <w:t>2.3.</w:t>
      </w:r>
      <w:r w:rsidRPr="009F7791">
        <w:tab/>
      </w:r>
      <w:r w:rsidR="00FE2150" w:rsidRPr="00AA43D1">
        <w:rPr>
          <w:noProof/>
        </w:rPr>
        <w:t xml:space="preserve">The envisaged act </w:t>
      </w:r>
      <w:r w:rsidR="00690DBF" w:rsidRPr="00AA43D1">
        <w:rPr>
          <w:noProof/>
        </w:rPr>
        <w:t xml:space="preserve">to be considered by </w:t>
      </w:r>
      <w:r w:rsidR="00FE2150" w:rsidRPr="00AA43D1">
        <w:rPr>
          <w:noProof/>
        </w:rPr>
        <w:t xml:space="preserve">the Group of Experts on </w:t>
      </w:r>
      <w:r w:rsidR="001945C1" w:rsidRPr="00AA43D1">
        <w:rPr>
          <w:noProof/>
        </w:rPr>
        <w:t xml:space="preserve">the </w:t>
      </w:r>
      <w:r w:rsidR="00FE2150" w:rsidRPr="00AA43D1">
        <w:rPr>
          <w:noProof/>
        </w:rPr>
        <w:t>AETR</w:t>
      </w:r>
      <w:r w:rsidR="000136D8" w:rsidRPr="00AA43D1">
        <w:rPr>
          <w:noProof/>
        </w:rPr>
        <w:t xml:space="preserve"> </w:t>
      </w:r>
      <w:r w:rsidR="00690DBF" w:rsidRPr="00AA43D1">
        <w:rPr>
          <w:noProof/>
        </w:rPr>
        <w:t>and</w:t>
      </w:r>
      <w:r w:rsidR="000136D8" w:rsidRPr="00AA43D1">
        <w:rPr>
          <w:noProof/>
        </w:rPr>
        <w:t xml:space="preserve"> the Working Party on Road Transport</w:t>
      </w:r>
    </w:p>
    <w:p w14:paraId="15B0497D" w14:textId="10D1CBFB" w:rsidR="00FE2150" w:rsidRPr="00E34F04" w:rsidRDefault="00FE2150" w:rsidP="00065472">
      <w:pPr>
        <w:rPr>
          <w:rFonts w:eastAsia="Arial Unicode MS"/>
          <w:noProof/>
        </w:rPr>
      </w:pPr>
      <w:r w:rsidRPr="00E34F04">
        <w:rPr>
          <w:rFonts w:eastAsia="Arial Unicode MS"/>
          <w:noProof/>
        </w:rPr>
        <w:t xml:space="preserve">On </w:t>
      </w:r>
      <w:r w:rsidRPr="00881ACB">
        <w:rPr>
          <w:noProof/>
        </w:rPr>
        <w:t>20 February 2023</w:t>
      </w:r>
      <w:r w:rsidRPr="000A30B6">
        <w:rPr>
          <w:noProof/>
        </w:rPr>
        <w:t>,</w:t>
      </w:r>
      <w:r w:rsidRPr="00E34F04">
        <w:rPr>
          <w:rFonts w:eastAsia="Arial Unicode MS"/>
          <w:noProof/>
        </w:rPr>
        <w:t xml:space="preserve"> </w:t>
      </w:r>
      <w:r w:rsidRPr="00881ACB">
        <w:rPr>
          <w:noProof/>
        </w:rPr>
        <w:t>during its 31</w:t>
      </w:r>
      <w:r w:rsidR="007141BE">
        <w:rPr>
          <w:noProof/>
        </w:rPr>
        <w:t>st</w:t>
      </w:r>
      <w:r w:rsidRPr="00881ACB">
        <w:rPr>
          <w:noProof/>
        </w:rPr>
        <w:t xml:space="preserve"> </w:t>
      </w:r>
      <w:r w:rsidR="004C4EBD">
        <w:rPr>
          <w:noProof/>
        </w:rPr>
        <w:t>session</w:t>
      </w:r>
      <w:r w:rsidRPr="00881ACB">
        <w:rPr>
          <w:noProof/>
        </w:rPr>
        <w:t>, the Group o</w:t>
      </w:r>
      <w:r w:rsidR="00881ACB" w:rsidRPr="00881ACB">
        <w:rPr>
          <w:noProof/>
        </w:rPr>
        <w:t>f</w:t>
      </w:r>
      <w:r w:rsidRPr="00881ACB">
        <w:rPr>
          <w:noProof/>
        </w:rPr>
        <w:t xml:space="preserve"> Experts on </w:t>
      </w:r>
      <w:r w:rsidR="001945C1">
        <w:rPr>
          <w:noProof/>
        </w:rPr>
        <w:t xml:space="preserve">the </w:t>
      </w:r>
      <w:r w:rsidRPr="00881ACB">
        <w:rPr>
          <w:noProof/>
        </w:rPr>
        <w:t>AETR</w:t>
      </w:r>
      <w:r w:rsidRPr="00E34F04">
        <w:rPr>
          <w:rFonts w:eastAsia="Arial Unicode MS"/>
          <w:noProof/>
        </w:rPr>
        <w:t xml:space="preserve"> is to </w:t>
      </w:r>
      <w:r w:rsidR="00B961D8">
        <w:rPr>
          <w:rFonts w:eastAsia="Arial Unicode MS"/>
          <w:noProof/>
        </w:rPr>
        <w:t xml:space="preserve">decide on </w:t>
      </w:r>
      <w:r w:rsidR="001945C1">
        <w:rPr>
          <w:rFonts w:eastAsia="Arial Unicode MS"/>
          <w:noProof/>
        </w:rPr>
        <w:t xml:space="preserve">whether to </w:t>
      </w:r>
      <w:r w:rsidR="00B961D8">
        <w:rPr>
          <w:rFonts w:eastAsia="Arial Unicode MS"/>
          <w:noProof/>
        </w:rPr>
        <w:t>submi</w:t>
      </w:r>
      <w:r w:rsidR="001945C1">
        <w:rPr>
          <w:rFonts w:eastAsia="Arial Unicode MS"/>
          <w:noProof/>
        </w:rPr>
        <w:t>t</w:t>
      </w:r>
      <w:r w:rsidRPr="00E34F04">
        <w:rPr>
          <w:rFonts w:eastAsia="Arial Unicode MS"/>
          <w:noProof/>
        </w:rPr>
        <w:t xml:space="preserve"> a</w:t>
      </w:r>
      <w:r>
        <w:rPr>
          <w:rFonts w:eastAsia="Arial Unicode MS"/>
          <w:noProof/>
        </w:rPr>
        <w:t xml:space="preserve"> proposal by the Government of Belarus to </w:t>
      </w:r>
      <w:r w:rsidR="000A30B6">
        <w:rPr>
          <w:rFonts w:eastAsia="Arial Unicode MS"/>
          <w:noProof/>
        </w:rPr>
        <w:t>amend Article</w:t>
      </w:r>
      <w:r w:rsidR="001945C1">
        <w:rPr>
          <w:rFonts w:eastAsia="Arial Unicode MS"/>
          <w:noProof/>
        </w:rPr>
        <w:t> </w:t>
      </w:r>
      <w:r w:rsidR="000A30B6">
        <w:rPr>
          <w:rFonts w:eastAsia="Arial Unicode MS"/>
          <w:noProof/>
        </w:rPr>
        <w:t xml:space="preserve">4 of </w:t>
      </w:r>
      <w:r>
        <w:rPr>
          <w:rFonts w:eastAsia="Arial Unicode MS"/>
          <w:noProof/>
        </w:rPr>
        <w:t xml:space="preserve">the </w:t>
      </w:r>
      <w:r w:rsidR="00B961D8">
        <w:rPr>
          <w:rFonts w:eastAsia="Arial Unicode MS"/>
          <w:noProof/>
        </w:rPr>
        <w:t>AETR</w:t>
      </w:r>
      <w:r w:rsidR="00B961D8" w:rsidRPr="00E34F04">
        <w:rPr>
          <w:rFonts w:eastAsia="Arial Unicode MS"/>
          <w:noProof/>
        </w:rPr>
        <w:t xml:space="preserve"> </w:t>
      </w:r>
      <w:r w:rsidRPr="00E34F04">
        <w:rPr>
          <w:rFonts w:eastAsia="Arial Unicode MS"/>
          <w:noProof/>
        </w:rPr>
        <w:t>regarding</w:t>
      </w:r>
      <w:r>
        <w:rPr>
          <w:rFonts w:eastAsia="Arial Unicode MS"/>
          <w:noProof/>
        </w:rPr>
        <w:t xml:space="preserve"> the introduction of a ‘force majeure’ clause</w:t>
      </w:r>
      <w:r w:rsidRPr="00E34F04">
        <w:rPr>
          <w:rFonts w:eastAsia="Arial Unicode MS"/>
          <w:noProof/>
        </w:rPr>
        <w:t xml:space="preserve"> (‘the envisaged act’)</w:t>
      </w:r>
      <w:r w:rsidR="001868E9">
        <w:rPr>
          <w:rStyle w:val="FootnoteReference"/>
          <w:rFonts w:eastAsia="Arial Unicode MS"/>
          <w:noProof/>
        </w:rPr>
        <w:footnoteReference w:id="3"/>
      </w:r>
      <w:r w:rsidR="001945C1">
        <w:rPr>
          <w:rFonts w:eastAsia="Arial Unicode MS"/>
          <w:noProof/>
        </w:rPr>
        <w:t xml:space="preserve"> to t</w:t>
      </w:r>
      <w:r w:rsidR="001945C1" w:rsidRPr="00B961D8">
        <w:rPr>
          <w:rFonts w:eastAsia="Arial Unicode MS"/>
          <w:noProof/>
        </w:rPr>
        <w:t>he Working Party on Road Transport (SC.1)</w:t>
      </w:r>
      <w:r w:rsidRPr="00E34F04">
        <w:rPr>
          <w:rFonts w:eastAsia="Arial Unicode MS"/>
          <w:noProof/>
        </w:rPr>
        <w:t>.</w:t>
      </w:r>
      <w:r w:rsidR="001868E9">
        <w:rPr>
          <w:rFonts w:eastAsia="Arial Unicode MS"/>
          <w:noProof/>
        </w:rPr>
        <w:t xml:space="preserve"> Th</w:t>
      </w:r>
      <w:r w:rsidR="000C3176">
        <w:rPr>
          <w:rFonts w:eastAsia="Arial Unicode MS"/>
          <w:noProof/>
        </w:rPr>
        <w:t>is envisaged act</w:t>
      </w:r>
      <w:r w:rsidR="001868E9">
        <w:rPr>
          <w:rFonts w:eastAsia="Arial Unicode MS"/>
          <w:noProof/>
        </w:rPr>
        <w:t xml:space="preserve"> is set out in </w:t>
      </w:r>
      <w:r w:rsidR="001945C1">
        <w:rPr>
          <w:rFonts w:eastAsia="Arial Unicode MS"/>
          <w:noProof/>
        </w:rPr>
        <w:t xml:space="preserve">both </w:t>
      </w:r>
      <w:r w:rsidR="001868E9">
        <w:rPr>
          <w:noProof/>
          <w:lang w:bidi="en-US"/>
        </w:rPr>
        <w:t>ECE/TRANS/SC.1/GE.21/2023/2</w:t>
      </w:r>
      <w:r w:rsidR="001868E9">
        <w:rPr>
          <w:rStyle w:val="FootnoteReference"/>
          <w:noProof/>
          <w:lang w:bidi="en-US"/>
        </w:rPr>
        <w:footnoteReference w:id="4"/>
      </w:r>
      <w:r w:rsidR="000C3176">
        <w:rPr>
          <w:noProof/>
          <w:lang w:bidi="en-US"/>
        </w:rPr>
        <w:t xml:space="preserve"> submitted by Belarus</w:t>
      </w:r>
      <w:r w:rsidR="001945C1">
        <w:rPr>
          <w:noProof/>
          <w:lang w:bidi="en-US"/>
        </w:rPr>
        <w:t xml:space="preserve"> and</w:t>
      </w:r>
      <w:r w:rsidR="000C3176">
        <w:rPr>
          <w:noProof/>
          <w:lang w:bidi="en-US"/>
        </w:rPr>
        <w:t xml:space="preserve"> ECE/TRANS/SC.1/GE.21.2023.1</w:t>
      </w:r>
      <w:r w:rsidR="000C3176">
        <w:rPr>
          <w:rStyle w:val="FootnoteReference"/>
          <w:noProof/>
          <w:lang w:bidi="en-US"/>
        </w:rPr>
        <w:footnoteReference w:id="5"/>
      </w:r>
      <w:r w:rsidR="000C3176">
        <w:rPr>
          <w:noProof/>
          <w:lang w:bidi="en-US"/>
        </w:rPr>
        <w:t xml:space="preserve"> submitted by the Russian Federation.</w:t>
      </w:r>
    </w:p>
    <w:p w14:paraId="26FFEC18" w14:textId="58B65CF0" w:rsidR="00FE2150" w:rsidRPr="00E34F04" w:rsidRDefault="00FE2150" w:rsidP="00065472">
      <w:pPr>
        <w:rPr>
          <w:rFonts w:eastAsia="Arial Unicode MS"/>
          <w:noProof/>
        </w:rPr>
      </w:pPr>
      <w:r w:rsidRPr="00E34F04">
        <w:rPr>
          <w:rFonts w:eastAsia="Arial Unicode MS"/>
          <w:noProof/>
        </w:rPr>
        <w:t>The purpose of the envisaged act is to</w:t>
      </w:r>
      <w:r>
        <w:rPr>
          <w:rFonts w:eastAsia="Arial Unicode MS"/>
          <w:noProof/>
        </w:rPr>
        <w:t xml:space="preserve"> allow,</w:t>
      </w:r>
      <w:r w:rsidR="000A30B6">
        <w:rPr>
          <w:rFonts w:eastAsia="Arial Unicode MS"/>
          <w:noProof/>
        </w:rPr>
        <w:t xml:space="preserve"> </w:t>
      </w:r>
      <w:r>
        <w:rPr>
          <w:rFonts w:eastAsia="Arial Unicode MS"/>
          <w:noProof/>
        </w:rPr>
        <w:t xml:space="preserve">for a period of up to </w:t>
      </w:r>
      <w:r w:rsidR="001945C1">
        <w:rPr>
          <w:rFonts w:eastAsia="Arial Unicode MS"/>
          <w:noProof/>
        </w:rPr>
        <w:t xml:space="preserve">2 </w:t>
      </w:r>
      <w:r>
        <w:rPr>
          <w:rFonts w:eastAsia="Arial Unicode MS"/>
          <w:noProof/>
        </w:rPr>
        <w:t>years, drivers of a Contracting Party</w:t>
      </w:r>
      <w:r w:rsidR="00071488">
        <w:rPr>
          <w:rFonts w:eastAsia="Arial Unicode MS"/>
          <w:noProof/>
        </w:rPr>
        <w:t xml:space="preserve"> engaged in international transport</w:t>
      </w:r>
      <w:r>
        <w:rPr>
          <w:rFonts w:eastAsia="Arial Unicode MS"/>
          <w:noProof/>
        </w:rPr>
        <w:t xml:space="preserve"> to use record sheets</w:t>
      </w:r>
      <w:r w:rsidR="00071488">
        <w:rPr>
          <w:rFonts w:eastAsia="Arial Unicode MS"/>
          <w:noProof/>
        </w:rPr>
        <w:t xml:space="preserve"> completed by hand,</w:t>
      </w:r>
      <w:r>
        <w:rPr>
          <w:rFonts w:eastAsia="Arial Unicode MS"/>
          <w:noProof/>
        </w:rPr>
        <w:t xml:space="preserve"> instead of a digital tachograph card</w:t>
      </w:r>
      <w:r w:rsidR="00071488">
        <w:rPr>
          <w:rFonts w:eastAsia="Arial Unicode MS"/>
          <w:noProof/>
        </w:rPr>
        <w:t>, i</w:t>
      </w:r>
      <w:r w:rsidR="00071488" w:rsidRPr="00071488">
        <w:rPr>
          <w:rFonts w:eastAsia="Arial Unicode MS"/>
          <w:noProof/>
        </w:rPr>
        <w:t xml:space="preserve">n the event of </w:t>
      </w:r>
      <w:r w:rsidR="00071488">
        <w:rPr>
          <w:rFonts w:eastAsia="Arial Unicode MS"/>
          <w:noProof/>
        </w:rPr>
        <w:t>‘</w:t>
      </w:r>
      <w:r w:rsidR="00071488" w:rsidRPr="00071488">
        <w:rPr>
          <w:rFonts w:eastAsia="Arial Unicode MS"/>
          <w:noProof/>
        </w:rPr>
        <w:t>force majeure</w:t>
      </w:r>
      <w:r w:rsidR="00071488">
        <w:rPr>
          <w:rFonts w:eastAsia="Arial Unicode MS"/>
          <w:noProof/>
        </w:rPr>
        <w:t>’</w:t>
      </w:r>
      <w:r w:rsidR="00071488" w:rsidRPr="00071488">
        <w:rPr>
          <w:rFonts w:eastAsia="Arial Unicode MS"/>
          <w:noProof/>
        </w:rPr>
        <w:t xml:space="preserve"> </w:t>
      </w:r>
      <w:r w:rsidR="00071488">
        <w:rPr>
          <w:rFonts w:eastAsia="Arial Unicode MS"/>
          <w:noProof/>
        </w:rPr>
        <w:t>circumstances</w:t>
      </w:r>
      <w:r w:rsidR="00071488" w:rsidRPr="00071488">
        <w:rPr>
          <w:rFonts w:eastAsia="Arial Unicode MS"/>
          <w:noProof/>
        </w:rPr>
        <w:t xml:space="preserve"> </w:t>
      </w:r>
      <w:r w:rsidR="001945C1">
        <w:rPr>
          <w:rFonts w:eastAsia="Arial Unicode MS"/>
          <w:noProof/>
        </w:rPr>
        <w:t>faced by</w:t>
      </w:r>
      <w:r w:rsidR="00071488" w:rsidRPr="00071488">
        <w:rPr>
          <w:rFonts w:eastAsia="Arial Unicode MS"/>
          <w:noProof/>
        </w:rPr>
        <w:t xml:space="preserve"> </w:t>
      </w:r>
      <w:r w:rsidR="00071488">
        <w:rPr>
          <w:rFonts w:eastAsia="Arial Unicode MS"/>
          <w:noProof/>
        </w:rPr>
        <w:t>that</w:t>
      </w:r>
      <w:r w:rsidR="00071488" w:rsidRPr="00071488">
        <w:rPr>
          <w:rFonts w:eastAsia="Arial Unicode MS"/>
          <w:noProof/>
        </w:rPr>
        <w:t xml:space="preserve"> Contracting Party</w:t>
      </w:r>
      <w:r>
        <w:rPr>
          <w:rFonts w:eastAsia="Arial Unicode MS"/>
          <w:noProof/>
        </w:rPr>
        <w:t>.</w:t>
      </w:r>
      <w:r w:rsidRPr="00E34F04">
        <w:rPr>
          <w:rFonts w:eastAsia="Arial Unicode MS"/>
          <w:noProof/>
        </w:rPr>
        <w:t xml:space="preserve"> </w:t>
      </w:r>
    </w:p>
    <w:p w14:paraId="43112A96" w14:textId="526AEE56" w:rsidR="00FE2150" w:rsidRPr="00E34F04" w:rsidRDefault="00DF661E" w:rsidP="00065472">
      <w:pPr>
        <w:rPr>
          <w:rFonts w:eastAsia="Arial Unicode MS"/>
          <w:noProof/>
        </w:rPr>
      </w:pPr>
      <w:r>
        <w:rPr>
          <w:rFonts w:eastAsia="Arial Unicode MS"/>
          <w:noProof/>
        </w:rPr>
        <w:t xml:space="preserve">The </w:t>
      </w:r>
      <w:r w:rsidRPr="00AA43D1">
        <w:rPr>
          <w:rFonts w:eastAsia="Arial Unicode MS"/>
          <w:noProof/>
        </w:rPr>
        <w:t>envisaged act</w:t>
      </w:r>
      <w:r w:rsidR="00690DBF" w:rsidRPr="00AA43D1">
        <w:rPr>
          <w:rFonts w:eastAsia="Arial Unicode MS"/>
          <w:noProof/>
        </w:rPr>
        <w:t>, if adopted, would</w:t>
      </w:r>
      <w:r w:rsidRPr="00AA43D1">
        <w:rPr>
          <w:rFonts w:eastAsia="Arial Unicode MS"/>
          <w:noProof/>
        </w:rPr>
        <w:t xml:space="preserve"> become binding</w:t>
      </w:r>
      <w:r>
        <w:rPr>
          <w:rFonts w:eastAsia="Arial Unicode MS"/>
          <w:noProof/>
        </w:rPr>
        <w:t xml:space="preserve"> on the parties in accordance with </w:t>
      </w:r>
      <w:r w:rsidR="000C3176">
        <w:rPr>
          <w:rFonts w:eastAsia="Arial Unicode MS"/>
          <w:noProof/>
        </w:rPr>
        <w:t xml:space="preserve">paragraph 6 of </w:t>
      </w:r>
      <w:r>
        <w:rPr>
          <w:rFonts w:eastAsia="Arial Unicode MS"/>
          <w:noProof/>
        </w:rPr>
        <w:t xml:space="preserve">Article </w:t>
      </w:r>
      <w:r w:rsidR="000C3176">
        <w:rPr>
          <w:noProof/>
        </w:rPr>
        <w:t>21</w:t>
      </w:r>
      <w:r>
        <w:rPr>
          <w:noProof/>
        </w:rPr>
        <w:t xml:space="preserve"> </w:t>
      </w:r>
      <w:r>
        <w:rPr>
          <w:rFonts w:eastAsia="Arial Unicode MS"/>
          <w:noProof/>
        </w:rPr>
        <w:t xml:space="preserve">of the </w:t>
      </w:r>
      <w:r w:rsidR="00071488">
        <w:rPr>
          <w:rFonts w:eastAsia="Arial Unicode MS"/>
          <w:noProof/>
        </w:rPr>
        <w:t>AETR</w:t>
      </w:r>
      <w:r>
        <w:rPr>
          <w:rFonts w:eastAsia="Arial Unicode MS"/>
          <w:noProof/>
        </w:rPr>
        <w:t>, which provides</w:t>
      </w:r>
      <w:r w:rsidR="00071488">
        <w:rPr>
          <w:rFonts w:eastAsia="Arial Unicode MS"/>
          <w:noProof/>
        </w:rPr>
        <w:t xml:space="preserve"> that</w:t>
      </w:r>
      <w:r>
        <w:rPr>
          <w:rFonts w:eastAsia="Arial Unicode MS"/>
          <w:noProof/>
        </w:rPr>
        <w:t xml:space="preserve"> ‘</w:t>
      </w:r>
      <w:r w:rsidR="000C3176" w:rsidRPr="0069277D">
        <w:rPr>
          <w:rFonts w:eastAsia="Arial Unicode MS"/>
          <w:i/>
          <w:iCs/>
          <w:noProof/>
        </w:rPr>
        <w:t>Any amendment deemed to be accepted shall enter into force three months after the date on which it was deemed to be accepted</w:t>
      </w:r>
      <w:r w:rsidR="000C3176">
        <w:rPr>
          <w:rFonts w:eastAsia="Arial Unicode MS"/>
          <w:noProof/>
        </w:rPr>
        <w:t>.</w:t>
      </w:r>
      <w:r>
        <w:rPr>
          <w:rFonts w:eastAsia="Arial Unicode MS"/>
          <w:noProof/>
        </w:rPr>
        <w:t>’</w:t>
      </w:r>
    </w:p>
    <w:p w14:paraId="049B9C7B" w14:textId="655BBEAD" w:rsidR="00FE2150" w:rsidRPr="00E34F04" w:rsidRDefault="009F7791" w:rsidP="009F7791">
      <w:pPr>
        <w:pStyle w:val="ManualHeading1"/>
        <w:rPr>
          <w:noProof/>
        </w:rPr>
      </w:pPr>
      <w:r w:rsidRPr="009F7791">
        <w:t>3.</w:t>
      </w:r>
      <w:r w:rsidRPr="009F7791">
        <w:tab/>
      </w:r>
      <w:r w:rsidR="00FE2150" w:rsidRPr="00E34F04">
        <w:rPr>
          <w:noProof/>
        </w:rPr>
        <w:t>Position to be taken on the Union's behalf</w:t>
      </w:r>
    </w:p>
    <w:p w14:paraId="60CEC1F2" w14:textId="4993EE6D" w:rsidR="00246900" w:rsidRDefault="00246900" w:rsidP="00246900">
      <w:pPr>
        <w:rPr>
          <w:noProof/>
        </w:rPr>
      </w:pPr>
      <w:r w:rsidRPr="00246900">
        <w:rPr>
          <w:noProof/>
        </w:rPr>
        <w:t xml:space="preserve">Since the start of the </w:t>
      </w:r>
      <w:r w:rsidR="00071488">
        <w:rPr>
          <w:noProof/>
        </w:rPr>
        <w:t xml:space="preserve">illegal </w:t>
      </w:r>
      <w:r w:rsidRPr="00246900">
        <w:rPr>
          <w:noProof/>
        </w:rPr>
        <w:t>war of ag</w:t>
      </w:r>
      <w:r w:rsidR="004D3F82">
        <w:rPr>
          <w:noProof/>
        </w:rPr>
        <w:t>g</w:t>
      </w:r>
      <w:r w:rsidRPr="00246900">
        <w:rPr>
          <w:noProof/>
        </w:rPr>
        <w:t>ression by the Russian Federation against Ukraine</w:t>
      </w:r>
      <w:r>
        <w:rPr>
          <w:noProof/>
        </w:rPr>
        <w:t xml:space="preserve"> on 24</w:t>
      </w:r>
      <w:r w:rsidR="001945C1">
        <w:rPr>
          <w:noProof/>
        </w:rPr>
        <w:t> </w:t>
      </w:r>
      <w:r>
        <w:rPr>
          <w:noProof/>
        </w:rPr>
        <w:t>February 2022</w:t>
      </w:r>
      <w:r w:rsidRPr="00246900">
        <w:rPr>
          <w:noProof/>
        </w:rPr>
        <w:t xml:space="preserve">, in which </w:t>
      </w:r>
      <w:r>
        <w:rPr>
          <w:noProof/>
        </w:rPr>
        <w:t xml:space="preserve">the Republic of </w:t>
      </w:r>
      <w:r w:rsidRPr="00246900">
        <w:rPr>
          <w:noProof/>
        </w:rPr>
        <w:t xml:space="preserve">Belarus has a complicit role, the European Union has adopted sanctions against </w:t>
      </w:r>
      <w:r w:rsidR="00071488">
        <w:rPr>
          <w:noProof/>
        </w:rPr>
        <w:t xml:space="preserve">both </w:t>
      </w:r>
      <w:r w:rsidRPr="00246900">
        <w:rPr>
          <w:noProof/>
        </w:rPr>
        <w:t xml:space="preserve">Russia and Belarus. </w:t>
      </w:r>
    </w:p>
    <w:p w14:paraId="76F341A5" w14:textId="52B8849E" w:rsidR="00246900" w:rsidRDefault="00246900" w:rsidP="00246900">
      <w:pPr>
        <w:rPr>
          <w:noProof/>
        </w:rPr>
      </w:pPr>
      <w:r>
        <w:rPr>
          <w:noProof/>
        </w:rPr>
        <w:t>These sanctions have resulted</w:t>
      </w:r>
      <w:r w:rsidR="00071488">
        <w:rPr>
          <w:noProof/>
        </w:rPr>
        <w:t xml:space="preserve">, </w:t>
      </w:r>
      <w:r w:rsidR="001945C1" w:rsidRPr="00AA43D1">
        <w:rPr>
          <w:noProof/>
        </w:rPr>
        <w:t>among other consequences</w:t>
      </w:r>
      <w:r w:rsidR="00071488">
        <w:rPr>
          <w:noProof/>
        </w:rPr>
        <w:t>,</w:t>
      </w:r>
      <w:r>
        <w:rPr>
          <w:noProof/>
        </w:rPr>
        <w:t xml:space="preserve"> in certain EU companies suspending their operations in and with </w:t>
      </w:r>
      <w:r w:rsidR="001945C1">
        <w:rPr>
          <w:noProof/>
        </w:rPr>
        <w:t>Belarus and Russia</w:t>
      </w:r>
      <w:r>
        <w:rPr>
          <w:noProof/>
        </w:rPr>
        <w:t xml:space="preserve">. These include companies </w:t>
      </w:r>
      <w:r w:rsidR="001945C1">
        <w:rPr>
          <w:noProof/>
        </w:rPr>
        <w:t>that usually</w:t>
      </w:r>
      <w:r>
        <w:rPr>
          <w:noProof/>
        </w:rPr>
        <w:t xml:space="preserve"> </w:t>
      </w:r>
      <w:r w:rsidR="0069277D">
        <w:rPr>
          <w:noProof/>
        </w:rPr>
        <w:t>supply</w:t>
      </w:r>
      <w:r>
        <w:rPr>
          <w:noProof/>
        </w:rPr>
        <w:t xml:space="preserve"> digital tachograph cards and chips to the card issuing authorities of these two countries. As a result, Belarus and Russia are </w:t>
      </w:r>
      <w:r w:rsidR="00071488">
        <w:rPr>
          <w:noProof/>
        </w:rPr>
        <w:t xml:space="preserve">effectively </w:t>
      </w:r>
      <w:r>
        <w:rPr>
          <w:noProof/>
        </w:rPr>
        <w:t xml:space="preserve">in a situation where they claim not to be able to deliver tachograph cards to their drivers, who can therefore not comply with the </w:t>
      </w:r>
      <w:r w:rsidR="00071488">
        <w:rPr>
          <w:noProof/>
        </w:rPr>
        <w:t xml:space="preserve">AETR </w:t>
      </w:r>
      <w:r>
        <w:rPr>
          <w:noProof/>
        </w:rPr>
        <w:t>when engaged in international road transport</w:t>
      </w:r>
      <w:r w:rsidR="00071488">
        <w:rPr>
          <w:noProof/>
        </w:rPr>
        <w:t xml:space="preserve"> operations falling</w:t>
      </w:r>
      <w:r>
        <w:rPr>
          <w:noProof/>
        </w:rPr>
        <w:t xml:space="preserve"> within its scope. </w:t>
      </w:r>
    </w:p>
    <w:p w14:paraId="6D2A43E2" w14:textId="7A3F5C67" w:rsidR="00246900" w:rsidRDefault="00246900" w:rsidP="00246900">
      <w:pPr>
        <w:rPr>
          <w:noProof/>
        </w:rPr>
      </w:pPr>
      <w:r>
        <w:rPr>
          <w:noProof/>
        </w:rPr>
        <w:t xml:space="preserve">As a result, both governments have proposed </w:t>
      </w:r>
      <w:r w:rsidR="001945C1">
        <w:rPr>
          <w:noProof/>
        </w:rPr>
        <w:t xml:space="preserve">to </w:t>
      </w:r>
      <w:r>
        <w:rPr>
          <w:noProof/>
        </w:rPr>
        <w:t>introduc</w:t>
      </w:r>
      <w:r w:rsidR="001945C1">
        <w:rPr>
          <w:noProof/>
        </w:rPr>
        <w:t>e</w:t>
      </w:r>
      <w:r>
        <w:rPr>
          <w:noProof/>
        </w:rPr>
        <w:t xml:space="preserve"> a </w:t>
      </w:r>
      <w:r w:rsidR="00E91D6A">
        <w:rPr>
          <w:noProof/>
        </w:rPr>
        <w:t>‘</w:t>
      </w:r>
      <w:r>
        <w:rPr>
          <w:noProof/>
        </w:rPr>
        <w:t>force majeure</w:t>
      </w:r>
      <w:r w:rsidR="00E91D6A">
        <w:rPr>
          <w:noProof/>
        </w:rPr>
        <w:t>’</w:t>
      </w:r>
      <w:r>
        <w:rPr>
          <w:noProof/>
        </w:rPr>
        <w:t xml:space="preserve"> clause in the A</w:t>
      </w:r>
      <w:r w:rsidR="00071488">
        <w:rPr>
          <w:noProof/>
        </w:rPr>
        <w:t>ETR</w:t>
      </w:r>
      <w:r w:rsidR="001868E9">
        <w:rPr>
          <w:noProof/>
        </w:rPr>
        <w:t xml:space="preserve">, which would allow drivers who should have a digital tachograph card issued by these countries to be exempted from the use of such, and to use alternative recording methods such as record sheets. Such an alternative would </w:t>
      </w:r>
      <w:r w:rsidR="00E10BD8">
        <w:rPr>
          <w:noProof/>
        </w:rPr>
        <w:t>enable</w:t>
      </w:r>
      <w:r w:rsidR="001868E9">
        <w:rPr>
          <w:noProof/>
        </w:rPr>
        <w:t xml:space="preserve"> these countries to legally</w:t>
      </w:r>
      <w:r w:rsidR="00476625">
        <w:rPr>
          <w:noProof/>
        </w:rPr>
        <w:t xml:space="preserve"> continue their</w:t>
      </w:r>
      <w:r w:rsidR="00071488">
        <w:rPr>
          <w:noProof/>
        </w:rPr>
        <w:t xml:space="preserve"> </w:t>
      </w:r>
      <w:r w:rsidR="00E10BD8">
        <w:rPr>
          <w:noProof/>
        </w:rPr>
        <w:t xml:space="preserve">international </w:t>
      </w:r>
      <w:r w:rsidR="00071488">
        <w:rPr>
          <w:noProof/>
        </w:rPr>
        <w:t>transport</w:t>
      </w:r>
      <w:r w:rsidR="00476625">
        <w:rPr>
          <w:noProof/>
        </w:rPr>
        <w:t xml:space="preserve"> operations by</w:t>
      </w:r>
      <w:r w:rsidR="001868E9">
        <w:rPr>
          <w:noProof/>
        </w:rPr>
        <w:t xml:space="preserve"> get</w:t>
      </w:r>
      <w:r w:rsidR="00476625">
        <w:rPr>
          <w:noProof/>
        </w:rPr>
        <w:t>ting</w:t>
      </w:r>
      <w:r w:rsidR="001868E9">
        <w:rPr>
          <w:noProof/>
        </w:rPr>
        <w:t xml:space="preserve"> around a situation </w:t>
      </w:r>
      <w:r w:rsidR="004D3DAB" w:rsidRPr="00AA43D1">
        <w:rPr>
          <w:noProof/>
        </w:rPr>
        <w:t xml:space="preserve">that is likely the result of the illegal war of aggression by Russia against Ukraine, in which Belarus has a complicit role, </w:t>
      </w:r>
      <w:r w:rsidR="004D3DAB" w:rsidRPr="003A10E7">
        <w:rPr>
          <w:noProof/>
        </w:rPr>
        <w:t>which led to the application of EU sanctions against Russia and Belarus</w:t>
      </w:r>
      <w:r w:rsidR="001868E9">
        <w:rPr>
          <w:noProof/>
        </w:rPr>
        <w:t>. The Union’s position should therefore be against the adoption of such a proposal</w:t>
      </w:r>
      <w:r w:rsidR="00BB2267">
        <w:rPr>
          <w:noProof/>
        </w:rPr>
        <w:t xml:space="preserve"> for amendment, as it would run counter to the objectives pursued by the EU sanctions regime</w:t>
      </w:r>
      <w:r w:rsidR="001868E9">
        <w:rPr>
          <w:noProof/>
        </w:rPr>
        <w:t xml:space="preserve">. </w:t>
      </w:r>
    </w:p>
    <w:p w14:paraId="097B3981" w14:textId="0E7BC893" w:rsidR="00246900" w:rsidRDefault="00246900" w:rsidP="00246900">
      <w:pPr>
        <w:rPr>
          <w:noProof/>
        </w:rPr>
      </w:pPr>
      <w:r>
        <w:rPr>
          <w:noProof/>
        </w:rPr>
        <w:t xml:space="preserve">The proposed position is </w:t>
      </w:r>
      <w:r w:rsidR="00BB2267">
        <w:rPr>
          <w:noProof/>
        </w:rPr>
        <w:t xml:space="preserve">also </w:t>
      </w:r>
      <w:r>
        <w:rPr>
          <w:noProof/>
        </w:rPr>
        <w:t xml:space="preserve">in line with EU policy not to accept any Russian or Belarussian amendments </w:t>
      </w:r>
      <w:r w:rsidR="00E10BD8">
        <w:rPr>
          <w:noProof/>
        </w:rPr>
        <w:t xml:space="preserve">to </w:t>
      </w:r>
      <w:r>
        <w:rPr>
          <w:noProof/>
        </w:rPr>
        <w:t>international agreements</w:t>
      </w:r>
      <w:r w:rsidR="00BB2267">
        <w:rPr>
          <w:noProof/>
        </w:rPr>
        <w:t>,</w:t>
      </w:r>
      <w:r>
        <w:rPr>
          <w:noProof/>
        </w:rPr>
        <w:t xml:space="preserve"> </w:t>
      </w:r>
      <w:r w:rsidR="00E10BD8">
        <w:rPr>
          <w:noProof/>
        </w:rPr>
        <w:t>given</w:t>
      </w:r>
      <w:r>
        <w:rPr>
          <w:noProof/>
        </w:rPr>
        <w:t xml:space="preserve"> </w:t>
      </w:r>
      <w:r w:rsidR="00E10BD8">
        <w:rPr>
          <w:noProof/>
        </w:rPr>
        <w:t xml:space="preserve">Russia’s </w:t>
      </w:r>
      <w:r w:rsidR="00BB2267">
        <w:rPr>
          <w:noProof/>
        </w:rPr>
        <w:t xml:space="preserve">illegal war of </w:t>
      </w:r>
      <w:r>
        <w:rPr>
          <w:noProof/>
        </w:rPr>
        <w:t>ag</w:t>
      </w:r>
      <w:r w:rsidR="004D3F82">
        <w:rPr>
          <w:noProof/>
        </w:rPr>
        <w:t>g</w:t>
      </w:r>
      <w:r>
        <w:rPr>
          <w:noProof/>
        </w:rPr>
        <w:t xml:space="preserve">ression against Ukraine. </w:t>
      </w:r>
    </w:p>
    <w:p w14:paraId="5759BBD7" w14:textId="521DB550" w:rsidR="00AF542D" w:rsidRDefault="00BB2267" w:rsidP="00246900">
      <w:pPr>
        <w:rPr>
          <w:noProof/>
        </w:rPr>
      </w:pPr>
      <w:r>
        <w:rPr>
          <w:noProof/>
        </w:rPr>
        <w:t>Furthermore, o</w:t>
      </w:r>
      <w:r w:rsidR="00DC53DD">
        <w:rPr>
          <w:noProof/>
        </w:rPr>
        <w:t>n substance,</w:t>
      </w:r>
      <w:r w:rsidR="00476625">
        <w:rPr>
          <w:noProof/>
        </w:rPr>
        <w:t xml:space="preserve"> and independently of the geopolitical context in which it has been tabled,</w:t>
      </w:r>
      <w:r w:rsidR="00DC53DD">
        <w:rPr>
          <w:noProof/>
        </w:rPr>
        <w:t xml:space="preserve"> the proposed amendment would also significantly weaken the </w:t>
      </w:r>
      <w:r>
        <w:rPr>
          <w:noProof/>
        </w:rPr>
        <w:t>AETR. Indeed, under the proposal for amendment</w:t>
      </w:r>
      <w:r w:rsidR="00DC53DD">
        <w:rPr>
          <w:noProof/>
        </w:rPr>
        <w:t xml:space="preserve">, any Contracting Party would, through a </w:t>
      </w:r>
      <w:r>
        <w:rPr>
          <w:noProof/>
        </w:rPr>
        <w:t xml:space="preserve">simple </w:t>
      </w:r>
      <w:r w:rsidR="00DC53DD">
        <w:rPr>
          <w:noProof/>
        </w:rPr>
        <w:t>notification to the UNECE Working Party on Road Transport</w:t>
      </w:r>
      <w:r w:rsidR="00476625">
        <w:rPr>
          <w:noProof/>
        </w:rPr>
        <w:t xml:space="preserve"> –</w:t>
      </w:r>
      <w:r w:rsidR="00DC53DD">
        <w:rPr>
          <w:noProof/>
        </w:rPr>
        <w:t xml:space="preserve"> which would itself simply be informed and not </w:t>
      </w:r>
      <w:r>
        <w:rPr>
          <w:noProof/>
        </w:rPr>
        <w:t xml:space="preserve">allowed </w:t>
      </w:r>
      <w:r w:rsidR="00DC53DD">
        <w:rPr>
          <w:noProof/>
        </w:rPr>
        <w:t xml:space="preserve">to assess </w:t>
      </w:r>
      <w:r>
        <w:rPr>
          <w:noProof/>
        </w:rPr>
        <w:t>any justification for</w:t>
      </w:r>
      <w:r w:rsidR="00DC53DD">
        <w:rPr>
          <w:noProof/>
        </w:rPr>
        <w:t xml:space="preserve"> the ‘force majeure’ </w:t>
      </w:r>
      <w:r>
        <w:rPr>
          <w:noProof/>
        </w:rPr>
        <w:t xml:space="preserve">invoked </w:t>
      </w:r>
      <w:r w:rsidR="00DC53DD">
        <w:rPr>
          <w:noProof/>
        </w:rPr>
        <w:t>by that Contracting Party</w:t>
      </w:r>
      <w:r w:rsidR="00476625">
        <w:rPr>
          <w:noProof/>
        </w:rPr>
        <w:t xml:space="preserve"> – be allowed to bypass one of the primary purposes of the Agreement, namely the </w:t>
      </w:r>
      <w:r w:rsidR="00E91D6A">
        <w:rPr>
          <w:noProof/>
        </w:rPr>
        <w:t>installation and use</w:t>
      </w:r>
      <w:r w:rsidR="00476625">
        <w:rPr>
          <w:noProof/>
        </w:rPr>
        <w:t xml:space="preserve"> of harmonised recording equipment (the digital tachograph and digital tachograph card) for international transport operations</w:t>
      </w:r>
      <w:r w:rsidR="00DC53DD">
        <w:rPr>
          <w:noProof/>
        </w:rPr>
        <w:t xml:space="preserve">. For up to </w:t>
      </w:r>
      <w:r w:rsidR="00E10BD8">
        <w:rPr>
          <w:noProof/>
        </w:rPr>
        <w:t xml:space="preserve">2 </w:t>
      </w:r>
      <w:r w:rsidR="00DC53DD">
        <w:rPr>
          <w:noProof/>
        </w:rPr>
        <w:t>years, drivers who would be expected to have a driver card issued by that Contracting Party would not be obliged to use a digital tachograph card</w:t>
      </w:r>
      <w:r w:rsidR="00E91D6A">
        <w:rPr>
          <w:noProof/>
        </w:rPr>
        <w:t xml:space="preserve"> in international transport</w:t>
      </w:r>
      <w:r w:rsidR="00DC53DD">
        <w:rPr>
          <w:noProof/>
        </w:rPr>
        <w:t>.</w:t>
      </w:r>
    </w:p>
    <w:p w14:paraId="288806DE" w14:textId="77777777" w:rsidR="00DC53DD" w:rsidRDefault="00DD0D9B" w:rsidP="00246900">
      <w:pPr>
        <w:rPr>
          <w:noProof/>
        </w:rPr>
      </w:pPr>
      <w:r>
        <w:rPr>
          <w:noProof/>
        </w:rPr>
        <w:t>As a result, t</w:t>
      </w:r>
      <w:r w:rsidR="00DC53DD">
        <w:rPr>
          <w:noProof/>
        </w:rPr>
        <w:t>he enforcement of the drivers</w:t>
      </w:r>
      <w:r>
        <w:rPr>
          <w:noProof/>
        </w:rPr>
        <w:t>’</w:t>
      </w:r>
      <w:r w:rsidR="00DC53DD">
        <w:rPr>
          <w:noProof/>
        </w:rPr>
        <w:t xml:space="preserve"> compliance </w:t>
      </w:r>
      <w:r>
        <w:rPr>
          <w:noProof/>
        </w:rPr>
        <w:t>with</w:t>
      </w:r>
      <w:r w:rsidR="00DC53DD">
        <w:rPr>
          <w:noProof/>
        </w:rPr>
        <w:t xml:space="preserve"> driving and rest times as laid out elsewhere in the </w:t>
      </w:r>
      <w:r>
        <w:rPr>
          <w:noProof/>
        </w:rPr>
        <w:t xml:space="preserve">AETR </w:t>
      </w:r>
      <w:r w:rsidR="00DC53DD">
        <w:rPr>
          <w:noProof/>
        </w:rPr>
        <w:t xml:space="preserve">would be made drastically more difficult, especially since this would take place on the territory of another Contracting Party to the </w:t>
      </w:r>
      <w:r>
        <w:rPr>
          <w:noProof/>
        </w:rPr>
        <w:t xml:space="preserve">AETR </w:t>
      </w:r>
      <w:r w:rsidR="00476625">
        <w:rPr>
          <w:noProof/>
        </w:rPr>
        <w:t>tha</w:t>
      </w:r>
      <w:r w:rsidR="00424A75">
        <w:rPr>
          <w:noProof/>
        </w:rPr>
        <w:t>n</w:t>
      </w:r>
      <w:r w:rsidR="00476625">
        <w:rPr>
          <w:noProof/>
        </w:rPr>
        <w:t xml:space="preserve"> that of the driver</w:t>
      </w:r>
      <w:r w:rsidR="00DC53DD">
        <w:rPr>
          <w:noProof/>
        </w:rPr>
        <w:t xml:space="preserve">. </w:t>
      </w:r>
      <w:r w:rsidR="00AF542D">
        <w:rPr>
          <w:noProof/>
        </w:rPr>
        <w:t>In practice, this amendment would</w:t>
      </w:r>
      <w:r>
        <w:rPr>
          <w:noProof/>
        </w:rPr>
        <w:t xml:space="preserve"> therefore</w:t>
      </w:r>
      <w:r w:rsidR="00AF542D">
        <w:rPr>
          <w:noProof/>
        </w:rPr>
        <w:t xml:space="preserve"> create a loophole that </w:t>
      </w:r>
      <w:r>
        <w:rPr>
          <w:noProof/>
        </w:rPr>
        <w:t>w</w:t>
      </w:r>
      <w:r w:rsidR="00AF542D">
        <w:rPr>
          <w:noProof/>
        </w:rPr>
        <w:t>ould</w:t>
      </w:r>
      <w:r>
        <w:rPr>
          <w:noProof/>
        </w:rPr>
        <w:t xml:space="preserve"> likely</w:t>
      </w:r>
      <w:r w:rsidR="00AF542D">
        <w:rPr>
          <w:noProof/>
        </w:rPr>
        <w:t xml:space="preserve"> compromise the entire purpose of the Agreement. </w:t>
      </w:r>
    </w:p>
    <w:p w14:paraId="057C2B60" w14:textId="7AC27E58" w:rsidR="00246900" w:rsidRPr="00246900" w:rsidRDefault="00246900" w:rsidP="00246900">
      <w:pPr>
        <w:rPr>
          <w:noProof/>
        </w:rPr>
      </w:pPr>
      <w:r>
        <w:rPr>
          <w:noProof/>
        </w:rPr>
        <w:t xml:space="preserve">A Union position is required as the amendment tabled by the Republic of Belarus, if accepted, </w:t>
      </w:r>
      <w:r w:rsidR="00EB0BF5">
        <w:rPr>
          <w:noProof/>
        </w:rPr>
        <w:t>will be</w:t>
      </w:r>
      <w:r>
        <w:rPr>
          <w:noProof/>
        </w:rPr>
        <w:t xml:space="preserve"> binding on all </w:t>
      </w:r>
      <w:r w:rsidR="00E10BD8">
        <w:rPr>
          <w:noProof/>
        </w:rPr>
        <w:t xml:space="preserve">AETR </w:t>
      </w:r>
      <w:r>
        <w:rPr>
          <w:noProof/>
        </w:rPr>
        <w:t xml:space="preserve">Contracting Parties, which </w:t>
      </w:r>
      <w:r w:rsidR="00E10BD8">
        <w:rPr>
          <w:noProof/>
        </w:rPr>
        <w:t xml:space="preserve">includes </w:t>
      </w:r>
      <w:r>
        <w:rPr>
          <w:noProof/>
        </w:rPr>
        <w:t xml:space="preserve">all Member States. </w:t>
      </w:r>
      <w:r w:rsidR="00DC53DD">
        <w:rPr>
          <w:noProof/>
          <w:lang w:val="en-US" w:bidi="en-US"/>
        </w:rPr>
        <w:t>In its judgment of 31</w:t>
      </w:r>
      <w:r w:rsidR="00A912EB">
        <w:rPr>
          <w:noProof/>
          <w:lang w:val="en-US" w:bidi="en-US"/>
        </w:rPr>
        <w:t> </w:t>
      </w:r>
      <w:r w:rsidR="00DC53DD">
        <w:rPr>
          <w:noProof/>
          <w:lang w:val="en-US" w:bidi="en-US"/>
        </w:rPr>
        <w:t>March 1971</w:t>
      </w:r>
      <w:r w:rsidR="00EB0BF5">
        <w:rPr>
          <w:noProof/>
          <w:lang w:val="en-US" w:bidi="en-US"/>
        </w:rPr>
        <w:t xml:space="preserve"> in</w:t>
      </w:r>
      <w:r w:rsidR="00DC53DD">
        <w:rPr>
          <w:noProof/>
          <w:lang w:val="en-US" w:bidi="en-US"/>
        </w:rPr>
        <w:t xml:space="preserve"> </w:t>
      </w:r>
      <w:r w:rsidR="00EB0BF5">
        <w:rPr>
          <w:noProof/>
          <w:lang w:val="en-US" w:bidi="en-US"/>
        </w:rPr>
        <w:t>C</w:t>
      </w:r>
      <w:r w:rsidR="00DC53DD">
        <w:rPr>
          <w:noProof/>
          <w:lang w:val="en-US" w:bidi="en-US"/>
        </w:rPr>
        <w:t xml:space="preserve">ase 22/70 </w:t>
      </w:r>
      <w:r w:rsidR="00DC53DD">
        <w:rPr>
          <w:i/>
          <w:noProof/>
          <w:lang w:val="en-US" w:bidi="en-US"/>
        </w:rPr>
        <w:t>AETR</w:t>
      </w:r>
      <w:r w:rsidR="00EB0BF5">
        <w:rPr>
          <w:rStyle w:val="FootnoteReference"/>
          <w:i/>
          <w:noProof/>
          <w:lang w:val="en-US" w:bidi="en-US"/>
        </w:rPr>
        <w:footnoteReference w:id="6"/>
      </w:r>
      <w:r w:rsidR="00DC53DD">
        <w:rPr>
          <w:i/>
          <w:noProof/>
          <w:lang w:val="en-US" w:bidi="en-US"/>
        </w:rPr>
        <w:t xml:space="preserve">, </w:t>
      </w:r>
      <w:r w:rsidR="00DC53DD">
        <w:rPr>
          <w:noProof/>
          <w:lang w:val="en-US" w:bidi="en-US"/>
        </w:rPr>
        <w:t xml:space="preserve">the Court of Justice of the European Union </w:t>
      </w:r>
      <w:r w:rsidR="00DC53DD" w:rsidRPr="008B4A11">
        <w:rPr>
          <w:noProof/>
          <w:lang w:bidi="en-US"/>
        </w:rPr>
        <w:t>recogni</w:t>
      </w:r>
      <w:r w:rsidR="00EB0BF5" w:rsidRPr="008B4A11">
        <w:rPr>
          <w:noProof/>
          <w:lang w:bidi="en-US"/>
        </w:rPr>
        <w:t>s</w:t>
      </w:r>
      <w:r w:rsidR="00DC53DD" w:rsidRPr="008B4A11">
        <w:rPr>
          <w:noProof/>
          <w:lang w:bidi="en-US"/>
        </w:rPr>
        <w:t>ed</w:t>
      </w:r>
      <w:r w:rsidR="00DC53DD">
        <w:rPr>
          <w:noProof/>
          <w:lang w:val="en-US" w:bidi="en-US"/>
        </w:rPr>
        <w:t xml:space="preserve"> that the area of the work of crews of vehicles engaged in road transport is an </w:t>
      </w:r>
      <w:r w:rsidR="00FD19FD">
        <w:rPr>
          <w:noProof/>
          <w:lang w:val="en-US" w:bidi="en-US"/>
        </w:rPr>
        <w:t xml:space="preserve">exclusive </w:t>
      </w:r>
      <w:r w:rsidR="00DC53DD">
        <w:rPr>
          <w:noProof/>
          <w:lang w:val="en-US" w:bidi="en-US"/>
        </w:rPr>
        <w:t xml:space="preserve">external competence of the Union. This competence has </w:t>
      </w:r>
      <w:r w:rsidR="00E10BD8">
        <w:rPr>
          <w:noProof/>
          <w:lang w:val="en-US" w:bidi="en-US"/>
        </w:rPr>
        <w:t xml:space="preserve">since </w:t>
      </w:r>
      <w:r w:rsidR="00DC53DD">
        <w:rPr>
          <w:noProof/>
          <w:lang w:val="en-US" w:bidi="en-US"/>
        </w:rPr>
        <w:t xml:space="preserve">been exercised in numerous </w:t>
      </w:r>
      <w:r w:rsidR="00EB0BF5">
        <w:rPr>
          <w:noProof/>
          <w:lang w:val="en-US" w:bidi="en-US"/>
        </w:rPr>
        <w:t xml:space="preserve">legislative </w:t>
      </w:r>
      <w:r w:rsidR="00DC53DD">
        <w:rPr>
          <w:noProof/>
          <w:lang w:val="en-US" w:bidi="en-US"/>
        </w:rPr>
        <w:t xml:space="preserve">acts adopted by the Union </w:t>
      </w:r>
      <w:r w:rsidR="00EB0BF5">
        <w:rPr>
          <w:noProof/>
          <w:lang w:val="en-US" w:bidi="en-US"/>
        </w:rPr>
        <w:t>co-</w:t>
      </w:r>
      <w:r w:rsidR="00DC53DD">
        <w:rPr>
          <w:noProof/>
          <w:lang w:val="en-US" w:bidi="en-US"/>
        </w:rPr>
        <w:t>legislator</w:t>
      </w:r>
      <w:r w:rsidR="00EB0BF5">
        <w:rPr>
          <w:noProof/>
          <w:lang w:val="en-US" w:bidi="en-US"/>
        </w:rPr>
        <w:t>s</w:t>
      </w:r>
      <w:r w:rsidR="00DC53DD">
        <w:rPr>
          <w:noProof/>
          <w:lang w:val="en-US" w:bidi="en-US"/>
        </w:rPr>
        <w:t>, including Regulation (EC) No</w:t>
      </w:r>
      <w:r w:rsidR="00A912EB">
        <w:rPr>
          <w:noProof/>
          <w:lang w:val="en-US" w:bidi="en-US"/>
        </w:rPr>
        <w:t> </w:t>
      </w:r>
      <w:r w:rsidR="00DC53DD">
        <w:rPr>
          <w:noProof/>
          <w:lang w:val="bg-BG" w:eastAsia="bg-BG" w:bidi="bg-BG"/>
        </w:rPr>
        <w:t xml:space="preserve">561/2006 </w:t>
      </w:r>
      <w:r w:rsidR="00DC53DD">
        <w:rPr>
          <w:noProof/>
          <w:lang w:val="en-US" w:bidi="en-US"/>
        </w:rPr>
        <w:t>of the European Parliament and of the Council</w:t>
      </w:r>
      <w:r w:rsidR="00DC53DD">
        <w:rPr>
          <w:rStyle w:val="FootnoteReference"/>
          <w:noProof/>
        </w:rPr>
        <w:footnoteReference w:id="7"/>
      </w:r>
      <w:r w:rsidR="00DC53DD">
        <w:rPr>
          <w:noProof/>
        </w:rPr>
        <w:t xml:space="preserve"> and Regulation (EU) No</w:t>
      </w:r>
      <w:r w:rsidR="00A912EB">
        <w:rPr>
          <w:noProof/>
        </w:rPr>
        <w:t> </w:t>
      </w:r>
      <w:r w:rsidR="00DC53DD">
        <w:rPr>
          <w:noProof/>
        </w:rPr>
        <w:t xml:space="preserve">165/2014 </w:t>
      </w:r>
      <w:r w:rsidR="00DC53DD">
        <w:rPr>
          <w:noProof/>
          <w:lang w:val="en-US" w:bidi="en-US"/>
        </w:rPr>
        <w:t>of the European Parliament and of the Council</w:t>
      </w:r>
      <w:r w:rsidR="00DC53DD">
        <w:rPr>
          <w:rStyle w:val="FootnoteReference"/>
          <w:noProof/>
        </w:rPr>
        <w:footnoteReference w:id="8"/>
      </w:r>
      <w:r w:rsidR="00DC53DD">
        <w:rPr>
          <w:noProof/>
          <w:lang w:val="en-US" w:bidi="en-US"/>
        </w:rPr>
        <w:t>.</w:t>
      </w:r>
      <w:r w:rsidR="00DC53DD">
        <w:rPr>
          <w:noProof/>
        </w:rPr>
        <w:t xml:space="preserve"> The envisaged act</w:t>
      </w:r>
      <w:r>
        <w:rPr>
          <w:noProof/>
        </w:rPr>
        <w:t xml:space="preserve"> </w:t>
      </w:r>
      <w:r w:rsidR="00AB6F1B">
        <w:rPr>
          <w:noProof/>
        </w:rPr>
        <w:t>has direct implications on EU law, including Regulations (EC) No</w:t>
      </w:r>
      <w:r w:rsidR="00A912EB">
        <w:rPr>
          <w:noProof/>
        </w:rPr>
        <w:t> </w:t>
      </w:r>
      <w:r w:rsidR="00AB6F1B">
        <w:rPr>
          <w:noProof/>
        </w:rPr>
        <w:t>561/2006 and (EU) No</w:t>
      </w:r>
      <w:r w:rsidR="00A912EB">
        <w:rPr>
          <w:noProof/>
        </w:rPr>
        <w:t> </w:t>
      </w:r>
      <w:r w:rsidR="00AB6F1B">
        <w:rPr>
          <w:noProof/>
        </w:rPr>
        <w:t>165/2014</w:t>
      </w:r>
      <w:r>
        <w:rPr>
          <w:noProof/>
        </w:rPr>
        <w:t xml:space="preserve">. </w:t>
      </w:r>
      <w:r w:rsidR="00EB0BF5" w:rsidRPr="00EB0BF5">
        <w:rPr>
          <w:noProof/>
        </w:rPr>
        <w:t>Since the subject matter of the AETR falls within the scope of Regulation (EC) No</w:t>
      </w:r>
      <w:r w:rsidR="00A912EB">
        <w:rPr>
          <w:noProof/>
        </w:rPr>
        <w:t> </w:t>
      </w:r>
      <w:r w:rsidR="00EB0BF5" w:rsidRPr="00EB0BF5">
        <w:rPr>
          <w:noProof/>
        </w:rPr>
        <w:t>561/2006, the power to negotiate and conclude the Agreement and its modifications lies exclusively with the Union</w:t>
      </w:r>
      <w:r w:rsidR="00FD19FD">
        <w:rPr>
          <w:noProof/>
        </w:rPr>
        <w:t xml:space="preserve"> pursuant to article 3(2) TFEU</w:t>
      </w:r>
      <w:r w:rsidR="00EB0BF5" w:rsidRPr="00EB0BF5">
        <w:rPr>
          <w:noProof/>
        </w:rPr>
        <w:t>.</w:t>
      </w:r>
      <w:r w:rsidR="00AB6F1B">
        <w:rPr>
          <w:noProof/>
        </w:rPr>
        <w:t xml:space="preserve"> </w:t>
      </w:r>
    </w:p>
    <w:p w14:paraId="0798A23F" w14:textId="4A6A26B5" w:rsidR="00FE2150" w:rsidRPr="00E34F04" w:rsidRDefault="009F7791" w:rsidP="009F7791">
      <w:pPr>
        <w:pStyle w:val="ManualHeading1"/>
        <w:rPr>
          <w:noProof/>
        </w:rPr>
      </w:pPr>
      <w:r w:rsidRPr="009F7791">
        <w:t>4.</w:t>
      </w:r>
      <w:r w:rsidRPr="009F7791">
        <w:tab/>
      </w:r>
      <w:r w:rsidR="00FE2150" w:rsidRPr="00E34F04">
        <w:rPr>
          <w:noProof/>
        </w:rPr>
        <w:t>Legal basis</w:t>
      </w:r>
    </w:p>
    <w:p w14:paraId="05951059" w14:textId="0920CD21" w:rsidR="00FE2150" w:rsidRPr="00E34F04" w:rsidRDefault="009F7791" w:rsidP="009F7791">
      <w:pPr>
        <w:pStyle w:val="ManualHeading2"/>
        <w:rPr>
          <w:noProof/>
        </w:rPr>
      </w:pPr>
      <w:r w:rsidRPr="009F7791">
        <w:t>4.1.</w:t>
      </w:r>
      <w:r w:rsidRPr="009F7791">
        <w:tab/>
      </w:r>
      <w:r w:rsidR="00FE2150" w:rsidRPr="00E34F04">
        <w:rPr>
          <w:noProof/>
        </w:rPr>
        <w:t>Procedural legal basis</w:t>
      </w:r>
    </w:p>
    <w:p w14:paraId="42A0E86B" w14:textId="2527F64E" w:rsidR="00FE2150" w:rsidRPr="00E34F04" w:rsidRDefault="009F7791" w:rsidP="009F7791">
      <w:pPr>
        <w:pStyle w:val="ManualHeading3"/>
        <w:rPr>
          <w:noProof/>
        </w:rPr>
      </w:pPr>
      <w:r w:rsidRPr="009F7791">
        <w:t>4.1.1.</w:t>
      </w:r>
      <w:r w:rsidRPr="009F7791">
        <w:tab/>
      </w:r>
      <w:r w:rsidR="00FE2150" w:rsidRPr="00E34F04">
        <w:rPr>
          <w:noProof/>
        </w:rPr>
        <w:t>Principles</w:t>
      </w:r>
    </w:p>
    <w:p w14:paraId="320132A7" w14:textId="77777777" w:rsidR="00FE2150" w:rsidRPr="00E34F04" w:rsidRDefault="00FE2150" w:rsidP="00065472">
      <w:pPr>
        <w:rPr>
          <w:noProof/>
        </w:rPr>
      </w:pPr>
      <w:r w:rsidRPr="00E34F04">
        <w:rPr>
          <w:noProof/>
        </w:rPr>
        <w:t>Article</w:t>
      </w:r>
      <w:r w:rsidR="00E10BD8">
        <w:rPr>
          <w:noProof/>
        </w:rPr>
        <w:t> </w:t>
      </w:r>
      <w:r w:rsidRPr="00E34F04">
        <w:rPr>
          <w:noProof/>
        </w:rPr>
        <w:t>218(9) of the Treaty on the Functioning of the European Union (TFEU) provides for decisions establishing ‘</w:t>
      </w:r>
      <w:r w:rsidRPr="00E34F04">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sidRPr="00E34F04">
        <w:rPr>
          <w:noProof/>
        </w:rPr>
        <w:t>.’</w:t>
      </w:r>
    </w:p>
    <w:p w14:paraId="73010C14" w14:textId="77777777" w:rsidR="00FE2150" w:rsidRPr="00E34F04" w:rsidRDefault="00FE2150" w:rsidP="00065472">
      <w:pPr>
        <w:rPr>
          <w:noProof/>
        </w:rPr>
      </w:pPr>
      <w:r w:rsidRPr="00E34F04">
        <w:rPr>
          <w:noProof/>
        </w:rPr>
        <w:t>Article</w:t>
      </w:r>
      <w:r w:rsidR="00E10BD8">
        <w:rPr>
          <w:noProof/>
        </w:rPr>
        <w:t> </w:t>
      </w:r>
      <w:r w:rsidRPr="00E34F04">
        <w:rPr>
          <w:noProof/>
        </w:rPr>
        <w:t>218(9) TFEU applies regardless of whether the Union is a member of the body or a party to the agreement</w:t>
      </w:r>
      <w:r w:rsidRPr="00E34F04">
        <w:rPr>
          <w:rStyle w:val="FootnoteReference"/>
          <w:noProof/>
        </w:rPr>
        <w:footnoteReference w:id="9"/>
      </w:r>
      <w:r w:rsidRPr="00E34F04">
        <w:rPr>
          <w:noProof/>
        </w:rPr>
        <w:t>.</w:t>
      </w:r>
    </w:p>
    <w:p w14:paraId="0A394C30" w14:textId="77777777" w:rsidR="00FE2150" w:rsidRPr="00E34F04" w:rsidRDefault="00FE2150" w:rsidP="00065472">
      <w:pPr>
        <w:rPr>
          <w:noProof/>
        </w:rPr>
      </w:pPr>
      <w:r w:rsidRPr="00E34F04">
        <w:rPr>
          <w:noProof/>
        </w:rPr>
        <w:t>The concept of ‘</w:t>
      </w:r>
      <w:r w:rsidRPr="00E34F04">
        <w:rPr>
          <w:i/>
          <w:noProof/>
        </w:rPr>
        <w:t>acts having legal effects</w:t>
      </w:r>
      <w:r w:rsidRPr="00E34F04">
        <w:rPr>
          <w:noProof/>
        </w:rPr>
        <w:t>’ includes acts that have legal effects by virtue of the rules of international law governing the body in question. It also includes instruments that do not have a binding effect under international law, but that are ‘</w:t>
      </w:r>
      <w:r w:rsidRPr="00E34F04">
        <w:rPr>
          <w:i/>
          <w:noProof/>
        </w:rPr>
        <w:t>capable of decisively influencing the content of the legislation adopted by the EU legislature</w:t>
      </w:r>
      <w:r w:rsidRPr="00E34F04">
        <w:rPr>
          <w:noProof/>
        </w:rPr>
        <w:t>’</w:t>
      </w:r>
      <w:r w:rsidRPr="00E34F04">
        <w:rPr>
          <w:rStyle w:val="FootnoteReference"/>
          <w:noProof/>
        </w:rPr>
        <w:footnoteReference w:id="10"/>
      </w:r>
      <w:r w:rsidRPr="00E34F04">
        <w:rPr>
          <w:noProof/>
        </w:rPr>
        <w:t>.</w:t>
      </w:r>
    </w:p>
    <w:p w14:paraId="532C76B9" w14:textId="0FD2CDA5" w:rsidR="00FE2150" w:rsidRPr="00E34F04" w:rsidRDefault="009F7791" w:rsidP="009F7791">
      <w:pPr>
        <w:pStyle w:val="ManualHeading3"/>
        <w:rPr>
          <w:noProof/>
        </w:rPr>
      </w:pPr>
      <w:r w:rsidRPr="009F7791">
        <w:t>4.1.2.</w:t>
      </w:r>
      <w:r w:rsidRPr="009F7791">
        <w:tab/>
      </w:r>
      <w:r w:rsidR="00FE2150" w:rsidRPr="00E34F04">
        <w:rPr>
          <w:noProof/>
        </w:rPr>
        <w:t>Application to the present case</w:t>
      </w:r>
    </w:p>
    <w:p w14:paraId="6BD37444" w14:textId="77777777" w:rsidR="00DF661E" w:rsidRDefault="00DF661E" w:rsidP="00DF661E">
      <w:pPr>
        <w:rPr>
          <w:noProof/>
        </w:rPr>
      </w:pPr>
      <w:r>
        <w:rPr>
          <w:noProof/>
        </w:rPr>
        <w:t xml:space="preserve">The </w:t>
      </w:r>
      <w:r w:rsidR="00EB0BF5">
        <w:rPr>
          <w:noProof/>
        </w:rPr>
        <w:t xml:space="preserve">Group of Experts on the AETR and the </w:t>
      </w:r>
      <w:r>
        <w:rPr>
          <w:noProof/>
        </w:rPr>
        <w:t xml:space="preserve">Working Party on Road Transport </w:t>
      </w:r>
      <w:r w:rsidR="00EB0BF5">
        <w:rPr>
          <w:noProof/>
        </w:rPr>
        <w:t xml:space="preserve">(SC.1) </w:t>
      </w:r>
      <w:r>
        <w:rPr>
          <w:noProof/>
        </w:rPr>
        <w:t>are bodies set up by the Inland Transport Committee of the UNECE.</w:t>
      </w:r>
    </w:p>
    <w:p w14:paraId="2A204579" w14:textId="261EC2B2" w:rsidR="00DF661E" w:rsidRPr="00AA43D1" w:rsidRDefault="00DF661E" w:rsidP="00DF661E">
      <w:pPr>
        <w:rPr>
          <w:noProof/>
        </w:rPr>
      </w:pPr>
      <w:r w:rsidRPr="00AA43D1">
        <w:rPr>
          <w:noProof/>
        </w:rPr>
        <w:t xml:space="preserve">The </w:t>
      </w:r>
      <w:r w:rsidR="009574EA" w:rsidRPr="00AA43D1">
        <w:rPr>
          <w:noProof/>
        </w:rPr>
        <w:t>proposed amendment</w:t>
      </w:r>
      <w:r w:rsidR="000136D8" w:rsidRPr="00AA43D1">
        <w:rPr>
          <w:noProof/>
        </w:rPr>
        <w:t xml:space="preserve"> </w:t>
      </w:r>
      <w:r w:rsidR="009574EA" w:rsidRPr="00AA43D1">
        <w:rPr>
          <w:noProof/>
        </w:rPr>
        <w:t xml:space="preserve">constitutes an </w:t>
      </w:r>
      <w:r w:rsidR="00433D61" w:rsidRPr="00AA43D1">
        <w:rPr>
          <w:noProof/>
        </w:rPr>
        <w:t xml:space="preserve">act </w:t>
      </w:r>
      <w:r w:rsidRPr="00AA43D1">
        <w:rPr>
          <w:noProof/>
        </w:rPr>
        <w:t>having legal effects. The envisaged a</w:t>
      </w:r>
      <w:r w:rsidR="00433D61" w:rsidRPr="00AA43D1">
        <w:rPr>
          <w:noProof/>
        </w:rPr>
        <w:t xml:space="preserve">mendment, if </w:t>
      </w:r>
      <w:r w:rsidR="00B144A1" w:rsidRPr="00AA43D1">
        <w:rPr>
          <w:noProof/>
        </w:rPr>
        <w:t xml:space="preserve">then </w:t>
      </w:r>
      <w:r w:rsidR="00433D61" w:rsidRPr="00AA43D1">
        <w:rPr>
          <w:noProof/>
        </w:rPr>
        <w:t>adopted,</w:t>
      </w:r>
      <w:r w:rsidRPr="00AA43D1">
        <w:rPr>
          <w:noProof/>
        </w:rPr>
        <w:t xml:space="preserve"> w</w:t>
      </w:r>
      <w:r w:rsidR="00433D61" w:rsidRPr="00AA43D1">
        <w:rPr>
          <w:noProof/>
        </w:rPr>
        <w:t>ould</w:t>
      </w:r>
      <w:r w:rsidRPr="00AA43D1">
        <w:rPr>
          <w:noProof/>
        </w:rPr>
        <w:t xml:space="preserve"> be binding under international law in accordance with </w:t>
      </w:r>
      <w:r w:rsidR="00A94E1F" w:rsidRPr="00AA43D1">
        <w:rPr>
          <w:noProof/>
        </w:rPr>
        <w:t xml:space="preserve">21(6) </w:t>
      </w:r>
      <w:r w:rsidRPr="00AA43D1">
        <w:rPr>
          <w:noProof/>
        </w:rPr>
        <w:t xml:space="preserve">of the </w:t>
      </w:r>
      <w:r w:rsidR="00EB0BF5" w:rsidRPr="00AA43D1">
        <w:rPr>
          <w:noProof/>
        </w:rPr>
        <w:t>AETR</w:t>
      </w:r>
      <w:r w:rsidR="00433D61" w:rsidRPr="00AA43D1">
        <w:rPr>
          <w:noProof/>
        </w:rPr>
        <w:t xml:space="preserve"> and </w:t>
      </w:r>
      <w:r w:rsidR="00F6117D" w:rsidRPr="00AA43D1">
        <w:rPr>
          <w:noProof/>
        </w:rPr>
        <w:t>capable of decisively influencing the content of EU legislation, namely Regulations (EC) No</w:t>
      </w:r>
      <w:r w:rsidR="008429AB" w:rsidRPr="00AA43D1">
        <w:rPr>
          <w:noProof/>
        </w:rPr>
        <w:t> </w:t>
      </w:r>
      <w:r w:rsidR="00F6117D" w:rsidRPr="00AA43D1">
        <w:rPr>
          <w:noProof/>
        </w:rPr>
        <w:t>561/2006 and (EU) No</w:t>
      </w:r>
      <w:r w:rsidR="008429AB" w:rsidRPr="00AA43D1">
        <w:rPr>
          <w:noProof/>
        </w:rPr>
        <w:t> </w:t>
      </w:r>
      <w:r w:rsidR="00F6117D" w:rsidRPr="00AA43D1">
        <w:rPr>
          <w:noProof/>
        </w:rPr>
        <w:t>165/2014</w:t>
      </w:r>
      <w:r w:rsidR="00BB460A" w:rsidRPr="00AA43D1">
        <w:rPr>
          <w:noProof/>
        </w:rPr>
        <w:t xml:space="preserve"> which cover the AETR subject matter</w:t>
      </w:r>
      <w:r w:rsidR="009A6728" w:rsidRPr="00AA43D1">
        <w:rPr>
          <w:noProof/>
        </w:rPr>
        <w:t xml:space="preserve"> and explicitly refer to that agreement</w:t>
      </w:r>
      <w:r w:rsidRPr="00AA43D1">
        <w:rPr>
          <w:noProof/>
        </w:rPr>
        <w:t xml:space="preserve">. </w:t>
      </w:r>
    </w:p>
    <w:p w14:paraId="3315F4AC" w14:textId="77777777" w:rsidR="00FE2150" w:rsidRPr="00E34F04" w:rsidRDefault="00FE2150" w:rsidP="00065472">
      <w:pPr>
        <w:rPr>
          <w:noProof/>
        </w:rPr>
      </w:pPr>
      <w:r w:rsidRPr="00E34F04">
        <w:rPr>
          <w:noProof/>
        </w:rPr>
        <w:t xml:space="preserve">The envisaged act does not supplement or amend the institutional framework of the </w:t>
      </w:r>
      <w:r w:rsidR="00EB0BF5">
        <w:rPr>
          <w:noProof/>
        </w:rPr>
        <w:t>AETR</w:t>
      </w:r>
      <w:r w:rsidRPr="00E34F04">
        <w:rPr>
          <w:noProof/>
        </w:rPr>
        <w:t>.</w:t>
      </w:r>
    </w:p>
    <w:p w14:paraId="6C58296C" w14:textId="77777777" w:rsidR="00FE2150" w:rsidRPr="00E34F04" w:rsidRDefault="00FE2150" w:rsidP="00065472">
      <w:pPr>
        <w:rPr>
          <w:noProof/>
        </w:rPr>
      </w:pPr>
      <w:r w:rsidRPr="00E34F04">
        <w:rPr>
          <w:noProof/>
        </w:rPr>
        <w:t>Therefore, the procedural legal basis for the proposed decision is Article</w:t>
      </w:r>
      <w:r w:rsidR="00E10BD8">
        <w:rPr>
          <w:noProof/>
        </w:rPr>
        <w:t> </w:t>
      </w:r>
      <w:r w:rsidRPr="00E34F04">
        <w:rPr>
          <w:noProof/>
        </w:rPr>
        <w:t>218(9) TFEU.</w:t>
      </w:r>
    </w:p>
    <w:p w14:paraId="0D3A0441" w14:textId="7AAE67D8" w:rsidR="00FE2150" w:rsidRPr="00E34F04" w:rsidRDefault="009F7791" w:rsidP="009F7791">
      <w:pPr>
        <w:pStyle w:val="ManualHeading2"/>
        <w:rPr>
          <w:noProof/>
        </w:rPr>
      </w:pPr>
      <w:r w:rsidRPr="009F7791">
        <w:t>4.2.</w:t>
      </w:r>
      <w:r w:rsidRPr="009F7791">
        <w:tab/>
      </w:r>
      <w:r w:rsidR="00FE2150" w:rsidRPr="00E34F04">
        <w:rPr>
          <w:noProof/>
        </w:rPr>
        <w:t>Substantive legal basis</w:t>
      </w:r>
    </w:p>
    <w:p w14:paraId="05C1FA5F" w14:textId="33811925" w:rsidR="00FE2150" w:rsidRPr="00E34F04" w:rsidRDefault="009F7791" w:rsidP="009F7791">
      <w:pPr>
        <w:pStyle w:val="ManualHeading3"/>
        <w:rPr>
          <w:noProof/>
        </w:rPr>
      </w:pPr>
      <w:r w:rsidRPr="009F7791">
        <w:t>4.2.1.</w:t>
      </w:r>
      <w:r w:rsidRPr="009F7791">
        <w:tab/>
      </w:r>
      <w:r w:rsidR="00FE2150" w:rsidRPr="00E34F04">
        <w:rPr>
          <w:noProof/>
        </w:rPr>
        <w:t>Principles</w:t>
      </w:r>
    </w:p>
    <w:p w14:paraId="7DAED04C" w14:textId="77777777" w:rsidR="00FE2150" w:rsidRPr="00E34F04" w:rsidRDefault="00FE2150" w:rsidP="00065472">
      <w:pPr>
        <w:rPr>
          <w:noProof/>
        </w:rPr>
      </w:pPr>
      <w:r w:rsidRPr="00E34F04">
        <w:rPr>
          <w:noProof/>
        </w:rPr>
        <w:t>The substantive legal basis for a decision under Article</w:t>
      </w:r>
      <w:r w:rsidR="00E10BD8">
        <w:rPr>
          <w:noProof/>
        </w:rPr>
        <w:t> </w:t>
      </w:r>
      <w:r w:rsidRPr="00E34F04">
        <w:rPr>
          <w:noProof/>
        </w:rPr>
        <w:t>218(9) TFEU depends primarily on the objective and content of the envisaged act in respect of which a position is taken on the Union</w:t>
      </w:r>
      <w:r w:rsidR="00E10BD8">
        <w:rPr>
          <w:noProof/>
        </w:rPr>
        <w:t>’</w:t>
      </w:r>
      <w:r w:rsidRPr="00E34F04">
        <w:rPr>
          <w:noProof/>
        </w:rPr>
        <w:t>s behalf. If the envisaged act pursues two aims or has two components and if one of those aims or components is identifiable as the main one, whereas the other is merely incidental, the decision under Article</w:t>
      </w:r>
      <w:r w:rsidR="008429AB">
        <w:rPr>
          <w:noProof/>
        </w:rPr>
        <w:t> </w:t>
      </w:r>
      <w:r w:rsidRPr="00E34F04">
        <w:rPr>
          <w:noProof/>
        </w:rPr>
        <w:t>218(9) TFEU must be founded on a single substantive legal basis, namely that required by the main or predominant aim or component.</w:t>
      </w:r>
    </w:p>
    <w:p w14:paraId="3679DFE2" w14:textId="5E02FBC2" w:rsidR="00FE2150" w:rsidRPr="00FE7A36" w:rsidRDefault="009F7791" w:rsidP="009F7791">
      <w:pPr>
        <w:pStyle w:val="ManualHeading3"/>
        <w:rPr>
          <w:noProof/>
        </w:rPr>
      </w:pPr>
      <w:r w:rsidRPr="009F7791">
        <w:t>4.2.2.</w:t>
      </w:r>
      <w:r w:rsidRPr="009F7791">
        <w:tab/>
      </w:r>
      <w:r w:rsidR="00FE2150" w:rsidRPr="00E34F04">
        <w:rPr>
          <w:noProof/>
        </w:rPr>
        <w:t>Application to the present case</w:t>
      </w:r>
    </w:p>
    <w:p w14:paraId="7C8EA6B5" w14:textId="77777777" w:rsidR="00FE2150" w:rsidRPr="00E34F04" w:rsidRDefault="00FE2150" w:rsidP="00065472">
      <w:pPr>
        <w:rPr>
          <w:noProof/>
        </w:rPr>
      </w:pPr>
      <w:r w:rsidRPr="00E34F04">
        <w:rPr>
          <w:noProof/>
        </w:rPr>
        <w:t>The main objective and content of the envisaged act relate to</w:t>
      </w:r>
      <w:r w:rsidR="00DF661E">
        <w:rPr>
          <w:noProof/>
        </w:rPr>
        <w:t xml:space="preserve"> </w:t>
      </w:r>
      <w:r w:rsidR="00EB0BF5">
        <w:rPr>
          <w:noProof/>
        </w:rPr>
        <w:t>t</w:t>
      </w:r>
      <w:r w:rsidR="00DF661E">
        <w:rPr>
          <w:noProof/>
        </w:rPr>
        <w:t>ransport</w:t>
      </w:r>
      <w:r w:rsidR="00EB0BF5">
        <w:rPr>
          <w:noProof/>
        </w:rPr>
        <w:t xml:space="preserve"> policy</w:t>
      </w:r>
      <w:r w:rsidRPr="00E34F04">
        <w:rPr>
          <w:noProof/>
        </w:rPr>
        <w:t>.</w:t>
      </w:r>
    </w:p>
    <w:p w14:paraId="079E6425" w14:textId="77777777" w:rsidR="00FE2150" w:rsidRPr="00E34F04" w:rsidRDefault="00FE2150" w:rsidP="00065472">
      <w:pPr>
        <w:rPr>
          <w:i/>
          <w:noProof/>
        </w:rPr>
      </w:pPr>
      <w:r w:rsidRPr="00E34F04">
        <w:rPr>
          <w:noProof/>
        </w:rPr>
        <w:t>Therefore, the substantive legal basis of the proposed decision is</w:t>
      </w:r>
      <w:r w:rsidR="00DF661E">
        <w:rPr>
          <w:noProof/>
        </w:rPr>
        <w:t xml:space="preserve"> Article</w:t>
      </w:r>
      <w:r w:rsidR="00E10BD8">
        <w:rPr>
          <w:noProof/>
        </w:rPr>
        <w:t> </w:t>
      </w:r>
      <w:r w:rsidR="00DF661E">
        <w:rPr>
          <w:noProof/>
        </w:rPr>
        <w:t>91 TFEU</w:t>
      </w:r>
      <w:r w:rsidRPr="00E34F04">
        <w:rPr>
          <w:noProof/>
        </w:rPr>
        <w:t>.</w:t>
      </w:r>
    </w:p>
    <w:p w14:paraId="6274929E" w14:textId="0E7C9F96" w:rsidR="00FE2150" w:rsidRPr="00E34F04" w:rsidRDefault="009F7791" w:rsidP="009F7791">
      <w:pPr>
        <w:pStyle w:val="ManualHeading2"/>
        <w:rPr>
          <w:noProof/>
        </w:rPr>
      </w:pPr>
      <w:r w:rsidRPr="009F7791">
        <w:t>4.3.</w:t>
      </w:r>
      <w:r w:rsidRPr="009F7791">
        <w:tab/>
      </w:r>
      <w:r w:rsidR="00FE2150" w:rsidRPr="00E34F04">
        <w:rPr>
          <w:noProof/>
        </w:rPr>
        <w:t>Conclusion</w:t>
      </w:r>
    </w:p>
    <w:p w14:paraId="2D299390" w14:textId="77777777" w:rsidR="00FE2150" w:rsidRPr="00E34F04" w:rsidRDefault="00FE2150" w:rsidP="00065472">
      <w:pPr>
        <w:rPr>
          <w:noProof/>
        </w:rPr>
      </w:pPr>
      <w:r w:rsidRPr="00E34F04">
        <w:rPr>
          <w:noProof/>
        </w:rPr>
        <w:t xml:space="preserve">The legal basis of the proposed decision should be </w:t>
      </w:r>
      <w:r w:rsidR="00DF661E">
        <w:rPr>
          <w:noProof/>
        </w:rPr>
        <w:t>Article</w:t>
      </w:r>
      <w:r w:rsidR="00E10BD8">
        <w:rPr>
          <w:noProof/>
        </w:rPr>
        <w:t> </w:t>
      </w:r>
      <w:r w:rsidR="00DF661E">
        <w:rPr>
          <w:noProof/>
        </w:rPr>
        <w:t>91 TFEU</w:t>
      </w:r>
      <w:r w:rsidRPr="00E34F04">
        <w:rPr>
          <w:noProof/>
        </w:rPr>
        <w:t>, in conjunction with Article 218(9) TFEU.</w:t>
      </w:r>
    </w:p>
    <w:p w14:paraId="2F0EBED3" w14:textId="77777777" w:rsidR="00FE2150" w:rsidRPr="00FD40BA" w:rsidRDefault="00FE2150" w:rsidP="00065472">
      <w:pPr>
        <w:rPr>
          <w:noProof/>
        </w:rPr>
        <w:sectPr w:rsidR="00FE2150" w:rsidRPr="00FD40BA" w:rsidSect="00DD5CE9">
          <w:footerReference w:type="default" r:id="rId13"/>
          <w:footerReference w:type="first" r:id="rId14"/>
          <w:pgSz w:w="11907" w:h="16839"/>
          <w:pgMar w:top="1134" w:right="1417" w:bottom="1134" w:left="1417" w:header="709" w:footer="709" w:gutter="0"/>
          <w:cols w:space="708"/>
          <w:docGrid w:linePitch="360"/>
        </w:sectPr>
      </w:pPr>
    </w:p>
    <w:p w14:paraId="19FA35EE" w14:textId="7B4C1174" w:rsidR="000B4825" w:rsidRDefault="000B4825" w:rsidP="000B4825">
      <w:pPr>
        <w:pStyle w:val="Rfrenceinterinstitutionnelle"/>
        <w:rPr>
          <w:noProof/>
        </w:rPr>
      </w:pPr>
      <w:r w:rsidRPr="000B4825">
        <w:t>2023/0075 (NLE)</w:t>
      </w:r>
    </w:p>
    <w:p w14:paraId="63BB7161" w14:textId="7CA9D26A" w:rsidR="00FE2150" w:rsidRPr="00E34F04" w:rsidRDefault="00E12321" w:rsidP="00E12321">
      <w:pPr>
        <w:pStyle w:val="Statut"/>
        <w:rPr>
          <w:noProof/>
        </w:rPr>
      </w:pPr>
      <w:r w:rsidRPr="00E12321">
        <w:rPr>
          <w:noProof/>
        </w:rPr>
        <w:t>Proposal for a</w:t>
      </w:r>
    </w:p>
    <w:p w14:paraId="28F97014" w14:textId="4664D760" w:rsidR="00FE2150" w:rsidRPr="00E34F04" w:rsidRDefault="00E12321" w:rsidP="00E12321">
      <w:pPr>
        <w:pStyle w:val="Typedudocument"/>
        <w:rPr>
          <w:noProof/>
        </w:rPr>
      </w:pPr>
      <w:r w:rsidRPr="00E12321">
        <w:rPr>
          <w:noProof/>
        </w:rPr>
        <w:t>COUNCIL DECISION</w:t>
      </w:r>
    </w:p>
    <w:p w14:paraId="044D80F1" w14:textId="158D591E" w:rsidR="00FE2150" w:rsidRPr="00E34F04" w:rsidRDefault="00E12321" w:rsidP="00E12321">
      <w:pPr>
        <w:pStyle w:val="Titreobjet"/>
        <w:rPr>
          <w:noProof/>
        </w:rPr>
      </w:pPr>
      <w:r w:rsidRPr="00E12321">
        <w:rPr>
          <w:noProof/>
        </w:rPr>
        <w:t>on the position to be adopted on behalf of the European Union in the Group of Experts of the European Agreement concerning the work of crews of vehicles engaged in international road transport (AETR), in the Working Party on Road Transport of the United Nations Economic Commission for Europe and, as appropriate, in relation to the notification by the UN Secretary-General pursuant to Article 21(1) of the AETR.</w:t>
      </w:r>
    </w:p>
    <w:p w14:paraId="2C585094" w14:textId="77777777" w:rsidR="00FE2150" w:rsidRPr="00AD2A67" w:rsidRDefault="00FE2150" w:rsidP="00065472">
      <w:pPr>
        <w:pStyle w:val="Institutionquiagit"/>
        <w:rPr>
          <w:noProof/>
        </w:rPr>
      </w:pPr>
      <w:r w:rsidRPr="00AD2A67">
        <w:rPr>
          <w:noProof/>
        </w:rPr>
        <w:t>THE COUNCIL OF THE EUROPEAN UNION,</w:t>
      </w:r>
    </w:p>
    <w:p w14:paraId="53180BFD" w14:textId="77777777" w:rsidR="00FE2150" w:rsidRPr="00E34F04" w:rsidRDefault="00FE2150" w:rsidP="00065472">
      <w:pPr>
        <w:rPr>
          <w:noProof/>
        </w:rPr>
      </w:pPr>
      <w:r w:rsidRPr="00E34F04">
        <w:rPr>
          <w:noProof/>
        </w:rPr>
        <w:t>Having regard to the Treaty on the Functioning of the European Union, and in particular Article</w:t>
      </w:r>
      <w:r w:rsidR="00DF661E">
        <w:rPr>
          <w:noProof/>
        </w:rPr>
        <w:t xml:space="preserve"> 91</w:t>
      </w:r>
      <w:r w:rsidRPr="00E34F04">
        <w:rPr>
          <w:noProof/>
        </w:rPr>
        <w:t>, in conjunction with Article 218(9) thereof,</w:t>
      </w:r>
    </w:p>
    <w:p w14:paraId="5C90DB06" w14:textId="77777777" w:rsidR="00FE2150" w:rsidRPr="00E34F04" w:rsidRDefault="00FE2150" w:rsidP="00065472">
      <w:pPr>
        <w:rPr>
          <w:noProof/>
        </w:rPr>
      </w:pPr>
      <w:r w:rsidRPr="00E34F04">
        <w:rPr>
          <w:noProof/>
        </w:rPr>
        <w:t>Having regard to the proposal from the European Commission,</w:t>
      </w:r>
    </w:p>
    <w:p w14:paraId="3C2F6785" w14:textId="77777777" w:rsidR="00FE2150" w:rsidRPr="00E34F04" w:rsidRDefault="00FE2150" w:rsidP="00065472">
      <w:pPr>
        <w:rPr>
          <w:noProof/>
        </w:rPr>
      </w:pPr>
      <w:r w:rsidRPr="00E34F04">
        <w:rPr>
          <w:noProof/>
        </w:rPr>
        <w:t>Whereas:</w:t>
      </w:r>
    </w:p>
    <w:p w14:paraId="01A33A34" w14:textId="7AF47014" w:rsidR="00FE2150" w:rsidRPr="00E34F04" w:rsidRDefault="009F7791" w:rsidP="009F7791">
      <w:pPr>
        <w:pStyle w:val="ManualConsidrant"/>
        <w:rPr>
          <w:noProof/>
        </w:rPr>
      </w:pPr>
      <w:r w:rsidRPr="009F7791">
        <w:t>(1)</w:t>
      </w:r>
      <w:r w:rsidRPr="009F7791">
        <w:tab/>
      </w:r>
      <w:r w:rsidR="00DC6BF6">
        <w:rPr>
          <w:noProof/>
        </w:rPr>
        <w:t xml:space="preserve">The European </w:t>
      </w:r>
      <w:r w:rsidR="00BE5CB4">
        <w:rPr>
          <w:noProof/>
        </w:rPr>
        <w:t>A</w:t>
      </w:r>
      <w:r w:rsidR="00DC6BF6">
        <w:rPr>
          <w:noProof/>
        </w:rPr>
        <w:t>greement concerning the work of crews of vehicles engaged in international road transport (</w:t>
      </w:r>
      <w:r w:rsidR="00C079DE">
        <w:rPr>
          <w:noProof/>
        </w:rPr>
        <w:t>AETR</w:t>
      </w:r>
      <w:r w:rsidR="00DC6BF6">
        <w:rPr>
          <w:noProof/>
        </w:rPr>
        <w:t>)</w:t>
      </w:r>
      <w:r w:rsidR="00BE5CB4">
        <w:rPr>
          <w:rStyle w:val="FootnoteReference"/>
          <w:noProof/>
        </w:rPr>
        <w:footnoteReference w:id="11"/>
      </w:r>
      <w:r w:rsidR="00DC6BF6">
        <w:rPr>
          <w:noProof/>
        </w:rPr>
        <w:t xml:space="preserve"> entered into force on 5 January 1976.</w:t>
      </w:r>
    </w:p>
    <w:p w14:paraId="6DFC8B0B" w14:textId="6FA07D51" w:rsidR="00FE2150" w:rsidRPr="00E34F04" w:rsidRDefault="009F7791" w:rsidP="009F7791">
      <w:pPr>
        <w:pStyle w:val="ManualConsidrant"/>
        <w:rPr>
          <w:noProof/>
        </w:rPr>
      </w:pPr>
      <w:r w:rsidRPr="009F7791">
        <w:t>(2)</w:t>
      </w:r>
      <w:r w:rsidRPr="009F7791">
        <w:tab/>
      </w:r>
      <w:r w:rsidR="00DC6BF6">
        <w:rPr>
          <w:noProof/>
        </w:rPr>
        <w:t xml:space="preserve">A Group of Experts has been established by the United Nations Economic Commission for Europe in the framework of the </w:t>
      </w:r>
      <w:r w:rsidR="00BE5CB4">
        <w:rPr>
          <w:noProof/>
        </w:rPr>
        <w:t>AETR</w:t>
      </w:r>
      <w:r w:rsidR="00DC6BF6">
        <w:rPr>
          <w:noProof/>
        </w:rPr>
        <w:t xml:space="preserve">. </w:t>
      </w:r>
      <w:r w:rsidR="00BE5CB4">
        <w:rPr>
          <w:noProof/>
        </w:rPr>
        <w:t>It</w:t>
      </w:r>
      <w:r w:rsidR="00DC6BF6">
        <w:rPr>
          <w:noProof/>
        </w:rPr>
        <w:t xml:space="preserve"> is a body empowered to develop and submit proposals for amending the </w:t>
      </w:r>
      <w:r w:rsidR="00BE5CB4">
        <w:rPr>
          <w:noProof/>
        </w:rPr>
        <w:t xml:space="preserve">AETR </w:t>
      </w:r>
      <w:r w:rsidR="00DC6BF6">
        <w:rPr>
          <w:noProof/>
        </w:rPr>
        <w:t xml:space="preserve">to the Working Party on Road Transport. </w:t>
      </w:r>
    </w:p>
    <w:p w14:paraId="0C6F2102" w14:textId="18F7A5CE" w:rsidR="00FE2150" w:rsidRPr="008814A0" w:rsidRDefault="009F7791" w:rsidP="009F7791">
      <w:pPr>
        <w:pStyle w:val="ManualConsidrant"/>
        <w:rPr>
          <w:noProof/>
        </w:rPr>
      </w:pPr>
      <w:r w:rsidRPr="009F7791">
        <w:t>(3)</w:t>
      </w:r>
      <w:r w:rsidRPr="009F7791">
        <w:tab/>
      </w:r>
      <w:r w:rsidR="00FE2150" w:rsidRPr="00E34F04">
        <w:rPr>
          <w:noProof/>
        </w:rPr>
        <w:t>The</w:t>
      </w:r>
      <w:r w:rsidR="00DC6BF6">
        <w:rPr>
          <w:noProof/>
        </w:rPr>
        <w:t xml:space="preserve"> Group of Experts on AETR,</w:t>
      </w:r>
      <w:r w:rsidR="00FE2150" w:rsidRPr="00E34F04">
        <w:rPr>
          <w:noProof/>
        </w:rPr>
        <w:t xml:space="preserve"> during its</w:t>
      </w:r>
      <w:r w:rsidR="00DC6BF6">
        <w:rPr>
          <w:noProof/>
        </w:rPr>
        <w:t xml:space="preserve"> 31</w:t>
      </w:r>
      <w:r w:rsidR="005A75A0">
        <w:rPr>
          <w:noProof/>
        </w:rPr>
        <w:t>st</w:t>
      </w:r>
      <w:r w:rsidR="00DC6BF6">
        <w:rPr>
          <w:noProof/>
        </w:rPr>
        <w:t xml:space="preserve"> </w:t>
      </w:r>
      <w:r w:rsidR="004C4EBD">
        <w:rPr>
          <w:noProof/>
        </w:rPr>
        <w:t>session</w:t>
      </w:r>
      <w:r w:rsidR="004C4EBD" w:rsidRPr="00E34F04">
        <w:rPr>
          <w:noProof/>
        </w:rPr>
        <w:t xml:space="preserve"> </w:t>
      </w:r>
      <w:r w:rsidR="00FE2150" w:rsidRPr="00E34F04">
        <w:rPr>
          <w:noProof/>
        </w:rPr>
        <w:t>on</w:t>
      </w:r>
      <w:r w:rsidR="00DC6BF6">
        <w:rPr>
          <w:noProof/>
        </w:rPr>
        <w:t xml:space="preserve"> 20 February 2023</w:t>
      </w:r>
      <w:r w:rsidR="00FE2150" w:rsidRPr="00E34F04">
        <w:rPr>
          <w:noProof/>
        </w:rPr>
        <w:t xml:space="preserve">, is to </w:t>
      </w:r>
      <w:r w:rsidR="00DC6BF6">
        <w:rPr>
          <w:noProof/>
        </w:rPr>
        <w:t>discuss a proposal by the Government</w:t>
      </w:r>
      <w:r w:rsidR="004D3F82">
        <w:rPr>
          <w:noProof/>
        </w:rPr>
        <w:t>s</w:t>
      </w:r>
      <w:r w:rsidR="00DC6BF6">
        <w:rPr>
          <w:noProof/>
        </w:rPr>
        <w:t xml:space="preserve"> of Belarus</w:t>
      </w:r>
      <w:r w:rsidR="004D3F82">
        <w:rPr>
          <w:noProof/>
        </w:rPr>
        <w:t xml:space="preserve"> and the Russian Federation</w:t>
      </w:r>
      <w:r w:rsidR="00DC6BF6">
        <w:rPr>
          <w:noProof/>
        </w:rPr>
        <w:t xml:space="preserve"> to </w:t>
      </w:r>
      <w:r w:rsidR="000A30B6">
        <w:rPr>
          <w:noProof/>
        </w:rPr>
        <w:t xml:space="preserve">amend Article 4 of </w:t>
      </w:r>
      <w:r w:rsidR="00DC6BF6">
        <w:rPr>
          <w:noProof/>
        </w:rPr>
        <w:t xml:space="preserve">the Agreement </w:t>
      </w:r>
      <w:r w:rsidR="000A30B6">
        <w:rPr>
          <w:noProof/>
        </w:rPr>
        <w:t>by introducing</w:t>
      </w:r>
      <w:r w:rsidR="00DC6BF6">
        <w:rPr>
          <w:noProof/>
        </w:rPr>
        <w:t xml:space="preserve"> a ‘force majeure’ clause</w:t>
      </w:r>
      <w:r w:rsidR="00476625">
        <w:rPr>
          <w:noProof/>
        </w:rPr>
        <w:t>, laid out in ECE/TRANS/SC.1/GE.21/2023/2</w:t>
      </w:r>
      <w:r w:rsidR="009C7EC5">
        <w:rPr>
          <w:noProof/>
        </w:rPr>
        <w:t xml:space="preserve"> and in ECE/TRANS/SC.1/GE.21/2023/1</w:t>
      </w:r>
      <w:r w:rsidR="009C7EC5">
        <w:rPr>
          <w:rStyle w:val="FootnoteReference"/>
          <w:noProof/>
        </w:rPr>
        <w:footnoteReference w:id="12"/>
      </w:r>
      <w:r w:rsidR="00DC6BF6">
        <w:rPr>
          <w:noProof/>
        </w:rPr>
        <w:t xml:space="preserve">. </w:t>
      </w:r>
    </w:p>
    <w:p w14:paraId="1E51FA0F" w14:textId="6E6AF9A2" w:rsidR="00FE2150" w:rsidRPr="00E34F04" w:rsidRDefault="009F7791" w:rsidP="009F7791">
      <w:pPr>
        <w:pStyle w:val="ManualConsidrant"/>
        <w:rPr>
          <w:noProof/>
        </w:rPr>
      </w:pPr>
      <w:r w:rsidRPr="009F7791">
        <w:t>(4)</w:t>
      </w:r>
      <w:r w:rsidRPr="009F7791">
        <w:tab/>
      </w:r>
      <w:r w:rsidR="00DC6BF6">
        <w:rPr>
          <w:noProof/>
        </w:rPr>
        <w:t xml:space="preserve">It is appropriate to establish the position to be taken on the Union's behalf in the Group of Experts on </w:t>
      </w:r>
      <w:r w:rsidR="00BE5CB4">
        <w:rPr>
          <w:noProof/>
        </w:rPr>
        <w:t xml:space="preserve">the </w:t>
      </w:r>
      <w:r w:rsidR="00DC6BF6">
        <w:rPr>
          <w:noProof/>
        </w:rPr>
        <w:t>AETR</w:t>
      </w:r>
      <w:r w:rsidR="00BE5CB4">
        <w:rPr>
          <w:noProof/>
        </w:rPr>
        <w:t>,</w:t>
      </w:r>
      <w:r w:rsidR="00DC6BF6">
        <w:rPr>
          <w:noProof/>
        </w:rPr>
        <w:t xml:space="preserve"> and possibly in the Working Party on Road Transport, as the amendment to the </w:t>
      </w:r>
      <w:r w:rsidR="00476625">
        <w:rPr>
          <w:noProof/>
        </w:rPr>
        <w:t>Agreement</w:t>
      </w:r>
      <w:r w:rsidR="00835CF4">
        <w:rPr>
          <w:noProof/>
        </w:rPr>
        <w:t xml:space="preserve"> </w:t>
      </w:r>
      <w:r w:rsidR="009574EA" w:rsidRPr="003A10E7">
        <w:rPr>
          <w:noProof/>
        </w:rPr>
        <w:t xml:space="preserve">which they are called to </w:t>
      </w:r>
      <w:r w:rsidR="00690DBF" w:rsidRPr="003A10E7">
        <w:rPr>
          <w:noProof/>
        </w:rPr>
        <w:t xml:space="preserve">consider and </w:t>
      </w:r>
      <w:r w:rsidR="001445E3" w:rsidRPr="003A10E7">
        <w:rPr>
          <w:noProof/>
        </w:rPr>
        <w:t>endorse</w:t>
      </w:r>
      <w:r w:rsidR="009574EA" w:rsidRPr="003A10E7">
        <w:rPr>
          <w:noProof/>
        </w:rPr>
        <w:t xml:space="preserve"> </w:t>
      </w:r>
      <w:r w:rsidR="00835CF4" w:rsidRPr="003A10E7">
        <w:rPr>
          <w:noProof/>
        </w:rPr>
        <w:t>would</w:t>
      </w:r>
      <w:r w:rsidR="00835CF4" w:rsidRPr="00483AD3">
        <w:rPr>
          <w:noProof/>
        </w:rPr>
        <w:t xml:space="preserve"> be binding under international law </w:t>
      </w:r>
      <w:r w:rsidR="00A94E1F" w:rsidRPr="00483AD3">
        <w:rPr>
          <w:noProof/>
        </w:rPr>
        <w:t xml:space="preserve">in accordance with </w:t>
      </w:r>
      <w:r w:rsidR="004A32B0">
        <w:rPr>
          <w:noProof/>
        </w:rPr>
        <w:t xml:space="preserve">Article </w:t>
      </w:r>
      <w:r w:rsidR="00A94E1F" w:rsidRPr="003A10E7">
        <w:rPr>
          <w:noProof/>
        </w:rPr>
        <w:t>21(6)</w:t>
      </w:r>
      <w:r w:rsidR="00A94E1F" w:rsidRPr="00483AD3">
        <w:rPr>
          <w:noProof/>
        </w:rPr>
        <w:t xml:space="preserve"> of the AETR</w:t>
      </w:r>
      <w:r w:rsidR="00A94E1F">
        <w:rPr>
          <w:noProof/>
        </w:rPr>
        <w:t xml:space="preserve"> </w:t>
      </w:r>
      <w:r w:rsidR="00835CF4">
        <w:rPr>
          <w:noProof/>
        </w:rPr>
        <w:t xml:space="preserve">and is capable of decisively influencing the content of EU legislation, namely </w:t>
      </w:r>
      <w:r w:rsidR="00835CF4" w:rsidRPr="00835CF4">
        <w:rPr>
          <w:noProof/>
        </w:rPr>
        <w:t>Regulations (EC) N</w:t>
      </w:r>
      <w:r w:rsidR="00835CF4">
        <w:rPr>
          <w:noProof/>
        </w:rPr>
        <w:t>o</w:t>
      </w:r>
      <w:r w:rsidR="008429AB">
        <w:rPr>
          <w:noProof/>
        </w:rPr>
        <w:t> </w:t>
      </w:r>
      <w:r w:rsidR="00835CF4">
        <w:rPr>
          <w:noProof/>
        </w:rPr>
        <w:t>561/2006 and (EU) No</w:t>
      </w:r>
      <w:r w:rsidR="008429AB">
        <w:rPr>
          <w:noProof/>
        </w:rPr>
        <w:t> </w:t>
      </w:r>
      <w:r w:rsidR="00835CF4">
        <w:rPr>
          <w:noProof/>
        </w:rPr>
        <w:t>165/2014</w:t>
      </w:r>
      <w:r w:rsidR="003C2326">
        <w:rPr>
          <w:noProof/>
        </w:rPr>
        <w:t xml:space="preserve">. </w:t>
      </w:r>
    </w:p>
    <w:p w14:paraId="49F2CAFE" w14:textId="4E069ABC" w:rsidR="00DC6BF6" w:rsidRDefault="009F7791" w:rsidP="009F7791">
      <w:pPr>
        <w:pStyle w:val="ManualConsidrant"/>
        <w:rPr>
          <w:noProof/>
          <w:szCs w:val="24"/>
          <w:lang w:val="en-IE" w:eastAsia="en-IE"/>
        </w:rPr>
      </w:pPr>
      <w:r w:rsidRPr="009F7791">
        <w:t>(5)</w:t>
      </w:r>
      <w:r w:rsidRPr="009F7791">
        <w:tab/>
      </w:r>
      <w:r w:rsidR="00DC6BF6">
        <w:rPr>
          <w:noProof/>
          <w:lang w:val="en-US" w:bidi="en-US"/>
        </w:rPr>
        <w:t>In its judgment of 31</w:t>
      </w:r>
      <w:r w:rsidR="008429AB">
        <w:rPr>
          <w:noProof/>
          <w:lang w:val="en-US" w:bidi="en-US"/>
        </w:rPr>
        <w:t> </w:t>
      </w:r>
      <w:r w:rsidR="00DC6BF6">
        <w:rPr>
          <w:noProof/>
          <w:lang w:val="en-US" w:bidi="en-US"/>
        </w:rPr>
        <w:t>March 1971</w:t>
      </w:r>
      <w:r w:rsidR="00BE5CB4">
        <w:rPr>
          <w:noProof/>
          <w:lang w:val="en-US" w:bidi="en-US"/>
        </w:rPr>
        <w:t xml:space="preserve"> in</w:t>
      </w:r>
      <w:r w:rsidR="00DC6BF6">
        <w:rPr>
          <w:noProof/>
          <w:lang w:val="en-US" w:bidi="en-US"/>
        </w:rPr>
        <w:t xml:space="preserve"> </w:t>
      </w:r>
      <w:r w:rsidR="00BE5CB4">
        <w:rPr>
          <w:noProof/>
          <w:lang w:val="en-US" w:bidi="en-US"/>
        </w:rPr>
        <w:t>C</w:t>
      </w:r>
      <w:r w:rsidR="00DC6BF6">
        <w:rPr>
          <w:noProof/>
          <w:lang w:val="en-US" w:bidi="en-US"/>
        </w:rPr>
        <w:t xml:space="preserve">ase 22/70 </w:t>
      </w:r>
      <w:r w:rsidR="00DC6BF6">
        <w:rPr>
          <w:i/>
          <w:noProof/>
          <w:lang w:val="en-US" w:bidi="en-US"/>
        </w:rPr>
        <w:t xml:space="preserve">AETR, </w:t>
      </w:r>
      <w:r w:rsidR="00DC6BF6">
        <w:rPr>
          <w:noProof/>
          <w:lang w:val="en-US" w:bidi="en-US"/>
        </w:rPr>
        <w:t xml:space="preserve">the Court of Justice of the European Union </w:t>
      </w:r>
      <w:r w:rsidR="00DC6BF6" w:rsidRPr="008E35C4">
        <w:rPr>
          <w:noProof/>
          <w:lang w:bidi="en-US"/>
        </w:rPr>
        <w:t>recogni</w:t>
      </w:r>
      <w:r w:rsidR="00BE5CB4" w:rsidRPr="008E35C4">
        <w:rPr>
          <w:noProof/>
          <w:lang w:bidi="en-US"/>
        </w:rPr>
        <w:t>s</w:t>
      </w:r>
      <w:r w:rsidR="00DC6BF6" w:rsidRPr="008E35C4">
        <w:rPr>
          <w:noProof/>
          <w:lang w:bidi="en-US"/>
        </w:rPr>
        <w:t>ed</w:t>
      </w:r>
      <w:r w:rsidR="00DC6BF6">
        <w:rPr>
          <w:noProof/>
          <w:lang w:val="en-US" w:bidi="en-US"/>
        </w:rPr>
        <w:t xml:space="preserve"> that the area of the work of crews of vehicles engaged in road transport is an </w:t>
      </w:r>
      <w:r w:rsidR="00835CF4">
        <w:rPr>
          <w:noProof/>
          <w:lang w:val="en-US" w:bidi="en-US"/>
        </w:rPr>
        <w:t xml:space="preserve">exclusive </w:t>
      </w:r>
      <w:r w:rsidR="00DC6BF6">
        <w:rPr>
          <w:noProof/>
          <w:lang w:val="en-US" w:bidi="en-US"/>
        </w:rPr>
        <w:t>external competence of the Union. This competence has been exercised since then in numerous</w:t>
      </w:r>
      <w:r w:rsidR="00BE5CB4">
        <w:rPr>
          <w:noProof/>
          <w:lang w:val="en-US" w:bidi="en-US"/>
        </w:rPr>
        <w:t xml:space="preserve"> legislative</w:t>
      </w:r>
      <w:r w:rsidR="00DC6BF6">
        <w:rPr>
          <w:noProof/>
          <w:lang w:val="en-US" w:bidi="en-US"/>
        </w:rPr>
        <w:t xml:space="preserve"> acts adopted by the Union </w:t>
      </w:r>
      <w:r w:rsidR="00BE5CB4">
        <w:rPr>
          <w:noProof/>
          <w:lang w:val="en-US" w:bidi="en-US"/>
        </w:rPr>
        <w:t>co-</w:t>
      </w:r>
      <w:r w:rsidR="00DC6BF6">
        <w:rPr>
          <w:noProof/>
          <w:lang w:val="en-US" w:bidi="en-US"/>
        </w:rPr>
        <w:t>legislator</w:t>
      </w:r>
      <w:r w:rsidR="00BE5CB4">
        <w:rPr>
          <w:noProof/>
          <w:lang w:val="en-US" w:bidi="en-US"/>
        </w:rPr>
        <w:t>s</w:t>
      </w:r>
      <w:r w:rsidR="00DC6BF6">
        <w:rPr>
          <w:noProof/>
          <w:lang w:val="en-US" w:bidi="en-US"/>
        </w:rPr>
        <w:t xml:space="preserve">, including Regulation (EC) No </w:t>
      </w:r>
      <w:r w:rsidR="00DC6BF6">
        <w:rPr>
          <w:noProof/>
          <w:lang w:val="bg-BG" w:eastAsia="bg-BG" w:bidi="bg-BG"/>
        </w:rPr>
        <w:t xml:space="preserve">561/2006 </w:t>
      </w:r>
      <w:r w:rsidR="00DC6BF6">
        <w:rPr>
          <w:noProof/>
          <w:lang w:val="en-US" w:bidi="en-US"/>
        </w:rPr>
        <w:t>of the European Parliament and of the Council</w:t>
      </w:r>
      <w:r w:rsidR="00DC6BF6">
        <w:rPr>
          <w:rStyle w:val="FootnoteReference"/>
          <w:noProof/>
        </w:rPr>
        <w:footnoteReference w:id="13"/>
      </w:r>
      <w:r w:rsidR="00DC6BF6">
        <w:rPr>
          <w:noProof/>
        </w:rPr>
        <w:t xml:space="preserve"> and Regulation (EU) No</w:t>
      </w:r>
      <w:r w:rsidR="008429AB">
        <w:rPr>
          <w:noProof/>
        </w:rPr>
        <w:t> </w:t>
      </w:r>
      <w:r w:rsidR="00DC6BF6">
        <w:rPr>
          <w:noProof/>
        </w:rPr>
        <w:t xml:space="preserve">165/2014 </w:t>
      </w:r>
      <w:r w:rsidR="00DC6BF6">
        <w:rPr>
          <w:noProof/>
          <w:lang w:val="en-US" w:bidi="en-US"/>
        </w:rPr>
        <w:t>of the European Parliament and of the Council</w:t>
      </w:r>
      <w:r w:rsidR="00DC6BF6">
        <w:rPr>
          <w:rStyle w:val="FootnoteReference"/>
          <w:noProof/>
        </w:rPr>
        <w:footnoteReference w:id="14"/>
      </w:r>
      <w:r w:rsidR="00DC6BF6">
        <w:rPr>
          <w:noProof/>
          <w:lang w:val="en-US" w:bidi="en-US"/>
        </w:rPr>
        <w:t xml:space="preserve">. Since the subject matter of the </w:t>
      </w:r>
      <w:r w:rsidR="00BE5CB4">
        <w:rPr>
          <w:noProof/>
          <w:lang w:val="en-US" w:bidi="en-US"/>
        </w:rPr>
        <w:t xml:space="preserve">AETR </w:t>
      </w:r>
      <w:r w:rsidR="00DC6BF6">
        <w:rPr>
          <w:noProof/>
          <w:lang w:val="en-US" w:bidi="en-US"/>
        </w:rPr>
        <w:t xml:space="preserve">falls within the scope of Regulation (EC) No </w:t>
      </w:r>
      <w:r w:rsidR="00DC6BF6">
        <w:rPr>
          <w:noProof/>
          <w:lang w:val="bg-BG" w:eastAsia="bg-BG" w:bidi="bg-BG"/>
        </w:rPr>
        <w:t xml:space="preserve">561/2006, </w:t>
      </w:r>
      <w:r w:rsidR="00DC6BF6">
        <w:rPr>
          <w:noProof/>
          <w:lang w:val="en-US" w:bidi="en-US"/>
        </w:rPr>
        <w:t xml:space="preserve">the power to negotiate and conclude the </w:t>
      </w:r>
      <w:r w:rsidR="00BE5CB4">
        <w:rPr>
          <w:noProof/>
          <w:lang w:val="en-US" w:bidi="en-US"/>
        </w:rPr>
        <w:t xml:space="preserve">AETR </w:t>
      </w:r>
      <w:r w:rsidR="00DC6BF6">
        <w:rPr>
          <w:noProof/>
          <w:lang w:val="en-US" w:bidi="en-US"/>
        </w:rPr>
        <w:t>and its modifications lies exclusively with the Union</w:t>
      </w:r>
      <w:r w:rsidR="00835CF4">
        <w:rPr>
          <w:noProof/>
          <w:lang w:val="en-US" w:bidi="en-US"/>
        </w:rPr>
        <w:t xml:space="preserve"> </w:t>
      </w:r>
      <w:r w:rsidR="00835CF4">
        <w:rPr>
          <w:noProof/>
        </w:rPr>
        <w:t>pursuant to article 3(2) TFEU</w:t>
      </w:r>
      <w:r w:rsidR="00DC6BF6">
        <w:rPr>
          <w:noProof/>
          <w:lang w:val="en-US" w:bidi="en-US"/>
        </w:rPr>
        <w:t>.</w:t>
      </w:r>
      <w:r w:rsidR="00DC6BF6">
        <w:rPr>
          <w:noProof/>
          <w:szCs w:val="24"/>
          <w:lang w:val="en-IE" w:eastAsia="en-IE"/>
        </w:rPr>
        <w:t xml:space="preserve"> </w:t>
      </w:r>
    </w:p>
    <w:p w14:paraId="02625F4C" w14:textId="64F2B495" w:rsidR="00693AFC" w:rsidRDefault="009F7791" w:rsidP="009F7791">
      <w:pPr>
        <w:pStyle w:val="ManualConsidrant"/>
        <w:rPr>
          <w:noProof/>
        </w:rPr>
      </w:pPr>
      <w:r w:rsidRPr="009F7791">
        <w:t>(6)</w:t>
      </w:r>
      <w:r w:rsidRPr="009F7791">
        <w:tab/>
      </w:r>
      <w:r w:rsidR="00CA5BEF" w:rsidRPr="003A10E7">
        <w:rPr>
          <w:noProof/>
        </w:rPr>
        <w:t>The proposed amendment aims at solving a practical problem that is likely the result of the illegal war of aggression by Russia against Ukraine, in which Belarus has a complicit role, which led to the application of EU sanctions against Russia and Belarus</w:t>
      </w:r>
      <w:r w:rsidR="00CA5BEF" w:rsidRPr="00CA5BEF">
        <w:rPr>
          <w:noProof/>
        </w:rPr>
        <w:t>.</w:t>
      </w:r>
      <w:r w:rsidR="003A10E7">
        <w:rPr>
          <w:noProof/>
        </w:rPr>
        <w:t xml:space="preserve"> I</w:t>
      </w:r>
      <w:r w:rsidR="00CA10EB">
        <w:rPr>
          <w:noProof/>
        </w:rPr>
        <w:t>t</w:t>
      </w:r>
      <w:r w:rsidR="00476625">
        <w:rPr>
          <w:noProof/>
        </w:rPr>
        <w:t xml:space="preserve"> would allow a Contracting Party to unilaterally </w:t>
      </w:r>
      <w:r w:rsidR="00AF542D">
        <w:rPr>
          <w:noProof/>
        </w:rPr>
        <w:t>notify</w:t>
      </w:r>
      <w:r w:rsidR="00476625">
        <w:rPr>
          <w:noProof/>
        </w:rPr>
        <w:t xml:space="preserve"> that it c</w:t>
      </w:r>
      <w:r w:rsidR="00CA10EB">
        <w:rPr>
          <w:noProof/>
        </w:rPr>
        <w:t>ould</w:t>
      </w:r>
      <w:r w:rsidR="00476625">
        <w:rPr>
          <w:noProof/>
        </w:rPr>
        <w:t xml:space="preserve"> no longer fulfil one of the main purposes of the </w:t>
      </w:r>
      <w:r w:rsidR="00CA10EB">
        <w:rPr>
          <w:noProof/>
        </w:rPr>
        <w:t>AETR</w:t>
      </w:r>
      <w:r w:rsidR="00476625">
        <w:rPr>
          <w:noProof/>
        </w:rPr>
        <w:t xml:space="preserve">, namely the use of a harmonised recording equipment for </w:t>
      </w:r>
      <w:r w:rsidR="00E91D6A">
        <w:rPr>
          <w:noProof/>
        </w:rPr>
        <w:t>vehicles</w:t>
      </w:r>
      <w:r w:rsidR="00476625">
        <w:rPr>
          <w:noProof/>
        </w:rPr>
        <w:t xml:space="preserve"> engaged in international transport (the digital tachograph)</w:t>
      </w:r>
      <w:r w:rsidR="00CA10EB">
        <w:rPr>
          <w:noProof/>
        </w:rPr>
        <w:t xml:space="preserve">, for reasons of ‘force majeure’ which would not be subject to any type of </w:t>
      </w:r>
      <w:r w:rsidR="004C4EBD">
        <w:rPr>
          <w:noProof/>
        </w:rPr>
        <w:t>validation or</w:t>
      </w:r>
      <w:r w:rsidR="00CA10EB">
        <w:rPr>
          <w:noProof/>
        </w:rPr>
        <w:t xml:space="preserve"> assessment</w:t>
      </w:r>
      <w:r w:rsidR="00476625">
        <w:rPr>
          <w:noProof/>
        </w:rPr>
        <w:t xml:space="preserve">. </w:t>
      </w:r>
    </w:p>
    <w:p w14:paraId="12EEA51A" w14:textId="0CD510D0" w:rsidR="00FE2B0E" w:rsidRDefault="009F7791" w:rsidP="009F7791">
      <w:pPr>
        <w:pStyle w:val="ManualConsidrant"/>
        <w:rPr>
          <w:noProof/>
        </w:rPr>
      </w:pPr>
      <w:r w:rsidRPr="009F7791">
        <w:t>(7)</w:t>
      </w:r>
      <w:r w:rsidRPr="009F7791">
        <w:tab/>
      </w:r>
      <w:r w:rsidR="00FE2B0E">
        <w:rPr>
          <w:noProof/>
        </w:rPr>
        <w:t xml:space="preserve">The envisaged act would allow, following such a declaration by a Contracting Party to the </w:t>
      </w:r>
      <w:r w:rsidR="00CA10EB">
        <w:rPr>
          <w:noProof/>
        </w:rPr>
        <w:t>AETR</w:t>
      </w:r>
      <w:r w:rsidR="00FE2B0E">
        <w:rPr>
          <w:noProof/>
        </w:rPr>
        <w:t xml:space="preserve">, </w:t>
      </w:r>
      <w:r w:rsidR="00E91D6A">
        <w:rPr>
          <w:noProof/>
        </w:rPr>
        <w:t>not to require the use of digital tachograph</w:t>
      </w:r>
      <w:r w:rsidR="00CA10EB">
        <w:rPr>
          <w:noProof/>
        </w:rPr>
        <w:t>s</w:t>
      </w:r>
      <w:r w:rsidR="00E91D6A">
        <w:rPr>
          <w:noProof/>
        </w:rPr>
        <w:t xml:space="preserve"> and digital tachograph cards for vehicles registered in that Contracting Party</w:t>
      </w:r>
      <w:r w:rsidR="00CA10EB">
        <w:rPr>
          <w:noProof/>
        </w:rPr>
        <w:t xml:space="preserve"> when engaged in international road transport operations</w:t>
      </w:r>
      <w:r w:rsidR="00E91D6A">
        <w:rPr>
          <w:noProof/>
        </w:rPr>
        <w:t>.</w:t>
      </w:r>
      <w:r w:rsidR="00AF542D">
        <w:rPr>
          <w:noProof/>
        </w:rPr>
        <w:t xml:space="preserve"> </w:t>
      </w:r>
      <w:r w:rsidR="00CA10EB">
        <w:rPr>
          <w:noProof/>
        </w:rPr>
        <w:t>It would th</w:t>
      </w:r>
      <w:r w:rsidR="004C4EBD">
        <w:rPr>
          <w:noProof/>
        </w:rPr>
        <w:t>us</w:t>
      </w:r>
      <w:r w:rsidR="00CA10EB">
        <w:rPr>
          <w:noProof/>
        </w:rPr>
        <w:t xml:space="preserve"> render</w:t>
      </w:r>
      <w:r w:rsidR="00CA10EB" w:rsidRPr="00CA10EB">
        <w:rPr>
          <w:noProof/>
        </w:rPr>
        <w:t xml:space="preserve"> the enforcement of </w:t>
      </w:r>
      <w:r w:rsidR="00CA10EB">
        <w:rPr>
          <w:noProof/>
        </w:rPr>
        <w:t xml:space="preserve">the </w:t>
      </w:r>
      <w:r w:rsidR="00CA10EB" w:rsidRPr="00CA10EB">
        <w:rPr>
          <w:noProof/>
        </w:rPr>
        <w:t>drivers’ compliance with driving and rest times as laid out elsewhere in the AETR drastically more difficult, creat</w:t>
      </w:r>
      <w:r w:rsidR="00CA10EB">
        <w:rPr>
          <w:noProof/>
        </w:rPr>
        <w:t>ing</w:t>
      </w:r>
      <w:r w:rsidR="00CA10EB" w:rsidRPr="00CA10EB">
        <w:rPr>
          <w:noProof/>
        </w:rPr>
        <w:t xml:space="preserve"> a loophole that would likely compromise the entire purpose of the Agreement. </w:t>
      </w:r>
    </w:p>
    <w:p w14:paraId="68409CA7" w14:textId="73D9FD3D" w:rsidR="004C4EBD" w:rsidRDefault="009F7791" w:rsidP="009F7791">
      <w:pPr>
        <w:pStyle w:val="ManualConsidrant"/>
        <w:rPr>
          <w:noProof/>
        </w:rPr>
      </w:pPr>
      <w:r w:rsidRPr="009F7791">
        <w:t>(8)</w:t>
      </w:r>
      <w:r w:rsidRPr="009F7791">
        <w:tab/>
      </w:r>
      <w:r w:rsidR="00FB414F" w:rsidRPr="003A10E7">
        <w:rPr>
          <w:noProof/>
        </w:rPr>
        <w:t>The Union’s</w:t>
      </w:r>
      <w:r w:rsidR="00FB414F">
        <w:rPr>
          <w:noProof/>
        </w:rPr>
        <w:t xml:space="preserve"> </w:t>
      </w:r>
      <w:r w:rsidR="004C4EBD" w:rsidRPr="004C4EBD">
        <w:rPr>
          <w:noProof/>
        </w:rPr>
        <w:t>position to be taken in the Group of Experts on the AETR and in the Working Party on Road Transport</w:t>
      </w:r>
      <w:r w:rsidR="004C4EBD">
        <w:rPr>
          <w:noProof/>
        </w:rPr>
        <w:t>,</w:t>
      </w:r>
      <w:r w:rsidR="004C4EBD" w:rsidRPr="004C4EBD">
        <w:rPr>
          <w:noProof/>
        </w:rPr>
        <w:t> </w:t>
      </w:r>
      <w:r w:rsidR="00FB414F" w:rsidRPr="003A10E7">
        <w:rPr>
          <w:noProof/>
        </w:rPr>
        <w:t>should be not to support the proposed amendment,</w:t>
      </w:r>
      <w:r w:rsidR="00FB414F">
        <w:rPr>
          <w:noProof/>
        </w:rPr>
        <w:t xml:space="preserve"> </w:t>
      </w:r>
      <w:r w:rsidR="004C4EBD" w:rsidRPr="004C4EBD">
        <w:rPr>
          <w:noProof/>
        </w:rPr>
        <w:t xml:space="preserve">in order </w:t>
      </w:r>
      <w:r w:rsidR="004C4EBD">
        <w:rPr>
          <w:noProof/>
        </w:rPr>
        <w:t>to prevent a significant weakening of the enforcement of the rules on driving and rest times laid down in the AETR, and ensure the full effect of the EU sanctions regime</w:t>
      </w:r>
      <w:r w:rsidR="004C4EBD" w:rsidRPr="004C4EBD">
        <w:rPr>
          <w:noProof/>
        </w:rPr>
        <w:t>.</w:t>
      </w:r>
    </w:p>
    <w:p w14:paraId="6A497BBF" w14:textId="60CEAD44" w:rsidR="0028463B" w:rsidRPr="003A10E7" w:rsidRDefault="009F7791" w:rsidP="009F7791">
      <w:pPr>
        <w:pStyle w:val="ManualConsidrant"/>
        <w:rPr>
          <w:noProof/>
        </w:rPr>
      </w:pPr>
      <w:r w:rsidRPr="009F7791">
        <w:t>(9)</w:t>
      </w:r>
      <w:r w:rsidRPr="009F7791">
        <w:tab/>
      </w:r>
      <w:r w:rsidR="0028463B" w:rsidRPr="003A10E7">
        <w:rPr>
          <w:noProof/>
        </w:rPr>
        <w:t>It cannot be excluded that the Russian Federation or the Republic of Belarus</w:t>
      </w:r>
      <w:r w:rsidR="005F280E" w:rsidRPr="003A10E7">
        <w:rPr>
          <w:noProof/>
        </w:rPr>
        <w:t xml:space="preserve"> formally submit</w:t>
      </w:r>
      <w:r w:rsidR="00373F0F" w:rsidRPr="003A10E7">
        <w:rPr>
          <w:noProof/>
        </w:rPr>
        <w:t xml:space="preserve">s </w:t>
      </w:r>
      <w:r w:rsidR="005F280E" w:rsidRPr="003A10E7">
        <w:rPr>
          <w:noProof/>
        </w:rPr>
        <w:t>the proposal to amend the AETR under Article 21(1) of the AETR</w:t>
      </w:r>
      <w:r w:rsidR="00AE6E3B" w:rsidRPr="003A10E7">
        <w:rPr>
          <w:noProof/>
        </w:rPr>
        <w:t>, disregarding the discussions in UNECE</w:t>
      </w:r>
      <w:r w:rsidR="00690DBF" w:rsidRPr="003A10E7">
        <w:rPr>
          <w:noProof/>
        </w:rPr>
        <w:t>’s bodies</w:t>
      </w:r>
      <w:r w:rsidR="00B30B94" w:rsidRPr="003A10E7">
        <w:rPr>
          <w:noProof/>
        </w:rPr>
        <w:t xml:space="preserve">. </w:t>
      </w:r>
      <w:r w:rsidR="005F280E" w:rsidRPr="003A10E7">
        <w:rPr>
          <w:noProof/>
        </w:rPr>
        <w:t>In this case, Member States should object to the proposal</w:t>
      </w:r>
      <w:r w:rsidR="0087571A" w:rsidRPr="003A10E7">
        <w:rPr>
          <w:noProof/>
        </w:rPr>
        <w:t xml:space="preserve"> under the procedure laid down in paragraph (b) of Article 21(2) of the AETR</w:t>
      </w:r>
      <w:r w:rsidR="00AE6E3B" w:rsidRPr="003A10E7">
        <w:rPr>
          <w:noProof/>
        </w:rPr>
        <w:t xml:space="preserve">. </w:t>
      </w:r>
    </w:p>
    <w:p w14:paraId="11C6AB15" w14:textId="55DED643" w:rsidR="00FE2150" w:rsidRPr="00E34F04" w:rsidRDefault="009F7791" w:rsidP="009F7791">
      <w:pPr>
        <w:pStyle w:val="ManualConsidrant"/>
        <w:rPr>
          <w:noProof/>
        </w:rPr>
      </w:pPr>
      <w:r w:rsidRPr="009F7791">
        <w:t>(10)</w:t>
      </w:r>
      <w:r w:rsidRPr="009F7791">
        <w:tab/>
      </w:r>
      <w:r w:rsidR="00FE2150" w:rsidRPr="00E34F04">
        <w:rPr>
          <w:noProof/>
        </w:rPr>
        <w:t>The Union's position is to be expressed by the Member States of the Union that are</w:t>
      </w:r>
      <w:r w:rsidR="00DC6BF6">
        <w:rPr>
          <w:noProof/>
        </w:rPr>
        <w:t xml:space="preserve"> members</w:t>
      </w:r>
      <w:r w:rsidR="00FE2150" w:rsidRPr="00E34F04">
        <w:rPr>
          <w:noProof/>
        </w:rPr>
        <w:t xml:space="preserve"> of the</w:t>
      </w:r>
      <w:r w:rsidR="00DC6BF6">
        <w:rPr>
          <w:noProof/>
        </w:rPr>
        <w:t xml:space="preserve"> Group of Experts of the AETR and of the Working Party on Road Transport, acting </w:t>
      </w:r>
      <w:r w:rsidR="00DC6BF6" w:rsidRPr="00AA43D1">
        <w:rPr>
          <w:noProof/>
        </w:rPr>
        <w:t>jointly</w:t>
      </w:r>
      <w:r w:rsidR="00835CF4" w:rsidRPr="00AA43D1">
        <w:rPr>
          <w:noProof/>
        </w:rPr>
        <w:t xml:space="preserve"> </w:t>
      </w:r>
      <w:r w:rsidR="00DB40D7" w:rsidRPr="00AA43D1">
        <w:rPr>
          <w:noProof/>
        </w:rPr>
        <w:t xml:space="preserve">in the interest </w:t>
      </w:r>
      <w:r w:rsidR="00835CF4" w:rsidRPr="00AA43D1">
        <w:rPr>
          <w:noProof/>
        </w:rPr>
        <w:t>of</w:t>
      </w:r>
      <w:r w:rsidR="00835CF4">
        <w:rPr>
          <w:noProof/>
        </w:rPr>
        <w:t xml:space="preserve"> the Union</w:t>
      </w:r>
      <w:r w:rsidR="00FE2150" w:rsidRPr="00E34F04">
        <w:rPr>
          <w:noProof/>
        </w:rPr>
        <w:t>,</w:t>
      </w:r>
    </w:p>
    <w:p w14:paraId="0D9DF423" w14:textId="77777777" w:rsidR="00FE2150" w:rsidRPr="00E34F04" w:rsidRDefault="00FE2150" w:rsidP="00065472">
      <w:pPr>
        <w:pStyle w:val="Formuledadoption"/>
        <w:rPr>
          <w:noProof/>
        </w:rPr>
      </w:pPr>
      <w:r w:rsidRPr="00E34F04">
        <w:rPr>
          <w:noProof/>
        </w:rPr>
        <w:t>HAS ADOPTED THIS DECISION:</w:t>
      </w:r>
    </w:p>
    <w:p w14:paraId="7FAB9C55" w14:textId="77777777" w:rsidR="00FE2150" w:rsidRPr="00E34F04" w:rsidRDefault="00FE2150" w:rsidP="00065472">
      <w:pPr>
        <w:pStyle w:val="Titrearticle"/>
        <w:rPr>
          <w:noProof/>
        </w:rPr>
      </w:pPr>
      <w:r w:rsidRPr="00E34F04">
        <w:rPr>
          <w:noProof/>
        </w:rPr>
        <w:t>Article 1</w:t>
      </w:r>
    </w:p>
    <w:p w14:paraId="75995CDD" w14:textId="697D0FB5" w:rsidR="00FE2150" w:rsidRDefault="00693AFC" w:rsidP="00D05A5C">
      <w:pPr>
        <w:rPr>
          <w:noProof/>
          <w:lang w:bidi="en-US"/>
        </w:rPr>
      </w:pPr>
      <w:r w:rsidRPr="003A10E7">
        <w:rPr>
          <w:noProof/>
          <w:lang w:bidi="en-US"/>
        </w:rPr>
        <w:t xml:space="preserve">The </w:t>
      </w:r>
      <w:r w:rsidR="00433D61" w:rsidRPr="003A10E7">
        <w:rPr>
          <w:noProof/>
          <w:lang w:bidi="en-US"/>
        </w:rPr>
        <w:t xml:space="preserve">Union </w:t>
      </w:r>
      <w:r w:rsidRPr="003A10E7">
        <w:rPr>
          <w:noProof/>
          <w:lang w:bidi="en-US"/>
        </w:rPr>
        <w:t xml:space="preserve">position </w:t>
      </w:r>
      <w:r w:rsidR="00433D61" w:rsidRPr="003A10E7">
        <w:rPr>
          <w:noProof/>
          <w:lang w:bidi="en-US"/>
        </w:rPr>
        <w:t>at</w:t>
      </w:r>
      <w:r w:rsidRPr="003A10E7">
        <w:rPr>
          <w:noProof/>
          <w:lang w:bidi="en-US"/>
        </w:rPr>
        <w:t xml:space="preserve"> the </w:t>
      </w:r>
      <w:r w:rsidR="004C4EBD" w:rsidRPr="003A10E7">
        <w:rPr>
          <w:noProof/>
          <w:lang w:bidi="en-US"/>
        </w:rPr>
        <w:t>31</w:t>
      </w:r>
      <w:r w:rsidR="004C4EBD" w:rsidRPr="003A10E7">
        <w:rPr>
          <w:noProof/>
          <w:vertAlign w:val="superscript"/>
          <w:lang w:bidi="en-US"/>
        </w:rPr>
        <w:t>st</w:t>
      </w:r>
      <w:r w:rsidR="004C4EBD" w:rsidRPr="003A10E7">
        <w:rPr>
          <w:noProof/>
          <w:lang w:bidi="en-US"/>
        </w:rPr>
        <w:t xml:space="preserve"> </w:t>
      </w:r>
      <w:r w:rsidRPr="003A10E7">
        <w:rPr>
          <w:noProof/>
        </w:rPr>
        <w:t>session of the</w:t>
      </w:r>
      <w:r w:rsidR="004C4EBD" w:rsidRPr="003A10E7">
        <w:rPr>
          <w:noProof/>
        </w:rPr>
        <w:t xml:space="preserve"> Group of Experts on the European Agreement concerning the work of crews of vehicles engaged in international road transport (AETR)</w:t>
      </w:r>
      <w:r w:rsidR="003003DE" w:rsidRPr="003A10E7">
        <w:rPr>
          <w:noProof/>
        </w:rPr>
        <w:t xml:space="preserve"> and, </w:t>
      </w:r>
      <w:r w:rsidR="004C4EBD" w:rsidRPr="003A10E7">
        <w:rPr>
          <w:noProof/>
        </w:rPr>
        <w:t xml:space="preserve"> as relevant</w:t>
      </w:r>
      <w:r w:rsidR="003003DE" w:rsidRPr="003A10E7">
        <w:rPr>
          <w:noProof/>
        </w:rPr>
        <w:t>,</w:t>
      </w:r>
      <w:r w:rsidR="004C4EBD" w:rsidRPr="003A10E7">
        <w:rPr>
          <w:noProof/>
        </w:rPr>
        <w:t xml:space="preserve"> at the next session of the</w:t>
      </w:r>
      <w:r w:rsidR="004C4EBD" w:rsidRPr="003A10E7">
        <w:rPr>
          <w:noProof/>
          <w:color w:val="000000"/>
          <w:shd w:val="clear" w:color="auto" w:fill="FFFFFF"/>
        </w:rPr>
        <w:t xml:space="preserve"> </w:t>
      </w:r>
      <w:r w:rsidR="004C4EBD" w:rsidRPr="003A10E7">
        <w:rPr>
          <w:noProof/>
        </w:rPr>
        <w:t>Working Party on Road Transport of the</w:t>
      </w:r>
      <w:r w:rsidRPr="003A10E7">
        <w:rPr>
          <w:noProof/>
        </w:rPr>
        <w:t xml:space="preserve"> </w:t>
      </w:r>
      <w:r w:rsidR="00881ACB" w:rsidRPr="003A10E7">
        <w:rPr>
          <w:noProof/>
        </w:rPr>
        <w:t>U</w:t>
      </w:r>
      <w:r w:rsidR="00D05A5C" w:rsidRPr="003A10E7">
        <w:rPr>
          <w:noProof/>
        </w:rPr>
        <w:t xml:space="preserve">nited </w:t>
      </w:r>
      <w:r w:rsidR="00881ACB" w:rsidRPr="003A10E7">
        <w:rPr>
          <w:noProof/>
        </w:rPr>
        <w:t>N</w:t>
      </w:r>
      <w:r w:rsidR="00D05A5C" w:rsidRPr="003A10E7">
        <w:rPr>
          <w:noProof/>
        </w:rPr>
        <w:t>ations Economic Commission for Europe (UNECE)</w:t>
      </w:r>
      <w:r w:rsidRPr="003A10E7">
        <w:rPr>
          <w:noProof/>
          <w:lang w:bidi="en-US"/>
        </w:rPr>
        <w:t xml:space="preserve">, </w:t>
      </w:r>
      <w:r w:rsidR="00B72E90" w:rsidRPr="003A10E7">
        <w:rPr>
          <w:noProof/>
          <w:lang w:bidi="en-US"/>
        </w:rPr>
        <w:t xml:space="preserve">or </w:t>
      </w:r>
      <w:r w:rsidR="00E10BD8" w:rsidRPr="003A10E7">
        <w:rPr>
          <w:noProof/>
          <w:lang w:bidi="en-US"/>
        </w:rPr>
        <w:t xml:space="preserve">at </w:t>
      </w:r>
      <w:r w:rsidR="00B72E90" w:rsidRPr="003A10E7">
        <w:rPr>
          <w:noProof/>
          <w:lang w:bidi="en-US"/>
        </w:rPr>
        <w:t xml:space="preserve">any subsequent sessions, </w:t>
      </w:r>
      <w:r w:rsidRPr="003A10E7">
        <w:rPr>
          <w:noProof/>
          <w:lang w:bidi="en-US"/>
        </w:rPr>
        <w:t xml:space="preserve">shall be </w:t>
      </w:r>
      <w:r w:rsidR="009574EA" w:rsidRPr="003A10E7">
        <w:rPr>
          <w:noProof/>
          <w:lang w:bidi="en-US"/>
        </w:rPr>
        <w:t>not to support</w:t>
      </w:r>
      <w:r w:rsidR="003003DE" w:rsidRPr="003A10E7">
        <w:rPr>
          <w:noProof/>
          <w:lang w:bidi="en-US"/>
        </w:rPr>
        <w:t xml:space="preserve"> </w:t>
      </w:r>
      <w:r w:rsidRPr="003A10E7">
        <w:rPr>
          <w:noProof/>
          <w:lang w:bidi="en-US"/>
        </w:rPr>
        <w:t xml:space="preserve">the proposed amendment to the </w:t>
      </w:r>
      <w:r w:rsidR="00B72E90" w:rsidRPr="003A10E7">
        <w:rPr>
          <w:noProof/>
          <w:lang w:bidi="en-US"/>
        </w:rPr>
        <w:t xml:space="preserve">AETR </w:t>
      </w:r>
      <w:r w:rsidR="00881ACB" w:rsidRPr="003A10E7">
        <w:rPr>
          <w:noProof/>
          <w:lang w:bidi="en-US"/>
        </w:rPr>
        <w:t xml:space="preserve">as </w:t>
      </w:r>
      <w:r w:rsidRPr="003A10E7">
        <w:rPr>
          <w:noProof/>
          <w:lang w:bidi="en-US"/>
        </w:rPr>
        <w:t>set out in ECE/TRANS/SC.1/GE.21/2023/2</w:t>
      </w:r>
      <w:r w:rsidR="00247204" w:rsidRPr="003A10E7">
        <w:rPr>
          <w:noProof/>
          <w:lang w:bidi="en-US"/>
        </w:rPr>
        <w:t xml:space="preserve"> and ECE/TRANS/SC.1/GE.21/2023/1 to include a ‘force majeure’ clause</w:t>
      </w:r>
      <w:r w:rsidR="00682929" w:rsidRPr="003A10E7">
        <w:rPr>
          <w:noProof/>
          <w:lang w:bidi="en-US"/>
        </w:rPr>
        <w:t>, as well as</w:t>
      </w:r>
      <w:r w:rsidR="00256880" w:rsidRPr="003A10E7">
        <w:rPr>
          <w:noProof/>
          <w:lang w:bidi="en-US"/>
        </w:rPr>
        <w:t xml:space="preserve"> </w:t>
      </w:r>
      <w:r w:rsidR="007A3EC2" w:rsidRPr="003A10E7">
        <w:rPr>
          <w:noProof/>
          <w:lang w:bidi="en-US"/>
        </w:rPr>
        <w:t xml:space="preserve">not to support </w:t>
      </w:r>
      <w:r w:rsidR="00682929" w:rsidRPr="003A10E7">
        <w:rPr>
          <w:noProof/>
          <w:lang w:bidi="en-US"/>
        </w:rPr>
        <w:t xml:space="preserve">any similar amendment </w:t>
      </w:r>
      <w:r w:rsidR="00256880" w:rsidRPr="003A10E7">
        <w:rPr>
          <w:noProof/>
          <w:lang w:bidi="en-US"/>
        </w:rPr>
        <w:t>in substance</w:t>
      </w:r>
      <w:r w:rsidR="009C7EC5" w:rsidRPr="003A10E7">
        <w:rPr>
          <w:noProof/>
          <w:lang w:bidi="en-US"/>
        </w:rPr>
        <w:t xml:space="preserve"> </w:t>
      </w:r>
      <w:r w:rsidR="00B72E90" w:rsidRPr="003A10E7">
        <w:rPr>
          <w:noProof/>
          <w:lang w:bidi="en-US"/>
        </w:rPr>
        <w:t>to</w:t>
      </w:r>
      <w:r w:rsidR="00682929" w:rsidRPr="003A10E7">
        <w:rPr>
          <w:noProof/>
          <w:lang w:bidi="en-US"/>
        </w:rPr>
        <w:t xml:space="preserve"> be tabled </w:t>
      </w:r>
      <w:r w:rsidR="00B72E90" w:rsidRPr="003A10E7">
        <w:rPr>
          <w:noProof/>
          <w:lang w:bidi="en-US"/>
        </w:rPr>
        <w:t xml:space="preserve">either </w:t>
      </w:r>
      <w:r w:rsidR="00682929" w:rsidRPr="003A10E7">
        <w:rPr>
          <w:noProof/>
          <w:lang w:bidi="en-US"/>
        </w:rPr>
        <w:t xml:space="preserve">by the Russian Federation or </w:t>
      </w:r>
      <w:r w:rsidR="00E10BD8" w:rsidRPr="003A10E7">
        <w:rPr>
          <w:noProof/>
          <w:lang w:bidi="en-US"/>
        </w:rPr>
        <w:t xml:space="preserve">the Republic of </w:t>
      </w:r>
      <w:r w:rsidR="00682929" w:rsidRPr="003A10E7">
        <w:rPr>
          <w:noProof/>
          <w:lang w:bidi="en-US"/>
        </w:rPr>
        <w:t>Belarus.</w:t>
      </w:r>
      <w:r w:rsidR="00682929">
        <w:rPr>
          <w:noProof/>
          <w:lang w:bidi="en-US"/>
        </w:rPr>
        <w:t xml:space="preserve"> </w:t>
      </w:r>
    </w:p>
    <w:p w14:paraId="178C9162" w14:textId="77777777" w:rsidR="00FE2150" w:rsidRPr="00E34F04" w:rsidRDefault="00FE2150" w:rsidP="00065472">
      <w:pPr>
        <w:pStyle w:val="Titrearticle"/>
        <w:rPr>
          <w:noProof/>
        </w:rPr>
      </w:pPr>
      <w:r w:rsidRPr="00E34F04">
        <w:rPr>
          <w:noProof/>
        </w:rPr>
        <w:t>Article</w:t>
      </w:r>
      <w:r w:rsidR="00693AFC">
        <w:rPr>
          <w:noProof/>
        </w:rPr>
        <w:t xml:space="preserve"> 2</w:t>
      </w:r>
    </w:p>
    <w:p w14:paraId="06B22343" w14:textId="77777777" w:rsidR="00FE2150" w:rsidRPr="00E34F04" w:rsidRDefault="00FE2150" w:rsidP="00065472">
      <w:pPr>
        <w:rPr>
          <w:noProof/>
        </w:rPr>
      </w:pPr>
      <w:r w:rsidRPr="00E34F04">
        <w:rPr>
          <w:noProof/>
        </w:rPr>
        <w:t>The position referred to in Article 1 shall be expressed by the Member States of the Union</w:t>
      </w:r>
      <w:r w:rsidR="00B72E90" w:rsidRPr="00B72E90">
        <w:rPr>
          <w:noProof/>
          <w:color w:val="000000"/>
          <w:shd w:val="clear" w:color="auto" w:fill="FFFFFF"/>
        </w:rPr>
        <w:t xml:space="preserve"> </w:t>
      </w:r>
      <w:r w:rsidR="00B72E90" w:rsidRPr="00B72E90">
        <w:rPr>
          <w:noProof/>
        </w:rPr>
        <w:t>that are members of the Group of Experts on the AETR and of the Working Party on Road Transport of the UNECE</w:t>
      </w:r>
      <w:r w:rsidR="00B72E90">
        <w:rPr>
          <w:noProof/>
        </w:rPr>
        <w:t>,</w:t>
      </w:r>
      <w:r w:rsidRPr="00E34F04">
        <w:rPr>
          <w:noProof/>
        </w:rPr>
        <w:t xml:space="preserve"> acting </w:t>
      </w:r>
      <w:r w:rsidRPr="00AA43D1">
        <w:rPr>
          <w:noProof/>
        </w:rPr>
        <w:t>jointly</w:t>
      </w:r>
      <w:r w:rsidR="00DB40D7" w:rsidRPr="00AA43D1">
        <w:rPr>
          <w:noProof/>
        </w:rPr>
        <w:t xml:space="preserve"> in the interest</w:t>
      </w:r>
      <w:r w:rsidR="00835CF4" w:rsidRPr="00AA43D1">
        <w:rPr>
          <w:noProof/>
        </w:rPr>
        <w:t xml:space="preserve"> of the Union</w:t>
      </w:r>
      <w:r w:rsidRPr="00E34F04">
        <w:rPr>
          <w:noProof/>
        </w:rPr>
        <w:t>.</w:t>
      </w:r>
    </w:p>
    <w:p w14:paraId="6684765C" w14:textId="167DB8FA" w:rsidR="008C0F42" w:rsidRPr="00AA43D1" w:rsidRDefault="008C0F42" w:rsidP="00065472">
      <w:pPr>
        <w:pStyle w:val="Titrearticle"/>
        <w:rPr>
          <w:noProof/>
        </w:rPr>
      </w:pPr>
      <w:r w:rsidRPr="00AA43D1">
        <w:rPr>
          <w:noProof/>
        </w:rPr>
        <w:t>Article 3</w:t>
      </w:r>
    </w:p>
    <w:p w14:paraId="702E01FE" w14:textId="2A22DD85" w:rsidR="008C0F42" w:rsidRPr="008C0F42" w:rsidRDefault="008C0F42" w:rsidP="003A10E7">
      <w:pPr>
        <w:rPr>
          <w:noProof/>
        </w:rPr>
      </w:pPr>
      <w:r w:rsidRPr="00AA43D1">
        <w:rPr>
          <w:noProof/>
        </w:rPr>
        <w:t xml:space="preserve">Should Member States receive a notification </w:t>
      </w:r>
      <w:r w:rsidR="00D53B77" w:rsidRPr="00AA43D1">
        <w:rPr>
          <w:noProof/>
        </w:rPr>
        <w:t>under Article 21(1) of the AETR</w:t>
      </w:r>
      <w:r w:rsidRPr="00AA43D1">
        <w:rPr>
          <w:noProof/>
        </w:rPr>
        <w:t xml:space="preserve"> that the Russian Federation or the Republic o</w:t>
      </w:r>
      <w:r w:rsidR="00D53B77" w:rsidRPr="00AA43D1">
        <w:rPr>
          <w:noProof/>
        </w:rPr>
        <w:t>f</w:t>
      </w:r>
      <w:r w:rsidRPr="00AA43D1">
        <w:rPr>
          <w:noProof/>
        </w:rPr>
        <w:t xml:space="preserve"> Belarus</w:t>
      </w:r>
      <w:r w:rsidR="00690DBF" w:rsidRPr="00AA43D1">
        <w:rPr>
          <w:noProof/>
        </w:rPr>
        <w:t>, disregarding the discussions in UNECE’s bodies,</w:t>
      </w:r>
      <w:r w:rsidRPr="00AA43D1">
        <w:rPr>
          <w:i/>
          <w:noProof/>
        </w:rPr>
        <w:t xml:space="preserve"> </w:t>
      </w:r>
      <w:r w:rsidRPr="00AA43D1">
        <w:rPr>
          <w:iCs/>
          <w:noProof/>
        </w:rPr>
        <w:t xml:space="preserve">have formally proposed the amendment set out in </w:t>
      </w:r>
      <w:r w:rsidRPr="00AA43D1">
        <w:rPr>
          <w:iCs/>
          <w:noProof/>
          <w:lang w:bidi="en-US"/>
        </w:rPr>
        <w:t xml:space="preserve">ECE/TRANS/SC.1/GE.21/2023/2 or any similar amendment in substance, </w:t>
      </w:r>
      <w:r w:rsidRPr="00AA43D1">
        <w:rPr>
          <w:iCs/>
          <w:noProof/>
        </w:rPr>
        <w:t>Member States shall object to the proposal in accordance with paragraph (a) of Article 21(2) of the AETR.</w:t>
      </w:r>
    </w:p>
    <w:p w14:paraId="7AFF7FD4" w14:textId="354D2F3F" w:rsidR="00FE2150" w:rsidRPr="00E34F04" w:rsidRDefault="00FE2150" w:rsidP="0038494E">
      <w:pPr>
        <w:pStyle w:val="Titrearticle"/>
        <w:rPr>
          <w:noProof/>
        </w:rPr>
      </w:pPr>
      <w:r w:rsidRPr="00E34F04">
        <w:rPr>
          <w:noProof/>
        </w:rPr>
        <w:t>Article</w:t>
      </w:r>
      <w:r w:rsidR="00693AFC">
        <w:rPr>
          <w:noProof/>
        </w:rPr>
        <w:t xml:space="preserve"> </w:t>
      </w:r>
      <w:r w:rsidR="008C0F42">
        <w:rPr>
          <w:noProof/>
        </w:rPr>
        <w:t>4</w:t>
      </w:r>
    </w:p>
    <w:p w14:paraId="36D7D496" w14:textId="6F1D1284" w:rsidR="00FE2150" w:rsidRDefault="00FE2150" w:rsidP="00065472">
      <w:pPr>
        <w:rPr>
          <w:noProof/>
        </w:rPr>
      </w:pPr>
      <w:r w:rsidRPr="00E34F04">
        <w:rPr>
          <w:noProof/>
        </w:rPr>
        <w:t>This Decision is addressed to</w:t>
      </w:r>
      <w:r w:rsidR="00CA5BEF">
        <w:rPr>
          <w:noProof/>
        </w:rPr>
        <w:t xml:space="preserve"> </w:t>
      </w:r>
      <w:r w:rsidRPr="00E34F04">
        <w:rPr>
          <w:noProof/>
        </w:rPr>
        <w:t>the Member States</w:t>
      </w:r>
      <w:r w:rsidRPr="00E34F04">
        <w:rPr>
          <w:i/>
          <w:noProof/>
        </w:rPr>
        <w:t>.</w:t>
      </w:r>
    </w:p>
    <w:p w14:paraId="11035FFA" w14:textId="067D6F53" w:rsidR="00FE2150" w:rsidRDefault="00630E36" w:rsidP="0038494E">
      <w:pPr>
        <w:pStyle w:val="Fait"/>
        <w:rPr>
          <w:noProof/>
        </w:rPr>
      </w:pPr>
      <w:r w:rsidRPr="00630E36">
        <w:t>Done at Brussels,</w:t>
      </w:r>
    </w:p>
    <w:p w14:paraId="4985B95C" w14:textId="77777777" w:rsidR="00FE2150" w:rsidRDefault="00FE2150" w:rsidP="0038494E">
      <w:pPr>
        <w:pStyle w:val="Institutionquisigne"/>
        <w:rPr>
          <w:noProof/>
        </w:rPr>
      </w:pPr>
      <w:r w:rsidRPr="00FE2150">
        <w:rPr>
          <w:noProof/>
        </w:rPr>
        <w:tab/>
        <w:t>For the Council</w:t>
      </w:r>
    </w:p>
    <w:p w14:paraId="2A24D976" w14:textId="77777777" w:rsidR="00FE2150" w:rsidRPr="00FE2150" w:rsidRDefault="00FE2150" w:rsidP="00FE2150">
      <w:pPr>
        <w:pStyle w:val="Personnequisigne"/>
        <w:rPr>
          <w:noProof/>
        </w:rPr>
      </w:pPr>
      <w:r w:rsidRPr="00FE2150">
        <w:rPr>
          <w:noProof/>
        </w:rPr>
        <w:tab/>
        <w:t>The President</w:t>
      </w:r>
    </w:p>
    <w:sectPr w:rsidR="00FE2150" w:rsidRPr="00FE2150" w:rsidSect="00DD5CE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7D8EF" w14:textId="77777777" w:rsidR="008F7516" w:rsidRDefault="008F7516" w:rsidP="00FE2150">
      <w:pPr>
        <w:spacing w:before="0" w:after="0"/>
      </w:pPr>
      <w:r>
        <w:separator/>
      </w:r>
    </w:p>
  </w:endnote>
  <w:endnote w:type="continuationSeparator" w:id="0">
    <w:p w14:paraId="0F7974E2" w14:textId="77777777" w:rsidR="008F7516" w:rsidRDefault="008F7516" w:rsidP="00FE21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E307" w14:textId="301FCFCD" w:rsidR="00E12321" w:rsidRPr="00DD5CE9" w:rsidRDefault="00DD5CE9" w:rsidP="00DD5CE9">
    <w:pPr>
      <w:pStyle w:val="Footer"/>
      <w:rPr>
        <w:rFonts w:ascii="Arial" w:hAnsi="Arial" w:cs="Arial"/>
        <w:b/>
        <w:sz w:val="48"/>
      </w:rPr>
    </w:pPr>
    <w:r w:rsidRPr="00DD5CE9">
      <w:rPr>
        <w:rFonts w:ascii="Arial" w:hAnsi="Arial" w:cs="Arial"/>
        <w:b/>
        <w:sz w:val="48"/>
      </w:rPr>
      <w:t>EN</w:t>
    </w:r>
    <w:r w:rsidRPr="00DD5CE9">
      <w:rPr>
        <w:rFonts w:ascii="Arial" w:hAnsi="Arial" w:cs="Arial"/>
        <w:b/>
        <w:sz w:val="48"/>
      </w:rPr>
      <w:tab/>
    </w:r>
    <w:r w:rsidRPr="00DD5CE9">
      <w:rPr>
        <w:rFonts w:ascii="Arial" w:hAnsi="Arial" w:cs="Arial"/>
        <w:b/>
        <w:sz w:val="48"/>
      </w:rPr>
      <w:tab/>
    </w:r>
    <w:r w:rsidRPr="00DD5CE9">
      <w:tab/>
    </w:r>
    <w:r w:rsidRPr="00DD5CE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3E1F" w14:textId="51F9F847" w:rsidR="00DD5CE9" w:rsidRPr="00DD5CE9" w:rsidRDefault="00DD5CE9" w:rsidP="00DD5CE9">
    <w:pPr>
      <w:pStyle w:val="Footer"/>
      <w:rPr>
        <w:rFonts w:ascii="Arial" w:hAnsi="Arial" w:cs="Arial"/>
        <w:b/>
        <w:sz w:val="48"/>
      </w:rPr>
    </w:pPr>
    <w:r w:rsidRPr="00DD5CE9">
      <w:rPr>
        <w:rFonts w:ascii="Arial" w:hAnsi="Arial" w:cs="Arial"/>
        <w:b/>
        <w:sz w:val="48"/>
      </w:rPr>
      <w:t>EN</w:t>
    </w:r>
    <w:r w:rsidRPr="00DD5CE9">
      <w:rPr>
        <w:rFonts w:ascii="Arial" w:hAnsi="Arial" w:cs="Arial"/>
        <w:b/>
        <w:sz w:val="48"/>
      </w:rPr>
      <w:tab/>
    </w:r>
    <w:r>
      <w:fldChar w:fldCharType="begin"/>
    </w:r>
    <w:r>
      <w:instrText xml:space="preserve"> PAGE  \* MERGEFORMAT </w:instrText>
    </w:r>
    <w:r>
      <w:fldChar w:fldCharType="separate"/>
    </w:r>
    <w:r w:rsidR="0038494E">
      <w:rPr>
        <w:noProof/>
      </w:rPr>
      <w:t>7</w:t>
    </w:r>
    <w:r>
      <w:fldChar w:fldCharType="end"/>
    </w:r>
    <w:r>
      <w:tab/>
    </w:r>
    <w:r w:rsidRPr="00DD5CE9">
      <w:tab/>
    </w:r>
    <w:r w:rsidRPr="00DD5CE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F87D" w14:textId="77777777" w:rsidR="00DD5CE9" w:rsidRPr="00DD5CE9" w:rsidRDefault="00DD5CE9" w:rsidP="00DD5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BF168" w14:textId="77777777" w:rsidR="008F7516" w:rsidRDefault="008F7516" w:rsidP="00FE2150">
      <w:pPr>
        <w:spacing w:before="0" w:after="0"/>
      </w:pPr>
      <w:r>
        <w:separator/>
      </w:r>
    </w:p>
  </w:footnote>
  <w:footnote w:type="continuationSeparator" w:id="0">
    <w:p w14:paraId="7263B4F0" w14:textId="77777777" w:rsidR="008F7516" w:rsidRDefault="008F7516" w:rsidP="00FE2150">
      <w:pPr>
        <w:spacing w:before="0" w:after="0"/>
      </w:pPr>
      <w:r>
        <w:continuationSeparator/>
      </w:r>
    </w:p>
  </w:footnote>
  <w:footnote w:id="1">
    <w:p w14:paraId="278B8FCA" w14:textId="41FA2775" w:rsidR="00065472" w:rsidRDefault="00065472" w:rsidP="00FE2150">
      <w:pPr>
        <w:pStyle w:val="FootnoteText"/>
        <w:ind w:left="284" w:hanging="284"/>
      </w:pPr>
      <w:r>
        <w:rPr>
          <w:rStyle w:val="FootnoteReference"/>
        </w:rPr>
        <w:footnoteRef/>
      </w:r>
      <w:r>
        <w:tab/>
        <w:t>Austria (ratified on 11/6/1975), Belgium (ratified on 30/12/1977), Bulgaria (ratified on 12/5/1995), Croatia (ratified on 3/8/1992), Cyprus (ratified on 5/9/2003), Czechia (ratified on 22/6/1993), Denmark (ratified on 30/12/1977), Estonia (ratified on 3/5/1993), Finland (ratified on 16/2/1999), France (ratified on 9/1/1978), Germany (ratified on 9/7/1975), Greece (ratified on 11/1/1974), Hungary (ratified on 22/10/1999), Ireland (ratified on 28/8/1979), Italy (ratified on 28/12/1978), Latvia (ratified on 14/1/1994), Lithuania (ratified on 3/6/1998), Luxembourg (ratified on 30/12/1977), Malta (ratified on 24/9/2004), Netherlands (ratified on 30/12/1977), Poland (ratified on 14/7/1992), Portugal (ratified on 20/9/1973), Romania (ratified on 8/12/1994), Slovakia (ratified on 28/5/1993), Slovenia (ratified on 6/8/1993), Spain (ratified on 3/1/1993) and Sweden (ratified on 24/8/1973).</w:t>
      </w:r>
    </w:p>
  </w:footnote>
  <w:footnote w:id="2">
    <w:p w14:paraId="3017F527" w14:textId="282F852D" w:rsidR="00065472" w:rsidRPr="00AA43D1" w:rsidRDefault="00065472" w:rsidP="00E5283C">
      <w:pPr>
        <w:pStyle w:val="FootnoteText"/>
        <w:rPr>
          <w:lang w:val="en-IE"/>
        </w:rPr>
      </w:pPr>
      <w:r w:rsidRPr="008213BB">
        <w:rPr>
          <w:rStyle w:val="FootnoteReference"/>
        </w:rPr>
        <w:footnoteRef/>
      </w:r>
      <w:r w:rsidR="008213BB">
        <w:tab/>
      </w:r>
      <w:r w:rsidRPr="00E508CF">
        <w:t>Decision on matters relating to Inland Transport Committee: Establishment of a Group of Experts on European Agreement Concerning Work of Crews of Vehicles Engaged in International Road Transport (AETR)</w:t>
      </w:r>
      <w:r>
        <w:t>,</w:t>
      </w:r>
      <w:r w:rsidRPr="00E508CF">
        <w:t xml:space="preserve"> </w:t>
      </w:r>
      <w:r w:rsidRPr="00AA43D1">
        <w:rPr>
          <w:lang w:val="en-US"/>
        </w:rPr>
        <w:t>ECE/EX/2011/L.16</w:t>
      </w:r>
      <w:r w:rsidRPr="00E508CF">
        <w:rPr>
          <w:lang w:val="en-US"/>
        </w:rPr>
        <w:t xml:space="preserve">, </w:t>
      </w:r>
      <w:r>
        <w:rPr>
          <w:lang w:val="en-US"/>
        </w:rPr>
        <w:t>paragraph 3</w:t>
      </w:r>
      <w:r>
        <w:rPr>
          <w:lang w:val="en-IE"/>
        </w:rPr>
        <w:t>:  “</w:t>
      </w:r>
      <w:r>
        <w:t>In accordance with the Guidelines, participation in the Expert Group would be open to all ECE member States, all AETR Contracting Parties and the European Union (…)</w:t>
      </w:r>
      <w:r>
        <w:rPr>
          <w:lang w:val="en-IE"/>
        </w:rPr>
        <w:t>”</w:t>
      </w:r>
    </w:p>
  </w:footnote>
  <w:footnote w:id="3">
    <w:p w14:paraId="2224988F" w14:textId="2537E4FA" w:rsidR="00065472" w:rsidRPr="00AA43D1" w:rsidRDefault="00065472">
      <w:pPr>
        <w:pStyle w:val="FootnoteText"/>
        <w:rPr>
          <w:lang w:val="en-IE"/>
        </w:rPr>
      </w:pPr>
      <w:r w:rsidRPr="00FE7A36">
        <w:rPr>
          <w:rStyle w:val="FootnoteReference"/>
        </w:rPr>
        <w:footnoteRef/>
      </w:r>
      <w:r w:rsidRPr="00AA43D1">
        <w:rPr>
          <w:lang w:val="en-IE"/>
        </w:rPr>
        <w:tab/>
        <w:t xml:space="preserve">Agenda point 4, ECE/TRANS/SC.1/GE.21/69: </w:t>
      </w:r>
      <w:hyperlink r:id="rId1" w:history="1">
        <w:r w:rsidRPr="00AA43D1">
          <w:rPr>
            <w:rStyle w:val="Hyperlink"/>
            <w:lang w:val="en-IE"/>
          </w:rPr>
          <w:t>ECE/TRANS/SC.1/GE.21/69 (unece.org)</w:t>
        </w:r>
      </w:hyperlink>
      <w:r w:rsidR="00AA43D1" w:rsidRPr="00AA43D1">
        <w:rPr>
          <w:rStyle w:val="Hyperlink"/>
          <w:u w:val="none"/>
          <w:lang w:val="en-IE"/>
        </w:rPr>
        <w:t>.</w:t>
      </w:r>
    </w:p>
  </w:footnote>
  <w:footnote w:id="4">
    <w:p w14:paraId="70FD730C" w14:textId="6C5812D3" w:rsidR="00065472" w:rsidRPr="00AA43D1" w:rsidRDefault="00065472">
      <w:pPr>
        <w:pStyle w:val="FootnoteText"/>
        <w:rPr>
          <w:lang w:val="en-IE"/>
        </w:rPr>
      </w:pPr>
      <w:r w:rsidRPr="00FE7A36">
        <w:rPr>
          <w:rStyle w:val="FootnoteReference"/>
        </w:rPr>
        <w:footnoteRef/>
      </w:r>
      <w:r w:rsidRPr="00AA43D1">
        <w:rPr>
          <w:lang w:val="en-IE"/>
        </w:rPr>
        <w:tab/>
      </w:r>
      <w:r w:rsidRPr="00AA43D1">
        <w:rPr>
          <w:lang w:val="en-IE" w:bidi="en-US"/>
        </w:rPr>
        <w:t xml:space="preserve">ECE/TRANS/SC.1/GE.21/2023/2: </w:t>
      </w:r>
      <w:hyperlink r:id="rId2" w:history="1">
        <w:r>
          <w:rPr>
            <w:rStyle w:val="Hyperlink"/>
          </w:rPr>
          <w:t>Прочие</w:t>
        </w:r>
        <w:r w:rsidRPr="00AA43D1">
          <w:rPr>
            <w:rStyle w:val="Hyperlink"/>
            <w:lang w:val="en-IE"/>
          </w:rPr>
          <w:t xml:space="preserve"> </w:t>
        </w:r>
        <w:r>
          <w:rPr>
            <w:rStyle w:val="Hyperlink"/>
          </w:rPr>
          <w:t>вопросы</w:t>
        </w:r>
        <w:r w:rsidRPr="00AA43D1">
          <w:rPr>
            <w:rStyle w:val="Hyperlink"/>
            <w:lang w:val="en-IE"/>
          </w:rPr>
          <w:t xml:space="preserve"> - (Belarus) | UNECE</w:t>
        </w:r>
      </w:hyperlink>
      <w:r w:rsidR="00AA43D1" w:rsidRPr="00AA43D1">
        <w:rPr>
          <w:rStyle w:val="Hyperlink"/>
          <w:u w:val="none"/>
          <w:lang w:val="en-IE"/>
        </w:rPr>
        <w:t>.</w:t>
      </w:r>
    </w:p>
  </w:footnote>
  <w:footnote w:id="5">
    <w:p w14:paraId="4633900A" w14:textId="77777777" w:rsidR="00065472" w:rsidRPr="000C3176" w:rsidRDefault="00065472">
      <w:pPr>
        <w:pStyle w:val="FootnoteText"/>
        <w:rPr>
          <w:lang w:val="en-IE"/>
        </w:rPr>
      </w:pPr>
      <w:r w:rsidRPr="00FE7A36">
        <w:rPr>
          <w:rStyle w:val="FootnoteReference"/>
        </w:rPr>
        <w:footnoteRef/>
      </w:r>
      <w:r>
        <w:tab/>
        <w:t xml:space="preserve">The same amendment proposal is included by Russia in </w:t>
      </w:r>
      <w:r w:rsidRPr="000C3176">
        <w:rPr>
          <w:lang w:val="en-IE"/>
        </w:rPr>
        <w:t xml:space="preserve">ECE/TRANS/SC.1/GE.21/2023/1: </w:t>
      </w:r>
      <w:hyperlink r:id="rId3" w:history="1">
        <w:r>
          <w:rPr>
            <w:rStyle w:val="Hyperlink"/>
          </w:rPr>
          <w:t>Добавление 1С - (Russian Federation) | UNECE</w:t>
        </w:r>
      </w:hyperlink>
      <w:r>
        <w:t>, even though this document largely deals with comments to another Union proposal (new Appendix 1C to the AETR).</w:t>
      </w:r>
    </w:p>
  </w:footnote>
  <w:footnote w:id="6">
    <w:p w14:paraId="4329B310" w14:textId="77777777" w:rsidR="00065472" w:rsidRPr="00EB0BF5" w:rsidRDefault="00065472">
      <w:pPr>
        <w:pStyle w:val="FootnoteText"/>
        <w:rPr>
          <w:lang w:val="pt-PT"/>
        </w:rPr>
      </w:pPr>
      <w:r w:rsidRPr="00B355CA">
        <w:rPr>
          <w:rStyle w:val="FootnoteReference"/>
        </w:rPr>
        <w:footnoteRef/>
      </w:r>
      <w:r>
        <w:tab/>
      </w:r>
      <w:r w:rsidRPr="00EB0BF5">
        <w:t>ECLI:EU:C:1971:32.</w:t>
      </w:r>
    </w:p>
  </w:footnote>
  <w:footnote w:id="7">
    <w:p w14:paraId="31C74814" w14:textId="77777777" w:rsidR="00065472" w:rsidRDefault="00065472" w:rsidP="00DC53DD">
      <w:pPr>
        <w:pStyle w:val="FootnoteText"/>
      </w:pPr>
      <w:r>
        <w:rPr>
          <w:rStyle w:val="FootnoteReference"/>
        </w:rPr>
        <w:footnoteRef/>
      </w:r>
      <w:r>
        <w:tab/>
        <w:t xml:space="preserve">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 </w:t>
      </w:r>
    </w:p>
  </w:footnote>
  <w:footnote w:id="8">
    <w:p w14:paraId="4524E3E2" w14:textId="77777777" w:rsidR="00065472" w:rsidRDefault="00065472" w:rsidP="00DC53DD">
      <w:pPr>
        <w:pStyle w:val="FootnoteText"/>
      </w:pPr>
      <w:r>
        <w:rPr>
          <w:rStyle w:val="FootnoteReference"/>
        </w:rPr>
        <w:footnoteRef/>
      </w:r>
      <w:r>
        <w:tab/>
        <w:t xml:space="preserve">Regulation (EU) No 165/2014 of the European Parliament and of the Council of 4 February 2014 on tachographs in road transport and amending Regulation (EC) No 561/2006 of the European Parliament and of the Council on the harmonisation of certain social legislation relating to road transport (OJ L 60, 28.2.2014, p. 1.). </w:t>
      </w:r>
    </w:p>
  </w:footnote>
  <w:footnote w:id="9">
    <w:p w14:paraId="33472CEB" w14:textId="77777777" w:rsidR="00065472" w:rsidRPr="00B035F8" w:rsidRDefault="00065472" w:rsidP="00065472">
      <w:pPr>
        <w:pStyle w:val="FootnoteText"/>
      </w:pPr>
      <w:r w:rsidRPr="00B035F8">
        <w:rPr>
          <w:rStyle w:val="FootnoteReference"/>
        </w:rPr>
        <w:footnoteRef/>
      </w:r>
      <w:r w:rsidRPr="00B035F8">
        <w:tab/>
        <w:t xml:space="preserve">Judgment of the Court of Justice of 7 October 2014, Germany v Council, C-399/12, ECLI:EU:C:2014:2258, paragraph 64. </w:t>
      </w:r>
    </w:p>
  </w:footnote>
  <w:footnote w:id="10">
    <w:p w14:paraId="4C9308B7" w14:textId="77777777" w:rsidR="00065472" w:rsidRPr="00B035F8" w:rsidRDefault="00065472" w:rsidP="00065472">
      <w:pPr>
        <w:pStyle w:val="FootnoteText"/>
      </w:pPr>
      <w:r w:rsidRPr="00B035F8">
        <w:rPr>
          <w:rStyle w:val="FootnoteReference"/>
        </w:rPr>
        <w:footnoteRef/>
      </w:r>
      <w:r w:rsidRPr="00B035F8">
        <w:tab/>
        <w:t>Judgment of the Court of Justice of 7 October 2014, Germany v Council, C-399/12, ECLI:EU:C:2014:2258, paragraphs 61</w:t>
      </w:r>
      <w:r>
        <w:t xml:space="preserve"> </w:t>
      </w:r>
      <w:r w:rsidRPr="00B035F8">
        <w:t xml:space="preserve">to 64. </w:t>
      </w:r>
    </w:p>
  </w:footnote>
  <w:footnote w:id="11">
    <w:p w14:paraId="3FC22A0D" w14:textId="77777777" w:rsidR="00065472" w:rsidRPr="00BD0CF0" w:rsidRDefault="00065472">
      <w:pPr>
        <w:pStyle w:val="FootnoteText"/>
        <w:rPr>
          <w:lang w:val="pt-PT"/>
        </w:rPr>
      </w:pPr>
      <w:r w:rsidRPr="00B355CA">
        <w:rPr>
          <w:rStyle w:val="FootnoteReference"/>
        </w:rPr>
        <w:footnoteRef/>
      </w:r>
      <w:r>
        <w:tab/>
      </w:r>
      <w:r w:rsidRPr="00BE5CB4">
        <w:t>OJ L 95, 8.4.1978, p. 1.</w:t>
      </w:r>
    </w:p>
  </w:footnote>
  <w:footnote w:id="12">
    <w:p w14:paraId="16D3F8D6" w14:textId="77777777" w:rsidR="00065472" w:rsidRPr="009C7EC5" w:rsidRDefault="00065472">
      <w:pPr>
        <w:pStyle w:val="FootnoteText"/>
        <w:rPr>
          <w:lang w:val="en-IE"/>
        </w:rPr>
      </w:pPr>
      <w:r w:rsidRPr="00196907">
        <w:rPr>
          <w:rStyle w:val="FootnoteReference"/>
        </w:rPr>
        <w:footnoteRef/>
      </w:r>
      <w:r>
        <w:tab/>
        <w:t xml:space="preserve">The same amendment proposal is included by Russia in </w:t>
      </w:r>
      <w:r w:rsidRPr="000C3176">
        <w:rPr>
          <w:lang w:val="en-IE"/>
        </w:rPr>
        <w:t>ECE/TRANS/SC.1/GE.21/2023/1</w:t>
      </w:r>
      <w:r>
        <w:rPr>
          <w:lang w:val="en-IE"/>
        </w:rPr>
        <w:t xml:space="preserve"> </w:t>
      </w:r>
      <w:r>
        <w:t>even though this document largely deals with comments to another Union proposal (new Appendix 1C to the AETR).</w:t>
      </w:r>
    </w:p>
  </w:footnote>
  <w:footnote w:id="13">
    <w:p w14:paraId="5CFDE17D" w14:textId="3DAF8197" w:rsidR="00065472" w:rsidRDefault="00065472" w:rsidP="00DC6BF6">
      <w:pPr>
        <w:pStyle w:val="FootnoteText"/>
      </w:pPr>
      <w:r>
        <w:rPr>
          <w:rStyle w:val="FootnoteReference"/>
        </w:rPr>
        <w:footnoteRef/>
      </w:r>
      <w:r>
        <w:tab/>
        <w:t xml:space="preserve">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 </w:t>
      </w:r>
    </w:p>
  </w:footnote>
  <w:footnote w:id="14">
    <w:p w14:paraId="12C057A6" w14:textId="77777777" w:rsidR="00065472" w:rsidRDefault="00065472" w:rsidP="00DC6BF6">
      <w:pPr>
        <w:pStyle w:val="FootnoteText"/>
      </w:pPr>
      <w:r>
        <w:rPr>
          <w:rStyle w:val="FootnoteReference"/>
        </w:rPr>
        <w:footnoteRef/>
      </w:r>
      <w:r>
        <w:tab/>
        <w:t xml:space="preserve">Regulation (EU) No 165/2014 of the European Parliament and of the Council of 4 February 2014 on tachographs in road transport and amending Regulation (EC) No 561/2006 of the European Parliament and of the Council on the harmonisation of certain social legislation relating to road transport (OJ L 60, 28.2.2014, p.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36CAD4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1ACB4F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408BC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BD0FB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2AE96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9B43E7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DACC07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49AEB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09 10:26: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0423BF3-18C7-47F1-A2DC-1ED16AD2AC3F"/>
    <w:docVar w:name="LW_COVERPAGE_TYPE" w:val="1"/>
    <w:docVar w:name="LW_CROSSREFERENCE" w:val="&lt;UNUSED&gt;"/>
    <w:docVar w:name="LW_DocType" w:val="COM"/>
    <w:docVar w:name="LW_EMISSION" w:val="20.3.2023"/>
    <w:docVar w:name="LW_EMISSION_ISODATE" w:val="2023-03-2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5"/>
    <w:docVar w:name="LW_REF.II.NEW.CP_YEAR" w:val="2023"/>
    <w:docVar w:name="LW_REF.INST.NEW" w:val="COM"/>
    <w:docVar w:name="LW_REF.INST.NEW_ADOPTED" w:val="final"/>
    <w:docVar w:name="LW_REF.INST.NEW_TEXT" w:val="(2023) 14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Group of Experts of the European Agreement concerning the work of crews of vehicles engaged in international road transport (AETR), in the Working Party on Road Transport of the United Nations Economic Commission for Europe and, as appropriate, in relation to the notification by the UN Secretary-General pursuant to Article 21(1) of the AETR."/>
    <w:docVar w:name="LW_TYPE.DOC.CP" w:val="COUNCIL DECISION"/>
    <w:docVar w:name="LwApiVersions" w:val="LW4CoDe 1.23.2.0; LW 8.0, Build 20211117"/>
  </w:docVars>
  <w:rsids>
    <w:rsidRoot w:val="00FE2150"/>
    <w:rsid w:val="000136D8"/>
    <w:rsid w:val="0004605B"/>
    <w:rsid w:val="00065472"/>
    <w:rsid w:val="00071488"/>
    <w:rsid w:val="000A30B6"/>
    <w:rsid w:val="000A78F7"/>
    <w:rsid w:val="000B1A54"/>
    <w:rsid w:val="000B4825"/>
    <w:rsid w:val="000C3176"/>
    <w:rsid w:val="001065F5"/>
    <w:rsid w:val="001238EF"/>
    <w:rsid w:val="001445E3"/>
    <w:rsid w:val="00146C88"/>
    <w:rsid w:val="0014783C"/>
    <w:rsid w:val="00150783"/>
    <w:rsid w:val="00156452"/>
    <w:rsid w:val="00161461"/>
    <w:rsid w:val="00176DC4"/>
    <w:rsid w:val="001868E9"/>
    <w:rsid w:val="00192A8B"/>
    <w:rsid w:val="001945C1"/>
    <w:rsid w:val="00196907"/>
    <w:rsid w:val="00197613"/>
    <w:rsid w:val="001B078D"/>
    <w:rsid w:val="001D2FA1"/>
    <w:rsid w:val="001E538A"/>
    <w:rsid w:val="001E5543"/>
    <w:rsid w:val="001E65C6"/>
    <w:rsid w:val="00215DF2"/>
    <w:rsid w:val="00227001"/>
    <w:rsid w:val="00233DC7"/>
    <w:rsid w:val="00246900"/>
    <w:rsid w:val="00247204"/>
    <w:rsid w:val="00247779"/>
    <w:rsid w:val="002516EF"/>
    <w:rsid w:val="00256880"/>
    <w:rsid w:val="00274A1C"/>
    <w:rsid w:val="0028463B"/>
    <w:rsid w:val="00284D70"/>
    <w:rsid w:val="00285BEE"/>
    <w:rsid w:val="00295113"/>
    <w:rsid w:val="0029533F"/>
    <w:rsid w:val="002B30AF"/>
    <w:rsid w:val="002C27CC"/>
    <w:rsid w:val="003003DE"/>
    <w:rsid w:val="00307339"/>
    <w:rsid w:val="0033344A"/>
    <w:rsid w:val="00333CC1"/>
    <w:rsid w:val="003352D7"/>
    <w:rsid w:val="003543C7"/>
    <w:rsid w:val="00356811"/>
    <w:rsid w:val="00361B3B"/>
    <w:rsid w:val="00363E67"/>
    <w:rsid w:val="00373F0F"/>
    <w:rsid w:val="00377A59"/>
    <w:rsid w:val="0038494E"/>
    <w:rsid w:val="0039548C"/>
    <w:rsid w:val="003A10E7"/>
    <w:rsid w:val="003C2326"/>
    <w:rsid w:val="003E2C6F"/>
    <w:rsid w:val="003E2D0B"/>
    <w:rsid w:val="003F30F4"/>
    <w:rsid w:val="003F6639"/>
    <w:rsid w:val="0040093A"/>
    <w:rsid w:val="00405B06"/>
    <w:rsid w:val="004176EF"/>
    <w:rsid w:val="00424A75"/>
    <w:rsid w:val="0042648E"/>
    <w:rsid w:val="00433D61"/>
    <w:rsid w:val="004715E2"/>
    <w:rsid w:val="00476625"/>
    <w:rsid w:val="00483AD3"/>
    <w:rsid w:val="004936D2"/>
    <w:rsid w:val="00497F43"/>
    <w:rsid w:val="004A04A6"/>
    <w:rsid w:val="004A1DF9"/>
    <w:rsid w:val="004A32B0"/>
    <w:rsid w:val="004B25C8"/>
    <w:rsid w:val="004C4EBD"/>
    <w:rsid w:val="004D3DAB"/>
    <w:rsid w:val="004D3F82"/>
    <w:rsid w:val="004E51B2"/>
    <w:rsid w:val="004F3EA5"/>
    <w:rsid w:val="00512AEC"/>
    <w:rsid w:val="0052374F"/>
    <w:rsid w:val="00531A53"/>
    <w:rsid w:val="00575030"/>
    <w:rsid w:val="00595868"/>
    <w:rsid w:val="005A0B65"/>
    <w:rsid w:val="005A75A0"/>
    <w:rsid w:val="005B1EB6"/>
    <w:rsid w:val="005C4E46"/>
    <w:rsid w:val="005C7D4E"/>
    <w:rsid w:val="005D4AB4"/>
    <w:rsid w:val="005F280E"/>
    <w:rsid w:val="005F2E98"/>
    <w:rsid w:val="005F70BD"/>
    <w:rsid w:val="0060326F"/>
    <w:rsid w:val="006112A3"/>
    <w:rsid w:val="00616C9A"/>
    <w:rsid w:val="00620A0B"/>
    <w:rsid w:val="006248CC"/>
    <w:rsid w:val="00625281"/>
    <w:rsid w:val="00630E36"/>
    <w:rsid w:val="006401FF"/>
    <w:rsid w:val="00643A41"/>
    <w:rsid w:val="0066163F"/>
    <w:rsid w:val="0067271A"/>
    <w:rsid w:val="00677BC4"/>
    <w:rsid w:val="00682929"/>
    <w:rsid w:val="00682FC7"/>
    <w:rsid w:val="00683742"/>
    <w:rsid w:val="0068426C"/>
    <w:rsid w:val="00690DBF"/>
    <w:rsid w:val="0069277D"/>
    <w:rsid w:val="00693AFC"/>
    <w:rsid w:val="006C6B2B"/>
    <w:rsid w:val="00707CF6"/>
    <w:rsid w:val="007102B6"/>
    <w:rsid w:val="007141BE"/>
    <w:rsid w:val="007372EC"/>
    <w:rsid w:val="0075388E"/>
    <w:rsid w:val="007539AB"/>
    <w:rsid w:val="007576C8"/>
    <w:rsid w:val="00773331"/>
    <w:rsid w:val="00775954"/>
    <w:rsid w:val="00792E07"/>
    <w:rsid w:val="007932EF"/>
    <w:rsid w:val="007A3EC2"/>
    <w:rsid w:val="007A5613"/>
    <w:rsid w:val="007B5774"/>
    <w:rsid w:val="007D6480"/>
    <w:rsid w:val="007D65E2"/>
    <w:rsid w:val="007E05B0"/>
    <w:rsid w:val="007E30DB"/>
    <w:rsid w:val="008000B4"/>
    <w:rsid w:val="00800EAF"/>
    <w:rsid w:val="008213BB"/>
    <w:rsid w:val="00835CF4"/>
    <w:rsid w:val="00840FAF"/>
    <w:rsid w:val="008429AB"/>
    <w:rsid w:val="00845007"/>
    <w:rsid w:val="008474AC"/>
    <w:rsid w:val="00870922"/>
    <w:rsid w:val="00874D22"/>
    <w:rsid w:val="0087571A"/>
    <w:rsid w:val="00876FC9"/>
    <w:rsid w:val="00881ACB"/>
    <w:rsid w:val="00883AD6"/>
    <w:rsid w:val="008A1477"/>
    <w:rsid w:val="008A2914"/>
    <w:rsid w:val="008B4A11"/>
    <w:rsid w:val="008B5D77"/>
    <w:rsid w:val="008C0F42"/>
    <w:rsid w:val="008C2956"/>
    <w:rsid w:val="008E35C4"/>
    <w:rsid w:val="008E4D8E"/>
    <w:rsid w:val="008F7516"/>
    <w:rsid w:val="00901B9F"/>
    <w:rsid w:val="00912B39"/>
    <w:rsid w:val="00914956"/>
    <w:rsid w:val="00931BA4"/>
    <w:rsid w:val="00940AE4"/>
    <w:rsid w:val="00950958"/>
    <w:rsid w:val="009574EA"/>
    <w:rsid w:val="009679FF"/>
    <w:rsid w:val="00970B1C"/>
    <w:rsid w:val="00971A73"/>
    <w:rsid w:val="009A6728"/>
    <w:rsid w:val="009C7EC5"/>
    <w:rsid w:val="009F4F9C"/>
    <w:rsid w:val="009F7791"/>
    <w:rsid w:val="00A07836"/>
    <w:rsid w:val="00A176B5"/>
    <w:rsid w:val="00A20583"/>
    <w:rsid w:val="00A34C34"/>
    <w:rsid w:val="00A35D50"/>
    <w:rsid w:val="00A47D6E"/>
    <w:rsid w:val="00A51FA6"/>
    <w:rsid w:val="00A912EB"/>
    <w:rsid w:val="00A94E1F"/>
    <w:rsid w:val="00AA43D1"/>
    <w:rsid w:val="00AB6F1B"/>
    <w:rsid w:val="00AC708B"/>
    <w:rsid w:val="00AE6E3B"/>
    <w:rsid w:val="00AF542D"/>
    <w:rsid w:val="00B00C88"/>
    <w:rsid w:val="00B041B5"/>
    <w:rsid w:val="00B144A1"/>
    <w:rsid w:val="00B30B94"/>
    <w:rsid w:val="00B318AE"/>
    <w:rsid w:val="00B3407A"/>
    <w:rsid w:val="00B3559E"/>
    <w:rsid w:val="00B355CA"/>
    <w:rsid w:val="00B64844"/>
    <w:rsid w:val="00B72E90"/>
    <w:rsid w:val="00B961D8"/>
    <w:rsid w:val="00BA635D"/>
    <w:rsid w:val="00BB2267"/>
    <w:rsid w:val="00BB460A"/>
    <w:rsid w:val="00BC3741"/>
    <w:rsid w:val="00BC5F64"/>
    <w:rsid w:val="00BD0CF0"/>
    <w:rsid w:val="00BD3FEE"/>
    <w:rsid w:val="00BE1332"/>
    <w:rsid w:val="00BE5CB4"/>
    <w:rsid w:val="00BE712C"/>
    <w:rsid w:val="00C079DE"/>
    <w:rsid w:val="00C12301"/>
    <w:rsid w:val="00C12D06"/>
    <w:rsid w:val="00C61F33"/>
    <w:rsid w:val="00C66626"/>
    <w:rsid w:val="00C67C5A"/>
    <w:rsid w:val="00C87088"/>
    <w:rsid w:val="00C87C4A"/>
    <w:rsid w:val="00CA0E63"/>
    <w:rsid w:val="00CA10EB"/>
    <w:rsid w:val="00CA1185"/>
    <w:rsid w:val="00CA5BEF"/>
    <w:rsid w:val="00CC2508"/>
    <w:rsid w:val="00CC268A"/>
    <w:rsid w:val="00CE7A61"/>
    <w:rsid w:val="00CF0C3D"/>
    <w:rsid w:val="00CF6900"/>
    <w:rsid w:val="00D05A5C"/>
    <w:rsid w:val="00D10E54"/>
    <w:rsid w:val="00D20381"/>
    <w:rsid w:val="00D52A92"/>
    <w:rsid w:val="00D53B77"/>
    <w:rsid w:val="00D56D83"/>
    <w:rsid w:val="00D709E8"/>
    <w:rsid w:val="00D72FDD"/>
    <w:rsid w:val="00DA4C42"/>
    <w:rsid w:val="00DB1464"/>
    <w:rsid w:val="00DB40D7"/>
    <w:rsid w:val="00DC4994"/>
    <w:rsid w:val="00DC53DD"/>
    <w:rsid w:val="00DC6BF6"/>
    <w:rsid w:val="00DD0D9B"/>
    <w:rsid w:val="00DD5CE9"/>
    <w:rsid w:val="00DF661E"/>
    <w:rsid w:val="00E01E42"/>
    <w:rsid w:val="00E10BD8"/>
    <w:rsid w:val="00E12321"/>
    <w:rsid w:val="00E204B5"/>
    <w:rsid w:val="00E348B9"/>
    <w:rsid w:val="00E46BC0"/>
    <w:rsid w:val="00E508CF"/>
    <w:rsid w:val="00E5283C"/>
    <w:rsid w:val="00E82486"/>
    <w:rsid w:val="00E842FD"/>
    <w:rsid w:val="00E91D6A"/>
    <w:rsid w:val="00EB0BF5"/>
    <w:rsid w:val="00EC2AB6"/>
    <w:rsid w:val="00EE30F4"/>
    <w:rsid w:val="00EF2FC9"/>
    <w:rsid w:val="00EF3E7C"/>
    <w:rsid w:val="00F03B9B"/>
    <w:rsid w:val="00F14302"/>
    <w:rsid w:val="00F15254"/>
    <w:rsid w:val="00F20F84"/>
    <w:rsid w:val="00F23B78"/>
    <w:rsid w:val="00F560AB"/>
    <w:rsid w:val="00F6117D"/>
    <w:rsid w:val="00F64CF1"/>
    <w:rsid w:val="00F81514"/>
    <w:rsid w:val="00F86CDD"/>
    <w:rsid w:val="00F9175F"/>
    <w:rsid w:val="00F96BC6"/>
    <w:rsid w:val="00FA08ED"/>
    <w:rsid w:val="00FB25F4"/>
    <w:rsid w:val="00FB414F"/>
    <w:rsid w:val="00FB614F"/>
    <w:rsid w:val="00FC38F8"/>
    <w:rsid w:val="00FD1244"/>
    <w:rsid w:val="00FD19FD"/>
    <w:rsid w:val="00FE2150"/>
    <w:rsid w:val="00FE2B0E"/>
    <w:rsid w:val="00FE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CF1AD4"/>
  <w15:docId w15:val="{CE333B0A-8AD3-47D7-97C9-29913E27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sid w:val="00693AF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styleId="CommentReference">
    <w:name w:val="annotation reference"/>
    <w:basedOn w:val="DefaultParagraphFont"/>
    <w:uiPriority w:val="99"/>
    <w:semiHidden/>
    <w:unhideWhenUsed/>
    <w:rsid w:val="00246900"/>
    <w:rPr>
      <w:sz w:val="16"/>
      <w:szCs w:val="16"/>
    </w:rPr>
  </w:style>
  <w:style w:type="paragraph" w:styleId="CommentText">
    <w:name w:val="annotation text"/>
    <w:basedOn w:val="Normal"/>
    <w:link w:val="CommentTextChar"/>
    <w:uiPriority w:val="99"/>
    <w:unhideWhenUsed/>
    <w:rsid w:val="00246900"/>
    <w:rPr>
      <w:sz w:val="20"/>
      <w:szCs w:val="20"/>
    </w:rPr>
  </w:style>
  <w:style w:type="character" w:customStyle="1" w:styleId="CommentTextChar">
    <w:name w:val="Comment Text Char"/>
    <w:basedOn w:val="DefaultParagraphFont"/>
    <w:link w:val="CommentText"/>
    <w:uiPriority w:val="99"/>
    <w:rsid w:val="0024690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46900"/>
    <w:rPr>
      <w:b/>
      <w:bCs/>
    </w:rPr>
  </w:style>
  <w:style w:type="character" w:customStyle="1" w:styleId="CommentSubjectChar">
    <w:name w:val="Comment Subject Char"/>
    <w:basedOn w:val="CommentTextChar"/>
    <w:link w:val="CommentSubject"/>
    <w:uiPriority w:val="99"/>
    <w:semiHidden/>
    <w:rsid w:val="00246900"/>
    <w:rPr>
      <w:rFonts w:ascii="Times New Roman" w:hAnsi="Times New Roman" w:cs="Times New Roman"/>
      <w:b/>
      <w:bCs/>
      <w:sz w:val="20"/>
      <w:szCs w:val="20"/>
      <w:lang w:val="en-GB"/>
    </w:rPr>
  </w:style>
  <w:style w:type="character" w:styleId="Hyperlink">
    <w:name w:val="Hyperlink"/>
    <w:basedOn w:val="DefaultParagraphFont"/>
    <w:uiPriority w:val="99"/>
    <w:unhideWhenUsed/>
    <w:rsid w:val="001868E9"/>
    <w:rPr>
      <w:color w:val="0000FF"/>
      <w:u w:val="single"/>
    </w:rPr>
  </w:style>
  <w:style w:type="paragraph" w:styleId="ListBullet">
    <w:name w:val="List Bullet"/>
    <w:basedOn w:val="Normal"/>
    <w:uiPriority w:val="99"/>
    <w:semiHidden/>
    <w:unhideWhenUsed/>
    <w:rsid w:val="003C2326"/>
    <w:pPr>
      <w:numPr>
        <w:numId w:val="1"/>
      </w:numPr>
      <w:contextualSpacing/>
    </w:pPr>
  </w:style>
  <w:style w:type="paragraph" w:styleId="ListBullet2">
    <w:name w:val="List Bullet 2"/>
    <w:basedOn w:val="Normal"/>
    <w:uiPriority w:val="99"/>
    <w:semiHidden/>
    <w:unhideWhenUsed/>
    <w:rsid w:val="003C2326"/>
    <w:pPr>
      <w:numPr>
        <w:numId w:val="2"/>
      </w:numPr>
      <w:contextualSpacing/>
    </w:pPr>
  </w:style>
  <w:style w:type="paragraph" w:styleId="ListBullet3">
    <w:name w:val="List Bullet 3"/>
    <w:basedOn w:val="Normal"/>
    <w:uiPriority w:val="99"/>
    <w:semiHidden/>
    <w:unhideWhenUsed/>
    <w:rsid w:val="003C2326"/>
    <w:pPr>
      <w:numPr>
        <w:numId w:val="3"/>
      </w:numPr>
      <w:contextualSpacing/>
    </w:pPr>
  </w:style>
  <w:style w:type="paragraph" w:styleId="ListBullet4">
    <w:name w:val="List Bullet 4"/>
    <w:basedOn w:val="Normal"/>
    <w:uiPriority w:val="99"/>
    <w:semiHidden/>
    <w:unhideWhenUsed/>
    <w:rsid w:val="003C2326"/>
    <w:pPr>
      <w:numPr>
        <w:numId w:val="4"/>
      </w:numPr>
      <w:contextualSpacing/>
    </w:pPr>
  </w:style>
  <w:style w:type="paragraph" w:styleId="Caption">
    <w:name w:val="caption"/>
    <w:basedOn w:val="Normal"/>
    <w:next w:val="Normal"/>
    <w:uiPriority w:val="35"/>
    <w:semiHidden/>
    <w:unhideWhenUsed/>
    <w:qFormat/>
    <w:rsid w:val="00CA0E6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A0E63"/>
    <w:pPr>
      <w:spacing w:after="0"/>
    </w:pPr>
  </w:style>
  <w:style w:type="paragraph" w:styleId="ListNumber">
    <w:name w:val="List Number"/>
    <w:basedOn w:val="Normal"/>
    <w:uiPriority w:val="99"/>
    <w:semiHidden/>
    <w:unhideWhenUsed/>
    <w:rsid w:val="00CA0E63"/>
    <w:pPr>
      <w:numPr>
        <w:numId w:val="7"/>
      </w:numPr>
      <w:contextualSpacing/>
    </w:pPr>
  </w:style>
  <w:style w:type="paragraph" w:styleId="ListNumber2">
    <w:name w:val="List Number 2"/>
    <w:basedOn w:val="Normal"/>
    <w:uiPriority w:val="99"/>
    <w:semiHidden/>
    <w:unhideWhenUsed/>
    <w:rsid w:val="00CA0E63"/>
    <w:pPr>
      <w:numPr>
        <w:numId w:val="8"/>
      </w:numPr>
      <w:contextualSpacing/>
    </w:pPr>
  </w:style>
  <w:style w:type="paragraph" w:styleId="ListNumber3">
    <w:name w:val="List Number 3"/>
    <w:basedOn w:val="Normal"/>
    <w:uiPriority w:val="99"/>
    <w:semiHidden/>
    <w:unhideWhenUsed/>
    <w:rsid w:val="00CA0E63"/>
    <w:pPr>
      <w:numPr>
        <w:numId w:val="9"/>
      </w:numPr>
      <w:contextualSpacing/>
    </w:pPr>
  </w:style>
  <w:style w:type="paragraph" w:styleId="ListNumber4">
    <w:name w:val="List Number 4"/>
    <w:basedOn w:val="Normal"/>
    <w:uiPriority w:val="99"/>
    <w:semiHidden/>
    <w:unhideWhenUsed/>
    <w:rsid w:val="00CA0E63"/>
    <w:pPr>
      <w:numPr>
        <w:numId w:val="10"/>
      </w:numPr>
      <w:contextualSpacing/>
    </w:pPr>
  </w:style>
  <w:style w:type="character" w:customStyle="1" w:styleId="UnresolvedMention1">
    <w:name w:val="Unresolved Mention1"/>
    <w:basedOn w:val="DefaultParagraphFont"/>
    <w:uiPriority w:val="99"/>
    <w:semiHidden/>
    <w:unhideWhenUsed/>
    <w:rsid w:val="00FE7A36"/>
    <w:rPr>
      <w:color w:val="605E5C"/>
      <w:shd w:val="clear" w:color="auto" w:fill="E1DFDD"/>
    </w:rPr>
  </w:style>
  <w:style w:type="character" w:styleId="FollowedHyperlink">
    <w:name w:val="FollowedHyperlink"/>
    <w:basedOn w:val="DefaultParagraphFont"/>
    <w:uiPriority w:val="99"/>
    <w:semiHidden/>
    <w:unhideWhenUsed/>
    <w:rsid w:val="00B961D8"/>
    <w:rPr>
      <w:color w:val="800080" w:themeColor="followedHyperlink"/>
      <w:u w:val="single"/>
    </w:rPr>
  </w:style>
  <w:style w:type="paragraph" w:styleId="ListParagraph">
    <w:name w:val="List Paragraph"/>
    <w:basedOn w:val="Normal"/>
    <w:uiPriority w:val="34"/>
    <w:qFormat/>
    <w:rsid w:val="00B72E90"/>
    <w:pPr>
      <w:ind w:left="720"/>
      <w:contextualSpacing/>
    </w:pPr>
  </w:style>
  <w:style w:type="paragraph" w:styleId="BalloonText">
    <w:name w:val="Balloon Text"/>
    <w:basedOn w:val="Normal"/>
    <w:link w:val="BalloonTextChar"/>
    <w:uiPriority w:val="99"/>
    <w:semiHidden/>
    <w:unhideWhenUsed/>
    <w:rsid w:val="00835CF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F4"/>
    <w:rPr>
      <w:rFonts w:ascii="Segoe UI" w:hAnsi="Segoe UI" w:cs="Segoe UI"/>
      <w:sz w:val="18"/>
      <w:szCs w:val="18"/>
      <w:lang w:val="en-GB"/>
    </w:rPr>
  </w:style>
  <w:style w:type="paragraph" w:styleId="Revision">
    <w:name w:val="Revision"/>
    <w:hidden/>
    <w:uiPriority w:val="99"/>
    <w:semiHidden/>
    <w:rsid w:val="001D2FA1"/>
    <w:pPr>
      <w:spacing w:after="0" w:line="240" w:lineRule="auto"/>
    </w:pPr>
    <w:rPr>
      <w:rFonts w:ascii="Times New Roman" w:hAnsi="Times New Roman" w:cs="Times New Roman"/>
      <w:sz w:val="24"/>
      <w:lang w:val="en-GB"/>
    </w:rPr>
  </w:style>
  <w:style w:type="character" w:customStyle="1" w:styleId="UnresolvedMention">
    <w:name w:val="Unresolved Mention"/>
    <w:basedOn w:val="DefaultParagraphFont"/>
    <w:uiPriority w:val="99"/>
    <w:semiHidden/>
    <w:unhideWhenUsed/>
    <w:rsid w:val="00A20583"/>
    <w:rPr>
      <w:color w:val="605E5C"/>
      <w:shd w:val="clear" w:color="auto" w:fill="E1DFDD"/>
    </w:rPr>
  </w:style>
  <w:style w:type="paragraph" w:styleId="Header">
    <w:name w:val="header"/>
    <w:basedOn w:val="Normal"/>
    <w:link w:val="HeaderChar"/>
    <w:uiPriority w:val="99"/>
    <w:unhideWhenUsed/>
    <w:rsid w:val="00DD5CE9"/>
    <w:pPr>
      <w:tabs>
        <w:tab w:val="center" w:pos="4535"/>
        <w:tab w:val="right" w:pos="9071"/>
      </w:tabs>
      <w:spacing w:before="0"/>
    </w:pPr>
  </w:style>
  <w:style w:type="character" w:customStyle="1" w:styleId="HeaderChar">
    <w:name w:val="Header Char"/>
    <w:basedOn w:val="DefaultParagraphFont"/>
    <w:link w:val="Header"/>
    <w:uiPriority w:val="99"/>
    <w:rsid w:val="00DD5CE9"/>
    <w:rPr>
      <w:rFonts w:ascii="Times New Roman" w:hAnsi="Times New Roman" w:cs="Times New Roman"/>
      <w:sz w:val="24"/>
      <w:lang w:val="en-GB"/>
    </w:rPr>
  </w:style>
  <w:style w:type="paragraph" w:styleId="Footer">
    <w:name w:val="footer"/>
    <w:basedOn w:val="Normal"/>
    <w:link w:val="FooterChar"/>
    <w:uiPriority w:val="99"/>
    <w:unhideWhenUsed/>
    <w:rsid w:val="00DD5CE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D5CE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D5CE9"/>
    <w:pPr>
      <w:tabs>
        <w:tab w:val="center" w:pos="7285"/>
        <w:tab w:val="right" w:pos="14003"/>
      </w:tabs>
      <w:spacing w:before="0"/>
    </w:pPr>
  </w:style>
  <w:style w:type="paragraph" w:customStyle="1" w:styleId="FooterLandscape">
    <w:name w:val="FooterLandscape"/>
    <w:basedOn w:val="Normal"/>
    <w:rsid w:val="00DD5CE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D5CE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D5CE9"/>
    <w:pPr>
      <w:spacing w:before="0"/>
      <w:jc w:val="right"/>
    </w:pPr>
    <w:rPr>
      <w:sz w:val="28"/>
    </w:rPr>
  </w:style>
  <w:style w:type="paragraph" w:customStyle="1" w:styleId="FooterSensitivity">
    <w:name w:val="Footer Sensitivity"/>
    <w:basedOn w:val="Normal"/>
    <w:rsid w:val="00DD5CE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9679F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81465">
      <w:bodyDiv w:val="1"/>
      <w:marLeft w:val="0"/>
      <w:marRight w:val="0"/>
      <w:marTop w:val="0"/>
      <w:marBottom w:val="0"/>
      <w:divBdr>
        <w:top w:val="none" w:sz="0" w:space="0" w:color="auto"/>
        <w:left w:val="none" w:sz="0" w:space="0" w:color="auto"/>
        <w:bottom w:val="none" w:sz="0" w:space="0" w:color="auto"/>
        <w:right w:val="none" w:sz="0" w:space="0" w:color="auto"/>
      </w:divBdr>
    </w:div>
    <w:div w:id="911886346">
      <w:bodyDiv w:val="1"/>
      <w:marLeft w:val="0"/>
      <w:marRight w:val="0"/>
      <w:marTop w:val="0"/>
      <w:marBottom w:val="0"/>
      <w:divBdr>
        <w:top w:val="none" w:sz="0" w:space="0" w:color="auto"/>
        <w:left w:val="none" w:sz="0" w:space="0" w:color="auto"/>
        <w:bottom w:val="none" w:sz="0" w:space="0" w:color="auto"/>
        <w:right w:val="none" w:sz="0" w:space="0" w:color="auto"/>
      </w:divBdr>
    </w:div>
    <w:div w:id="1456412388">
      <w:bodyDiv w:val="1"/>
      <w:marLeft w:val="0"/>
      <w:marRight w:val="0"/>
      <w:marTop w:val="0"/>
      <w:marBottom w:val="0"/>
      <w:divBdr>
        <w:top w:val="none" w:sz="0" w:space="0" w:color="auto"/>
        <w:left w:val="none" w:sz="0" w:space="0" w:color="auto"/>
        <w:bottom w:val="none" w:sz="0" w:space="0" w:color="auto"/>
        <w:right w:val="none" w:sz="0" w:space="0" w:color="auto"/>
      </w:divBdr>
    </w:div>
    <w:div w:id="1667979218">
      <w:bodyDiv w:val="1"/>
      <w:marLeft w:val="0"/>
      <w:marRight w:val="0"/>
      <w:marTop w:val="0"/>
      <w:marBottom w:val="0"/>
      <w:divBdr>
        <w:top w:val="none" w:sz="0" w:space="0" w:color="auto"/>
        <w:left w:val="none" w:sz="0" w:space="0" w:color="auto"/>
        <w:bottom w:val="none" w:sz="0" w:space="0" w:color="auto"/>
        <w:right w:val="none" w:sz="0" w:space="0" w:color="auto"/>
      </w:divBdr>
    </w:div>
    <w:div w:id="2026590604">
      <w:bodyDiv w:val="1"/>
      <w:marLeft w:val="0"/>
      <w:marRight w:val="0"/>
      <w:marTop w:val="0"/>
      <w:marBottom w:val="0"/>
      <w:divBdr>
        <w:top w:val="none" w:sz="0" w:space="0" w:color="auto"/>
        <w:left w:val="none" w:sz="0" w:space="0" w:color="auto"/>
        <w:bottom w:val="none" w:sz="0" w:space="0" w:color="auto"/>
        <w:right w:val="none" w:sz="0" w:space="0" w:color="auto"/>
      </w:divBdr>
    </w:div>
    <w:div w:id="21366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unece.org/transport/documents/2022/12/working-documents/dobavlenie-1s-russian-federation" TargetMode="External"/><Relationship Id="rId2" Type="http://schemas.openxmlformats.org/officeDocument/2006/relationships/hyperlink" Target="https://unece.org/transport/documents/2022/12/working-documents/prochie-voprosy-belarus-0" TargetMode="External"/><Relationship Id="rId1" Type="http://schemas.openxmlformats.org/officeDocument/2006/relationships/hyperlink" Target="https://unece.org/sites/default/files/2022-12/ECE-TRANS-SC1-GE21-69e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33f916-ce21-4f98-a771-0bef3058cb3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237e0e33-a802-4302-8cc8-d84d7732b0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EB0B91E7464E95EBA7AA7632CE11" ma:contentTypeVersion="11" ma:contentTypeDescription="Create a new document." ma:contentTypeScope="" ma:versionID="774a3ca8cc80d9c0467ee88067a01045">
  <xsd:schema xmlns:xsd="http://www.w3.org/2001/XMLSchema" xmlns:xs="http://www.w3.org/2001/XMLSchema" xmlns:p="http://schemas.microsoft.com/office/2006/metadata/properties" xmlns:ns2="f133f916-ce21-4f98-a771-0bef3058cb3e" xmlns:ns3="237e0e33-a802-4302-8cc8-d84d7732b0d9" targetNamespace="http://schemas.microsoft.com/office/2006/metadata/properties" ma:root="true" ma:fieldsID="e317ce09b43dff907020149f051bf540" ns2:_="" ns3:_="">
    <xsd:import namespace="f133f916-ce21-4f98-a771-0bef3058cb3e"/>
    <xsd:import namespace="237e0e33-a802-4302-8cc8-d84d7732b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3f916-ce21-4f98-a771-0bef3058c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7e0e33-a802-4302-8cc8-d84d7732b0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7dfdb3-8c71-4595-9b02-2349378e6ae9}" ma:internalName="TaxCatchAll" ma:showField="CatchAllData" ma:web="237e0e33-a802-4302-8cc8-d84d7732b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A0E0F-9C4E-4DE6-A124-E6078A00F58F}">
  <ds:schemaRefs>
    <ds:schemaRef ds:uri="http://schemas.microsoft.com/office/2006/metadata/properties"/>
    <ds:schemaRef ds:uri="http://schemas.microsoft.com/office/infopath/2007/PartnerControls"/>
    <ds:schemaRef ds:uri="f133f916-ce21-4f98-a771-0bef3058cb3e"/>
    <ds:schemaRef ds:uri="237e0e33-a802-4302-8cc8-d84d7732b0d9"/>
  </ds:schemaRefs>
</ds:datastoreItem>
</file>

<file path=customXml/itemProps2.xml><?xml version="1.0" encoding="utf-8"?>
<ds:datastoreItem xmlns:ds="http://schemas.openxmlformats.org/officeDocument/2006/customXml" ds:itemID="{4B138A18-EC9E-4DCB-AFB8-DCEC3C1F3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3f916-ce21-4f98-a771-0bef3058cb3e"/>
    <ds:schemaRef ds:uri="237e0e33-a802-4302-8cc8-d84d7732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B7581-A689-48EB-9D55-5CEF5EB90DAE}">
  <ds:schemaRefs>
    <ds:schemaRef ds:uri="http://schemas.microsoft.com/sharepoint/v3/contenttype/forms"/>
  </ds:schemaRefs>
</ds:datastoreItem>
</file>

<file path=customXml/itemProps4.xml><?xml version="1.0" encoding="utf-8"?>
<ds:datastoreItem xmlns:ds="http://schemas.openxmlformats.org/officeDocument/2006/customXml" ds:itemID="{1D6F51E8-FC0B-46EF-88EE-9A16CC14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146</TotalTime>
  <Pages>8</Pages>
  <Words>2806</Words>
  <Characters>14315</Characters>
  <Application>Microsoft Office Word</Application>
  <DocSecurity>0</DocSecurity>
  <Lines>242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55</cp:revision>
  <dcterms:created xsi:type="dcterms:W3CDTF">2023-02-06T11:17:00Z</dcterms:created>
  <dcterms:modified xsi:type="dcterms:W3CDTF">2023-03-09T09:26:00Z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MSIP_Label_6bd9ddd1-4d20-43f6-abfa-fc3c07406f94_Enabled">
    <vt:lpwstr>true</vt:lpwstr>
  </property>
  <property fmtid="{D5CDD505-2E9C-101B-9397-08002B2CF9AE}" pid="6" name="MSIP_Label_6bd9ddd1-4d20-43f6-abfa-fc3c07406f94_SetDate">
    <vt:lpwstr>2023-01-10T14:28:36Z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2d2c51e3-b5b1-4e02-a460-c6fffd8ce945</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SJ-043</vt:lpwstr>
  </property>
  <property fmtid="{D5CDD505-2E9C-101B-9397-08002B2CF9AE}" pid="17" name="ContentTypeId">
    <vt:lpwstr>0x010100100AEB0B91E7464E95EBA7AA7632CE11</vt:lpwstr>
  </property>
  <property fmtid="{D5CDD505-2E9C-101B-9397-08002B2CF9AE}" pid="18" name="MediaServiceImageTags">
    <vt:lpwstr/>
  </property>
  <property fmtid="{D5CDD505-2E9C-101B-9397-08002B2CF9AE}" pid="19" name="DQCStatus">
    <vt:lpwstr>Green (DQC version 03)</vt:lpwstr>
  </property>
</Properties>
</file>