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EC7B8" w14:textId="7DF6E7AA" w:rsidR="00192A54" w:rsidRPr="00F96BDE" w:rsidRDefault="003F79E4" w:rsidP="003F79E4">
      <w:pPr>
        <w:pStyle w:val="Pagedecouverture"/>
        <w:rPr>
          <w:noProof/>
        </w:rPr>
      </w:pPr>
      <w:bookmarkStart w:id="0" w:name="LW_BM_COVERPAGE"/>
      <w:r>
        <w:rPr>
          <w:noProof/>
        </w:rPr>
        <w:pict w14:anchorId="4E68F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08F0DF0-1B96-46C1-95B4-110EB68D1FF6" style="width:455.25pt;height:336.75pt">
            <v:imagedata r:id="rId8" o:title=""/>
          </v:shape>
        </w:pict>
      </w:r>
    </w:p>
    <w:bookmarkEnd w:id="0"/>
    <w:p w14:paraId="5E55CCE9" w14:textId="77777777" w:rsidR="004967A1" w:rsidRPr="00F96BDE" w:rsidRDefault="004967A1" w:rsidP="004967A1">
      <w:pPr>
        <w:pStyle w:val="Pagedecouverture"/>
        <w:rPr>
          <w:noProof/>
        </w:rPr>
        <w:sectPr w:rsidR="004967A1" w:rsidRPr="00F96BDE" w:rsidSect="003F79E4">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0917E12D" w14:textId="77777777" w:rsidR="00783D49" w:rsidRPr="00F96BDE" w:rsidRDefault="00783D49" w:rsidP="00783D49">
      <w:pPr>
        <w:pStyle w:val="ListParagraph"/>
        <w:numPr>
          <w:ilvl w:val="0"/>
          <w:numId w:val="1"/>
        </w:numPr>
        <w:spacing w:before="120" w:after="120" w:line="240" w:lineRule="auto"/>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Въведение</w:t>
      </w:r>
    </w:p>
    <w:p w14:paraId="74264154" w14:textId="4B708521" w:rsidR="00783D49" w:rsidRPr="00F96BDE" w:rsidRDefault="00783D49" w:rsidP="00783D49">
      <w:pPr>
        <w:spacing w:before="120" w:after="120"/>
        <w:jc w:val="both"/>
        <w:rPr>
          <w:noProof/>
        </w:rPr>
      </w:pPr>
      <w:r>
        <w:rPr>
          <w:noProof/>
        </w:rPr>
        <w:t xml:space="preserve">На 24 февруари 2022 г. Русия започна непровокирана и неоправдана агресивна война срещу Украйна. На това бе отговорено с безпрецедентна и единна реакция от страна на Европейския съюз и международната общност. </w:t>
      </w:r>
      <w:r>
        <w:rPr>
          <w:b/>
          <w:noProof/>
        </w:rPr>
        <w:t>Ключов елемент на този отговор беше единодушното решение на държавите членки по предложение на Комисията за задействане на Директивата за временната закрила</w:t>
      </w:r>
      <w:r>
        <w:rPr>
          <w:rStyle w:val="FootnoteReference"/>
          <w:bCs/>
          <w:noProof/>
        </w:rPr>
        <w:footnoteReference w:id="2"/>
      </w:r>
      <w:r>
        <w:rPr>
          <w:b/>
          <w:noProof/>
        </w:rPr>
        <w:t xml:space="preserve">. </w:t>
      </w:r>
      <w:r>
        <w:rPr>
          <w:noProof/>
        </w:rPr>
        <w:t>На 4 март 2022 г., само една седмица след началото на войната, милиони разселени лица, бягащи от руската агресия срещу Украйна, получиха незабавен достъп до пазара на труда, образованието и професионалното обучение, здравеопазването и настаняването в ЕС. На 28 март 2022 г. задействането на директивата беше допълнено с план от 10 точки</w:t>
      </w:r>
      <w:r>
        <w:rPr>
          <w:rStyle w:val="FootnoteReference"/>
          <w:noProof/>
        </w:rPr>
        <w:footnoteReference w:id="3"/>
      </w:r>
      <w:r>
        <w:rPr>
          <w:noProof/>
        </w:rPr>
        <w:t xml:space="preserve"> за засилена европейска координация при посрещането на хората, бягащи от руската агресия срещу Украйна. Временната закрила вече е удължена до март 2024 г.</w:t>
      </w:r>
    </w:p>
    <w:p w14:paraId="44D3B5F8" w14:textId="7DAF7E57" w:rsidR="009727D2" w:rsidRPr="00F96BDE" w:rsidRDefault="00783D49" w:rsidP="00783D49">
      <w:pPr>
        <w:spacing w:before="120" w:after="120"/>
        <w:jc w:val="both"/>
        <w:rPr>
          <w:noProof/>
        </w:rPr>
      </w:pPr>
      <w:r>
        <w:rPr>
          <w:noProof/>
        </w:rPr>
        <w:t xml:space="preserve">Една година по-късно използването на Директивата за временната закрила е свидетелство за </w:t>
      </w:r>
      <w:r>
        <w:rPr>
          <w:b/>
          <w:noProof/>
        </w:rPr>
        <w:t>единството</w:t>
      </w:r>
      <w:r>
        <w:rPr>
          <w:noProof/>
        </w:rPr>
        <w:t xml:space="preserve"> и </w:t>
      </w:r>
      <w:r>
        <w:rPr>
          <w:b/>
          <w:noProof/>
        </w:rPr>
        <w:t>солидарността на Съюза</w:t>
      </w:r>
      <w:r>
        <w:rPr>
          <w:noProof/>
        </w:rPr>
        <w:t xml:space="preserve"> с народа на Украйна в лицето на безпрецедентни предизвикателства. Задействана за първи път въобще, директивата позволи на Съюза да предостави незабавна защита, като същевременно </w:t>
      </w:r>
      <w:r>
        <w:rPr>
          <w:b/>
          <w:noProof/>
        </w:rPr>
        <w:t>намали формалностите до минимум</w:t>
      </w:r>
      <w:r>
        <w:rPr>
          <w:noProof/>
        </w:rPr>
        <w:t xml:space="preserve">. Тя допълни тази защита с </w:t>
      </w:r>
      <w:r>
        <w:rPr>
          <w:b/>
          <w:noProof/>
        </w:rPr>
        <w:t>всеобхватен и хармонизиран набор от права</w:t>
      </w:r>
      <w:r>
        <w:rPr>
          <w:noProof/>
        </w:rPr>
        <w:t>, включително права на пребиваване, подходящо настаняване, както и достъп до образование и обучение, здравеопазване и пазара на труда. Директивата придаде структуриран характер на забележителното посрещане, предложено от толкова много европейци, техните семейства и общности. Днес около четири милиона души се ползват от временна закрила в ЕС. 47 % от тях са жени, а повече от една трета са деца, чиято закрила продължава да бъде основен приоритет. Прилагането на директивата не бе без предизвикателства, но благодарение на неспирните усилия на институциите на ЕС и държавите членки директивата продължава да постига добри резултати.</w:t>
      </w:r>
      <w:r>
        <w:rPr>
          <w:b/>
          <w:noProof/>
        </w:rPr>
        <w:t xml:space="preserve"> </w:t>
      </w:r>
    </w:p>
    <w:p w14:paraId="2D86CC42" w14:textId="4D22FAE0" w:rsidR="00377F61" w:rsidRPr="00F96BDE" w:rsidRDefault="00783D49" w:rsidP="00377F61">
      <w:pPr>
        <w:spacing w:before="120" w:after="120"/>
        <w:jc w:val="both"/>
        <w:rPr>
          <w:noProof/>
        </w:rPr>
      </w:pPr>
      <w:r>
        <w:rPr>
          <w:noProof/>
        </w:rPr>
        <w:t>В настоящото съобщение се прави преглед на прилагането на директивата за период от една година въз основа на съобщението „Топло посрещане на хората, бягащи от войната в Украйна: подготовка на Европа за удовлетворяване на нуждите“</w:t>
      </w:r>
      <w:r>
        <w:rPr>
          <w:rStyle w:val="FootnoteReference"/>
          <w:noProof/>
        </w:rPr>
        <w:footnoteReference w:id="4"/>
      </w:r>
      <w:r>
        <w:rPr>
          <w:noProof/>
        </w:rPr>
        <w:t>, прието на 23 март 2022 г. То дава представа за това как ЕС е успял да активира и координира истински отговор, обхващащ цялото общество, на най-голямото разселване на европейска територия от Втората световна война насам. В него също така се определят приоритетните области, в които са необходими непрекъснати усилия, за да се гарантират правата, предвидени в директивата.</w:t>
      </w:r>
    </w:p>
    <w:p w14:paraId="21BF8A55" w14:textId="099EAE53" w:rsidR="00783D49" w:rsidRPr="00F96BDE" w:rsidRDefault="00512512" w:rsidP="00783D49">
      <w:pPr>
        <w:spacing w:before="120" w:after="120"/>
        <w:jc w:val="both"/>
        <w:rPr>
          <w:iCs/>
          <w:noProof/>
        </w:rPr>
      </w:pPr>
      <w:r>
        <w:rPr>
          <w:noProof/>
        </w:rPr>
        <w:t xml:space="preserve">Освен това настоящото съобщение ще предложи някои разсъждения относно бъдещите действия с цел да се запазят ключови извлечени поуки, както и ЕС да стане по-устойчив и способен по-добре да се адаптира към бъдещите предизвикателства. </w:t>
      </w:r>
    </w:p>
    <w:p w14:paraId="4C2A9893" w14:textId="77777777" w:rsidR="00783D49" w:rsidRPr="00F96BDE" w:rsidRDefault="00783D49" w:rsidP="00F24CCD">
      <w:pPr>
        <w:pStyle w:val="ListParagraph"/>
        <w:keepNext/>
        <w:numPr>
          <w:ilvl w:val="0"/>
          <w:numId w:val="1"/>
        </w:numPr>
        <w:spacing w:before="120" w:after="120" w:line="240" w:lineRule="auto"/>
        <w:jc w:val="both"/>
        <w:rPr>
          <w:rFonts w:ascii="Times New Roman" w:hAnsi="Times New Roman" w:cs="Times New Roman"/>
          <w:b/>
          <w:noProof/>
          <w:sz w:val="24"/>
          <w:szCs w:val="24"/>
        </w:rPr>
      </w:pPr>
      <w:r>
        <w:rPr>
          <w:rFonts w:ascii="Times New Roman" w:hAnsi="Times New Roman"/>
          <w:b/>
          <w:noProof/>
          <w:sz w:val="24"/>
        </w:rPr>
        <w:t>Картина на положението</w:t>
      </w:r>
    </w:p>
    <w:p w14:paraId="4F2C4B7F" w14:textId="4674E8D1" w:rsidR="00030F5D" w:rsidRPr="00F96BDE" w:rsidRDefault="00783D49" w:rsidP="00030F5D">
      <w:pPr>
        <w:spacing w:before="120" w:after="120"/>
        <w:jc w:val="both"/>
        <w:rPr>
          <w:noProof/>
          <w:sz w:val="22"/>
          <w:szCs w:val="22"/>
        </w:rPr>
      </w:pPr>
      <w:r>
        <w:rPr>
          <w:noProof/>
        </w:rPr>
        <w:t>Към февруари 2023 г. са регистрирани над 16 милиона влизания от Украйна и Молдова в ЕС, от които 14 милиона са украински граждани.</w:t>
      </w:r>
      <w:r>
        <w:rPr>
          <w:rStyle w:val="FootnoteReference"/>
          <w:noProof/>
        </w:rPr>
        <w:t xml:space="preserve"> </w:t>
      </w:r>
      <w:r>
        <w:rPr>
          <w:noProof/>
        </w:rPr>
        <w:t>Преминаванията на границите от ЕС към Украйна (и към Молдова) възлизат на повече от 11 милиона</w:t>
      </w:r>
      <w:r>
        <w:rPr>
          <w:rStyle w:val="FootnoteReference"/>
          <w:noProof/>
        </w:rPr>
        <w:footnoteReference w:id="5"/>
      </w:r>
      <w:r>
        <w:rPr>
          <w:noProof/>
        </w:rPr>
        <w:t xml:space="preserve">. </w:t>
      </w:r>
    </w:p>
    <w:p w14:paraId="4B07FA3F" w14:textId="64962CC2" w:rsidR="00783D49" w:rsidRPr="00F96BDE" w:rsidRDefault="00783D49" w:rsidP="00006679">
      <w:pPr>
        <w:keepNext/>
        <w:spacing w:before="120" w:after="120"/>
        <w:jc w:val="both"/>
        <w:rPr>
          <w:noProof/>
        </w:rPr>
      </w:pPr>
      <w:r>
        <w:rPr>
          <w:noProof/>
        </w:rPr>
        <w:t xml:space="preserve">Броят на влизанията беше значително по-висок през първия месец от руската агресия, като средното седмично число от 800 000 влизания от Украйна и Молдова в ЕС достигна върхови стойности от над 200 000 влизания дневно, които засегнаха сериозно държавите членки, граничещи с Украйна. От април 2022 г. нататък тенденцията се стабилизира до около 250 000 влизания седмично, а броят на преминаванията на границите между ЕС и Украйна се върна на равнищата отпреди войната и преди пандемията. </w:t>
      </w:r>
    </w:p>
    <w:p w14:paraId="5D914B68" w14:textId="5BEF9B5E" w:rsidR="009727D2" w:rsidRPr="00F96BDE" w:rsidRDefault="00783D49" w:rsidP="00783D49">
      <w:pPr>
        <w:spacing w:before="120" w:after="120"/>
        <w:jc w:val="both"/>
        <w:rPr>
          <w:noProof/>
        </w:rPr>
      </w:pPr>
      <w:r>
        <w:rPr>
          <w:noProof/>
        </w:rPr>
        <w:t>Като цяло в ЕС бяха заведени близо 4 милиона регистрации за временна закрила, от които над 3 милиона през първата половина на 2022 г. От юни 2022 г. насам броят на седмичните регистрации за временна закрила непрекъснато намалява, макар и с известни колебания. Към 26 февруари на територията на Република Молдова има общо 90 187 чужди граждани, от които 84 038 са украински граждани, като 44 751 са непълнолетни.</w:t>
      </w:r>
    </w:p>
    <w:p w14:paraId="0C183036" w14:textId="7040077C" w:rsidR="00783D49" w:rsidRPr="00F96BDE" w:rsidRDefault="00783D49" w:rsidP="00783D49">
      <w:pPr>
        <w:spacing w:before="120" w:after="120"/>
        <w:jc w:val="both"/>
        <w:rPr>
          <w:noProof/>
        </w:rPr>
      </w:pPr>
      <w:r>
        <w:rPr>
          <w:noProof/>
        </w:rPr>
        <w:t>В края на 2022 г. почти половината от всички ползващи се понастоящем с временна закрила (3,8 милиона)</w:t>
      </w:r>
      <w:r>
        <w:rPr>
          <w:rStyle w:val="FootnoteReference"/>
          <w:noProof/>
        </w:rPr>
        <w:footnoteReference w:id="6"/>
      </w:r>
      <w:r>
        <w:rPr>
          <w:noProof/>
        </w:rPr>
        <w:t xml:space="preserve"> бяха настанени в Германия и Полша, следвани от Чехия, Италия и Испания. Естония, Полша и Чехия са домакини на най-голям брой ползващи се от временна закрила на глава от населението. Повечето бенефициери са украински граждани, като в края на 2022 г. около 70 000 граждани на трети държави, различни от Украйна, се ползват от временна закрила.</w:t>
      </w:r>
    </w:p>
    <w:p w14:paraId="16FE3B9F" w14:textId="2FFC0C07" w:rsidR="00783D49" w:rsidRPr="00F96BDE" w:rsidRDefault="00783D49" w:rsidP="00783D49">
      <w:pPr>
        <w:spacing w:before="120" w:after="120"/>
        <w:jc w:val="both"/>
        <w:rPr>
          <w:noProof/>
        </w:rPr>
      </w:pPr>
      <w:r>
        <w:rPr>
          <w:noProof/>
        </w:rPr>
        <w:t xml:space="preserve">Бягащите от руската агресия срещу Украйна в ЕС са предимно жени (47 %) и деца (34 %). Около 69 % от разселените деца са на възраст под 13 години, а 0,5 % са регистрирани като непридружени ненавършили пълнолетие лица. </w:t>
      </w:r>
    </w:p>
    <w:p w14:paraId="6DDF58C2" w14:textId="6F9A0B50" w:rsidR="00247FE0" w:rsidRPr="00F96BDE" w:rsidRDefault="005D4681" w:rsidP="00783D49">
      <w:pPr>
        <w:spacing w:before="120" w:after="120"/>
        <w:jc w:val="both"/>
        <w:rPr>
          <w:noProof/>
        </w:rPr>
      </w:pPr>
      <w:r>
        <w:rPr>
          <w:noProof/>
        </w:rPr>
        <w:t xml:space="preserve">Задействането на Директивата за временната закрила гарантира, че системите за предоставяне на убежище в държавите членки няма да бъдат претоварени с искания за закрила. Украинските граждани са деветата по големина група през 2022 г. при молбите за международна закрила (28 160). </w:t>
      </w:r>
    </w:p>
    <w:p w14:paraId="23D00CA4" w14:textId="7B56D298" w:rsidR="00247FE0" w:rsidRPr="00F96BDE" w:rsidRDefault="00FD09F3" w:rsidP="00006679">
      <w:pPr>
        <w:spacing w:before="120" w:after="120"/>
        <w:jc w:val="both"/>
        <w:rPr>
          <w:noProof/>
        </w:rPr>
      </w:pPr>
      <w:r>
        <w:rPr>
          <w:noProof/>
        </w:rPr>
        <w:t>Въз основа на сътрудничеството на ЕС с международните партньори досега над 400 000 разселени лица от Украйна са продължили към Съединените щати, Канада и Обединеното кралство и са се възползвали от съответните схеми за закрила там. Други 900 000 визи и заявления за временно пребиваване са одобрени от тези държави.</w:t>
      </w:r>
    </w:p>
    <w:p w14:paraId="2E859C55" w14:textId="2C6180A8" w:rsidR="00783D49" w:rsidRPr="00F96BDE" w:rsidRDefault="00783D49" w:rsidP="00F24CCD">
      <w:pPr>
        <w:pStyle w:val="ListParagraph"/>
        <w:widowControl w:val="0"/>
        <w:numPr>
          <w:ilvl w:val="0"/>
          <w:numId w:val="1"/>
        </w:numPr>
        <w:spacing w:before="120" w:after="120" w:line="240" w:lineRule="auto"/>
        <w:jc w:val="both"/>
        <w:rPr>
          <w:rFonts w:ascii="Times New Roman" w:hAnsi="Times New Roman" w:cs="Times New Roman"/>
          <w:b/>
          <w:iCs/>
          <w:noProof/>
          <w:sz w:val="24"/>
          <w:szCs w:val="24"/>
        </w:rPr>
      </w:pPr>
      <w:r>
        <w:rPr>
          <w:rFonts w:ascii="Times New Roman" w:hAnsi="Times New Roman"/>
          <w:b/>
          <w:noProof/>
          <w:sz w:val="24"/>
        </w:rPr>
        <w:t>Отговор на кризата: силни координирани усилия на ЕС</w:t>
      </w:r>
    </w:p>
    <w:p w14:paraId="74409A94" w14:textId="1CFC11C0" w:rsidR="00006679" w:rsidRPr="00F96BDE" w:rsidRDefault="00252C9C" w:rsidP="00006679">
      <w:pPr>
        <w:widowControl w:val="0"/>
        <w:spacing w:before="120" w:after="120"/>
        <w:jc w:val="both"/>
        <w:rPr>
          <w:iCs/>
          <w:noProof/>
        </w:rPr>
      </w:pPr>
      <w:r>
        <w:rPr>
          <w:noProof/>
        </w:rPr>
        <w:t xml:space="preserve">Задействането и прилагането на Директивата за временната закрила изискваха безпрецедентна координация и сътрудничество между държавите членки и техните съответни администрации, службите на Комисията, агенциите на Европейския съюз, Европейската служба за външна дейност и международните организации. </w:t>
      </w:r>
    </w:p>
    <w:p w14:paraId="4A0FC02E" w14:textId="3C6888FF" w:rsidR="00783D49" w:rsidRPr="00F96BDE" w:rsidRDefault="00783D49" w:rsidP="00006679">
      <w:pPr>
        <w:widowControl w:val="0"/>
        <w:spacing w:before="120" w:after="120"/>
        <w:jc w:val="both"/>
        <w:rPr>
          <w:iCs/>
          <w:noProof/>
        </w:rPr>
      </w:pPr>
      <w:r>
        <w:rPr>
          <w:b/>
          <w:noProof/>
        </w:rPr>
        <w:t>Платформата за солидарност</w:t>
      </w:r>
      <w:r>
        <w:rPr>
          <w:noProof/>
        </w:rPr>
        <w:t xml:space="preserve"> </w:t>
      </w:r>
      <w:r>
        <w:rPr>
          <w:b/>
          <w:noProof/>
        </w:rPr>
        <w:t>„Украйна“</w:t>
      </w:r>
      <w:r>
        <w:rPr>
          <w:rStyle w:val="FootnoteReference"/>
          <w:noProof/>
        </w:rPr>
        <w:footnoteReference w:id="7"/>
      </w:r>
      <w:r>
        <w:rPr>
          <w:noProof/>
        </w:rPr>
        <w:t xml:space="preserve">, създадена от Комисията непосредствено след задействането на директивата, изигра решаваща роля за осигуряването на този координиран отговор. Тя предоставя рамка за редовен обмен и осигурява съгласуваност между съществуващите форуми на равнището на ЕС. Платформата се занимава с широк кръг от въпроси — от управлението на границите до защитата на малолетните и непълнолетните лица, достъпа до образование, заетостта, професионалното образование и обучение и ученето за възрастни, както и връщането у дома в Украйна и по-нататъшните движения от една държава членка в друга. </w:t>
      </w:r>
    </w:p>
    <w:p w14:paraId="594C7BED" w14:textId="408A23AA" w:rsidR="00783D49" w:rsidRPr="00F96BDE" w:rsidRDefault="00EC0EEF" w:rsidP="00783D49">
      <w:pPr>
        <w:spacing w:after="120"/>
        <w:jc w:val="both"/>
        <w:rPr>
          <w:noProof/>
        </w:rPr>
      </w:pPr>
      <w:r>
        <w:rPr>
          <w:noProof/>
        </w:rPr>
        <w:t>Платформата за солидарност се съсредоточи и върху повишаването на цялостната готовност на равнището на ЕС чрез разработване на извънредни мерки в случай на увеличаване на броя на пристигащите от Украйна, върху аспектите на сигурността и предотвратяването на трафика на хора и си взаимодейства редовно с местните и регионалните органи, както и с организациите на гражданското общество.</w:t>
      </w:r>
    </w:p>
    <w:p w14:paraId="663B1D6B" w14:textId="231A2FA9" w:rsidR="00783D49" w:rsidRPr="00F96BDE" w:rsidRDefault="00EC0EEF" w:rsidP="00783D49">
      <w:pPr>
        <w:spacing w:after="120"/>
        <w:jc w:val="both"/>
        <w:rPr>
          <w:noProof/>
        </w:rPr>
      </w:pPr>
      <w:r>
        <w:rPr>
          <w:noProof/>
        </w:rPr>
        <w:t xml:space="preserve">Специалните подгрупи на Платформата за солидарност, например относно прехвърлянето на разселени лица от Молдова и платформата за регистрация на временна закрила, изиграха решаваща роля за укрепването на сътрудничеството и посрещането на постоянно възникващите предизвикателства. </w:t>
      </w:r>
    </w:p>
    <w:p w14:paraId="70BFE0EF" w14:textId="13DEFDC5" w:rsidR="00783D49" w:rsidRPr="00F96BDE" w:rsidRDefault="00DF5F45" w:rsidP="00783D49">
      <w:pPr>
        <w:spacing w:after="120"/>
        <w:jc w:val="both"/>
        <w:rPr>
          <w:noProof/>
        </w:rPr>
      </w:pPr>
      <w:r>
        <w:rPr>
          <w:noProof/>
        </w:rPr>
        <w:t xml:space="preserve">Освен това Платформата за солидарност доказа своята добавена стойност в цялостната координация на отговора на ЕС на руската агресия срещу Украйна, като предложи гъвкава и неформална рамка за бързо приемане на незадължителни документи относно политиките (напр. отговори на често задавани въпроси, достъпни онлайн, стандартни оперативни процедури). Държавите членки и другите заинтересовани страни смятат, че това е добра практика, която трябва да бъде възпроизведена в бъдеще. </w:t>
      </w:r>
    </w:p>
    <w:p w14:paraId="231BC5C9" w14:textId="77777777" w:rsidR="00783D49" w:rsidRPr="00F96BDE" w:rsidRDefault="00783D49" w:rsidP="002C5736">
      <w:pPr>
        <w:pStyle w:val="ListParagraph"/>
        <w:keepNext/>
        <w:numPr>
          <w:ilvl w:val="1"/>
          <w:numId w:val="1"/>
        </w:numPr>
        <w:spacing w:before="120" w:after="120" w:line="240" w:lineRule="auto"/>
        <w:jc w:val="both"/>
        <w:rPr>
          <w:b/>
          <w:bCs/>
          <w:iCs/>
          <w:noProof/>
        </w:rPr>
      </w:pPr>
      <w:r>
        <w:rPr>
          <w:rFonts w:ascii="Times New Roman" w:hAnsi="Times New Roman"/>
          <w:b/>
          <w:noProof/>
          <w:sz w:val="24"/>
        </w:rPr>
        <w:t>Точни данни</w:t>
      </w:r>
    </w:p>
    <w:p w14:paraId="48DB9769" w14:textId="5127868B" w:rsidR="009727D2" w:rsidRPr="00F96BDE" w:rsidRDefault="00783D49" w:rsidP="00783D49">
      <w:pPr>
        <w:spacing w:after="120"/>
        <w:jc w:val="both"/>
        <w:rPr>
          <w:noProof/>
        </w:rPr>
      </w:pPr>
      <w:r>
        <w:rPr>
          <w:noProof/>
        </w:rPr>
        <w:t>След приемането на решението за изпълнение на Съвета</w:t>
      </w:r>
      <w:r>
        <w:rPr>
          <w:rStyle w:val="FootnoteReference"/>
          <w:noProof/>
        </w:rPr>
        <w:footnoteReference w:id="8"/>
      </w:r>
      <w:r>
        <w:rPr>
          <w:noProof/>
        </w:rPr>
        <w:t xml:space="preserve"> Комисията положи значителни усилия за координиране на обмена на информация между държавите членки. Събирането на данни бе едно от основните предизвикателства пред цялостната координация в текущите извънредни обстоятелства, но положението постоянно се подобрява благодарение на предприетите действия. </w:t>
      </w:r>
    </w:p>
    <w:p w14:paraId="37EEF48A" w14:textId="1BDC91FB" w:rsidR="00750E60" w:rsidRPr="00F96BDE" w:rsidRDefault="00750E60" w:rsidP="00750E60">
      <w:pPr>
        <w:spacing w:after="120"/>
        <w:jc w:val="both"/>
        <w:rPr>
          <w:noProof/>
        </w:rPr>
      </w:pPr>
      <w:r>
        <w:rPr>
          <w:noProof/>
        </w:rPr>
        <w:t xml:space="preserve">От началото на кризата </w:t>
      </w:r>
      <w:r>
        <w:rPr>
          <w:b/>
          <w:noProof/>
        </w:rPr>
        <w:t>мрежата на ЕС за подготвеност и кризи в областта на миграцията</w:t>
      </w:r>
      <w:r>
        <w:rPr>
          <w:rStyle w:val="FootnoteReference"/>
          <w:noProof/>
        </w:rPr>
        <w:footnoteReference w:id="9"/>
      </w:r>
      <w:r>
        <w:rPr>
          <w:noProof/>
        </w:rPr>
        <w:t xml:space="preserve"> проведе над сто заседания, последвани от писмени доклади, които предоставиха обща ситуационна осведоменост относно последиците за миграцията от руското нашествие в Украйна и готовността на ЕС и държавите членки. Тя работи при пълно взаимно допълване с други форуми, като например Платформата за солидарност, интегрираните договорености за реакция на политическо равнище при кризи и Европейската мрежа за миграцията, както и като част от цялостната координация за Украйна на равнището на ЕС.</w:t>
      </w:r>
    </w:p>
    <w:p w14:paraId="06498520" w14:textId="7306B5BB" w:rsidR="00750E60" w:rsidRPr="00F96BDE" w:rsidRDefault="00750E60" w:rsidP="00750E60">
      <w:pPr>
        <w:spacing w:after="120"/>
        <w:jc w:val="both"/>
        <w:rPr>
          <w:noProof/>
        </w:rPr>
      </w:pPr>
      <w:r>
        <w:rPr>
          <w:noProof/>
        </w:rPr>
        <w:t>Агенцията на ЕС в областта на убежището (EUAA) изигра решаваща роля за бързото създаване на система за събиране на данни за ежедневните регистрации за временна закрила.</w:t>
      </w:r>
      <w:bookmarkStart w:id="2" w:name="_Hlk127450356"/>
      <w:r>
        <w:rPr>
          <w:noProof/>
        </w:rPr>
        <w:t xml:space="preserve"> Европейската агенция за гранична и брегова охрана (Frontex) също така засили подкрепата си за управлението на външните граници на ЕС, като предостави навременна информация за положението на границата, планира различни сценарии за възможното развитие и инициира оперативна реакция, включително изграждане на капацитет и мониторинг на заплахите от трансгранична престъпност в района. Агенцията за основните права (FRA) предостави допълнителна информация относно прилагането на директивата в няколко държави членки чрез периодични бюлетини.</w:t>
      </w:r>
    </w:p>
    <w:bookmarkEnd w:id="2"/>
    <w:p w14:paraId="6AA66DD3" w14:textId="6E4B1E6B" w:rsidR="00783D49" w:rsidRPr="00F96BDE" w:rsidRDefault="00750E60" w:rsidP="00783D49">
      <w:pPr>
        <w:spacing w:after="120"/>
        <w:jc w:val="both"/>
        <w:rPr>
          <w:noProof/>
        </w:rPr>
      </w:pPr>
      <w:r>
        <w:rPr>
          <w:noProof/>
        </w:rPr>
        <w:t xml:space="preserve">От решаващо значение бе, че като последващо действие във връзка с плана от 10 точки от 28 март 2022 г. </w:t>
      </w:r>
      <w:r>
        <w:rPr>
          <w:b/>
          <w:noProof/>
        </w:rPr>
        <w:t>платформата за регистрация на временна закрила</w:t>
      </w:r>
      <w:r>
        <w:rPr>
          <w:noProof/>
        </w:rPr>
        <w:t xml:space="preserve"> беше разработена</w:t>
      </w:r>
      <w:r>
        <w:rPr>
          <w:b/>
          <w:noProof/>
        </w:rPr>
        <w:t xml:space="preserve"> </w:t>
      </w:r>
      <w:r>
        <w:rPr>
          <w:noProof/>
        </w:rPr>
        <w:t xml:space="preserve">само за шест седмици. 25 държави членки обменят информация относно лицата, ползващи се от временна закрила и от адекватна закрила, предоставена съгласно националното право, с цел откриването на двойни регистрации в рамките на една и съща държава членка и между държавите — членки на ЕС. </w:t>
      </w:r>
    </w:p>
    <w:p w14:paraId="5937A575" w14:textId="1986B265" w:rsidR="00783D49" w:rsidRPr="00F96BDE" w:rsidRDefault="00783D49" w:rsidP="002C5736">
      <w:pPr>
        <w:pStyle w:val="ListParagraph"/>
        <w:keepNext/>
        <w:numPr>
          <w:ilvl w:val="1"/>
          <w:numId w:val="1"/>
        </w:numPr>
        <w:spacing w:before="120" w:after="120" w:line="240" w:lineRule="auto"/>
        <w:jc w:val="both"/>
        <w:rPr>
          <w:b/>
          <w:bCs/>
          <w:iCs/>
          <w:noProof/>
        </w:rPr>
      </w:pPr>
      <w:r>
        <w:rPr>
          <w:rFonts w:ascii="Times New Roman" w:hAnsi="Times New Roman"/>
          <w:b/>
          <w:noProof/>
          <w:sz w:val="24"/>
        </w:rPr>
        <w:t>Предоставяне на информация</w:t>
      </w:r>
    </w:p>
    <w:p w14:paraId="1C117185" w14:textId="37EDB28D" w:rsidR="009727D2" w:rsidRPr="00F96BDE" w:rsidRDefault="00783D49" w:rsidP="009727D2">
      <w:pPr>
        <w:spacing w:after="120"/>
        <w:jc w:val="both"/>
        <w:rPr>
          <w:noProof/>
        </w:rPr>
      </w:pPr>
      <w:bookmarkStart w:id="3" w:name="_Hlk128164469"/>
      <w:r>
        <w:rPr>
          <w:noProof/>
        </w:rPr>
        <w:t xml:space="preserve">Комисията създаде мрежа от информационни центрове, по-специално с подкрепата на EUAA, включена в съществуващата мрежа от основни транспортни центрове в държавите членки, която улеснява движението на хората, бягащи от руската агресия и влизащи в ЕС, и предоставя ключова информация за органите и други официални източници на информация. </w:t>
      </w:r>
    </w:p>
    <w:p w14:paraId="06B1576E" w14:textId="0149BE22" w:rsidR="009727D2" w:rsidRPr="00F96BDE" w:rsidRDefault="00783D49" w:rsidP="009727D2">
      <w:pPr>
        <w:spacing w:after="120"/>
        <w:jc w:val="both"/>
        <w:rPr>
          <w:noProof/>
        </w:rPr>
      </w:pPr>
      <w:r>
        <w:rPr>
          <w:noProof/>
        </w:rPr>
        <w:t>След задействането на директивата Комисията бързо стартира комуникационна кампания за информиране на хората, бягащи от руската агресия срещу Украйна, относно техните права. Това беше основна характеристика на централния уебсайт на ЕС на тема „Солидарност на ЕС с Украйна“</w:t>
      </w:r>
      <w:r>
        <w:rPr>
          <w:rStyle w:val="FootnoteReference"/>
          <w:noProof/>
        </w:rPr>
        <w:footnoteReference w:id="10"/>
      </w:r>
      <w:r>
        <w:rPr>
          <w:noProof/>
        </w:rPr>
        <w:t xml:space="preserve">. Уебсайтът, преведен на украински и руски език, включва практическа информация за хората, бягащи от руската агресия и пристигащи в ЕС, както и интерактивна карта с ключови звена за контакт във всяка държава членка. </w:t>
      </w:r>
    </w:p>
    <w:p w14:paraId="3F566E0F" w14:textId="73CD4EC0" w:rsidR="009727D2" w:rsidRPr="00F96BDE" w:rsidRDefault="00783D49" w:rsidP="009727D2">
      <w:pPr>
        <w:spacing w:after="120"/>
        <w:jc w:val="both"/>
        <w:rPr>
          <w:noProof/>
        </w:rPr>
      </w:pPr>
      <w:r>
        <w:rPr>
          <w:noProof/>
        </w:rPr>
        <w:t xml:space="preserve">Успоредно с това бяха осъществени </w:t>
      </w:r>
      <w:r>
        <w:rPr>
          <w:i/>
          <w:noProof/>
        </w:rPr>
        <w:t>ad hoc</w:t>
      </w:r>
      <w:r w:rsidR="002D6F2D">
        <w:rPr>
          <w:noProof/>
        </w:rPr>
        <w:t xml:space="preserve"> </w:t>
      </w:r>
      <w:r>
        <w:rPr>
          <w:noProof/>
        </w:rPr>
        <w:t xml:space="preserve">комуникационни действия относно предотвратяването на трафика на хора, осведомеността за невярната информация, инициативата „Безопасни домове“ и пилотния проект „Резерв на ЕС от таланти“ за хората, бягащи от руската агресия срещу Украйна. </w:t>
      </w:r>
    </w:p>
    <w:p w14:paraId="67C5B44F" w14:textId="1E9D7BA9" w:rsidR="00A624ED" w:rsidRPr="00F96BDE" w:rsidRDefault="00750E60" w:rsidP="009727D2">
      <w:pPr>
        <w:spacing w:after="120"/>
        <w:jc w:val="both"/>
        <w:rPr>
          <w:noProof/>
        </w:rPr>
      </w:pPr>
      <w:r>
        <w:rPr>
          <w:noProof/>
        </w:rPr>
        <w:t>Комисията също така направи достъпна телефонната линия на ЕС за помощ</w:t>
      </w:r>
      <w:r>
        <w:rPr>
          <w:rStyle w:val="FootnoteReference"/>
          <w:noProof/>
        </w:rPr>
        <w:footnoteReference w:id="11"/>
      </w:r>
      <w:r>
        <w:rPr>
          <w:noProof/>
        </w:rPr>
        <w:t xml:space="preserve"> на украински и руски език. Комуникационните и информационните действия са тясно координирани с държавите — членки на ЕС, EUAA, както и с други заинтересовани страни, включително украинските органи. На 24 февруари 2023 г. Комисията стартира уебстраницата, посветена на една година украинска съпротива</w:t>
      </w:r>
      <w:r>
        <w:rPr>
          <w:rStyle w:val="FootnoteReference"/>
          <w:noProof/>
        </w:rPr>
        <w:footnoteReference w:id="12"/>
      </w:r>
      <w:r>
        <w:rPr>
          <w:noProof/>
        </w:rPr>
        <w:t>.</w:t>
      </w:r>
    </w:p>
    <w:bookmarkEnd w:id="3"/>
    <w:p w14:paraId="2B2E7E09" w14:textId="7F6A347F" w:rsidR="00750E60" w:rsidRPr="00F96BDE" w:rsidRDefault="00750E60" w:rsidP="00750E60">
      <w:pPr>
        <w:pStyle w:val="ListParagraph"/>
        <w:keepNext/>
        <w:numPr>
          <w:ilvl w:val="1"/>
          <w:numId w:val="1"/>
        </w:numPr>
        <w:spacing w:before="120" w:after="120" w:line="240" w:lineRule="auto"/>
        <w:jc w:val="both"/>
        <w:rPr>
          <w:rFonts w:ascii="Times New Roman" w:hAnsi="Times New Roman" w:cs="Times New Roman"/>
          <w:b/>
          <w:bCs/>
          <w:iCs/>
          <w:noProof/>
          <w:sz w:val="24"/>
          <w:szCs w:val="24"/>
        </w:rPr>
      </w:pPr>
      <w:r>
        <w:rPr>
          <w:rFonts w:ascii="Times New Roman" w:hAnsi="Times New Roman"/>
          <w:b/>
          <w:noProof/>
          <w:sz w:val="24"/>
        </w:rPr>
        <w:t>Обхват на временната закрила</w:t>
      </w:r>
    </w:p>
    <w:p w14:paraId="3A99D2A7" w14:textId="612BC113" w:rsidR="008144DB" w:rsidRPr="00F96BDE" w:rsidRDefault="00783D49" w:rsidP="009727D2">
      <w:pPr>
        <w:spacing w:before="120" w:after="120"/>
        <w:jc w:val="both"/>
        <w:rPr>
          <w:noProof/>
        </w:rPr>
      </w:pPr>
      <w:r>
        <w:rPr>
          <w:noProof/>
        </w:rPr>
        <w:t>Временната закрила обхваща лицата, които поради руското военно нашествие са напуснали Украйна на или след 24 февруари 2022 г. и които попадат в персоналния обхват на решението за изпълнение на Съвета</w:t>
      </w:r>
      <w:r>
        <w:rPr>
          <w:rStyle w:val="FootnoteReference"/>
          <w:bCs/>
          <w:noProof/>
        </w:rPr>
        <w:footnoteReference w:id="13"/>
      </w:r>
      <w:r>
        <w:rPr>
          <w:noProof/>
        </w:rPr>
        <w:t xml:space="preserve">. На практика много държави членки разшириха обхвата на закрилата, за да включва и украинските граждани, влезли на тяхна територия преди 24 февруари 2022 г. </w:t>
      </w:r>
    </w:p>
    <w:p w14:paraId="36612168" w14:textId="6B024D9D" w:rsidR="00750E60" w:rsidRPr="00F96BDE" w:rsidRDefault="00AE6A2C" w:rsidP="009727D2">
      <w:pPr>
        <w:spacing w:before="120" w:after="120"/>
        <w:jc w:val="both"/>
        <w:rPr>
          <w:noProof/>
        </w:rPr>
      </w:pPr>
      <w:r>
        <w:rPr>
          <w:noProof/>
        </w:rPr>
        <w:t>Решението за изпълнение на Съвета, с което бе задействана Директивата за временната закрила, също така защитава гражданите на трети държави, различни от Украйна, и лицата без гражданство, които са пребивавали постоянно в Украйна преди 24 февруари 2022 г. и които не могат да се завърнат при безопасни и трайни условия в своята държава или регион на произход</w:t>
      </w:r>
      <w:r>
        <w:rPr>
          <w:rStyle w:val="FootnoteReference"/>
          <w:noProof/>
        </w:rPr>
        <w:footnoteReference w:id="14"/>
      </w:r>
      <w:r>
        <w:rPr>
          <w:noProof/>
        </w:rPr>
        <w:t xml:space="preserve">. </w:t>
      </w:r>
    </w:p>
    <w:p w14:paraId="164ABA39" w14:textId="77777777" w:rsidR="0061200B" w:rsidRPr="00F96BDE" w:rsidRDefault="00346D16" w:rsidP="009727D2">
      <w:pPr>
        <w:spacing w:before="120" w:after="120"/>
        <w:jc w:val="both"/>
        <w:rPr>
          <w:bCs/>
          <w:noProof/>
        </w:rPr>
      </w:pPr>
      <w:r>
        <w:rPr>
          <w:noProof/>
        </w:rPr>
        <w:t>В много държави членки гражданите на трети държави, които са имали други временни права за пребиваване в Украйна, например студентите</w:t>
      </w:r>
      <w:r>
        <w:rPr>
          <w:rStyle w:val="FootnoteReference"/>
          <w:noProof/>
        </w:rPr>
        <w:footnoteReference w:id="15"/>
      </w:r>
      <w:r>
        <w:rPr>
          <w:noProof/>
        </w:rPr>
        <w:t>, също се възползваха от правата, свързани с временната закрила. В повечето, но не във всички държави членки, други граждани на трети държави, които се ползват от временна закрила, подлежат на същите административни процедури като украинските граждани</w:t>
      </w:r>
      <w:r>
        <w:rPr>
          <w:rStyle w:val="FootnoteReference"/>
          <w:bCs/>
          <w:noProof/>
        </w:rPr>
        <w:footnoteReference w:id="16"/>
      </w:r>
      <w:r>
        <w:rPr>
          <w:noProof/>
        </w:rPr>
        <w:t xml:space="preserve">. </w:t>
      </w:r>
    </w:p>
    <w:p w14:paraId="503E872D" w14:textId="27F8FE91" w:rsidR="00783D49" w:rsidRPr="00F96BDE" w:rsidRDefault="00202A3E" w:rsidP="009727D2">
      <w:pPr>
        <w:spacing w:before="120" w:after="120"/>
        <w:jc w:val="both"/>
        <w:rPr>
          <w:bCs/>
          <w:iCs/>
          <w:noProof/>
        </w:rPr>
      </w:pPr>
      <w:r>
        <w:rPr>
          <w:noProof/>
        </w:rPr>
        <w:t>Същевременно държавите членки, които са решили да прилагат форма на закрила, различна от временната закрила</w:t>
      </w:r>
      <w:r>
        <w:rPr>
          <w:rStyle w:val="FootnoteReference"/>
          <w:bCs/>
          <w:noProof/>
        </w:rPr>
        <w:footnoteReference w:id="17"/>
      </w:r>
      <w:r>
        <w:rPr>
          <w:noProof/>
        </w:rPr>
        <w:t>, за граждани на трети държави, различни от Украйна, предприеха мерки, за да гарантират ускорен процес на регистрация, така че произтичащите от това права да станат действителност със същата бързина, както за украинските граждани. Във всеки случай остава от значение нито една административна процедура да не води до неоправдано забавяне на упражняването на правата, свързани с временната закрила</w:t>
      </w:r>
      <w:r>
        <w:rPr>
          <w:rStyle w:val="FootnoteReference"/>
          <w:bCs/>
          <w:noProof/>
        </w:rPr>
        <w:footnoteReference w:id="18"/>
      </w:r>
      <w:r>
        <w:rPr>
          <w:noProof/>
        </w:rPr>
        <w:t xml:space="preserve">. </w:t>
      </w:r>
    </w:p>
    <w:p w14:paraId="09D4BB04" w14:textId="106ADF11" w:rsidR="00783D49" w:rsidRPr="00F96BDE" w:rsidRDefault="00783D49" w:rsidP="00FD7588">
      <w:pPr>
        <w:spacing w:before="120" w:after="120"/>
        <w:jc w:val="both"/>
        <w:rPr>
          <w:bCs/>
          <w:noProof/>
        </w:rPr>
      </w:pPr>
      <w:r>
        <w:rPr>
          <w:noProof/>
        </w:rPr>
        <w:t>Към ноември 2022 г. в целия ЕС около 70 000 граждани на трети държави, различни от Украйна, са получили временна закрила, в допълнение към малко под 300 лица без гражданство</w:t>
      </w:r>
      <w:r>
        <w:rPr>
          <w:rStyle w:val="FootnoteReference"/>
          <w:noProof/>
        </w:rPr>
        <w:footnoteReference w:id="19"/>
      </w:r>
      <w:r>
        <w:rPr>
          <w:noProof/>
        </w:rPr>
        <w:t>.</w:t>
      </w:r>
    </w:p>
    <w:p w14:paraId="6EFC58C1" w14:textId="45F3D8B3" w:rsidR="0061200B" w:rsidRPr="00F96BDE" w:rsidRDefault="0061200B" w:rsidP="00B57C2B">
      <w:pPr>
        <w:pStyle w:val="ListParagraph"/>
        <w:keepNext/>
        <w:numPr>
          <w:ilvl w:val="1"/>
          <w:numId w:val="1"/>
        </w:numPr>
        <w:spacing w:before="120" w:after="120" w:line="240" w:lineRule="auto"/>
        <w:jc w:val="both"/>
        <w:rPr>
          <w:bCs/>
          <w:noProof/>
        </w:rPr>
      </w:pPr>
      <w:r>
        <w:rPr>
          <w:rFonts w:ascii="Times New Roman" w:hAnsi="Times New Roman"/>
          <w:b/>
          <w:noProof/>
          <w:sz w:val="24"/>
        </w:rPr>
        <w:t>Достъп до регистрация и документация</w:t>
      </w:r>
    </w:p>
    <w:p w14:paraId="7C77FD80" w14:textId="614AC234" w:rsidR="00A016FC" w:rsidRPr="00F96BDE" w:rsidRDefault="00A016FC" w:rsidP="00A016FC">
      <w:pPr>
        <w:spacing w:after="120"/>
        <w:jc w:val="both"/>
        <w:rPr>
          <w:bCs/>
          <w:iCs/>
          <w:noProof/>
        </w:rPr>
      </w:pPr>
      <w:r>
        <w:rPr>
          <w:noProof/>
        </w:rPr>
        <w:t>За да превърнат временната закрила в реалност, държавите членки бързо създадоха ускорени процедури за регистрация и издаване на документи. По този начин органите на държавите членки успяха бързо да предоставят закрила, докато традиционните системи за убежище биха били претоварени.</w:t>
      </w:r>
    </w:p>
    <w:p w14:paraId="6BAF7CD9" w14:textId="17069CE5" w:rsidR="00006679" w:rsidRPr="00F96BDE" w:rsidRDefault="00006679" w:rsidP="00006679">
      <w:pPr>
        <w:spacing w:after="120"/>
        <w:jc w:val="both"/>
        <w:rPr>
          <w:bCs/>
          <w:iCs/>
          <w:noProof/>
        </w:rPr>
      </w:pPr>
      <w:r>
        <w:rPr>
          <w:noProof/>
        </w:rPr>
        <w:t>Повечето разселени лица, бягащи от руската агресия срещу Украйна, пристигнаха, носейки със себе си официални документи или биометрични паспорти, което улесни проверката за допустимост за временна закрила. Освен това иновациите в предоставянето на информация, регистрацията и издаването на документи спомогнаха за осигуряването на бърз достъп до правата, свързани с временната закрила. Това включваше автоматични насочени съобщения, цифрова регистрация и последваща обработка, а понякога и издаване на цифрови лични карти. Когато хората не разполагаха с необходимата документация, повечето държави членки се съобразиха с насоките на Комисията за облекчаване на изискванията при разрешаване на влизане.</w:t>
      </w:r>
    </w:p>
    <w:p w14:paraId="46558DF6" w14:textId="3E10588E" w:rsidR="00006679" w:rsidRPr="00F96BDE" w:rsidRDefault="00006679" w:rsidP="00006679">
      <w:pPr>
        <w:spacing w:after="120"/>
        <w:jc w:val="both"/>
        <w:rPr>
          <w:bCs/>
          <w:iCs/>
          <w:noProof/>
        </w:rPr>
      </w:pPr>
      <w:r>
        <w:rPr>
          <w:noProof/>
        </w:rPr>
        <w:t>В много държави членки украинските посолства и консулства предоставиха важна подкрепа, като започнаха да (пре)издават паспорти или да предоставят други удостоверения за гражданско състояние. Беше насърчено и използването на специфични мобилни приложения (като украинското приложение Diia), които позволяват на разселените лица да имат достъп до своите цифрови документи, както и информация за публичните услуги. Обслужването на едно гише и други ускорени механизми спомогнаха за ускоряване на практическия достъп до услуги.</w:t>
      </w:r>
    </w:p>
    <w:p w14:paraId="7916DEFD" w14:textId="04C41AE8" w:rsidR="00FD7588" w:rsidRPr="00F96BDE" w:rsidRDefault="00A016FC" w:rsidP="00FD7588">
      <w:pPr>
        <w:spacing w:before="120" w:after="120"/>
        <w:jc w:val="both"/>
        <w:rPr>
          <w:bCs/>
          <w:iCs/>
          <w:noProof/>
        </w:rPr>
      </w:pPr>
      <w:r>
        <w:rPr>
          <w:noProof/>
        </w:rPr>
        <w:t>В проучване, проведено от FRA през август 2022 г., повечето отговорили са съобщили, че не са се сблъскали с трудности, когато пътуват до и в рамките на ЕС, и мнозинството смятат, че им е предоставена достатъчно информация за техните права и за услугите, които са достъпни за тях</w:t>
      </w:r>
      <w:r>
        <w:rPr>
          <w:rStyle w:val="FootnoteReference"/>
          <w:noProof/>
        </w:rPr>
        <w:footnoteReference w:id="20"/>
      </w:r>
      <w:r>
        <w:rPr>
          <w:noProof/>
        </w:rPr>
        <w:t xml:space="preserve">. </w:t>
      </w:r>
    </w:p>
    <w:p w14:paraId="5886A24E" w14:textId="74E9CA61" w:rsidR="00002BA4" w:rsidRPr="00F96BDE" w:rsidRDefault="001E2845" w:rsidP="00FD7588">
      <w:pPr>
        <w:spacing w:before="120" w:after="120"/>
        <w:jc w:val="both"/>
        <w:rPr>
          <w:bCs/>
          <w:iCs/>
          <w:noProof/>
        </w:rPr>
      </w:pPr>
      <w:r>
        <w:rPr>
          <w:noProof/>
        </w:rPr>
        <w:t xml:space="preserve">Има разни сведения за спорадични трудности, с които се сблъскват някои граждани на трети държави, както и ромите и други групи в неравностойно положение (напр. ЛГБТИК лица, както и хората с увреждания) при достъпа до временна закрила. По-конкретно някои роми са срещнали трудности при достъпа до закрила при липсата на документация от Украйна в момента на пристигане в ЕС; хора с увреждания са срещнали трудности при достъпа до специфични видове подкрепа поради липсата на признаване на удостоверенията за инвалидност или други документи. FRA отбеляза необходимостта от по-изчерпателни данни в това отношение, както и необходимостта от целенасочени действия. </w:t>
      </w:r>
    </w:p>
    <w:p w14:paraId="4904D5B1" w14:textId="196E12D9" w:rsidR="0061200B" w:rsidRPr="00F96BDE" w:rsidRDefault="0061200B" w:rsidP="0061200B">
      <w:pPr>
        <w:spacing w:before="120" w:after="120"/>
        <w:jc w:val="both"/>
        <w:rPr>
          <w:bCs/>
          <w:iCs/>
          <w:noProof/>
        </w:rPr>
      </w:pPr>
      <w:r>
        <w:rPr>
          <w:noProof/>
        </w:rPr>
        <w:t>В съответствие с позицията си, че на всички хора, бягащи от руската агресия срещу Украйна, следва да бъде предоставен достъп до ЕС, независимо от тяхната националност, етническа принадлежност или цвят на кожата, Комисията установи контакт на всички равнища с държавите — членки на ЕС, Украйна и Република Молдова, за да гарантира, че безопасното пристигане на граждани на трети държави, роми и други групи в неравностойно положение е улеснено.</w:t>
      </w:r>
    </w:p>
    <w:p w14:paraId="2A003685" w14:textId="37E9929F" w:rsidR="00FA01AD" w:rsidRPr="00F96BDE" w:rsidRDefault="0061200B" w:rsidP="00FD7588">
      <w:pPr>
        <w:spacing w:before="120" w:after="120"/>
        <w:jc w:val="both"/>
        <w:rPr>
          <w:bCs/>
          <w:iCs/>
          <w:noProof/>
        </w:rPr>
      </w:pPr>
      <w:r>
        <w:rPr>
          <w:noProof/>
        </w:rPr>
        <w:t>Комисията ще продължи да работи с държавите членки, за да гарантира, че всички мерки в подкрепа на разселените от Украйна лица в ЕС се прилагат при пълно зачитане на основните права и изискванията за недискриминация, произтичащи от правото на ЕС, включително Хартата на основните права, и международното право</w:t>
      </w:r>
      <w:r>
        <w:rPr>
          <w:rStyle w:val="FootnoteReference"/>
          <w:bCs/>
          <w:iCs/>
          <w:noProof/>
        </w:rPr>
        <w:footnoteReference w:id="21"/>
      </w:r>
      <w:r>
        <w:rPr>
          <w:noProof/>
        </w:rPr>
        <w:t>. От момента на първото пристигане трябва да бъдат предприети специфични мерки, водещи до приемане и интеграция, за да се отговори на нуждите на уязвимите групи, които са изложени на по-голям риск от дискриминация, сексуална и трудова експлоатация и малтретиране, както и трафик на хора, например различни категории уязвими деца</w:t>
      </w:r>
      <w:r>
        <w:rPr>
          <w:rStyle w:val="FootnoteReference"/>
          <w:bCs/>
          <w:iCs/>
          <w:noProof/>
        </w:rPr>
        <w:footnoteReference w:id="22"/>
      </w:r>
      <w:r>
        <w:rPr>
          <w:noProof/>
        </w:rPr>
        <w:t xml:space="preserve"> и жени. </w:t>
      </w:r>
    </w:p>
    <w:p w14:paraId="6E5A10A5" w14:textId="29C83113" w:rsidR="00FD09F3" w:rsidRPr="00F96BDE" w:rsidRDefault="00C5409D" w:rsidP="002C5736">
      <w:pPr>
        <w:keepNext/>
        <w:spacing w:before="120" w:after="120"/>
        <w:jc w:val="both"/>
        <w:rPr>
          <w:b/>
          <w:iCs/>
          <w:noProof/>
        </w:rPr>
      </w:pPr>
      <w:r>
        <w:rPr>
          <w:noProof/>
        </w:rPr>
        <w:t xml:space="preserve">Тъй като временната закрила беше удължена до март 2024 г., предизвикателството за администрациите на държавите членки е да подновят разрешенията за пребиваване. За тази цел държавите членки приемат различни модели — от автоматично удължаване на действието на чиповете до изпращане по пощата на нови карти или лично подновяване в съответната административна служба. Комисията насърчава държавите членки да продължат своя ангажимент и усилия за ускоряване на издаването или подновяването на разрешения за пребиваване. За да се улесни свободното движение в рамките на ЕС, държавите членки следва да регистрират в Шенгенската информационна система образците на разрешенията за пребиваване, издадени от държавите членки (приложения 22 и 23 от Практическото ръководство за гранична охрана), и всички различни новоиздадени на национално равнище лични документи за пребиваване, свързани с временната закрила. </w:t>
      </w:r>
    </w:p>
    <w:p w14:paraId="1DD1DF00" w14:textId="40BEAF5B" w:rsidR="00FD09F3" w:rsidRPr="00F96BDE" w:rsidRDefault="00FD09F3" w:rsidP="00FD09F3">
      <w:pPr>
        <w:pStyle w:val="ListParagraph"/>
        <w:keepNext/>
        <w:numPr>
          <w:ilvl w:val="0"/>
          <w:numId w:val="1"/>
        </w:numPr>
        <w:spacing w:before="120" w:after="120" w:line="240" w:lineRule="auto"/>
        <w:jc w:val="both"/>
        <w:rPr>
          <w:rFonts w:ascii="Times New Roman" w:hAnsi="Times New Roman" w:cs="Times New Roman"/>
          <w:b/>
          <w:iCs/>
          <w:noProof/>
          <w:sz w:val="24"/>
          <w:szCs w:val="24"/>
        </w:rPr>
      </w:pPr>
      <w:r>
        <w:rPr>
          <w:rFonts w:ascii="Times New Roman" w:hAnsi="Times New Roman"/>
          <w:b/>
          <w:noProof/>
          <w:sz w:val="24"/>
        </w:rPr>
        <w:t>Подход, обхващащ цялото общество</w:t>
      </w:r>
    </w:p>
    <w:p w14:paraId="1764D4C0" w14:textId="77777777" w:rsidR="00FD09F3" w:rsidRPr="00F96BDE" w:rsidRDefault="00FD09F3" w:rsidP="00FD09F3">
      <w:pPr>
        <w:keepNext/>
        <w:spacing w:before="120" w:after="120"/>
        <w:jc w:val="both"/>
        <w:rPr>
          <w:noProof/>
        </w:rPr>
      </w:pPr>
      <w:r>
        <w:rPr>
          <w:noProof/>
        </w:rPr>
        <w:t xml:space="preserve">Координираният отговор на масовото разселване на хора, бягащи от руската агресия срещу Украйна, засегна всички сектори на обществото в ЕС. С приноса на частни граждани, социални партньори, неправителствени организации, публични органи и международни организации ЕС успя да осигури съгласуван отговор, като направи действителност правата, залегнали в Директивата за временната закрила. </w:t>
      </w:r>
    </w:p>
    <w:p w14:paraId="6E616039" w14:textId="658C9E57" w:rsidR="00783D49" w:rsidRPr="00F96BDE" w:rsidRDefault="00783D49" w:rsidP="0061200B">
      <w:pPr>
        <w:pStyle w:val="ListParagraph"/>
        <w:keepNext/>
        <w:numPr>
          <w:ilvl w:val="1"/>
          <w:numId w:val="1"/>
        </w:numPr>
        <w:spacing w:before="120" w:after="120" w:line="240" w:lineRule="auto"/>
        <w:jc w:val="both"/>
        <w:rPr>
          <w:rFonts w:ascii="Times New Roman" w:hAnsi="Times New Roman" w:cs="Times New Roman"/>
          <w:b/>
          <w:bCs/>
          <w:iCs/>
          <w:noProof/>
          <w:sz w:val="24"/>
          <w:szCs w:val="24"/>
        </w:rPr>
      </w:pPr>
      <w:r>
        <w:rPr>
          <w:rFonts w:ascii="Times New Roman" w:hAnsi="Times New Roman"/>
          <w:b/>
          <w:noProof/>
          <w:sz w:val="24"/>
        </w:rPr>
        <w:t>Специална закрила на децата</w:t>
      </w:r>
    </w:p>
    <w:p w14:paraId="28B564B2" w14:textId="5EA3670A" w:rsidR="00783D49" w:rsidRPr="00F96BDE" w:rsidRDefault="00783D49" w:rsidP="00FD7588">
      <w:pPr>
        <w:spacing w:after="120"/>
        <w:jc w:val="both"/>
        <w:rPr>
          <w:bCs/>
          <w:iCs/>
          <w:noProof/>
        </w:rPr>
      </w:pPr>
      <w:r>
        <w:rPr>
          <w:noProof/>
        </w:rPr>
        <w:t xml:space="preserve">Закрилата на детето заема централно място в подкрепата на ЕС за лицата, бягащи от руската агресия срещу Украйна. Понастоящем близо една пета от украинските деца са намерили убежище в ЕС. </w:t>
      </w:r>
    </w:p>
    <w:p w14:paraId="31BDA55C" w14:textId="5BF8EE37" w:rsidR="0061200B" w:rsidRPr="00F96BDE" w:rsidRDefault="00783D49" w:rsidP="00FD7588">
      <w:pPr>
        <w:spacing w:after="120"/>
        <w:jc w:val="both"/>
        <w:rPr>
          <w:iCs/>
          <w:noProof/>
        </w:rPr>
      </w:pPr>
      <w:r>
        <w:rPr>
          <w:noProof/>
        </w:rPr>
        <w:t>От големия брой деца, пристигащи от Украйна в ЕС, малко са регистрираните като непридружени или разделени от семействата си деца по смисъла на правото на ЕС</w:t>
      </w:r>
      <w:r>
        <w:rPr>
          <w:rStyle w:val="FootnoteReference"/>
          <w:bCs/>
          <w:iCs/>
          <w:noProof/>
        </w:rPr>
        <w:footnoteReference w:id="23"/>
      </w:r>
      <w:r>
        <w:rPr>
          <w:noProof/>
        </w:rPr>
        <w:t xml:space="preserve">. Причината за това е, че много деца пристигат заедно с настойник, назначен в Украйна, включително над 5000 деца, евакуирани от украински институции, заедно с техните настойници. Тези деца са особено уязвими и значителен брой от тях са деца с увреждания. </w:t>
      </w:r>
    </w:p>
    <w:p w14:paraId="030B5A80" w14:textId="419A8E12" w:rsidR="0061200B" w:rsidRPr="00F96BDE" w:rsidRDefault="00783D49" w:rsidP="00FD7588">
      <w:pPr>
        <w:spacing w:after="120"/>
        <w:jc w:val="both"/>
        <w:rPr>
          <w:noProof/>
        </w:rPr>
      </w:pPr>
      <w:r>
        <w:rPr>
          <w:noProof/>
        </w:rPr>
        <w:t xml:space="preserve">Условията за пристигане и специфичните нужди от закрила породиха предизвикателства за приемащите държави членки. В ранните етапи на разселването предизвикателствата бяха свързани с гарантирането на </w:t>
      </w:r>
      <w:r>
        <w:rPr>
          <w:b/>
          <w:noProof/>
        </w:rPr>
        <w:t>регистрацията</w:t>
      </w:r>
      <w:r>
        <w:rPr>
          <w:noProof/>
        </w:rPr>
        <w:t xml:space="preserve"> на непридружени и разделени от семействата си деца, както и на деца, пристигащи с украински настойници, и на групи деца от институционализирани заведения за полагане на грижи. </w:t>
      </w:r>
    </w:p>
    <w:p w14:paraId="321E6371" w14:textId="77777777" w:rsidR="005E2510" w:rsidRPr="00F96BDE" w:rsidRDefault="005E2510" w:rsidP="005E2510">
      <w:pPr>
        <w:spacing w:after="120"/>
        <w:jc w:val="both"/>
        <w:rPr>
          <w:noProof/>
        </w:rPr>
      </w:pPr>
      <w:r>
        <w:rPr>
          <w:noProof/>
        </w:rPr>
        <w:t xml:space="preserve">От ранните етапи на конфликта Комисията работи в тясно сътрудничество със съответните заинтересовани страни в държавите членки и ще продължи да прави това, за да гарантира, че към тези многобройни предизвикателства се подхожда по всеобхватен и последователен начин. </w:t>
      </w:r>
    </w:p>
    <w:p w14:paraId="2E3AEDA6" w14:textId="58D3A60F" w:rsidR="00261ED7" w:rsidRPr="00F96BDE" w:rsidRDefault="00261ED7" w:rsidP="00261ED7">
      <w:pPr>
        <w:spacing w:after="120"/>
        <w:jc w:val="both"/>
        <w:rPr>
          <w:noProof/>
        </w:rPr>
      </w:pPr>
      <w:r>
        <w:rPr>
          <w:noProof/>
        </w:rPr>
        <w:t>Като се отчита основателната загриженост на украинските заинтересовани страни за запазване на груповите връзки и за проследяване на тези особено уязвими категории деца, е важно да се гарантира висок стандарт на приемане и грижи в деинституционализирана среда</w:t>
      </w:r>
      <w:r>
        <w:rPr>
          <w:rStyle w:val="FootnoteReference"/>
          <w:noProof/>
        </w:rPr>
        <w:footnoteReference w:id="24"/>
      </w:r>
      <w:r>
        <w:rPr>
          <w:noProof/>
        </w:rPr>
        <w:t>, така че децата да бъдат приемани в съответствие със стандартите на ЕС за грижи в общността и семейството. ЕС е готов да работи с украинските органи за намиране на решения, които позволяват висококачествени алтернативни грижи за членовете на групата, като същевременно се поддържат тесни контакти между членовете на групата и с техния украински настойник. Ще бъде важно да се гарантира, че подкрепата и закрилата са съобразени с възрастта, пола, способностите и другите форми на многообразие в зависимост от индивидуалн</w:t>
      </w:r>
      <w:r w:rsidR="002D6F2D">
        <w:rPr>
          <w:noProof/>
        </w:rPr>
        <w:t>ите потребности на всяко дете.</w:t>
      </w:r>
    </w:p>
    <w:p w14:paraId="52D9B0AE" w14:textId="5F34E1EB" w:rsidR="005E2510" w:rsidRPr="00F96BDE" w:rsidRDefault="005E2510" w:rsidP="00261ED7">
      <w:pPr>
        <w:spacing w:after="120"/>
        <w:jc w:val="both"/>
        <w:rPr>
          <w:noProof/>
        </w:rPr>
      </w:pPr>
      <w:r>
        <w:rPr>
          <w:noProof/>
        </w:rPr>
        <w:t>В оперативните насоки относно прилагането на Директивата за временната закрила</w:t>
      </w:r>
      <w:r>
        <w:rPr>
          <w:rStyle w:val="FootnoteReference"/>
          <w:noProof/>
        </w:rPr>
        <w:footnoteReference w:id="25"/>
      </w:r>
      <w:r>
        <w:rPr>
          <w:noProof/>
        </w:rPr>
        <w:t xml:space="preserve"> Комисията даде съвети как да се регистрира всяка категория деца по време на транзитно преминаване и в държавата, в която те се ползват от временна закрила. Като част от плана от 10 точки Комисията работи в тясно сътрудничество с експерти и заинтересовани страни, за да установи специфичните предизвикателства, свързани с приемането и грижите за най-уязвимите категории деца, пристигащи от Украйна. Тази работа доведе до изчерпателни препоръки, публикувани под формата на „Документ с често задавани въпроси относно регистрацията, приемането и грижите за непридружени и разделени от семействата си деца от Украйна</w:t>
      </w:r>
      <w:r>
        <w:rPr>
          <w:rStyle w:val="FootnoteReference"/>
          <w:noProof/>
        </w:rPr>
        <w:footnoteReference w:id="26"/>
      </w:r>
      <w:r>
        <w:rPr>
          <w:noProof/>
        </w:rPr>
        <w:t>“.</w:t>
      </w:r>
    </w:p>
    <w:p w14:paraId="11722DC7" w14:textId="72E5F093" w:rsidR="005E2510" w:rsidRPr="00F96BDE" w:rsidRDefault="005E2510" w:rsidP="005E2510">
      <w:pPr>
        <w:spacing w:after="120"/>
        <w:jc w:val="both"/>
        <w:rPr>
          <w:noProof/>
        </w:rPr>
      </w:pPr>
      <w:r>
        <w:rPr>
          <w:noProof/>
        </w:rPr>
        <w:t xml:space="preserve">Комисията работи в тясно сътрудничество с УНИЦЕФ за осигуряването на подходящ прием и грижи в приемащите държави членки за деца, евакуирани като групи от украинските институции, и за подкрепа на реформата на Украйна за деинституционализация. Освен това ЕС работи в тясно сътрудничество със своите украински партньори за това как най-добре да се подпомогнат украинските органи и украинските родители или законни настойници при проследяването на </w:t>
      </w:r>
      <w:r>
        <w:rPr>
          <w:b/>
          <w:noProof/>
        </w:rPr>
        <w:t>изчезнали деца</w:t>
      </w:r>
      <w:r>
        <w:rPr>
          <w:noProof/>
        </w:rPr>
        <w:t xml:space="preserve"> при пълно зачитане на законодателството на ЕС за защита на данните и на правата на децата и техните представители. </w:t>
      </w:r>
    </w:p>
    <w:p w14:paraId="7856B1B3" w14:textId="69CA7A0D" w:rsidR="006023DD" w:rsidRPr="00F96BDE" w:rsidRDefault="00783D49" w:rsidP="00783D49">
      <w:pPr>
        <w:spacing w:after="120"/>
        <w:jc w:val="both"/>
        <w:rPr>
          <w:noProof/>
        </w:rPr>
      </w:pPr>
      <w:r>
        <w:rPr>
          <w:noProof/>
        </w:rPr>
        <w:t xml:space="preserve">Друг въпрос е свързан с </w:t>
      </w:r>
      <w:r>
        <w:rPr>
          <w:b/>
          <w:noProof/>
        </w:rPr>
        <w:t>признаването на решенията за настойничество от Украйна</w:t>
      </w:r>
      <w:r>
        <w:rPr>
          <w:noProof/>
        </w:rPr>
        <w:t>. Все още се съобщава за трудности, срещани в държавите членки при получаването на пряко признаване на решения за настойничество, издадени от съответните органи в Украйна, въпреки че както Украйна, така и държавите членки прилагат Хагската конвенция за закрила на детето от 1996 г.</w:t>
      </w:r>
      <w:r>
        <w:rPr>
          <w:rStyle w:val="FootnoteReference"/>
          <w:noProof/>
        </w:rPr>
        <w:footnoteReference w:id="27"/>
      </w:r>
      <w:r>
        <w:rPr>
          <w:noProof/>
        </w:rPr>
        <w:t xml:space="preserve"> Заинтересованите страни също така посочват, че месеци след пристигането в ЕС отношенията между децата и техните украински настойници започват да се влошават, тъй като тези договорености често са замислени като временни. Това ще създаде нови предизвикателства за службите за закрила на детето в държавите членки. Някои държави членки предприеха ранни стъпки за предотвратяване на тази тенденция, като назначиха местни настойници, които да подкрепят и насочват украинските настойници. </w:t>
      </w:r>
    </w:p>
    <w:p w14:paraId="4FBD4B86" w14:textId="272BEAFC" w:rsidR="005E2510" w:rsidRPr="00F96BDE" w:rsidRDefault="005E2510" w:rsidP="005E2510">
      <w:pPr>
        <w:spacing w:after="120"/>
        <w:jc w:val="both"/>
        <w:rPr>
          <w:noProof/>
        </w:rPr>
      </w:pPr>
      <w:r>
        <w:rPr>
          <w:noProof/>
        </w:rPr>
        <w:t>Комисията също така си сътрудничи тясно с Европейската мрежа за настойничество, която събра и предостави на разположение добри практики, разработени в държавите членки във връзка с приемането и грижите за уязвими деца</w:t>
      </w:r>
      <w:r>
        <w:rPr>
          <w:rStyle w:val="FootnoteReference"/>
          <w:noProof/>
        </w:rPr>
        <w:footnoteReference w:id="28"/>
      </w:r>
      <w:r>
        <w:rPr>
          <w:noProof/>
        </w:rPr>
        <w:t xml:space="preserve">. Предизвикателствата, свързани със закрилата на децата, също бяха разгледани заедно с държавите членки на различни заседания на Платформата за солидарност и на специални технически срещи с държавите, които са приели повечето деца, евакуирани от украински институции. </w:t>
      </w:r>
    </w:p>
    <w:p w14:paraId="538B1D5E" w14:textId="74A645FA" w:rsidR="00D53BE6" w:rsidRPr="00F96BDE" w:rsidRDefault="005E2510" w:rsidP="00FC79C1">
      <w:pPr>
        <w:spacing w:after="120"/>
        <w:jc w:val="both"/>
        <w:rPr>
          <w:noProof/>
        </w:rPr>
      </w:pPr>
      <w:r>
        <w:rPr>
          <w:noProof/>
        </w:rPr>
        <w:t xml:space="preserve">Нататък </w:t>
      </w:r>
      <w:r>
        <w:rPr>
          <w:b/>
          <w:noProof/>
        </w:rPr>
        <w:t>ще бъде мобилизирана целенасочена финансова помощ</w:t>
      </w:r>
      <w:r>
        <w:rPr>
          <w:noProof/>
        </w:rPr>
        <w:t xml:space="preserve">. През февруари 2023 г. в Киев председателят Фон дер Лайен обяви подкрепата на ЕС за реформа във връзка с деинституционализацията в Украйна. Преди руското нашествие в държавата имаше над 100 000 деца в специализирани институции, като Украйна иска да премине към грижи в общността и семейството. Целта на реформата е да се разработи модерна стратегия за грижите за децата, включително изграждане на капацитет, и да се финансира туининг проект за споделяне на нашите най-добри практики. </w:t>
      </w:r>
    </w:p>
    <w:p w14:paraId="79A65730" w14:textId="2ED5DBDC" w:rsidR="00FC79C1" w:rsidRPr="00F96BDE" w:rsidRDefault="00FC79C1" w:rsidP="00783D49">
      <w:pPr>
        <w:spacing w:after="120"/>
        <w:jc w:val="both"/>
        <w:rPr>
          <w:noProof/>
        </w:rPr>
      </w:pPr>
      <w:r>
        <w:rPr>
          <w:noProof/>
        </w:rPr>
        <w:t xml:space="preserve">В рамките на ЕС фондовете в областта на вътрешните работи подпомагат пряко хората в уязвимо положение, приемането на деца, особено ако не са придружени, и лицата с увреждания, включително децата, както и ранното идентифициране на лицата, изложени на риск от трафик на хора, и насочването им към специализирани служби. Освен това Европейският социален фонд+ (ЕСФ+) може да се използва за увеличаване на подкрепата за преместването на непридружени деца към грижи, предлагани в семейството и общността. Особено внимание следва да се обърне на нуждите на децата с увреждания. ЕСФ+ за периода 2021—2027 г. ще може също така да подкрепя системите за социална закрила с особен акцент върху децата, групите в неравностойно положение и хората с увреждания, като насърчава по-специално достъпността на тези системи. </w:t>
      </w:r>
    </w:p>
    <w:p w14:paraId="4951DC95" w14:textId="02B5B76E" w:rsidR="00C66C2A" w:rsidRPr="00F96BDE" w:rsidRDefault="00C66C2A" w:rsidP="00783D49">
      <w:pPr>
        <w:spacing w:after="120"/>
        <w:jc w:val="both"/>
        <w:rPr>
          <w:b/>
          <w:bCs/>
          <w:iCs/>
          <w:noProof/>
        </w:rPr>
      </w:pPr>
      <w:r>
        <w:rPr>
          <w:b/>
          <w:noProof/>
        </w:rPr>
        <w:t>Следващи стъпки:</w:t>
      </w:r>
    </w:p>
    <w:p w14:paraId="1933D7D1" w14:textId="38145C97" w:rsidR="00C66C2A" w:rsidRPr="00F96BDE" w:rsidRDefault="00C66C2A" w:rsidP="00C66C2A">
      <w:pPr>
        <w:pStyle w:val="ListParagraph"/>
        <w:numPr>
          <w:ilvl w:val="0"/>
          <w:numId w:val="9"/>
        </w:numPr>
        <w:spacing w:after="120"/>
        <w:jc w:val="both"/>
        <w:rPr>
          <w:rFonts w:ascii="Times New Roman" w:hAnsi="Times New Roman" w:cs="Times New Roman"/>
          <w:iCs/>
          <w:noProof/>
          <w:sz w:val="24"/>
          <w:szCs w:val="24"/>
        </w:rPr>
      </w:pPr>
      <w:r>
        <w:rPr>
          <w:rFonts w:ascii="Times New Roman" w:hAnsi="Times New Roman"/>
          <w:noProof/>
          <w:sz w:val="24"/>
        </w:rPr>
        <w:t>Комисията мобилизира 10 милиона евро в подкрепа на прехода на Украйна към деинституционализация на грижите за деца.</w:t>
      </w:r>
    </w:p>
    <w:p w14:paraId="6D506874" w14:textId="5CBBC01A" w:rsidR="00C66C2A" w:rsidRPr="00F96BDE" w:rsidRDefault="00C66C2A" w:rsidP="00C66C2A">
      <w:pPr>
        <w:pStyle w:val="ListParagraph"/>
        <w:numPr>
          <w:ilvl w:val="0"/>
          <w:numId w:val="9"/>
        </w:numPr>
        <w:spacing w:after="120"/>
        <w:jc w:val="both"/>
        <w:rPr>
          <w:rFonts w:ascii="Times New Roman" w:hAnsi="Times New Roman" w:cs="Times New Roman"/>
          <w:iCs/>
          <w:noProof/>
          <w:sz w:val="24"/>
          <w:szCs w:val="24"/>
        </w:rPr>
      </w:pPr>
      <w:r>
        <w:rPr>
          <w:rFonts w:ascii="Times New Roman" w:hAnsi="Times New Roman"/>
          <w:noProof/>
          <w:sz w:val="24"/>
        </w:rPr>
        <w:t>В рамките на ЕС Платформата за солидарност ще подкрепя координацията на прехвърлянето на непридружени деца към грижи, предлагани в семейството и общността, според необходимостта.</w:t>
      </w:r>
    </w:p>
    <w:p w14:paraId="29878ADD" w14:textId="0BC97BEC" w:rsidR="008155FF" w:rsidRPr="00F96BDE" w:rsidRDefault="00F12121" w:rsidP="00E917B0">
      <w:pPr>
        <w:pStyle w:val="ListParagraph"/>
        <w:numPr>
          <w:ilvl w:val="0"/>
          <w:numId w:val="9"/>
        </w:numPr>
        <w:spacing w:after="120"/>
        <w:jc w:val="both"/>
        <w:rPr>
          <w:rFonts w:ascii="Times New Roman" w:hAnsi="Times New Roman" w:cs="Times New Roman"/>
          <w:iCs/>
          <w:noProof/>
          <w:sz w:val="24"/>
          <w:szCs w:val="24"/>
        </w:rPr>
      </w:pPr>
      <w:r>
        <w:rPr>
          <w:rFonts w:ascii="Times New Roman" w:hAnsi="Times New Roman"/>
          <w:noProof/>
          <w:sz w:val="24"/>
        </w:rPr>
        <w:t>Комисията ще работи с украинските и полските органи и съответните заинтересовани страни по проект</w:t>
      </w:r>
      <w:r>
        <w:rPr>
          <w:rFonts w:ascii="Times New Roman" w:hAnsi="Times New Roman"/>
          <w:noProof/>
        </w:rPr>
        <w:t xml:space="preserve"> </w:t>
      </w:r>
      <w:r>
        <w:rPr>
          <w:rFonts w:ascii="Times New Roman" w:hAnsi="Times New Roman"/>
          <w:noProof/>
          <w:sz w:val="24"/>
        </w:rPr>
        <w:t xml:space="preserve">в детско заведение в Полша, в което са настанени голям брой украински деца, като пилотен проект за реформата за деинституционализация в Украйна. </w:t>
      </w:r>
    </w:p>
    <w:p w14:paraId="65D7923E" w14:textId="65127C72" w:rsidR="00C66C2A" w:rsidRPr="00F96BDE" w:rsidRDefault="008155FF" w:rsidP="004967A1">
      <w:pPr>
        <w:pStyle w:val="ListParagraph"/>
        <w:numPr>
          <w:ilvl w:val="0"/>
          <w:numId w:val="9"/>
        </w:numPr>
        <w:spacing w:after="240"/>
        <w:contextualSpacing w:val="0"/>
        <w:jc w:val="both"/>
        <w:rPr>
          <w:rFonts w:ascii="Times New Roman" w:hAnsi="Times New Roman" w:cs="Times New Roman"/>
          <w:iCs/>
          <w:noProof/>
          <w:sz w:val="24"/>
          <w:szCs w:val="24"/>
        </w:rPr>
      </w:pPr>
      <w:r>
        <w:rPr>
          <w:rFonts w:ascii="Times New Roman" w:hAnsi="Times New Roman"/>
          <w:noProof/>
          <w:sz w:val="24"/>
        </w:rPr>
        <w:t>Комисията ще актуализира съществуващите насоки за държавите членки, за да се осигури регистрацията на децата, които пристигат в ЕС, придружени от своите украински настойници, така че да се гарантира ангажирането на националните служби за закрила на детето.</w:t>
      </w:r>
    </w:p>
    <w:p w14:paraId="12C24297" w14:textId="494DC133" w:rsidR="00783D49" w:rsidRPr="00F96BDE" w:rsidRDefault="00783D49" w:rsidP="004967A1">
      <w:pPr>
        <w:pStyle w:val="ListParagraph"/>
        <w:keepNext/>
        <w:numPr>
          <w:ilvl w:val="1"/>
          <w:numId w:val="1"/>
        </w:numPr>
        <w:spacing w:before="240" w:after="120" w:line="240" w:lineRule="auto"/>
        <w:contextualSpacing w:val="0"/>
        <w:jc w:val="both"/>
        <w:rPr>
          <w:rFonts w:ascii="Times New Roman" w:hAnsi="Times New Roman" w:cs="Times New Roman"/>
          <w:b/>
          <w:bCs/>
          <w:iCs/>
          <w:noProof/>
          <w:sz w:val="24"/>
          <w:szCs w:val="24"/>
        </w:rPr>
      </w:pPr>
      <w:r>
        <w:rPr>
          <w:rFonts w:ascii="Times New Roman" w:hAnsi="Times New Roman"/>
          <w:b/>
          <w:noProof/>
          <w:sz w:val="24"/>
        </w:rPr>
        <w:t>Справяне с рисковете от трафик на хора и подкрепа за жертвите на военни престъпления</w:t>
      </w:r>
    </w:p>
    <w:p w14:paraId="418167F5" w14:textId="5D605645" w:rsidR="00783D49" w:rsidRPr="00F96BDE" w:rsidRDefault="000C4B91" w:rsidP="00783D49">
      <w:pPr>
        <w:shd w:val="clear" w:color="auto" w:fill="FFFFFF"/>
        <w:spacing w:after="120"/>
        <w:jc w:val="both"/>
        <w:rPr>
          <w:iCs/>
          <w:noProof/>
        </w:rPr>
      </w:pPr>
      <w:r>
        <w:rPr>
          <w:noProof/>
        </w:rPr>
        <w:t>Комисията, държавите членки и съответните агенции на ЕС въведоха своевременни дейности за повишаване на осведомеността и превантивни дейности. Понастоящем броят на потвърдените случаи на трафик на хора, свързани с разселени лица от Украйна, е малък</w:t>
      </w:r>
      <w:r>
        <w:rPr>
          <w:rStyle w:val="FootnoteReference"/>
          <w:noProof/>
        </w:rPr>
        <w:footnoteReference w:id="29"/>
      </w:r>
      <w:r>
        <w:rPr>
          <w:noProof/>
        </w:rPr>
        <w:t>. Независимо от това, рискът от трафик на хора, по-специално на жени и деца, ще остане висок, като може да се получи изостряне, ако икономическото положение на някои разселени лица се влоши, което да доведе до увеличаване на тяхната уязвимост</w:t>
      </w:r>
      <w:r>
        <w:rPr>
          <w:rStyle w:val="FootnoteReference"/>
          <w:iCs/>
          <w:noProof/>
        </w:rPr>
        <w:footnoteReference w:id="30"/>
      </w:r>
      <w:r>
        <w:rPr>
          <w:noProof/>
        </w:rPr>
        <w:t xml:space="preserve">. </w:t>
      </w:r>
    </w:p>
    <w:p w14:paraId="037C3CF3" w14:textId="61F46CD5" w:rsidR="00AA3892" w:rsidRPr="00F96BDE" w:rsidRDefault="00783D49" w:rsidP="00783D49">
      <w:pPr>
        <w:shd w:val="clear" w:color="auto" w:fill="FFFFFF"/>
        <w:spacing w:after="120"/>
        <w:jc w:val="both"/>
        <w:rPr>
          <w:iCs/>
          <w:noProof/>
        </w:rPr>
      </w:pPr>
      <w:r>
        <w:rPr>
          <w:noProof/>
        </w:rPr>
        <w:t>На 11 май 2022 г. Платформата за солидарност одобри специален общ план за борба с трафика на хора</w:t>
      </w:r>
      <w:r>
        <w:rPr>
          <w:rStyle w:val="FootnoteReference"/>
          <w:iCs/>
          <w:noProof/>
        </w:rPr>
        <w:footnoteReference w:id="31"/>
      </w:r>
      <w:r>
        <w:rPr>
          <w:noProof/>
        </w:rPr>
        <w:t>, разработен и изпълняван под ръководството на координатора на ЕС за борба с трафика на хора. Планът преследва пет цели: 1) засилено повишаване на осведомеността; 2) укрепване на превенцията; 3) засилване на правоприлагащите и съдебните ответни действия; 4) подобряване на ранното идентифициране, подкрепата и защитата на жертвите; 5) справяне с рисковете от трафик на хора в държави извън ЕС, по-специално Украйна и Република Молдова. Действията и препоръките, определени в плана, допълват Директивата за временната закрила, която значително допринесе за намаляването на уязвимостта на лицата, бягащи от руската агресия срещу Украйна, по отношение на трафика на хора. Комисията докладва за изпълнението на плана в четвъртия доклад за напредъка в борбата с трафика на хора, приет на 19 декември 2022 г.</w:t>
      </w:r>
      <w:r>
        <w:rPr>
          <w:rStyle w:val="FootnoteReference"/>
          <w:iCs/>
          <w:noProof/>
        </w:rPr>
        <w:footnoteReference w:id="32"/>
      </w:r>
      <w:r>
        <w:rPr>
          <w:noProof/>
        </w:rPr>
        <w:t xml:space="preserve"> </w:t>
      </w:r>
    </w:p>
    <w:p w14:paraId="1C7DF853" w14:textId="32600413" w:rsidR="00783D49" w:rsidRPr="00F96BDE" w:rsidRDefault="00AA3892" w:rsidP="00783D49">
      <w:pPr>
        <w:shd w:val="clear" w:color="auto" w:fill="FFFFFF"/>
        <w:spacing w:after="120"/>
        <w:jc w:val="both"/>
        <w:rPr>
          <w:iCs/>
          <w:noProof/>
        </w:rPr>
      </w:pPr>
      <w:r>
        <w:rPr>
          <w:noProof/>
        </w:rPr>
        <w:t>Всички действия са завършени или са в процес на изпълнение. Координаторът на ЕС за борба с трафика на хора продължава да наблюдава изпълнението на плана в тясно сътрудничество с националните докладчици и еквивалентни механизми</w:t>
      </w:r>
      <w:r>
        <w:rPr>
          <w:rStyle w:val="FootnoteReference"/>
          <w:noProof/>
        </w:rPr>
        <w:footnoteReference w:id="33"/>
      </w:r>
      <w:r>
        <w:rPr>
          <w:noProof/>
        </w:rPr>
        <w:t>, Платформата на гражданското общество на ЕС за борба с трафика на хора и агенциите на ЕС.</w:t>
      </w:r>
    </w:p>
    <w:p w14:paraId="032BB122" w14:textId="77777777" w:rsidR="00DB6849" w:rsidRPr="00F96BDE" w:rsidRDefault="00DB6849" w:rsidP="00DB6849">
      <w:pPr>
        <w:shd w:val="clear" w:color="auto" w:fill="FFFFFF"/>
        <w:spacing w:after="120"/>
        <w:jc w:val="both"/>
        <w:rPr>
          <w:noProof/>
        </w:rPr>
      </w:pPr>
      <w:r>
        <w:rPr>
          <w:noProof/>
        </w:rPr>
        <w:t xml:space="preserve">Като част от координирания подход се предприемат действия за борба с трафика на разселени лица от Украйна в рамките на Европейската мултидисциплинарна платформа за борба с криминални заплахи (EMPACT), в която участват правоприлагащи и съдебни органи, както и инспекции по труда. Държавите членки и агенциите на ЕС обучават съответните заинтересовани страни да откриват признаците за трафик на хора. </w:t>
      </w:r>
    </w:p>
    <w:p w14:paraId="3E370712" w14:textId="02CEAC52" w:rsidR="00DB6849" w:rsidRPr="00F96BDE" w:rsidRDefault="00DB6849" w:rsidP="00DB6849">
      <w:pPr>
        <w:shd w:val="clear" w:color="auto" w:fill="FFFFFF"/>
        <w:spacing w:after="120"/>
        <w:jc w:val="both"/>
        <w:rPr>
          <w:noProof/>
        </w:rPr>
      </w:pPr>
      <w:r>
        <w:rPr>
          <w:noProof/>
        </w:rPr>
        <w:t xml:space="preserve">Европол, в сътрудничество с държавите членки, продължава да наблюдава ситуацията чрез информацията, която получава чрез SIENA. Държавите членки се насърчават да продължат да обменят с Европол информация за възможни случаи на трафик. </w:t>
      </w:r>
    </w:p>
    <w:p w14:paraId="48D304F1" w14:textId="77777777" w:rsidR="00D40B42" w:rsidRPr="00F96BDE" w:rsidRDefault="00510A73" w:rsidP="00972CC8">
      <w:pPr>
        <w:shd w:val="clear" w:color="auto" w:fill="FFFFFF"/>
        <w:spacing w:after="240"/>
        <w:jc w:val="both"/>
        <w:rPr>
          <w:noProof/>
        </w:rPr>
      </w:pPr>
      <w:r>
        <w:rPr>
          <w:noProof/>
        </w:rPr>
        <w:t xml:space="preserve">Освен това Европейският орган по труда организира срещи с националните правоприлагащи органи и органи по труда и социалните партньори за преодоляване на уязвимостта и рисковете, свързани с недекларирания труд и експлоатацията на труда, като част от подгрупата на Европейската платформа за противодействие на недекларирания труд сред разселените лица от Украйна. </w:t>
      </w:r>
    </w:p>
    <w:p w14:paraId="01245F4D" w14:textId="77777777" w:rsidR="00E34FA6" w:rsidRDefault="00B54964" w:rsidP="004967A1">
      <w:pPr>
        <w:spacing w:before="120" w:after="120"/>
        <w:jc w:val="both"/>
        <w:rPr>
          <w:noProof/>
        </w:rPr>
      </w:pPr>
      <w:r>
        <w:rPr>
          <w:noProof/>
        </w:rPr>
        <w:t>Успоредно с тези усилия Комисията работи, за да гарантира, че разселените лица от Украйна, които са жертви на военни престъпления, получават подкрепа и закрила в ЕС, както е предвидено в Директивата за правата на жертвите</w:t>
      </w:r>
      <w:r>
        <w:rPr>
          <w:rStyle w:val="FootnoteReference"/>
          <w:noProof/>
        </w:rPr>
        <w:footnoteReference w:id="34"/>
      </w:r>
      <w:r>
        <w:rPr>
          <w:noProof/>
        </w:rPr>
        <w:t>. В рамките на платформата на ЕС за правата на жертвите Комисията работи в тясно сътрудничество с органи и агенции на ЕС, като например Евроюст, и с неправителствени организации, които имат отношение към правата на жертвите, за да се гарантира, че правата на жертвите на военни престъпления биват отчитани. На 21 септември 2022 г. Евроюст и прокуратурата на МНС съвместно публикуваха насоки за организациите на гражданското общество относно документирането на международни престъпления и нарушения на правата на човека за целите на търсенето на отговорност</w:t>
      </w:r>
      <w:r>
        <w:rPr>
          <w:rStyle w:val="FootnoteReference"/>
          <w:noProof/>
        </w:rPr>
        <w:footnoteReference w:id="35"/>
      </w:r>
      <w:r>
        <w:rPr>
          <w:noProof/>
        </w:rPr>
        <w:t xml:space="preserve">. В контекста на текущите разследвания в държавите — членки на ЕС, е особено важно да се гарантира, че жертвите могат да се ползват изцяло от правата си. </w:t>
      </w:r>
    </w:p>
    <w:p w14:paraId="4D53F86F" w14:textId="22B980E1" w:rsidR="005514BD" w:rsidRPr="00F96BDE" w:rsidRDefault="005514BD" w:rsidP="004967A1">
      <w:pPr>
        <w:spacing w:before="120" w:after="120"/>
        <w:jc w:val="both"/>
        <w:rPr>
          <w:b/>
          <w:bCs/>
          <w:iCs/>
          <w:noProof/>
        </w:rPr>
      </w:pPr>
      <w:r>
        <w:rPr>
          <w:b/>
          <w:noProof/>
        </w:rPr>
        <w:t>Следващи стъпки:</w:t>
      </w:r>
    </w:p>
    <w:p w14:paraId="49A9BE6E" w14:textId="6E612009" w:rsidR="005514BD" w:rsidRPr="00F96BDE" w:rsidRDefault="005514BD" w:rsidP="005514BD">
      <w:pPr>
        <w:pStyle w:val="ListParagraph"/>
        <w:numPr>
          <w:ilvl w:val="0"/>
          <w:numId w:val="9"/>
        </w:numPr>
        <w:spacing w:after="120"/>
        <w:jc w:val="both"/>
        <w:rPr>
          <w:rFonts w:ascii="Times New Roman" w:hAnsi="Times New Roman" w:cs="Times New Roman"/>
          <w:iCs/>
          <w:noProof/>
          <w:sz w:val="24"/>
          <w:szCs w:val="24"/>
        </w:rPr>
      </w:pPr>
      <w:r>
        <w:rPr>
          <w:rFonts w:ascii="Times New Roman" w:hAnsi="Times New Roman"/>
          <w:noProof/>
          <w:sz w:val="24"/>
        </w:rPr>
        <w:t>Координаторът на ЕС за борба с трафика на хора ще продължи да наблюдава изпълнението на общия план за борба с трафика и да го актуализира по целесъобразност.</w:t>
      </w:r>
    </w:p>
    <w:p w14:paraId="0FFB50DD" w14:textId="53DA7C9E" w:rsidR="005514BD" w:rsidRPr="00F96BDE" w:rsidRDefault="005514BD" w:rsidP="005514BD">
      <w:pPr>
        <w:pStyle w:val="ListParagraph"/>
        <w:numPr>
          <w:ilvl w:val="0"/>
          <w:numId w:val="9"/>
        </w:numPr>
        <w:spacing w:after="120"/>
        <w:jc w:val="both"/>
        <w:rPr>
          <w:rFonts w:ascii="Times New Roman" w:hAnsi="Times New Roman" w:cs="Times New Roman"/>
          <w:iCs/>
          <w:noProof/>
          <w:sz w:val="24"/>
          <w:szCs w:val="24"/>
        </w:rPr>
      </w:pPr>
      <w:r>
        <w:rPr>
          <w:rFonts w:ascii="Times New Roman" w:hAnsi="Times New Roman"/>
          <w:noProof/>
          <w:sz w:val="24"/>
        </w:rPr>
        <w:t>Държавите членки се приканват да споделят с Европол информация относно случаите на трафик, за да се постигне максимално въздействие на координирания подход.</w:t>
      </w:r>
    </w:p>
    <w:p w14:paraId="3759EC07" w14:textId="21B7F8AD" w:rsidR="005514BD" w:rsidRPr="00F96BDE" w:rsidRDefault="005514BD" w:rsidP="005514BD">
      <w:pPr>
        <w:pStyle w:val="ListParagraph"/>
        <w:numPr>
          <w:ilvl w:val="0"/>
          <w:numId w:val="9"/>
        </w:numPr>
        <w:shd w:val="clear" w:color="auto" w:fill="FFFFFF"/>
        <w:spacing w:after="120"/>
        <w:jc w:val="both"/>
        <w:rPr>
          <w:noProof/>
        </w:rPr>
      </w:pPr>
      <w:r>
        <w:rPr>
          <w:rFonts w:ascii="Times New Roman" w:hAnsi="Times New Roman"/>
          <w:noProof/>
          <w:sz w:val="24"/>
        </w:rPr>
        <w:t>Европейският орган по труда ще продължи да ангажира ключови заинтересовани страни като част от специалната група по въпросите на недекларирания труд сред разселените поради войната срещу Украйна и ще представи констатациите си на Платформата за солидарност.</w:t>
      </w:r>
    </w:p>
    <w:p w14:paraId="16E8509C" w14:textId="4DB56FF9" w:rsidR="00783D49" w:rsidRPr="00F96BDE" w:rsidRDefault="00783D49" w:rsidP="004967A1">
      <w:pPr>
        <w:pStyle w:val="ListParagraph"/>
        <w:keepNext/>
        <w:numPr>
          <w:ilvl w:val="1"/>
          <w:numId w:val="1"/>
        </w:numPr>
        <w:spacing w:before="360" w:after="120" w:line="240" w:lineRule="auto"/>
        <w:contextualSpacing w:val="0"/>
        <w:jc w:val="both"/>
        <w:rPr>
          <w:rFonts w:ascii="Times New Roman" w:hAnsi="Times New Roman" w:cs="Times New Roman"/>
          <w:b/>
          <w:bCs/>
          <w:iCs/>
          <w:noProof/>
          <w:sz w:val="24"/>
          <w:szCs w:val="24"/>
        </w:rPr>
      </w:pPr>
      <w:r>
        <w:rPr>
          <w:rFonts w:ascii="Times New Roman" w:hAnsi="Times New Roman"/>
          <w:b/>
          <w:noProof/>
          <w:sz w:val="24"/>
        </w:rPr>
        <w:t>Достъп до образование и професионална подготовка</w:t>
      </w:r>
    </w:p>
    <w:p w14:paraId="1AD22029" w14:textId="5A4D3B91" w:rsidR="00AA3892" w:rsidRPr="00F96BDE" w:rsidRDefault="00783D49" w:rsidP="00AA3892">
      <w:pPr>
        <w:spacing w:after="120"/>
        <w:jc w:val="both"/>
        <w:rPr>
          <w:iCs/>
          <w:noProof/>
        </w:rPr>
      </w:pPr>
      <w:r>
        <w:rPr>
          <w:noProof/>
        </w:rPr>
        <w:t xml:space="preserve">Образованието е абсолютно необходимо за приобщаването и спомага за подобряване на социалното и емоционалното благосъстояние на децата, разселени вследствие на руската агресия, като много от тях вече са преживели прекъснато училищно образование в резултат на пандемията от COVID-19. </w:t>
      </w:r>
    </w:p>
    <w:p w14:paraId="0876B669" w14:textId="22490EE0" w:rsidR="00AA3892" w:rsidRPr="00F96BDE" w:rsidRDefault="00AA3892" w:rsidP="00AA3892">
      <w:pPr>
        <w:spacing w:after="120"/>
        <w:jc w:val="both"/>
        <w:rPr>
          <w:noProof/>
        </w:rPr>
      </w:pPr>
      <w:r>
        <w:rPr>
          <w:noProof/>
        </w:rPr>
        <w:t>Съгласно Директивата за временната закрила държавите членки следва да предоставят на лица под 18-годишна възраст достъп до образователната система при същите условия като на гражданите на приемащата държава членка. Те могат също така да предоставят на пълнолетни лица, ползващи се с временна закрила, достъп до общообразователната система.</w:t>
      </w:r>
    </w:p>
    <w:p w14:paraId="3BA65E1C" w14:textId="408A3BA2" w:rsidR="00456BC2" w:rsidRPr="00F96BDE" w:rsidRDefault="00C206D8" w:rsidP="00783D49">
      <w:pPr>
        <w:spacing w:after="120"/>
        <w:jc w:val="both"/>
        <w:rPr>
          <w:noProof/>
        </w:rPr>
      </w:pPr>
      <w:r>
        <w:rPr>
          <w:noProof/>
        </w:rPr>
        <w:t>Държавите — членки на ЕС, положиха значителни усилия за бързото включване на разселените деца от Украйна в своите образователни системи — от образованието и грижите в ранна детска възраст до висшето образование</w:t>
      </w:r>
      <w:r>
        <w:rPr>
          <w:rStyle w:val="FootnoteReference"/>
          <w:iCs/>
          <w:noProof/>
        </w:rPr>
        <w:footnoteReference w:id="36"/>
      </w:r>
      <w:r>
        <w:rPr>
          <w:noProof/>
        </w:rPr>
        <w:t>. Въпреки това, в началото на учебната 2022/2023 година само половин милион украински деца бяха записани в образователните системи в целия ЕС</w:t>
      </w:r>
      <w:r>
        <w:rPr>
          <w:rStyle w:val="FootnoteReference"/>
          <w:noProof/>
        </w:rPr>
        <w:footnoteReference w:id="37"/>
      </w:r>
      <w:r>
        <w:rPr>
          <w:noProof/>
        </w:rPr>
        <w:t>. Нещо повече, в населените места, където броят на разселените деца е особено голям, укрепването на основната образователна инфраструктура продължава да бъде необходимост, наред с необходимостта от набиране и обучение на учители, обучители и лица, полагащи грижи. Допълнителната езикова и психосоциална подкрепа се оказва критично важна и следва да бъде засилена, когато не е налична в достатъчна степен, за да се поддържа процентът на записаните лица и да се отговори на възникващите предизвикателства.</w:t>
      </w:r>
    </w:p>
    <w:p w14:paraId="1BC1C890" w14:textId="66AA83D6" w:rsidR="004C5A6A" w:rsidRPr="00F96BDE" w:rsidRDefault="00783D49" w:rsidP="00783D49">
      <w:pPr>
        <w:spacing w:after="120"/>
        <w:jc w:val="both"/>
        <w:rPr>
          <w:noProof/>
        </w:rPr>
      </w:pPr>
      <w:r>
        <w:rPr>
          <w:noProof/>
        </w:rPr>
        <w:t xml:space="preserve">Тъй като агресията на Русия продължава, записването в системата на образованието е от решаващо значение, за да се помогне на всички деца, разселени от Украйна, включително децата с увреждания, да достигнат пълния си потенциал и да положат основите за бъдещето си. За деца в близка до зряла възраст това може също така да улесни тяхното по-късно включване на пазара на труда. Образованието, получено в ЕС, ще бъде от значение и за последващото възстановяване и изграждане на Украйна. </w:t>
      </w:r>
    </w:p>
    <w:p w14:paraId="1B6750E4" w14:textId="17ACA409" w:rsidR="00C206D8" w:rsidRPr="00F96BDE" w:rsidRDefault="00783D49" w:rsidP="00C206D8">
      <w:pPr>
        <w:spacing w:after="120"/>
        <w:jc w:val="both"/>
        <w:rPr>
          <w:iCs/>
          <w:noProof/>
        </w:rPr>
      </w:pPr>
      <w:r>
        <w:rPr>
          <w:noProof/>
        </w:rPr>
        <w:t>За да се улесни преходът и едновременно с това да се даде възможност на децата да поддържат връзката си с украинската култура и език, някои държави членки наеха украински учители за подкрепа в училищата, добавиха украински учебници в училищата и библиотеките и предоставиха специални информационни материали за украинските родители. Освен това в някои случаи украинските органи работиха с училищата и образователните органи в държавите членки, за да гарантират, че украинската учебна програма, използването на онлайн ресурси и включването в ново училище в приемащата държава могат да се допълват взаимно</w:t>
      </w:r>
      <w:r>
        <w:rPr>
          <w:rStyle w:val="FootnoteReference"/>
          <w:noProof/>
        </w:rPr>
        <w:footnoteReference w:id="38"/>
      </w:r>
      <w:r>
        <w:rPr>
          <w:noProof/>
        </w:rPr>
        <w:t xml:space="preserve">. На Европейската среща на върха по въпросите на образованието на 1 декември 2022 г. беше обявена подкрепа за публикуването на украински учебници. </w:t>
      </w:r>
    </w:p>
    <w:p w14:paraId="7934F19A" w14:textId="618B4870" w:rsidR="00110CA3" w:rsidRPr="00F96BDE" w:rsidRDefault="00110CA3" w:rsidP="00110CA3">
      <w:pPr>
        <w:spacing w:after="120"/>
        <w:jc w:val="both"/>
        <w:rPr>
          <w:iCs/>
          <w:noProof/>
        </w:rPr>
      </w:pPr>
      <w:r>
        <w:rPr>
          <w:noProof/>
        </w:rPr>
        <w:t>Обсъжданията относно условията за признаване на периодите на обучение в приемно училище след завръщането им в Украйна са от решаващо значение в това отношение. Тези договорености за признаване спомагат за осигуряване на непрекъснатост на образованието и признаване на постиженията и квалификациите и могат да помогнат на родителите и децата да избегнат чувството, че трябва да избират между приобщаване в приемащата държава и продължаване на образованието при завръщането им в Украйна. Освен това в практическото ръководство на Комисията от юни 2022 г. за включване на разселените деца от Украйна в образователните системи на държавите членки са обобщени най-добрите практики на ранен етап по отношение на всички аспекти на приобщаването в училищата</w:t>
      </w:r>
      <w:r>
        <w:rPr>
          <w:iCs/>
          <w:noProof/>
          <w:vertAlign w:val="superscript"/>
        </w:rPr>
        <w:footnoteReference w:id="39"/>
      </w:r>
      <w:r>
        <w:rPr>
          <w:noProof/>
        </w:rPr>
        <w:t>. Сега е важно държавите членки да доразгърнат тези усилия и да се справят с предизвикателствата във всички съответни аспекти, например чрез подкрепа за училищата и образователния персонал за включване на разселените деца, целенасочени дейности, свързани с психосоциална подкрепа и усвояването на езици, ангажиране с разселените семейства и общности или подпомагане на разселените деца да поддържат връзката си с Украйна.</w:t>
      </w:r>
    </w:p>
    <w:p w14:paraId="53327C0B" w14:textId="35B1D92F" w:rsidR="005E2510" w:rsidRPr="00F96BDE" w:rsidRDefault="00C027D8" w:rsidP="005E2510">
      <w:pPr>
        <w:spacing w:after="120"/>
        <w:jc w:val="both"/>
        <w:rPr>
          <w:iCs/>
          <w:noProof/>
        </w:rPr>
      </w:pPr>
      <w:r>
        <w:rPr>
          <w:noProof/>
        </w:rPr>
        <w:t xml:space="preserve">За да подкрепи усилията на държавите членки, и по-специално на учителите, ЕС предоставя ресурси и информация за образованието и обучението, предназначена за разселени родители, ученици, училища и учители, както и за заинтересовани страни и организации, ангажирани с полагането на усилия за солидарност в държавите — членки на ЕС. Европейският социален фонд+ (ЕСФ+) предостави значителни ресурси за обучението на учителите, като увеличи достъпността на образованието и осигури програми за адаптиране за децата. Те са достъпни на портала на европейското пространство за образование и на </w:t>
      </w:r>
      <w:r>
        <w:rPr>
          <w:b/>
          <w:noProof/>
        </w:rPr>
        <w:t>Европейската платформа за училищно образование</w:t>
      </w:r>
      <w:r>
        <w:rPr>
          <w:rStyle w:val="FootnoteReference"/>
          <w:b/>
          <w:bCs/>
          <w:iCs/>
          <w:noProof/>
        </w:rPr>
        <w:footnoteReference w:id="40"/>
      </w:r>
      <w:r>
        <w:rPr>
          <w:noProof/>
        </w:rPr>
        <w:t xml:space="preserve">, която е приемник на </w:t>
      </w:r>
      <w:r>
        <w:rPr>
          <w:b/>
          <w:noProof/>
        </w:rPr>
        <w:t>портала за училищно образование</w:t>
      </w:r>
      <w:r>
        <w:rPr>
          <w:rStyle w:val="FootnoteReference"/>
          <w:bCs/>
          <w:iCs/>
          <w:noProof/>
        </w:rPr>
        <w:footnoteReference w:id="41"/>
      </w:r>
      <w:r>
        <w:rPr>
          <w:noProof/>
        </w:rPr>
        <w:t xml:space="preserve"> и е новият дом на eTwinning.</w:t>
      </w:r>
    </w:p>
    <w:p w14:paraId="0997999C" w14:textId="7FEB9448" w:rsidR="00C027D8" w:rsidRPr="00F96BDE" w:rsidRDefault="00C027D8" w:rsidP="005E2510">
      <w:pPr>
        <w:spacing w:after="120"/>
        <w:jc w:val="both"/>
        <w:rPr>
          <w:noProof/>
        </w:rPr>
      </w:pPr>
      <w:r>
        <w:rPr>
          <w:noProof/>
        </w:rPr>
        <w:t xml:space="preserve">Онлайн </w:t>
      </w:r>
      <w:r>
        <w:rPr>
          <w:b/>
          <w:noProof/>
        </w:rPr>
        <w:t>платформата за европейско училищно образование</w:t>
      </w:r>
      <w:r>
        <w:rPr>
          <w:noProof/>
        </w:rPr>
        <w:t xml:space="preserve"> обслужва учители, училищни ръководители, изследователи, специалисти по подготовка на учители, създатели на политики и други специалисти, работещи в областта на училищното образование, включително образованието и грижите в ранна детска възраст, както и професионалното образование и обучение (ПОО). В подкрепа на приобщаването на разселените деца от Украйна Комисията откри специална уебстраница, предлагаща широк набор от различни ресурси за заинтересованите страни в областта на образованието</w:t>
      </w:r>
      <w:r>
        <w:rPr>
          <w:rStyle w:val="FootnoteReference"/>
          <w:noProof/>
        </w:rPr>
        <w:footnoteReference w:id="42"/>
      </w:r>
      <w:r>
        <w:rPr>
          <w:noProof/>
        </w:rPr>
        <w:t xml:space="preserve">. Платформата включва и поредица от безплатни онлайн курсове за професионално развитие по теми, свързани с образованието на бежанците. Платформата на онлайн общността за учители и училищен персонал </w:t>
      </w:r>
      <w:r>
        <w:rPr>
          <w:b/>
          <w:noProof/>
        </w:rPr>
        <w:t>eTwinning</w:t>
      </w:r>
      <w:r>
        <w:rPr>
          <w:noProof/>
        </w:rPr>
        <w:t xml:space="preserve"> създаде специални дискусионни групи за партньорска подкрепа за учители (и техните ученици) в Украйна и/или съседните държави и за подкрепа на европейските учители за насърчаване на приобщаването и многообразието в класната стая. Всички разселени учители от Украйна, които установяват връзка с училище в приемащата държава, могат да получат пълен достъп до общността eTwinning и да стартират свои собствени специфични проекти. </w:t>
      </w:r>
    </w:p>
    <w:p w14:paraId="178A14DF" w14:textId="5594EB19" w:rsidR="001E2845" w:rsidRPr="00F96BDE" w:rsidRDefault="001E2845" w:rsidP="00C027D8">
      <w:pPr>
        <w:spacing w:after="120"/>
        <w:jc w:val="both"/>
        <w:rPr>
          <w:iCs/>
          <w:noProof/>
        </w:rPr>
      </w:pPr>
      <w:r>
        <w:rPr>
          <w:noProof/>
        </w:rPr>
        <w:t xml:space="preserve">Комисията също така </w:t>
      </w:r>
      <w:r>
        <w:rPr>
          <w:b/>
          <w:noProof/>
        </w:rPr>
        <w:t>мобилизира програмата „Еразъм+“</w:t>
      </w:r>
      <w:r>
        <w:rPr>
          <w:noProof/>
        </w:rPr>
        <w:t>, за да могат студентите, които учат в украинско висше училище на всяка степен на обучение — от кратък цикъл на обучение, бакалавърска и магистърска степен до докторска степен — да могат да получат безвъзмездни средства за обучение за срок до 12 месеца в приемащите ги висши училища в държава — членка на ЕС, или в трета държава, асоциирана към програмата „Еразъм+“. Студенти и наскоро завършили висшисти от украински висши училища също могат да проведат стаж, финансиран по програма „Еразъм+“. Служителите от украинските висши училища също могат да получават безвъзмездни средства по програма „Еразъм+“ за кратък период от време. В допълнение към действията за мобилност на студенти и учебен персонал проектите за изграждане на капацитет в областта на висшето образование и професионалното образование и обучение, както и съвместните магистърски програми „Еразмус Мундус“ ще продължат да бъдат отворени за студенти, персонал и образователни институции от Украйна. Освен това могат да се представят предложения за проекти за партньорство за сътрудничество в подкрепа на висшите училища в Украйна.</w:t>
      </w:r>
    </w:p>
    <w:p w14:paraId="42742CA7" w14:textId="64698DEB" w:rsidR="00C34C91" w:rsidRPr="00F96BDE" w:rsidRDefault="001E2845" w:rsidP="00DE47BA">
      <w:pPr>
        <w:spacing w:after="120"/>
        <w:jc w:val="both"/>
        <w:rPr>
          <w:iCs/>
          <w:noProof/>
        </w:rPr>
      </w:pPr>
      <w:r>
        <w:rPr>
          <w:noProof/>
        </w:rPr>
        <w:t xml:space="preserve">Новата </w:t>
      </w:r>
      <w:r>
        <w:rPr>
          <w:b/>
          <w:noProof/>
        </w:rPr>
        <w:t>платформа за онлайн езикова подкрепа на „Еразъм+“</w:t>
      </w:r>
      <w:r>
        <w:rPr>
          <w:noProof/>
        </w:rPr>
        <w:t xml:space="preserve"> помага на студенти, учащи, преподавателски състав, университетски преподаватели и обучители, които участват в проекти по „Еразъм +“, да придобият езикови умения.</w:t>
      </w:r>
    </w:p>
    <w:p w14:paraId="31FD342A" w14:textId="076DB5C5" w:rsidR="001E2845" w:rsidRPr="00F96BDE" w:rsidRDefault="00C34C91" w:rsidP="00783D49">
      <w:pPr>
        <w:widowControl w:val="0"/>
        <w:spacing w:after="120"/>
        <w:jc w:val="both"/>
        <w:rPr>
          <w:noProof/>
        </w:rPr>
      </w:pPr>
      <w:r>
        <w:rPr>
          <w:noProof/>
        </w:rPr>
        <w:t>Достъпът до образование и професионално обучение е важен и за възрастните, които трябва да завършат програми за обучение, инициирани в Украйна, или да допълнят съществуващите си квалификации и учене, за да получат достъп до работа, съответстваща на профила им. В насоките на ЕС „Подпомагане на хората, бягащи от руската агресия, за достъп до пазара на труда, професионалното образование и обучение и ученето за възрастни“ държавите членки се призовават да предоставят целенасочени възможности за повишаване на квалификацията и преквалификация, професионално образование и обучение или практически опит на работното място, включително езиково обучение</w:t>
      </w:r>
      <w:r>
        <w:rPr>
          <w:rStyle w:val="FootnoteReference"/>
          <w:noProof/>
        </w:rPr>
        <w:footnoteReference w:id="43"/>
      </w:r>
      <w:r>
        <w:rPr>
          <w:noProof/>
        </w:rPr>
        <w:t>.</w:t>
      </w:r>
    </w:p>
    <w:p w14:paraId="3A22B7A2" w14:textId="0529B37A" w:rsidR="0097561B" w:rsidRPr="00F96BDE" w:rsidRDefault="0097561B" w:rsidP="00783D49">
      <w:pPr>
        <w:widowControl w:val="0"/>
        <w:spacing w:after="120"/>
        <w:jc w:val="both"/>
        <w:rPr>
          <w:noProof/>
        </w:rPr>
      </w:pPr>
      <w:r>
        <w:rPr>
          <w:noProof/>
        </w:rPr>
        <w:t>Комисията ще продължи да подкрепя държавите членки при предоставянето на достъп до образование за украинските ученици и студенти и преодоляването на съществуващите предизвикателства, като същевременно укрепва контактите с украинските органи, включително чрез групата на ЕС за солидарност с Украйна в областта на образованието, която вече подкрепя обмена на информация и опит между държавите членки по всички въпроси, свързани с подкрепата за разселените лица от Украйна по отношение на образованието.</w:t>
      </w:r>
    </w:p>
    <w:p w14:paraId="496834D4" w14:textId="44DBFB3D" w:rsidR="009A7724" w:rsidRPr="00F96BDE" w:rsidRDefault="00972CC8" w:rsidP="00972CC8">
      <w:pPr>
        <w:jc w:val="both"/>
        <w:rPr>
          <w:bCs/>
          <w:noProof/>
          <w:sz w:val="22"/>
          <w:szCs w:val="22"/>
        </w:rPr>
      </w:pPr>
      <w:r>
        <w:rPr>
          <w:noProof/>
        </w:rPr>
        <w:t xml:space="preserve">Комисията също така продължи да подкрепя украинската </w:t>
      </w:r>
      <w:r>
        <w:rPr>
          <w:b/>
          <w:noProof/>
        </w:rPr>
        <w:t>научноизследователска и академична общност</w:t>
      </w:r>
      <w:r>
        <w:rPr>
          <w:noProof/>
        </w:rPr>
        <w:t>, включително изследователите, бягащи от руската агресия срещу Украйна. По програмата „Мария Склодовска-Кюри“ беше стартирана специална схема за стипендии в размер на 25 милиона евро, а Европейският съвет по иновациите предостави 20 милиона евро в подкрепа на дълбокотехнологичните новосъздадени предприятия в Украйна. Инициативата ERA4Ukraine по „Хоризонт Европа“ послужи като „обслужване на едно гише“ за информация за изследователи, бягащи от Украйна, като действаше съвместно с държавите членки и асоциираните държави по „Хоризонт Европа“.</w:t>
      </w:r>
    </w:p>
    <w:p w14:paraId="2BD71169" w14:textId="77777777" w:rsidR="00972CC8" w:rsidRPr="000E1ED4" w:rsidRDefault="00972CC8" w:rsidP="004B77A7">
      <w:pPr>
        <w:jc w:val="both"/>
        <w:rPr>
          <w:noProof/>
          <w:lang w:val="ru-RU"/>
        </w:rPr>
      </w:pPr>
    </w:p>
    <w:p w14:paraId="70D3EAFE" w14:textId="2EE49062" w:rsidR="00AE750F" w:rsidRPr="00F96BDE" w:rsidRDefault="00AE750F" w:rsidP="00783D49">
      <w:pPr>
        <w:widowControl w:val="0"/>
        <w:spacing w:after="120"/>
        <w:jc w:val="both"/>
        <w:rPr>
          <w:b/>
          <w:bCs/>
          <w:noProof/>
        </w:rPr>
      </w:pPr>
      <w:r>
        <w:rPr>
          <w:b/>
          <w:noProof/>
        </w:rPr>
        <w:t>Следващи стъпки:</w:t>
      </w:r>
    </w:p>
    <w:p w14:paraId="018DF582" w14:textId="2E1CDF69" w:rsidR="000107C0" w:rsidRPr="00F96BDE" w:rsidRDefault="000107C0" w:rsidP="00AE750F">
      <w:pPr>
        <w:pStyle w:val="ListParagraph"/>
        <w:widowControl w:val="0"/>
        <w:numPr>
          <w:ilvl w:val="0"/>
          <w:numId w:val="10"/>
        </w:numPr>
        <w:spacing w:after="120"/>
        <w:jc w:val="both"/>
        <w:rPr>
          <w:rFonts w:ascii="Times New Roman" w:hAnsi="Times New Roman" w:cs="Times New Roman"/>
          <w:noProof/>
          <w:sz w:val="24"/>
          <w:szCs w:val="24"/>
        </w:rPr>
      </w:pPr>
      <w:r>
        <w:rPr>
          <w:rFonts w:ascii="Times New Roman" w:hAnsi="Times New Roman"/>
          <w:noProof/>
          <w:sz w:val="24"/>
        </w:rPr>
        <w:t>Като част от групата на ЕС за солидарност с Украйна в областта на образованието Комисията ще работи с държавите членки за увеличаване на броя на записаните в училищата, като подкрепя редовния обмен относно напредъка, предизвикателствата и добрите практики в тази област. Контактите с украинските органи ще бъдат засилени, за да се насърчат украинските родители да изпращат децата си в училище в ЕС.</w:t>
      </w:r>
    </w:p>
    <w:p w14:paraId="03D600F1" w14:textId="3D95FF97" w:rsidR="00AE750F" w:rsidRPr="00F96BDE" w:rsidRDefault="00AE750F" w:rsidP="00AE750F">
      <w:pPr>
        <w:pStyle w:val="ListParagraph"/>
        <w:widowControl w:val="0"/>
        <w:numPr>
          <w:ilvl w:val="0"/>
          <w:numId w:val="10"/>
        </w:numPr>
        <w:spacing w:after="120"/>
        <w:jc w:val="both"/>
        <w:rPr>
          <w:rFonts w:ascii="Times New Roman" w:hAnsi="Times New Roman" w:cs="Times New Roman"/>
          <w:noProof/>
          <w:sz w:val="24"/>
          <w:szCs w:val="24"/>
        </w:rPr>
      </w:pPr>
      <w:r>
        <w:rPr>
          <w:rFonts w:ascii="Times New Roman" w:hAnsi="Times New Roman"/>
          <w:noProof/>
          <w:sz w:val="24"/>
        </w:rPr>
        <w:t>До пролетта на 2023 г. Комисията ще предостави половин милион учебници на украински език за ученици от пети клас в рамките на новата украинска учебна програма.</w:t>
      </w:r>
    </w:p>
    <w:p w14:paraId="6A28BA1B" w14:textId="2EC84ED8" w:rsidR="000107C0" w:rsidRPr="00F96BDE" w:rsidRDefault="00FE4919" w:rsidP="000107C0">
      <w:pPr>
        <w:pStyle w:val="ListParagraph"/>
        <w:widowControl w:val="0"/>
        <w:numPr>
          <w:ilvl w:val="0"/>
          <w:numId w:val="10"/>
        </w:numPr>
        <w:spacing w:after="120"/>
        <w:jc w:val="both"/>
        <w:rPr>
          <w:rFonts w:ascii="Times New Roman" w:hAnsi="Times New Roman" w:cs="Times New Roman"/>
          <w:noProof/>
          <w:sz w:val="24"/>
          <w:szCs w:val="24"/>
        </w:rPr>
      </w:pPr>
      <w:r>
        <w:rPr>
          <w:rFonts w:ascii="Times New Roman" w:hAnsi="Times New Roman"/>
          <w:noProof/>
          <w:sz w:val="24"/>
        </w:rPr>
        <w:t xml:space="preserve">Чрез своите онлайн платформи Комисията ще продължи да подкрепя учителите и училищата с онлайн материали, добри практики и курсове за обучение със специален акцент върху езиковото обучение, психо-социалната подкрепа и приобщаващото образование. </w:t>
      </w:r>
    </w:p>
    <w:p w14:paraId="3778953F" w14:textId="77777777" w:rsidR="000107C0" w:rsidRPr="00F96BDE" w:rsidRDefault="000107C0" w:rsidP="000107C0">
      <w:pPr>
        <w:pStyle w:val="ListParagraph"/>
        <w:widowControl w:val="0"/>
        <w:numPr>
          <w:ilvl w:val="0"/>
          <w:numId w:val="10"/>
        </w:numPr>
        <w:spacing w:after="120"/>
        <w:jc w:val="both"/>
        <w:rPr>
          <w:rFonts w:ascii="Times New Roman" w:hAnsi="Times New Roman" w:cs="Times New Roman"/>
          <w:noProof/>
          <w:sz w:val="24"/>
          <w:szCs w:val="24"/>
        </w:rPr>
      </w:pPr>
      <w:r>
        <w:rPr>
          <w:rFonts w:ascii="Times New Roman" w:hAnsi="Times New Roman"/>
          <w:noProof/>
          <w:sz w:val="24"/>
        </w:rPr>
        <w:t>Комисията ще продължи да насърчава държавите членки да използват пълноценно уменията и компетентностите на разселения в ЕС образователен персонал от Украйна в съответствие с препоръката и практическите си съвети за гъвкаво признаване на квалификациите.</w:t>
      </w:r>
    </w:p>
    <w:p w14:paraId="3E7B263D" w14:textId="24A8215D" w:rsidR="000107C0" w:rsidRPr="00F96BDE" w:rsidRDefault="000107C0" w:rsidP="000107C0">
      <w:pPr>
        <w:pStyle w:val="ListParagraph"/>
        <w:widowControl w:val="0"/>
        <w:numPr>
          <w:ilvl w:val="0"/>
          <w:numId w:val="10"/>
        </w:numPr>
        <w:spacing w:after="120"/>
        <w:jc w:val="both"/>
        <w:rPr>
          <w:rFonts w:ascii="Times New Roman" w:hAnsi="Times New Roman" w:cs="Times New Roman"/>
          <w:noProof/>
          <w:sz w:val="24"/>
          <w:szCs w:val="24"/>
        </w:rPr>
      </w:pPr>
      <w:r>
        <w:rPr>
          <w:rFonts w:ascii="Times New Roman" w:hAnsi="Times New Roman"/>
          <w:noProof/>
          <w:sz w:val="24"/>
        </w:rPr>
        <w:t>Чрез програмата по „Еразъм+“ „Изграждане на капацитет в областта на висшето образование“ Комисията ще осъществи действие на стойност 5 милиона евро за създаването на отворена цифрова образователна среда за студенти, които са избягали от Украйна или са разселени в страната.</w:t>
      </w:r>
    </w:p>
    <w:p w14:paraId="6114A14F" w14:textId="36813140" w:rsidR="00437073" w:rsidRPr="00F96BDE" w:rsidRDefault="00437073" w:rsidP="00437073">
      <w:pPr>
        <w:pStyle w:val="ListParagraph"/>
        <w:widowControl w:val="0"/>
        <w:numPr>
          <w:ilvl w:val="0"/>
          <w:numId w:val="10"/>
        </w:numPr>
        <w:spacing w:after="120"/>
        <w:jc w:val="both"/>
        <w:rPr>
          <w:rFonts w:ascii="Times New Roman" w:hAnsi="Times New Roman" w:cs="Times New Roman"/>
          <w:noProof/>
          <w:sz w:val="24"/>
          <w:szCs w:val="24"/>
        </w:rPr>
      </w:pPr>
      <w:r>
        <w:rPr>
          <w:rFonts w:ascii="Times New Roman" w:hAnsi="Times New Roman"/>
          <w:noProof/>
          <w:sz w:val="24"/>
        </w:rPr>
        <w:t>Комисията ще продължи да предлага участие в стажовете по Синята книга на ЕС на млади украински висшисти.</w:t>
      </w:r>
    </w:p>
    <w:p w14:paraId="64C33B10" w14:textId="007B31BF" w:rsidR="00AE750F" w:rsidRPr="008C396E" w:rsidRDefault="00972CC8" w:rsidP="00972CC8">
      <w:pPr>
        <w:pStyle w:val="ListParagraph"/>
        <w:numPr>
          <w:ilvl w:val="0"/>
          <w:numId w:val="10"/>
        </w:numPr>
        <w:jc w:val="both"/>
        <w:rPr>
          <w:noProof/>
          <w:spacing w:val="-4"/>
        </w:rPr>
      </w:pPr>
      <w:r w:rsidRPr="008C396E">
        <w:rPr>
          <w:rFonts w:ascii="Times New Roman" w:hAnsi="Times New Roman"/>
          <w:noProof/>
          <w:spacing w:val="-4"/>
          <w:sz w:val="24"/>
        </w:rPr>
        <w:t>Комисията също така ще засили обмена с украинските органи, за да улесни признаването в Украйна на академичните квалификации, придобити в държавите членки, включително чрез подкрепа за Украинския национален информационен център за академична мобилност в рамките на процеса от Болоня</w:t>
      </w:r>
      <w:r w:rsidRPr="008C396E">
        <w:rPr>
          <w:rFonts w:ascii="Cambria" w:hAnsi="Cambria"/>
          <w:noProof/>
          <w:spacing w:val="-4"/>
        </w:rPr>
        <w:t>.</w:t>
      </w:r>
    </w:p>
    <w:p w14:paraId="11301CF2" w14:textId="77777777" w:rsidR="00972CC8" w:rsidRPr="00F96BDE" w:rsidRDefault="00972CC8" w:rsidP="00972CC8">
      <w:pPr>
        <w:pStyle w:val="ListParagraph"/>
        <w:jc w:val="both"/>
        <w:rPr>
          <w:noProof/>
        </w:rPr>
      </w:pPr>
    </w:p>
    <w:p w14:paraId="4D1CD5D1" w14:textId="77777777" w:rsidR="00783D49" w:rsidRPr="00F96BDE" w:rsidRDefault="00783D49" w:rsidP="001E62FE">
      <w:pPr>
        <w:pStyle w:val="ListParagraph"/>
        <w:keepNext/>
        <w:numPr>
          <w:ilvl w:val="1"/>
          <w:numId w:val="1"/>
        </w:numPr>
        <w:spacing w:before="120" w:after="120" w:line="240" w:lineRule="auto"/>
        <w:jc w:val="both"/>
        <w:rPr>
          <w:rFonts w:ascii="Times New Roman" w:hAnsi="Times New Roman" w:cs="Times New Roman"/>
          <w:b/>
          <w:bCs/>
          <w:iCs/>
          <w:noProof/>
          <w:sz w:val="24"/>
          <w:szCs w:val="24"/>
        </w:rPr>
      </w:pPr>
      <w:r>
        <w:rPr>
          <w:rFonts w:ascii="Times New Roman" w:hAnsi="Times New Roman"/>
          <w:b/>
          <w:noProof/>
          <w:sz w:val="24"/>
        </w:rPr>
        <w:t>Достъп до здравеопазване и социални обезщетения</w:t>
      </w:r>
    </w:p>
    <w:p w14:paraId="66438EF0" w14:textId="369DFCA2" w:rsidR="00783D49" w:rsidRPr="00F96BDE" w:rsidRDefault="009C19DD" w:rsidP="00F24CCD">
      <w:pPr>
        <w:pStyle w:val="NormalWeb"/>
        <w:spacing w:before="120" w:beforeAutospacing="0" w:after="120" w:afterAutospacing="0"/>
        <w:jc w:val="both"/>
        <w:rPr>
          <w:rFonts w:eastAsiaTheme="minorHAnsi"/>
          <w:noProof/>
        </w:rPr>
      </w:pPr>
      <w:r>
        <w:rPr>
          <w:noProof/>
        </w:rPr>
        <w:t>Човешкото достойнство и достойният стандарт на живот са ключови аспекти на временната закрила. Директивата изисква от държавите членки да предоставят необходимата помощ за социално подпомагане и средства за съществуване и медицинско обслужване, когато те липсват</w:t>
      </w:r>
      <w:r>
        <w:rPr>
          <w:rStyle w:val="FootnoteReference"/>
          <w:rFonts w:eastAsiaTheme="minorHAnsi"/>
          <w:noProof/>
          <w:lang w:val="en-GB"/>
        </w:rPr>
        <w:footnoteReference w:id="44"/>
      </w:r>
      <w:r>
        <w:rPr>
          <w:noProof/>
        </w:rPr>
        <w:t xml:space="preserve">. В отговор на това държавите членки, включително с подкрепата на други партньори, предоставиха като цяло незабавно хуманитарна помощ. Те включиха и лицата, ползващи се с временна закрила, в по-широките системи за социална закрила, което може да осигури съществен преход от спешна помощ </w:t>
      </w:r>
      <w:r>
        <w:rPr>
          <w:i/>
          <w:noProof/>
        </w:rPr>
        <w:t>ad hoc</w:t>
      </w:r>
      <w:r>
        <w:rPr>
          <w:noProof/>
        </w:rPr>
        <w:t xml:space="preserve"> към целева социална помощ и самостоятелност</w:t>
      </w:r>
      <w:r>
        <w:rPr>
          <w:rStyle w:val="FootnoteReference"/>
          <w:rFonts w:eastAsiaTheme="minorHAnsi"/>
          <w:iCs/>
          <w:noProof/>
          <w:lang w:val="en-GB"/>
        </w:rPr>
        <w:footnoteReference w:id="45"/>
      </w:r>
      <w:r>
        <w:rPr>
          <w:noProof/>
        </w:rPr>
        <w:t>.</w:t>
      </w:r>
    </w:p>
    <w:p w14:paraId="5800C598" w14:textId="45776671" w:rsidR="00783D49" w:rsidRPr="00F96BDE" w:rsidRDefault="00C34C91" w:rsidP="00F24CCD">
      <w:pPr>
        <w:pStyle w:val="NormalWeb"/>
        <w:spacing w:before="120" w:beforeAutospacing="0" w:after="120" w:afterAutospacing="0"/>
        <w:jc w:val="both"/>
        <w:rPr>
          <w:noProof/>
        </w:rPr>
      </w:pPr>
      <w:r>
        <w:rPr>
          <w:noProof/>
        </w:rPr>
        <w:t xml:space="preserve">Видът, равнището и дори </w:t>
      </w:r>
      <w:r>
        <w:rPr>
          <w:b/>
          <w:bCs/>
          <w:noProof/>
        </w:rPr>
        <w:t>продължителността на социалните помощи</w:t>
      </w:r>
      <w:r>
        <w:rPr>
          <w:noProof/>
        </w:rPr>
        <w:t xml:space="preserve"> (както парични, така и непарични) за лицата, ползващи се с временна закрила, се различават значително в отделните държави членки, което отразява разнообразието и в много случаи сложността на националните социални системи. Могат да бъдат различени три подхода: значителен брой държави членки третират лицата, ползващи се с временна закрила, наравно със своите граждани или признати бежанци, като предоставят същия достъп до социални услуги и мерки за подкрепа. Това често включва облекчаване на изискванията за достъп, за да се вземат предвид специфичните обстоятелства на разселването, например по отношение на проверката на имущественото състояние — тестване или други критерии за допустимост. Други държави членки включват лицата, на които е предоставена временна закрила, в системите за подпомагане, създадени за кандидатите за международна закрила. Няколко други държави членки разработиха </w:t>
      </w:r>
      <w:r>
        <w:rPr>
          <w:i/>
          <w:noProof/>
        </w:rPr>
        <w:t>ad hoc</w:t>
      </w:r>
      <w:r>
        <w:rPr>
          <w:noProof/>
        </w:rPr>
        <w:t xml:space="preserve"> разпоредби,насочени специално към лицата, на които е предоставена временна закрила. В такива случаи размерът на подкрепата е често не толкова щедър или ограничен във времето. Една държава членка прилага хибридна система с различни разпоредби, приложими за украинските граждани и гражданите на трети държави, които попадат в обхвата на временната закрила. </w:t>
      </w:r>
    </w:p>
    <w:p w14:paraId="4661AD34" w14:textId="20D15004" w:rsidR="004C388E" w:rsidRPr="00F96BDE" w:rsidRDefault="00783D49" w:rsidP="00F24CCD">
      <w:pPr>
        <w:pStyle w:val="NormalWeb"/>
        <w:spacing w:before="120" w:beforeAutospacing="0" w:after="120" w:afterAutospacing="0"/>
        <w:jc w:val="both"/>
        <w:rPr>
          <w:noProof/>
        </w:rPr>
      </w:pPr>
      <w:r>
        <w:rPr>
          <w:noProof/>
        </w:rPr>
        <w:t>По-голямата част от държавите членки също така предоставят различни видове допълнителни обезщетения или еднократни мерки за подкрепа: например помощи за жилищно настаняване, безплатни билети за влак или първоначални безвъзмездни средства за издръжка или интеграция, специални курсове за интеграция или свързана с това подкрепа, услуги за рехабилитация и достъпни решения за хора с уврежда</w:t>
      </w:r>
      <w:r w:rsidR="002D6F2D">
        <w:rPr>
          <w:noProof/>
        </w:rPr>
        <w:t>ния.</w:t>
      </w:r>
    </w:p>
    <w:p w14:paraId="65D57C6A" w14:textId="5A6ACD32" w:rsidR="00783D49" w:rsidRPr="00F96BDE" w:rsidRDefault="00783D49" w:rsidP="00F24CCD">
      <w:pPr>
        <w:pStyle w:val="NormalWeb"/>
        <w:spacing w:before="120" w:beforeAutospacing="0" w:after="120" w:afterAutospacing="0"/>
        <w:jc w:val="both"/>
        <w:rPr>
          <w:noProof/>
        </w:rPr>
      </w:pPr>
      <w:r>
        <w:rPr>
          <w:noProof/>
        </w:rPr>
        <w:t>В допълнение към действията на държавите членки в много случаи европейското гражданско общество често предоставяше съществена допълнителна подкрепа чрез доброволни платформи за подкрепа, индивидуални дарения и други инициативи. В приблизително половината от държавите членки, по-специално в държавите членки, дали прием на най-голям брой лица, ползващи се с временна закрила, бяха създадени специални онлайн платформи за координиране на предложенията и подкрепата, предоставяни от социални организации, предприятия и частни лица</w:t>
      </w:r>
      <w:r>
        <w:rPr>
          <w:rStyle w:val="FootnoteReference"/>
          <w:rFonts w:cstheme="minorHAnsi"/>
          <w:noProof/>
          <w:lang w:val="en-GB" w:eastAsia="en-GB"/>
        </w:rPr>
        <w:footnoteReference w:id="46"/>
      </w:r>
      <w:r>
        <w:rPr>
          <w:noProof/>
        </w:rPr>
        <w:t>.</w:t>
      </w:r>
    </w:p>
    <w:p w14:paraId="3AD3BD17" w14:textId="70C4AF91" w:rsidR="004C5A6A" w:rsidRPr="00F96BDE" w:rsidRDefault="00783D49" w:rsidP="000517B3">
      <w:pPr>
        <w:pStyle w:val="NormalWeb"/>
        <w:spacing w:before="120" w:beforeAutospacing="0" w:after="120" w:afterAutospacing="0"/>
        <w:jc w:val="both"/>
        <w:rPr>
          <w:noProof/>
        </w:rPr>
      </w:pPr>
      <w:r>
        <w:rPr>
          <w:noProof/>
        </w:rPr>
        <w:t>С развитието на ситуацията и с удължаването на временната закрила поне до март 2024 г. държавите членки преразглеждат и променят националното законодателство и разпоредби. Комисията ще работи с държавите членки, за да гарантира, че всички права, посочени в директивата, продължават да се предоставят на лицата, ползващи се с временна закрила, и за насърчаване на политики, водещи до самостоятелността им (по-специално чрез достъп до работни места и възможности за образование и обучение</w:t>
      </w:r>
      <w:r w:rsidR="002D6F2D">
        <w:rPr>
          <w:noProof/>
        </w:rPr>
        <w:t>).</w:t>
      </w:r>
    </w:p>
    <w:p w14:paraId="406AEBFB" w14:textId="480FC3C4" w:rsidR="009C19DD" w:rsidRPr="00F96BDE" w:rsidRDefault="00AE750F" w:rsidP="000517B3">
      <w:pPr>
        <w:pStyle w:val="NormalWeb"/>
        <w:spacing w:before="120" w:beforeAutospacing="0" w:after="120" w:afterAutospacing="0"/>
        <w:jc w:val="both"/>
        <w:rPr>
          <w:noProof/>
        </w:rPr>
      </w:pPr>
      <w:r>
        <w:rPr>
          <w:noProof/>
        </w:rPr>
        <w:t>С Директивата за временната закрила се изисква помощта, необходима за медицински грижи, да включва поне изискващата се помощ при спешни случаи и медицинско обслужване от първа необходимост в случай на болест. Като отразява насоките на Комисията по този въпрос, в първия доклад</w:t>
      </w:r>
      <w:r>
        <w:rPr>
          <w:rStyle w:val="FootnoteReference"/>
          <w:noProof/>
          <w:lang w:val="en-GB"/>
        </w:rPr>
        <w:footnoteReference w:id="47"/>
      </w:r>
      <w:r>
        <w:rPr>
          <w:noProof/>
        </w:rPr>
        <w:t xml:space="preserve"> на Комисията се стигна до заключението, че по-голямата част от държавите членки са предоставили приобщаващ достъп до националните системи на здравеопазване на лицата, ползващи се с временна закрила, наравно или в близко съответствие на достъпа на собствените им граждани, само с малки различия. </w:t>
      </w:r>
    </w:p>
    <w:p w14:paraId="1A7F0B68" w14:textId="77777777" w:rsidR="00122C19" w:rsidRPr="00F96BDE" w:rsidRDefault="00783D49" w:rsidP="00122C19">
      <w:pPr>
        <w:pStyle w:val="NormalWeb"/>
        <w:spacing w:before="120" w:beforeAutospacing="0" w:after="120" w:afterAutospacing="0"/>
        <w:jc w:val="both"/>
        <w:rPr>
          <w:noProof/>
        </w:rPr>
      </w:pPr>
      <w:r>
        <w:rPr>
          <w:noProof/>
        </w:rPr>
        <w:t>Практическите трудности при прилагането в някои държави членки са свързани например с липсата на информация относно достъпа до здравно обслужване или езиковите бариери. Разликите в имунизационните календари</w:t>
      </w:r>
      <w:r>
        <w:rPr>
          <w:rStyle w:val="FootnoteReference"/>
          <w:noProof/>
          <w:lang w:val="en-GB"/>
        </w:rPr>
        <w:footnoteReference w:id="48"/>
      </w:r>
      <w:r>
        <w:rPr>
          <w:noProof/>
        </w:rPr>
        <w:t xml:space="preserve"> и курсовете на лечение на някои хронични и заразни болести също представляваха предизвикателства за здравните системи в приемащите държави. Понастоящем Комисията работи с държавите членки за установяване на проблемите, свързани с достъпността, и през април 2023 г. ще бъде публикуван втори доклад.</w:t>
      </w:r>
    </w:p>
    <w:p w14:paraId="570C51EA" w14:textId="77777777" w:rsidR="000812EF" w:rsidRPr="00F96BDE" w:rsidRDefault="00122C19" w:rsidP="004C5A6A">
      <w:pPr>
        <w:spacing w:before="120" w:after="120"/>
        <w:jc w:val="both"/>
        <w:rPr>
          <w:noProof/>
        </w:rPr>
      </w:pPr>
      <w:r>
        <w:rPr>
          <w:noProof/>
        </w:rPr>
        <w:t xml:space="preserve">Идентифицирането и подкрепата за хората с </w:t>
      </w:r>
      <w:r>
        <w:rPr>
          <w:b/>
          <w:noProof/>
        </w:rPr>
        <w:t>увреждания</w:t>
      </w:r>
      <w:r>
        <w:rPr>
          <w:noProof/>
        </w:rPr>
        <w:t xml:space="preserve"> също продължават да бъдат общо предизвикателство. Основните въпроси са свързани с идентифицирането на хората със специални потребности и на хората с увреждания чрез медицински оценки на ранен етап или от социалните работници, или с начина, по който съществуващите удостоверения за увреждане могат да се третират в различните национални системи за подпомагане на хората с увреждания. Комисията предостави съответните насоки по този въпрос и събра заедно държавите членки, партньорите от гражданското общество и украинските органи и други организации, за да спомогне за преодоляването на тези предизвикателства</w:t>
      </w:r>
      <w:r>
        <w:rPr>
          <w:rStyle w:val="FootnoteReference"/>
          <w:noProof/>
        </w:rPr>
        <w:footnoteReference w:id="49"/>
      </w:r>
      <w:r>
        <w:rPr>
          <w:noProof/>
        </w:rPr>
        <w:t xml:space="preserve">. </w:t>
      </w:r>
    </w:p>
    <w:p w14:paraId="58461A80" w14:textId="72F2218B" w:rsidR="004C5A6A" w:rsidRPr="00F96BDE" w:rsidRDefault="00467E33" w:rsidP="004C5A6A">
      <w:pPr>
        <w:spacing w:before="120" w:after="120"/>
        <w:jc w:val="both"/>
        <w:rPr>
          <w:iCs/>
          <w:noProof/>
        </w:rPr>
      </w:pPr>
      <w:r>
        <w:rPr>
          <w:noProof/>
        </w:rPr>
        <w:t xml:space="preserve">Чрез Механизма за гражданска защита на Съюза ЕС подкрепи </w:t>
      </w:r>
      <w:r>
        <w:rPr>
          <w:b/>
          <w:noProof/>
        </w:rPr>
        <w:t>медицинската евакуация на украински пациенти и на ранени във войната</w:t>
      </w:r>
      <w:r>
        <w:rPr>
          <w:noProof/>
        </w:rPr>
        <w:t>, които вече не могат да бъдат лекувани в Украйна поради нея. Почти 2000 украински пациенти са евакуирани успешно в 20 държави от ЕС и ЕИП. В Жешов (Полша) бе създаден медицински център за улесняване на евакуацията. Това включваше съвместните усилия на Европейската комисия, Световната здравна организация, държавите — членки на ЕС и ЕИП, Украйна и Република Молдова. По искане на украинските органи беше разработена схема на ЕС за репатриране с цел улесняване на завръщането в Украйна на евакуираните пациенти. Украйна също така бе асоциирана към програмата EU4Health и се присъединява към няколко действия, като например съвместното действие за интегриране на европейските референтни мрежи за редки заболявания в</w:t>
      </w:r>
      <w:r w:rsidR="002D6F2D">
        <w:rPr>
          <w:noProof/>
        </w:rPr>
        <w:t xml:space="preserve"> националните здравни системи.</w:t>
      </w:r>
    </w:p>
    <w:p w14:paraId="43ACF7C4" w14:textId="2537C5A2" w:rsidR="001E62FE" w:rsidRPr="00F96BDE" w:rsidRDefault="004C5A6A" w:rsidP="001E62FE">
      <w:pPr>
        <w:spacing w:before="120" w:after="120"/>
        <w:jc w:val="both"/>
        <w:rPr>
          <w:noProof/>
          <w:shd w:val="clear" w:color="auto" w:fill="FFFFFF"/>
        </w:rPr>
      </w:pPr>
      <w:r>
        <w:rPr>
          <w:noProof/>
        </w:rPr>
        <w:t>Чрез платформата на ЕС за здравна политика беше създадена мрежа за подкрепа на Украйна, съседните държави — членки на ЕС, и Република Молдова, за да се подкрепят сътрудничеството и координацията на НПО и гражданското общество в усилията им да подкрепят здравните грижи в Украйна и разселените лица от Украйна.</w:t>
      </w:r>
      <w:r>
        <w:rPr>
          <w:rStyle w:val="apple-converted-space"/>
          <w:noProof/>
          <w:shd w:val="clear" w:color="auto" w:fill="FFFFFF"/>
        </w:rPr>
        <w:t xml:space="preserve"> </w:t>
      </w:r>
      <w:r>
        <w:rPr>
          <w:noProof/>
          <w:shd w:val="clear" w:color="auto" w:fill="FFFFFF"/>
        </w:rPr>
        <w:t xml:space="preserve">Комисията оказа поддръжка на работата на мрежата с допълнително финансиране от програмата EU4Health с покани за представяне на предложения, насочени към организации на пациенти и организации на гражданското общество, в подкрепа на хората, бягащи от </w:t>
      </w:r>
      <w:r w:rsidR="002D6F2D">
        <w:rPr>
          <w:noProof/>
          <w:shd w:val="clear" w:color="auto" w:fill="FFFFFF"/>
        </w:rPr>
        <w:t>руската агресия срещу Украйна.</w:t>
      </w:r>
    </w:p>
    <w:p w14:paraId="00C3ABBE" w14:textId="173422C8" w:rsidR="001E62FE" w:rsidRPr="00F96BDE" w:rsidRDefault="00122C19" w:rsidP="001E62FE">
      <w:pPr>
        <w:spacing w:before="120" w:after="120"/>
        <w:jc w:val="both"/>
        <w:rPr>
          <w:noProof/>
        </w:rPr>
      </w:pPr>
      <w:r>
        <w:rPr>
          <w:noProof/>
        </w:rPr>
        <w:t>Много от разселените лица, включително деца, имат специфични нужди поради травмиращото преживяване на руската агресия. За да допълни подкрепата за психичното здраве и/или психосоциалната подкрепа, предлагана в повечето държави членки, Комисията предостави допълнително финансиране за първа психологическа помощ чрез различни канали, включително Международната федерация на дружествата на Червения кръст и други неправителствени организации.</w:t>
      </w:r>
    </w:p>
    <w:p w14:paraId="6278ACCA" w14:textId="528D803F" w:rsidR="00AE750F" w:rsidRPr="00F96BDE" w:rsidRDefault="00AE750F" w:rsidP="001E62FE">
      <w:pPr>
        <w:spacing w:before="120" w:after="120"/>
        <w:jc w:val="both"/>
        <w:rPr>
          <w:noProof/>
        </w:rPr>
      </w:pPr>
      <w:r>
        <w:rPr>
          <w:b/>
          <w:noProof/>
        </w:rPr>
        <w:t>Следващи стъпки</w:t>
      </w:r>
      <w:r>
        <w:rPr>
          <w:noProof/>
        </w:rPr>
        <w:t>:</w:t>
      </w:r>
    </w:p>
    <w:p w14:paraId="2E45CF43" w14:textId="2D065CC5" w:rsidR="0054509B" w:rsidRPr="00F96BDE" w:rsidRDefault="00AE750F" w:rsidP="0054509B">
      <w:pPr>
        <w:pStyle w:val="ListParagraph"/>
        <w:numPr>
          <w:ilvl w:val="0"/>
          <w:numId w:val="12"/>
        </w:numPr>
        <w:spacing w:before="120" w:after="120"/>
        <w:jc w:val="both"/>
        <w:rPr>
          <w:rFonts w:ascii="Times New Roman" w:hAnsi="Times New Roman" w:cs="Times New Roman"/>
          <w:noProof/>
          <w:sz w:val="24"/>
          <w:szCs w:val="24"/>
          <w:shd w:val="clear" w:color="auto" w:fill="FFFFFF"/>
        </w:rPr>
      </w:pPr>
      <w:r>
        <w:rPr>
          <w:rFonts w:ascii="Times New Roman" w:hAnsi="Times New Roman"/>
          <w:noProof/>
          <w:sz w:val="24"/>
          <w:shd w:val="clear" w:color="auto" w:fill="FFFFFF"/>
        </w:rPr>
        <w:t>До април 2023 г. Комисията ще докладва за пречките пред достъпа до здравеопазване и ще обсъди с държавите членки начините за тяхното преодоляване.</w:t>
      </w:r>
    </w:p>
    <w:p w14:paraId="6821C21D" w14:textId="62D27E80" w:rsidR="000107C0" w:rsidRPr="00F96BDE" w:rsidRDefault="00FE4919" w:rsidP="0054509B">
      <w:pPr>
        <w:pStyle w:val="ListParagraph"/>
        <w:numPr>
          <w:ilvl w:val="0"/>
          <w:numId w:val="12"/>
        </w:numPr>
        <w:spacing w:before="120" w:after="120"/>
        <w:jc w:val="both"/>
        <w:rPr>
          <w:rFonts w:ascii="Times New Roman" w:hAnsi="Times New Roman" w:cs="Times New Roman"/>
          <w:noProof/>
          <w:sz w:val="24"/>
          <w:szCs w:val="24"/>
          <w:shd w:val="clear" w:color="auto" w:fill="FFFFFF"/>
        </w:rPr>
      </w:pPr>
      <w:r>
        <w:rPr>
          <w:rFonts w:ascii="Times New Roman" w:hAnsi="Times New Roman"/>
          <w:noProof/>
          <w:sz w:val="24"/>
          <w:shd w:val="clear" w:color="auto" w:fill="FFFFFF"/>
        </w:rPr>
        <w:t>Комисията ще работи с държавите членки за продължаване на целенасочените действия. Ще се дава приоритет на ваксинацията на разселените деца в съответствие с програмите за ваксинация на приемащата държава, което ще бъде съгласувано с държавите членки. Следва да се даде приоритет и на подкрепата за непрекъснатост на грижите за лицата, нуждаещи се от дългосрочно лечение. Следва да се осигури епидемиологичен надзор.</w:t>
      </w:r>
    </w:p>
    <w:p w14:paraId="114B3220" w14:textId="240B4460" w:rsidR="000107C0" w:rsidRPr="00F96BDE" w:rsidRDefault="00FE4919" w:rsidP="0054509B">
      <w:pPr>
        <w:pStyle w:val="ListParagraph"/>
        <w:numPr>
          <w:ilvl w:val="0"/>
          <w:numId w:val="12"/>
        </w:numPr>
        <w:spacing w:before="120" w:after="120"/>
        <w:jc w:val="both"/>
        <w:rPr>
          <w:rFonts w:ascii="Times New Roman" w:hAnsi="Times New Roman" w:cs="Times New Roman"/>
          <w:noProof/>
          <w:sz w:val="24"/>
          <w:szCs w:val="24"/>
          <w:shd w:val="clear" w:color="auto" w:fill="FFFFFF"/>
        </w:rPr>
      </w:pPr>
      <w:r>
        <w:rPr>
          <w:rFonts w:ascii="Times New Roman" w:hAnsi="Times New Roman"/>
          <w:noProof/>
          <w:sz w:val="24"/>
          <w:shd w:val="clear" w:color="auto" w:fill="FFFFFF"/>
        </w:rPr>
        <w:t>Комисията ще работи с държавите членки за продължаване на подкрепата за украинските ракови пациенти чрез текущата медицинска евакуация, предоставянето на лекарства за рак на Украйна и участието на Украйна в дейностите, разработени в рамките на европейския план за борба с рака, чрез програмата EU4Health.</w:t>
      </w:r>
    </w:p>
    <w:p w14:paraId="65A40E6E" w14:textId="7DF2BCCD" w:rsidR="00D40B42" w:rsidRPr="00F96BDE" w:rsidRDefault="00D40B42" w:rsidP="00D40B42">
      <w:pPr>
        <w:pStyle w:val="ListParagraph"/>
        <w:numPr>
          <w:ilvl w:val="0"/>
          <w:numId w:val="12"/>
        </w:numPr>
        <w:spacing w:after="0"/>
        <w:jc w:val="both"/>
        <w:rPr>
          <w:rFonts w:ascii="Times New Roman" w:hAnsi="Times New Roman" w:cs="Times New Roman"/>
          <w:noProof/>
          <w:sz w:val="24"/>
          <w:szCs w:val="24"/>
          <w:shd w:val="clear" w:color="auto" w:fill="FFFFFF"/>
        </w:rPr>
      </w:pPr>
      <w:r>
        <w:rPr>
          <w:rFonts w:ascii="Times New Roman" w:hAnsi="Times New Roman"/>
          <w:noProof/>
          <w:sz w:val="24"/>
          <w:shd w:val="clear" w:color="auto" w:fill="FFFFFF"/>
        </w:rPr>
        <w:t>Комисията ще въведе цялостна подкрепа за психосоциалното и психичното здраве на украинските разселени лица чрез споразумения с Международната федерация на Червения кръст и Червения полумесец (IFRC) и НПО, включително чрез разширяване на обхвата на разпоредбите за обучение в областта на психичното здраве за учителите и социалните работници.</w:t>
      </w:r>
    </w:p>
    <w:p w14:paraId="449B864A" w14:textId="2735FD52" w:rsidR="00546E59" w:rsidRPr="00F96BDE" w:rsidRDefault="00546E59" w:rsidP="00D40B42">
      <w:pPr>
        <w:pStyle w:val="ListParagraph"/>
        <w:spacing w:before="120" w:after="120"/>
        <w:jc w:val="both"/>
        <w:rPr>
          <w:rFonts w:ascii="Times New Roman" w:hAnsi="Times New Roman" w:cs="Times New Roman"/>
          <w:noProof/>
          <w:sz w:val="24"/>
          <w:szCs w:val="24"/>
          <w:shd w:val="clear" w:color="auto" w:fill="FFFFFF"/>
        </w:rPr>
      </w:pPr>
    </w:p>
    <w:p w14:paraId="0C009A2B" w14:textId="72D0D5A9" w:rsidR="00783D49" w:rsidRPr="00F96BDE" w:rsidRDefault="00783D49" w:rsidP="004967A1">
      <w:pPr>
        <w:pStyle w:val="ListParagraph"/>
        <w:keepNext/>
        <w:numPr>
          <w:ilvl w:val="1"/>
          <w:numId w:val="1"/>
        </w:numPr>
        <w:spacing w:before="360" w:after="120" w:line="240" w:lineRule="auto"/>
        <w:contextualSpacing w:val="0"/>
        <w:jc w:val="both"/>
        <w:rPr>
          <w:rFonts w:ascii="Times New Roman" w:hAnsi="Times New Roman" w:cs="Times New Roman"/>
          <w:b/>
          <w:bCs/>
          <w:iCs/>
          <w:noProof/>
          <w:sz w:val="24"/>
          <w:szCs w:val="24"/>
        </w:rPr>
      </w:pPr>
      <w:r>
        <w:rPr>
          <w:rFonts w:ascii="Times New Roman" w:hAnsi="Times New Roman"/>
          <w:b/>
          <w:noProof/>
          <w:sz w:val="24"/>
        </w:rPr>
        <w:t>Достъп до работни места</w:t>
      </w:r>
    </w:p>
    <w:p w14:paraId="3B7DF000" w14:textId="702FDDF5" w:rsidR="00513CF8" w:rsidRPr="00F96BDE" w:rsidRDefault="00FA01AD" w:rsidP="00991015">
      <w:pPr>
        <w:spacing w:before="120" w:after="120"/>
        <w:jc w:val="both"/>
        <w:rPr>
          <w:iCs/>
          <w:noProof/>
        </w:rPr>
      </w:pPr>
      <w:r>
        <w:rPr>
          <w:noProof/>
        </w:rPr>
        <w:t xml:space="preserve">Приобщаването към пазара на труда е от основно значение, за да могат хората да бъдат финансово независими, да подкрепят семействата си и да допринасят за приемащата общност. Приобщаването ще бъде от полза и за Украйна в дългосрочен план, когато хората с новопридобити умения се върнат у дома и помогнат за възстановяването на страната. </w:t>
      </w:r>
    </w:p>
    <w:p w14:paraId="4870E09E" w14:textId="53642ED0" w:rsidR="00CC6280" w:rsidRPr="00F96BDE" w:rsidRDefault="00CC6280" w:rsidP="00CC6280">
      <w:pPr>
        <w:spacing w:before="120" w:after="120"/>
        <w:jc w:val="both"/>
        <w:rPr>
          <w:noProof/>
        </w:rPr>
      </w:pPr>
      <w:r>
        <w:rPr>
          <w:noProof/>
        </w:rPr>
        <w:t>При задействането на Директивата за временната закрила държавите членки премахнаха много формалности и допълнителни административни стъпки (като например допълнителни разрешения за работа) или други пречки, за да гарантират незабавен достъп до пазара на труда. През юни 2022 г. въз основа на поуките, извлечени от предишни кризи, Комисията предостави насоки и предложи конкретни мерки за улесняване на достъпа до пазара на труда, професионалното образование, обучението и ученето за възрастни</w:t>
      </w:r>
      <w:r>
        <w:rPr>
          <w:rStyle w:val="FootnoteReference"/>
          <w:noProof/>
        </w:rPr>
        <w:footnoteReference w:id="50"/>
      </w:r>
      <w:r>
        <w:rPr>
          <w:noProof/>
        </w:rPr>
        <w:t>.</w:t>
      </w:r>
    </w:p>
    <w:p w14:paraId="08C3B140" w14:textId="38DCEBC4" w:rsidR="00783D49" w:rsidRPr="00F96BDE" w:rsidRDefault="00122C19" w:rsidP="00F24CCD">
      <w:pPr>
        <w:spacing w:before="120" w:after="120"/>
        <w:jc w:val="both"/>
        <w:rPr>
          <w:iCs/>
          <w:noProof/>
        </w:rPr>
      </w:pPr>
      <w:r>
        <w:rPr>
          <w:noProof/>
        </w:rPr>
        <w:t>Данните досега показват, че подобни инициативи са били успешни и че навлизането на разселени лица от Украйна на пазара на труда е по-бързо от това на кандидатите за международна закрила и на лицата със статут на бежанци</w:t>
      </w:r>
      <w:r>
        <w:rPr>
          <w:rStyle w:val="FootnoteReference"/>
          <w:noProof/>
        </w:rPr>
        <w:footnoteReference w:id="51"/>
      </w:r>
      <w:r>
        <w:rPr>
          <w:noProof/>
        </w:rPr>
        <w:t>.</w:t>
      </w:r>
      <w:r>
        <w:rPr>
          <w:rStyle w:val="FootnoteReference"/>
          <w:noProof/>
        </w:rPr>
        <w:t xml:space="preserve"> </w:t>
      </w:r>
      <w:r>
        <w:rPr>
          <w:noProof/>
        </w:rPr>
        <w:t>Наличните данни към декември 2022 г. показват, че над 1,1 милиона разселени лица от Украйна са били трудово заети в Европейското икономическо пространство</w:t>
      </w:r>
      <w:r>
        <w:rPr>
          <w:rStyle w:val="FootnoteReference"/>
          <w:noProof/>
        </w:rPr>
        <w:footnoteReference w:id="52"/>
      </w:r>
      <w:r>
        <w:rPr>
          <w:noProof/>
        </w:rPr>
        <w:t xml:space="preserve">. Най-малко 614 933 лица, ползващи се с временна закрила, са били наети на работа в 18 държави членки, Норвегия и Лихтенщайн, а 413 365 души са регистрирани като търсещи работа в 15 държави членки (към 1 март 2023 г.). </w:t>
      </w:r>
    </w:p>
    <w:p w14:paraId="335A5AB3" w14:textId="0E4D9AAB" w:rsidR="00831F10" w:rsidRPr="00F96BDE" w:rsidRDefault="00CC6280" w:rsidP="00F24CCD">
      <w:pPr>
        <w:spacing w:before="120" w:after="120"/>
        <w:jc w:val="both"/>
        <w:rPr>
          <w:iCs/>
          <w:noProof/>
        </w:rPr>
      </w:pPr>
      <w:r>
        <w:rPr>
          <w:noProof/>
        </w:rPr>
        <w:t xml:space="preserve">Като част от тези инициативи през октомври 2022 г. Комисията и Европейският орган по труда стартираха пилотния проект </w:t>
      </w:r>
      <w:r>
        <w:rPr>
          <w:b/>
          <w:noProof/>
        </w:rPr>
        <w:t>„Резерв на ЕС от таланти“</w:t>
      </w:r>
      <w:r>
        <w:rPr>
          <w:rStyle w:val="FootnoteReference"/>
          <w:iCs/>
          <w:noProof/>
        </w:rPr>
        <w:footnoteReference w:id="53"/>
      </w:r>
      <w:r>
        <w:rPr>
          <w:noProof/>
        </w:rPr>
        <w:t xml:space="preserve"> за хората, бягащи от руската агресия срещу Украйна. С инициативата се подкрепя интеграцията на пазара на труда на лицата, ползващи се с временна закрила, докато те се намират в ЕС. С нея се улеснява съчетаването на профилите им с професионалните възможности и свободните работни места, които съответстват на техните умения и квалификации. Тя им помага да съставят автобиографиите си и да предоставят профилите си на повече от 4000 работодатели в ЕС с 3 900 000 свободни работни места към февруари 2023 г. Работодателите, регистрирани на портала EURES, преминават през процедура за проверка, за да се избегне наред с другото рискът от трудова експлоатация. Въпреки че порталът е достъпен за търсещите работа във всички държави — членки на ЕС, някои държави членки са инвестирали допълнителни ресурси в подкрепа на прилагането </w:t>
      </w:r>
      <w:r>
        <w:rPr>
          <w:rStyle w:val="FootnoteReference"/>
          <w:iCs/>
          <w:noProof/>
        </w:rPr>
        <w:footnoteReference w:id="54"/>
      </w:r>
      <w:r>
        <w:rPr>
          <w:noProof/>
        </w:rPr>
        <w:t>. За да се гарантира по-бърза интеграция на пазара на труда на лицата, ползващи се с временна закрила, държавите членки се насърчават по-добре да популяризират и подкрепят използването на пилотния проект „Резерв на ЕС от таланти“ чрез активни кампании за популяризиране и информиране.</w:t>
      </w:r>
    </w:p>
    <w:p w14:paraId="74A24A7B" w14:textId="4912C8C3" w:rsidR="00510A73" w:rsidRPr="00F96BDE" w:rsidRDefault="00EF7205" w:rsidP="00991015">
      <w:pPr>
        <w:spacing w:before="120" w:after="120"/>
        <w:jc w:val="both"/>
        <w:rPr>
          <w:iCs/>
          <w:noProof/>
        </w:rPr>
      </w:pPr>
      <w:r>
        <w:rPr>
          <w:noProof/>
        </w:rPr>
        <w:t>Бързото удостоверяване на уменията и признаването на квалификациите е особено важно за успешното интегриране на пазара на труда. През април 2022 г.</w:t>
      </w:r>
      <w:bookmarkStart w:id="6" w:name="_Hlk127739185"/>
      <w:r>
        <w:rPr>
          <w:noProof/>
        </w:rPr>
        <w:t xml:space="preserve"> Комисията издаде </w:t>
      </w:r>
      <w:r>
        <w:rPr>
          <w:b/>
          <w:noProof/>
        </w:rPr>
        <w:t>препоръка и практически съвети за гъвкаво признаване на квалификациите</w:t>
      </w:r>
      <w:r>
        <w:rPr>
          <w:noProof/>
        </w:rPr>
        <w:t>, които дават достъп до регулирани професии, или за допълнително обучение за хората, бягащи от войната на Русия срещу Украйна, като наблюдава нейното изпълнение</w:t>
      </w:r>
      <w:r>
        <w:rPr>
          <w:rStyle w:val="FootnoteReference"/>
          <w:iCs/>
          <w:noProof/>
        </w:rPr>
        <w:footnoteReference w:id="55"/>
      </w:r>
      <w:r>
        <w:rPr>
          <w:noProof/>
        </w:rPr>
        <w:t>. За да подпомогне по-доброто разбиране и сравнимост на украинските квалификации с квалификациите, придобити в ЕС, Комисията публикува сравнителен доклад</w:t>
      </w:r>
      <w:r>
        <w:rPr>
          <w:rStyle w:val="FootnoteReference"/>
          <w:iCs/>
          <w:noProof/>
        </w:rPr>
        <w:footnoteReference w:id="56"/>
      </w:r>
      <w:r>
        <w:rPr>
          <w:noProof/>
        </w:rPr>
        <w:t xml:space="preserve"> и организира обмен за практикуващи специалисти и други лица, участващи в прегледа на квалификациите. </w:t>
      </w:r>
    </w:p>
    <w:p w14:paraId="50063DCC" w14:textId="53D3CEB5" w:rsidR="00991015" w:rsidRPr="00F96BDE" w:rsidRDefault="00541148" w:rsidP="00991015">
      <w:pPr>
        <w:spacing w:before="120" w:after="120"/>
        <w:jc w:val="both"/>
        <w:rPr>
          <w:iCs/>
          <w:noProof/>
        </w:rPr>
      </w:pPr>
      <w:r>
        <w:rPr>
          <w:noProof/>
        </w:rPr>
        <w:t>Много държави членки вече предприеха важни стъпки за улесняване на признаването на квалификациите</w:t>
      </w:r>
      <w:r>
        <w:rPr>
          <w:rStyle w:val="FootnoteReference"/>
          <w:iCs/>
          <w:noProof/>
        </w:rPr>
        <w:footnoteReference w:id="57"/>
      </w:r>
      <w:r>
        <w:rPr>
          <w:noProof/>
        </w:rPr>
        <w:t xml:space="preserve">, като някои от тях сключиха споразумения с Украйна в областта на академичното признаване. Важно е да се гарантира, че хората имат достъп до работа, която съответства на тяхната квалификация и опит. </w:t>
      </w:r>
    </w:p>
    <w:bookmarkEnd w:id="6"/>
    <w:p w14:paraId="02A55593" w14:textId="7B30ED84" w:rsidR="00510A73" w:rsidRPr="00F96BDE" w:rsidRDefault="00510A73" w:rsidP="00F24CCD">
      <w:pPr>
        <w:spacing w:before="120" w:after="120"/>
        <w:jc w:val="both"/>
        <w:rPr>
          <w:iCs/>
          <w:noProof/>
        </w:rPr>
      </w:pPr>
      <w:r>
        <w:rPr>
          <w:noProof/>
        </w:rPr>
        <w:t xml:space="preserve">Предвид това, че преобладаващ дял от украинските домакинства, на които е предоставена временна закрила, се оглавяват от жени, програмите на няколко държави членки за приобщаване към пазара на труда добавиха акцент върху </w:t>
      </w:r>
      <w:r>
        <w:rPr>
          <w:b/>
          <w:noProof/>
        </w:rPr>
        <w:t>подкрепата за жените от Украйна</w:t>
      </w:r>
      <w:r>
        <w:rPr>
          <w:noProof/>
        </w:rPr>
        <w:t xml:space="preserve">. Този контекст също така прави наличието на услуги за „образование и грижи в ранна детска възраст“ особено важна предпоставка за бързото им и устойчиво приобщаване към пазара на труда. </w:t>
      </w:r>
    </w:p>
    <w:p w14:paraId="2B4B8F59" w14:textId="6C293B4F" w:rsidR="00783D49" w:rsidRPr="00F96BDE" w:rsidRDefault="00B54964" w:rsidP="00F24CCD">
      <w:pPr>
        <w:spacing w:before="120" w:after="120"/>
        <w:jc w:val="both"/>
        <w:rPr>
          <w:iCs/>
          <w:noProof/>
        </w:rPr>
      </w:pPr>
      <w:r>
        <w:rPr>
          <w:noProof/>
        </w:rPr>
        <w:t>Специално внимание беше отделено и ще продължи да се отделя на</w:t>
      </w:r>
      <w:r>
        <w:rPr>
          <w:b/>
          <w:noProof/>
        </w:rPr>
        <w:t xml:space="preserve"> украинските журналисти и работещи в медиите</w:t>
      </w:r>
      <w:r w:rsidR="002D6F2D">
        <w:rPr>
          <w:noProof/>
        </w:rPr>
        <w:t xml:space="preserve">. В рамките на </w:t>
      </w:r>
      <w:r>
        <w:rPr>
          <w:noProof/>
        </w:rPr>
        <w:t>подкрепения от ЕС „Общоевропейски механизъм за бързо реагиране при нарушения на свободата на пресата и свободата на медиите“</w:t>
      </w:r>
      <w:r>
        <w:rPr>
          <w:rStyle w:val="FootnoteReference"/>
          <w:noProof/>
        </w:rPr>
        <w:footnoteReference w:id="58"/>
      </w:r>
      <w:r>
        <w:rPr>
          <w:noProof/>
        </w:rPr>
        <w:t xml:space="preserve"> в ЕС бяха приети журналисти. Друг финансиран от ЕС проект за насърчаване на трансграничните журналистически партньорства</w:t>
      </w:r>
      <w:r>
        <w:rPr>
          <w:rStyle w:val="FootnoteReference"/>
          <w:noProof/>
        </w:rPr>
        <w:footnoteReference w:id="59"/>
      </w:r>
      <w:r>
        <w:rPr>
          <w:noProof/>
        </w:rPr>
        <w:t xml:space="preserve"> бе отворен за украинските медии. За да подкрепи предприемаческия потенциал на младите украинци, Комисията предприе мерки за по-гъвкаво участие в програмата „Еразъм за млади предприемачи“. В резултат на това по програмата се наблюдава най-голям брой украински предприемачи, кандидатстващи и участващи в програмата, от 2018 г. насам.</w:t>
      </w:r>
    </w:p>
    <w:p w14:paraId="3CCABB45" w14:textId="122FB973" w:rsidR="00005413" w:rsidRPr="00F96BDE" w:rsidRDefault="00783D49" w:rsidP="00F24CCD">
      <w:pPr>
        <w:spacing w:before="120" w:after="120"/>
        <w:jc w:val="both"/>
        <w:rPr>
          <w:iCs/>
          <w:noProof/>
        </w:rPr>
      </w:pPr>
      <w:r>
        <w:rPr>
          <w:noProof/>
        </w:rPr>
        <w:t>Комисията също така засили работата си със социалните и икономическите партньори в рамките на Европейското партньорство за интеграция с цел по-нататъшно интегриране на пазара на труда на лицата, ползващи се с временна закрила. Както беше подчертано в съвместно изявление, публикувано през декември 2022 г., неговите членове се споразумяват да се съсредоточат върху укрепването на структурите за сътрудничество между съответните участници на пазара на труда, както и улесняването и опростяването на оценката, признаването и удостоверяването на уменията и квалификациите на бежанците и мигрантите</w:t>
      </w:r>
      <w:r>
        <w:rPr>
          <w:rStyle w:val="FootnoteReference"/>
          <w:noProof/>
        </w:rPr>
        <w:footnoteReference w:id="60"/>
      </w:r>
      <w:r>
        <w:rPr>
          <w:noProof/>
        </w:rPr>
        <w:t>.</w:t>
      </w:r>
    </w:p>
    <w:p w14:paraId="62C0DE55" w14:textId="2BF8E8A4" w:rsidR="00D2021D" w:rsidRPr="00F96BDE" w:rsidRDefault="00504992" w:rsidP="00F24CCD">
      <w:pPr>
        <w:spacing w:before="120" w:after="120"/>
        <w:jc w:val="both"/>
        <w:rPr>
          <w:noProof/>
        </w:rPr>
      </w:pPr>
      <w:r>
        <w:rPr>
          <w:noProof/>
        </w:rPr>
        <w:t xml:space="preserve">Тъй като държавите членки започват да изпълняват своите програми по ЕСФ+ за периода 2021—2027 г., Комисията ще наблюдава използването на ЕСФ+ в подкрепа на пазара на труда и социалното приобщаване на граждани на трети държави, по-специално от Украйна. </w:t>
      </w:r>
    </w:p>
    <w:p w14:paraId="4DAACA04" w14:textId="5B40A7DD" w:rsidR="00CB350E" w:rsidRPr="00F96BDE" w:rsidRDefault="00783D49" w:rsidP="00CB350E">
      <w:pPr>
        <w:spacing w:before="120" w:after="120"/>
        <w:jc w:val="both"/>
        <w:rPr>
          <w:noProof/>
        </w:rPr>
      </w:pPr>
      <w:r>
        <w:rPr>
          <w:noProof/>
        </w:rPr>
        <w:t xml:space="preserve">Яснотата относно правото на заетост и самостоятелна заетост без забавяне или условия беше ключов фактор, за да се гарантира, че разселените от Украйна лица могат да получат достъп до пазара на труда. Допълнително могат да се увеличат усилията, за да се предоставя на разселените лица с информация за евентуална подкрепа за навлизане на пазара на труда и за да се насърчава регистрирането в публичните служби по заетостта. Същевременно несигурността относно срока, в който разселените лица от Украйна може би ще останат в ЕС, изисква гъвкави подходи, за да се гарантира бърз, но и устойчив достъп до пазара на труда. Във връзка с това важна стъпка представляват ориентираните към бъдещето усилия на държави членки като Полша, Естония и други за улесняване на достъпа до други статути на законна миграция, включително чрез заетост. В бъдеще проактивните усилия за осигуряване на езикови курсове, по-добър достъп и приобщаване на пазара на труда ще трябва да продължат да съпътстват този подход, така че да няма пренебрегнати. </w:t>
      </w:r>
    </w:p>
    <w:p w14:paraId="6AF22EC4" w14:textId="055AB5E3" w:rsidR="008304C9" w:rsidRPr="00F96BDE" w:rsidRDefault="008304C9" w:rsidP="00CB350E">
      <w:pPr>
        <w:spacing w:before="120" w:after="120"/>
        <w:jc w:val="both"/>
        <w:rPr>
          <w:b/>
          <w:bCs/>
          <w:noProof/>
        </w:rPr>
      </w:pPr>
      <w:r>
        <w:rPr>
          <w:b/>
          <w:noProof/>
        </w:rPr>
        <w:t>Следващи стъпки:</w:t>
      </w:r>
    </w:p>
    <w:p w14:paraId="4EAEF1C9" w14:textId="33211F23" w:rsidR="005115A4" w:rsidRPr="00F96BDE" w:rsidRDefault="005115A4" w:rsidP="005115A4">
      <w:pPr>
        <w:pStyle w:val="ListParagraph"/>
        <w:numPr>
          <w:ilvl w:val="0"/>
          <w:numId w:val="13"/>
        </w:numPr>
        <w:spacing w:before="120" w:after="120"/>
        <w:jc w:val="both"/>
        <w:rPr>
          <w:rFonts w:ascii="Times New Roman" w:hAnsi="Times New Roman" w:cs="Times New Roman"/>
          <w:noProof/>
          <w:sz w:val="24"/>
          <w:szCs w:val="24"/>
        </w:rPr>
      </w:pPr>
      <w:r>
        <w:rPr>
          <w:rFonts w:ascii="Times New Roman" w:hAnsi="Times New Roman"/>
          <w:noProof/>
          <w:sz w:val="24"/>
        </w:rPr>
        <w:t>Комисията ще поощрява държавите членки да окуражават по-бързото интегриране на пазара на труда на лицата, ползващи се с временна закрила, чрез подобрено популяризиране и подпомагане на използването на пилотния проект „Резерв на ЕС от таланти“ и чрез споделяне на установените най-добри практики.</w:t>
      </w:r>
    </w:p>
    <w:p w14:paraId="18B45543" w14:textId="03715F89" w:rsidR="005115A4" w:rsidRPr="00F96BDE" w:rsidRDefault="005115A4" w:rsidP="005115A4">
      <w:pPr>
        <w:pStyle w:val="ListParagraph"/>
        <w:numPr>
          <w:ilvl w:val="0"/>
          <w:numId w:val="13"/>
        </w:numPr>
        <w:spacing w:before="120" w:after="120"/>
        <w:jc w:val="both"/>
        <w:rPr>
          <w:rFonts w:ascii="Times New Roman" w:hAnsi="Times New Roman" w:cs="Times New Roman"/>
          <w:noProof/>
          <w:sz w:val="24"/>
          <w:szCs w:val="24"/>
        </w:rPr>
      </w:pPr>
      <w:r>
        <w:rPr>
          <w:rFonts w:ascii="Times New Roman" w:hAnsi="Times New Roman"/>
          <w:noProof/>
          <w:sz w:val="24"/>
        </w:rPr>
        <w:t>Комисията ще насърчава обмена на информация относно напредъка, предизвикателствата и добрите практики при изпълнението на проекти за финансиране от ЕС за граждани на трети държави с националните управляващи органи на ЕСФ+.</w:t>
      </w:r>
    </w:p>
    <w:p w14:paraId="6CC0DE51" w14:textId="14D686B0" w:rsidR="006160C6" w:rsidRPr="00F96BDE" w:rsidRDefault="005115A4" w:rsidP="002E6052">
      <w:pPr>
        <w:pStyle w:val="ListParagraph"/>
        <w:numPr>
          <w:ilvl w:val="0"/>
          <w:numId w:val="13"/>
        </w:numPr>
        <w:spacing w:before="120" w:after="120"/>
        <w:jc w:val="both"/>
        <w:rPr>
          <w:rFonts w:ascii="Times New Roman" w:hAnsi="Times New Roman" w:cs="Times New Roman"/>
          <w:noProof/>
          <w:sz w:val="24"/>
          <w:szCs w:val="24"/>
        </w:rPr>
      </w:pPr>
      <w:r>
        <w:rPr>
          <w:rFonts w:ascii="Times New Roman" w:hAnsi="Times New Roman"/>
          <w:noProof/>
          <w:sz w:val="24"/>
        </w:rPr>
        <w:t xml:space="preserve">С цел да подпомогне по-доброто разбиране и сравнимост на украинските квалификации с квалификациите, придобити в ЕС, Комисията ще направи преглед на прилагането на препоръката си относно гъвкавото признаване на квалификациите и организира обмен за практикуващи специалисти и други лица, участващи в прегледа на квалификациите. </w:t>
      </w:r>
    </w:p>
    <w:p w14:paraId="02446020" w14:textId="7883C90C" w:rsidR="008304C9" w:rsidRPr="00F96BDE" w:rsidRDefault="008304C9" w:rsidP="002C5736">
      <w:pPr>
        <w:pStyle w:val="ListParagraph"/>
        <w:spacing w:before="120" w:after="120"/>
        <w:jc w:val="both"/>
        <w:rPr>
          <w:noProof/>
        </w:rPr>
      </w:pPr>
    </w:p>
    <w:p w14:paraId="6488AF16" w14:textId="77777777" w:rsidR="00783D49" w:rsidRPr="00F96BDE" w:rsidRDefault="00783D49" w:rsidP="001E62FE">
      <w:pPr>
        <w:pStyle w:val="ListParagraph"/>
        <w:keepNext/>
        <w:numPr>
          <w:ilvl w:val="1"/>
          <w:numId w:val="1"/>
        </w:numPr>
        <w:spacing w:before="120" w:after="120" w:line="240" w:lineRule="auto"/>
        <w:jc w:val="both"/>
        <w:rPr>
          <w:rFonts w:ascii="Times New Roman" w:hAnsi="Times New Roman" w:cs="Times New Roman"/>
          <w:b/>
          <w:bCs/>
          <w:iCs/>
          <w:noProof/>
          <w:sz w:val="24"/>
          <w:szCs w:val="24"/>
        </w:rPr>
      </w:pPr>
      <w:r>
        <w:rPr>
          <w:rFonts w:ascii="Times New Roman" w:hAnsi="Times New Roman"/>
          <w:b/>
          <w:noProof/>
          <w:sz w:val="24"/>
        </w:rPr>
        <w:t>Достъп до жилищно настаняване</w:t>
      </w:r>
    </w:p>
    <w:p w14:paraId="6AB1BBFA" w14:textId="51367EA2" w:rsidR="00783D49" w:rsidRPr="00F96BDE" w:rsidRDefault="00005413" w:rsidP="00F24CCD">
      <w:pPr>
        <w:spacing w:before="120" w:after="120"/>
        <w:jc w:val="both"/>
        <w:rPr>
          <w:bCs/>
          <w:iCs/>
          <w:noProof/>
        </w:rPr>
      </w:pPr>
      <w:r>
        <w:rPr>
          <w:noProof/>
        </w:rPr>
        <w:t xml:space="preserve">Приемането на милиони разселени лица в кратък срок се оказа едно от основните предизвикателства при прилагането на Директивата за временната закрила. </w:t>
      </w:r>
    </w:p>
    <w:p w14:paraId="3F854F9F" w14:textId="36F50F6E" w:rsidR="00783D49" w:rsidRPr="00F96BDE" w:rsidRDefault="00783D49" w:rsidP="00F24CCD">
      <w:pPr>
        <w:spacing w:before="120" w:after="120"/>
        <w:jc w:val="both"/>
        <w:rPr>
          <w:noProof/>
        </w:rPr>
      </w:pPr>
      <w:r>
        <w:rPr>
          <w:noProof/>
        </w:rPr>
        <w:t>Навсякъде в ЕС националните органи и общините осигуриха различни видове временни или по-постоянни жилища чрез частни спонсори, но също така и чрез пазара на жилища. Механизмът за гражданска защита на Съюза (МГЗС)</w:t>
      </w:r>
      <w:r>
        <w:rPr>
          <w:rStyle w:val="FootnoteReference"/>
          <w:noProof/>
        </w:rPr>
        <w:footnoteReference w:id="61"/>
      </w:r>
      <w:r>
        <w:rPr>
          <w:noProof/>
        </w:rPr>
        <w:t xml:space="preserve"> помогна да се отговори на търсенето на спешен подслон в държавите членки, съседни или намиращи се близо до Украйна и Република Молдова, особено за първите няколко дни след пристигането. Координационният център за реагиране при извънредни ситуации (ERCC) на Комисията канализира предложения от 21 държави — членки на ЕС, и Норвегия и мобилизира модули за бедствено настаняване и легла от резерва за подслон rescEU.</w:t>
      </w:r>
    </w:p>
    <w:p w14:paraId="35CF50AB" w14:textId="566ECA30" w:rsidR="0031174D" w:rsidRPr="00766379" w:rsidRDefault="0031174D" w:rsidP="00F24CCD">
      <w:pPr>
        <w:spacing w:before="120" w:after="120"/>
        <w:jc w:val="both"/>
        <w:rPr>
          <w:noProof/>
          <w:spacing w:val="-4"/>
        </w:rPr>
      </w:pPr>
      <w:r w:rsidRPr="00766379">
        <w:rPr>
          <w:noProof/>
          <w:spacing w:val="-4"/>
        </w:rPr>
        <w:t xml:space="preserve">Трябва обаче да се отбележи, че един от най-забележителните аспекти на отговора на кризата бе </w:t>
      </w:r>
      <w:r w:rsidRPr="00766379">
        <w:rPr>
          <w:b/>
          <w:noProof/>
          <w:spacing w:val="-4"/>
        </w:rPr>
        <w:t>огромната щедрост, демонстрирана от хората, които отвориха собствените си домове</w:t>
      </w:r>
      <w:r w:rsidRPr="00766379">
        <w:rPr>
          <w:noProof/>
          <w:spacing w:val="-4"/>
        </w:rPr>
        <w:t xml:space="preserve">. Без тази помощ официалните приемни центрове трудно щяха да се справят. </w:t>
      </w:r>
    </w:p>
    <w:p w14:paraId="504D3D3D" w14:textId="372ABB4D" w:rsidR="00783D49" w:rsidRPr="00F96BDE" w:rsidRDefault="00783D49" w:rsidP="00F24CCD">
      <w:pPr>
        <w:spacing w:before="120" w:after="120"/>
        <w:jc w:val="both"/>
        <w:rPr>
          <w:bCs/>
          <w:iCs/>
          <w:noProof/>
        </w:rPr>
      </w:pPr>
      <w:r>
        <w:rPr>
          <w:noProof/>
        </w:rPr>
        <w:t>За да подпомогнат уязвимите лица и техните домакини, националните органи подкрепиха и участваха в иновативни платформи за съвместно сътрудничество, които свързват хората с домовете, обменят информация и предоставят взаимна подкрепа. Много държави членки също така предоставят финансова подкрепа на домакинствата, приемащи лица, ползващи се с временна закрила, а други предоставят помощи за жилищно настаняване директно на лицата, на които е предоставена временна закрила</w:t>
      </w:r>
      <w:r>
        <w:rPr>
          <w:rStyle w:val="FootnoteReference"/>
          <w:noProof/>
        </w:rPr>
        <w:footnoteReference w:id="62"/>
      </w:r>
      <w:r>
        <w:rPr>
          <w:noProof/>
        </w:rPr>
        <w:t>.</w:t>
      </w:r>
    </w:p>
    <w:p w14:paraId="5E41540A" w14:textId="70036AFF" w:rsidR="00A15D5C" w:rsidRPr="00766379" w:rsidRDefault="00783D49" w:rsidP="00A15D5C">
      <w:pPr>
        <w:spacing w:after="120"/>
        <w:jc w:val="both"/>
        <w:rPr>
          <w:noProof/>
          <w:spacing w:val="-4"/>
        </w:rPr>
      </w:pPr>
      <w:r w:rsidRPr="00766379">
        <w:rPr>
          <w:noProof/>
          <w:spacing w:val="-4"/>
        </w:rPr>
        <w:t>В рамките на инициативата „</w:t>
      </w:r>
      <w:r w:rsidRPr="00766379">
        <w:rPr>
          <w:b/>
          <w:noProof/>
          <w:spacing w:val="-4"/>
        </w:rPr>
        <w:t>Безопасни домове</w:t>
      </w:r>
      <w:r w:rsidRPr="00766379">
        <w:rPr>
          <w:noProof/>
          <w:spacing w:val="-4"/>
        </w:rPr>
        <w:t>“</w:t>
      </w:r>
      <w:r w:rsidRPr="00766379">
        <w:rPr>
          <w:rStyle w:val="FootnoteReference"/>
          <w:bCs/>
          <w:iCs/>
          <w:noProof/>
          <w:spacing w:val="-4"/>
        </w:rPr>
        <w:footnoteReference w:id="63"/>
      </w:r>
      <w:r w:rsidR="002D6F2D">
        <w:rPr>
          <w:noProof/>
          <w:spacing w:val="-4"/>
        </w:rPr>
        <w:t xml:space="preserve"> Комисията представи </w:t>
      </w:r>
      <w:r w:rsidRPr="00766379">
        <w:rPr>
          <w:noProof/>
          <w:spacing w:val="-4"/>
        </w:rPr>
        <w:t>насоки, за да се подпомогнат държавите членки, регионалните и местните органи и гражданското общество при организирането на инициативи за настаняване в частни домове</w:t>
      </w:r>
      <w:r w:rsidRPr="00766379">
        <w:rPr>
          <w:rStyle w:val="FootnoteReference"/>
          <w:noProof/>
          <w:spacing w:val="-4"/>
        </w:rPr>
        <w:footnoteReference w:id="64"/>
      </w:r>
      <w:r w:rsidRPr="00766379">
        <w:rPr>
          <w:noProof/>
          <w:spacing w:val="-4"/>
        </w:rPr>
        <w:t>. Освен това Комисията насърчи държавите членки да обменят и проучват така наречените схеми за „общностно спонсориране“ или други подобни схеми, които осигуряват пътеки за интеграция на настанени хора. Целеви бюджет в размер на 5,5 милиона евро, изпълняван от проекта на Международната федерация на Червения кръст, има за цел да подпомогне прилагането на насоките на инициативата „Безопасни домове“ и разработването на модел за добри практики. Чрез проекта ще се осъществи по-добра връзка между приетите от държавата лица или семейства с потенциални домакини, като същевременно ще се оценят нуждите на държавите членки, и ще се създаде механизъм за насочване, който да свърже настаняването с няколко служби за интеграция. Други дейности по проекта ще включват предоставяне на подкрепа и насоки на домакините. Компонентите на програмата ще бъдат изпълнявани през цялата 2023 г. в Белгия, Франция, Германия, Унгария, Ирландия, Нидерландия, Люксембург, Полша, Румъния и Словакия.</w:t>
      </w:r>
    </w:p>
    <w:p w14:paraId="6C12CD2F" w14:textId="37C28863" w:rsidR="00005413" w:rsidRPr="00F96BDE" w:rsidRDefault="00005413" w:rsidP="00A15D5C">
      <w:pPr>
        <w:spacing w:after="120"/>
        <w:jc w:val="both"/>
        <w:rPr>
          <w:noProof/>
        </w:rPr>
      </w:pPr>
      <w:r>
        <w:rPr>
          <w:noProof/>
        </w:rPr>
        <w:t>Освен това през януари 2023 г. Комисията отправи покана за представяне на предложения за безвъзмездни средства за проекти по линия на фонд „Убежище, миграция и интеграция“</w:t>
      </w:r>
      <w:r>
        <w:rPr>
          <w:rStyle w:val="FootnoteReference"/>
          <w:noProof/>
        </w:rPr>
        <w:footnoteReference w:id="65"/>
      </w:r>
      <w:r>
        <w:rPr>
          <w:noProof/>
        </w:rPr>
        <w:t xml:space="preserve"> с цел по-нататъшна подкрепа и насърчаване на схемите за общностно спонсориране и подпомагане на развитието на взаимното допълване между капацитета за приемане на държавите членки и предлагането на жилища чрез схеми за частно настаняване. Това ще позволи да се включат поуките, извлечени от отговора за Украйна, за да се набележат възможности за разширяване на структурния капацитет за приемане на равнището на ЕС. ЕСФ+ също така ще бъде в добра позиция да подкрепя такива схеми в държавите — членки на ЕС.</w:t>
      </w:r>
    </w:p>
    <w:p w14:paraId="23BB97F3" w14:textId="6C42CE89" w:rsidR="0032641C" w:rsidRPr="00F96BDE" w:rsidRDefault="00783D49" w:rsidP="00F24CCD">
      <w:pPr>
        <w:spacing w:before="120" w:after="120"/>
        <w:jc w:val="both"/>
        <w:rPr>
          <w:noProof/>
        </w:rPr>
      </w:pPr>
      <w:r>
        <w:rPr>
          <w:noProof/>
        </w:rPr>
        <w:t xml:space="preserve">В бъдеще разселените лица от Украйна ще трябва да преминат от краткосрочно спешно жилищно настаняване или временно частно настаняване към по-устойчиви решения за жилищно настаняване, като се избягва постоянна зависимост от организиран от държавата прием. Освен това е необходимо да се осигурят достъпни жилища за хората с увреждания. Недостигът на финансово достъпни или социални жилища, който може да се характеризира като криза на жилищния пазар в някои държави членки, прави този преход по-труден. Когато лицата, на които е предоставена временна закрила, плащат изцяло или частично за своето жилище, от решаващо значение за запазването на достъпа до жилищно настаняване за тези, които се нуждаят от него, са подходящите проверки на имущественото състояние и подкрепа при необходимост. </w:t>
      </w:r>
    </w:p>
    <w:p w14:paraId="13CC27F3" w14:textId="12BE7551" w:rsidR="008304C9" w:rsidRPr="00F96BDE" w:rsidRDefault="008304C9" w:rsidP="00F24CCD">
      <w:pPr>
        <w:spacing w:before="120" w:after="120"/>
        <w:jc w:val="both"/>
        <w:rPr>
          <w:b/>
          <w:bCs/>
          <w:noProof/>
        </w:rPr>
      </w:pPr>
      <w:r>
        <w:rPr>
          <w:b/>
          <w:noProof/>
        </w:rPr>
        <w:t xml:space="preserve">Следващи стъпки: </w:t>
      </w:r>
    </w:p>
    <w:p w14:paraId="2D45772E" w14:textId="29616C58" w:rsidR="005514BD" w:rsidRPr="00766379" w:rsidRDefault="005514BD" w:rsidP="008304C9">
      <w:pPr>
        <w:pStyle w:val="ListParagraph"/>
        <w:numPr>
          <w:ilvl w:val="0"/>
          <w:numId w:val="14"/>
        </w:numPr>
        <w:spacing w:before="120" w:after="120"/>
        <w:jc w:val="both"/>
        <w:rPr>
          <w:rFonts w:ascii="Times New Roman" w:hAnsi="Times New Roman" w:cs="Times New Roman"/>
          <w:noProof/>
          <w:spacing w:val="-4"/>
          <w:sz w:val="24"/>
          <w:szCs w:val="24"/>
        </w:rPr>
      </w:pPr>
      <w:r w:rsidRPr="00766379">
        <w:rPr>
          <w:rFonts w:ascii="Times New Roman" w:hAnsi="Times New Roman"/>
          <w:noProof/>
          <w:spacing w:val="-4"/>
          <w:sz w:val="24"/>
        </w:rPr>
        <w:t>Платформата за солидарност ще продължи да наблюдава тенденциите по отношение на разселването и да актуализира европейския план за действие в извънредни ситуации, за да се гарантира наличието на възможности за настаняване.</w:t>
      </w:r>
    </w:p>
    <w:p w14:paraId="19863746" w14:textId="6131B1C3" w:rsidR="00746A4F" w:rsidRPr="00F96BDE" w:rsidRDefault="00746A4F" w:rsidP="008304C9">
      <w:pPr>
        <w:pStyle w:val="ListParagraph"/>
        <w:numPr>
          <w:ilvl w:val="0"/>
          <w:numId w:val="14"/>
        </w:numPr>
        <w:spacing w:before="120" w:after="120"/>
        <w:jc w:val="both"/>
        <w:rPr>
          <w:rFonts w:ascii="Times New Roman" w:hAnsi="Times New Roman" w:cs="Times New Roman"/>
          <w:noProof/>
          <w:sz w:val="24"/>
          <w:szCs w:val="24"/>
        </w:rPr>
      </w:pPr>
      <w:r>
        <w:rPr>
          <w:rFonts w:ascii="Times New Roman" w:hAnsi="Times New Roman"/>
          <w:noProof/>
          <w:sz w:val="24"/>
        </w:rPr>
        <w:t>Комисията ще наблюдава прилагането на Директивата за временната закрила в областта на приемането, за да идентифицира рисковете при прехода от спешно настаняване към по-дългосрочни решения, по-специално за уязвимите лица.</w:t>
      </w:r>
    </w:p>
    <w:p w14:paraId="1AD4FD56" w14:textId="44168891" w:rsidR="005514BD" w:rsidRPr="00F96BDE" w:rsidRDefault="005514BD" w:rsidP="008304C9">
      <w:pPr>
        <w:pStyle w:val="ListParagraph"/>
        <w:numPr>
          <w:ilvl w:val="0"/>
          <w:numId w:val="14"/>
        </w:numPr>
        <w:spacing w:before="120" w:after="120"/>
        <w:jc w:val="both"/>
        <w:rPr>
          <w:rFonts w:ascii="Times New Roman" w:hAnsi="Times New Roman" w:cs="Times New Roman"/>
          <w:noProof/>
          <w:sz w:val="24"/>
          <w:szCs w:val="24"/>
        </w:rPr>
      </w:pPr>
      <w:r>
        <w:rPr>
          <w:rFonts w:ascii="Times New Roman" w:hAnsi="Times New Roman"/>
          <w:noProof/>
          <w:sz w:val="24"/>
        </w:rPr>
        <w:t>В рамките на Платформата за солидарност ще се обсъждат изпълнението и насоките на инициативата „Безопасни домове“ с цел определяне на ключовите стъпки, които да бъдат предприети през следващите месеци, както и на извлечените поуки.</w:t>
      </w:r>
    </w:p>
    <w:p w14:paraId="2FA74E63" w14:textId="77565F96" w:rsidR="008304C9" w:rsidRPr="00F96BDE" w:rsidRDefault="00C9016D" w:rsidP="00D91110">
      <w:pPr>
        <w:pStyle w:val="ListParagraph"/>
        <w:numPr>
          <w:ilvl w:val="0"/>
          <w:numId w:val="14"/>
        </w:numPr>
        <w:spacing w:before="120" w:after="120"/>
        <w:jc w:val="both"/>
        <w:rPr>
          <w:rFonts w:ascii="Times New Roman" w:hAnsi="Times New Roman" w:cs="Times New Roman"/>
          <w:noProof/>
          <w:sz w:val="24"/>
          <w:szCs w:val="24"/>
        </w:rPr>
      </w:pPr>
      <w:r>
        <w:rPr>
          <w:rFonts w:ascii="Times New Roman" w:hAnsi="Times New Roman"/>
          <w:noProof/>
          <w:sz w:val="24"/>
        </w:rPr>
        <w:t>Европейската мрежа за интеграция</w:t>
      </w:r>
      <w:r>
        <w:rPr>
          <w:rStyle w:val="FootnoteReference"/>
          <w:bCs/>
          <w:iCs/>
          <w:noProof/>
        </w:rPr>
        <w:footnoteReference w:id="66"/>
      </w:r>
      <w:r>
        <w:rPr>
          <w:rFonts w:ascii="Times New Roman" w:hAnsi="Times New Roman"/>
          <w:noProof/>
          <w:sz w:val="24"/>
        </w:rPr>
        <w:t xml:space="preserve"> ще продължи да обменя добри практики за осигуряване на достъпни жилища въз основа на обсъжданията, проведени на 2—3 февруари 2023 г. в Швеция. </w:t>
      </w:r>
    </w:p>
    <w:p w14:paraId="3AB19D96" w14:textId="6F9AFD05" w:rsidR="008304C9" w:rsidRPr="00F96BDE" w:rsidRDefault="008304C9" w:rsidP="008304C9">
      <w:pPr>
        <w:pStyle w:val="ListParagraph"/>
        <w:numPr>
          <w:ilvl w:val="0"/>
          <w:numId w:val="14"/>
        </w:numPr>
        <w:spacing w:before="120" w:after="120"/>
        <w:jc w:val="both"/>
        <w:rPr>
          <w:rFonts w:ascii="Times New Roman" w:hAnsi="Times New Roman" w:cs="Times New Roman"/>
          <w:noProof/>
          <w:sz w:val="24"/>
          <w:szCs w:val="24"/>
        </w:rPr>
      </w:pPr>
      <w:r>
        <w:rPr>
          <w:rFonts w:ascii="Times New Roman" w:hAnsi="Times New Roman"/>
          <w:noProof/>
          <w:sz w:val="24"/>
        </w:rPr>
        <w:t>През 2023 г. Комисията ще мобилизира финансиране в размер на 8 милиона евро за подкрепа и насърчаване на схемите за общностно спонсориране.</w:t>
      </w:r>
    </w:p>
    <w:p w14:paraId="5EB87A5F" w14:textId="15EA2203" w:rsidR="008304C9" w:rsidRPr="00F96BDE" w:rsidRDefault="005514BD" w:rsidP="00055F68">
      <w:pPr>
        <w:pStyle w:val="ListParagraph"/>
        <w:numPr>
          <w:ilvl w:val="0"/>
          <w:numId w:val="14"/>
        </w:numPr>
        <w:spacing w:before="120" w:after="120"/>
        <w:jc w:val="both"/>
        <w:rPr>
          <w:rFonts w:ascii="Times New Roman" w:hAnsi="Times New Roman" w:cs="Times New Roman"/>
          <w:noProof/>
          <w:sz w:val="24"/>
          <w:szCs w:val="24"/>
        </w:rPr>
      </w:pPr>
      <w:r>
        <w:rPr>
          <w:rFonts w:ascii="Times New Roman" w:hAnsi="Times New Roman"/>
          <w:noProof/>
          <w:sz w:val="24"/>
        </w:rPr>
        <w:t>Комисията ще наблюдава изпълнението на проекта „Безопасни домове“, координиран от Международната федерация на Червения кръст, и при необходимост ще го подсили.</w:t>
      </w:r>
    </w:p>
    <w:p w14:paraId="2BBBC0BC" w14:textId="77777777" w:rsidR="008304C9" w:rsidRPr="00F96BDE" w:rsidRDefault="008304C9" w:rsidP="002C5736">
      <w:pPr>
        <w:pStyle w:val="ListParagraph"/>
        <w:spacing w:before="120" w:after="120"/>
        <w:jc w:val="both"/>
        <w:rPr>
          <w:rFonts w:ascii="Times New Roman" w:hAnsi="Times New Roman" w:cs="Times New Roman"/>
          <w:noProof/>
          <w:sz w:val="24"/>
          <w:szCs w:val="24"/>
        </w:rPr>
      </w:pPr>
    </w:p>
    <w:p w14:paraId="5139110E" w14:textId="3E7CB1C0" w:rsidR="00783D49" w:rsidRPr="00F96BDE" w:rsidRDefault="00E847AC" w:rsidP="001E62FE">
      <w:pPr>
        <w:pStyle w:val="ListParagraph"/>
        <w:keepNext/>
        <w:numPr>
          <w:ilvl w:val="0"/>
          <w:numId w:val="1"/>
        </w:numPr>
        <w:spacing w:before="120" w:after="120" w:line="240" w:lineRule="auto"/>
        <w:jc w:val="both"/>
        <w:rPr>
          <w:rFonts w:ascii="Times New Roman" w:hAnsi="Times New Roman" w:cs="Times New Roman"/>
          <w:b/>
          <w:iCs/>
          <w:noProof/>
          <w:sz w:val="24"/>
          <w:szCs w:val="24"/>
        </w:rPr>
      </w:pPr>
      <w:bookmarkStart w:id="7" w:name="_Hlk127366084"/>
      <w:r>
        <w:rPr>
          <w:rFonts w:ascii="Times New Roman" w:hAnsi="Times New Roman"/>
          <w:b/>
          <w:noProof/>
          <w:sz w:val="24"/>
        </w:rPr>
        <w:t>Финансова и оперативна подкрепа</w:t>
      </w:r>
    </w:p>
    <w:p w14:paraId="20964CF1" w14:textId="4964C66B" w:rsidR="0048334D" w:rsidRPr="00F96BDE" w:rsidRDefault="00783D49" w:rsidP="00783D49">
      <w:pPr>
        <w:spacing w:after="120"/>
        <w:jc w:val="both"/>
        <w:rPr>
          <w:noProof/>
        </w:rPr>
      </w:pPr>
      <w:r>
        <w:rPr>
          <w:noProof/>
        </w:rPr>
        <w:t xml:space="preserve">ЕС предостави подкрепа чрез безпрецедентни мерки и финансиране за посрещане на нуждите на разселените лица, като използва няколко фонда на ЕС. Комисията мобилизира на много ранен етап своя всеобхватен набор от инструменти във всички разходни програми на ЕС в подкрепа на държавите членки. </w:t>
      </w:r>
    </w:p>
    <w:p w14:paraId="3A1CC1CD" w14:textId="3AEB2E9D" w:rsidR="00A62402" w:rsidRPr="00F96BDE" w:rsidRDefault="00A62402" w:rsidP="00A62402">
      <w:pPr>
        <w:pStyle w:val="ListParagraph"/>
        <w:keepNext/>
        <w:numPr>
          <w:ilvl w:val="1"/>
          <w:numId w:val="1"/>
        </w:numPr>
        <w:spacing w:before="120" w:after="120" w:line="240" w:lineRule="auto"/>
        <w:jc w:val="both"/>
        <w:rPr>
          <w:rFonts w:ascii="Times New Roman" w:hAnsi="Times New Roman" w:cs="Times New Roman"/>
          <w:b/>
          <w:bCs/>
          <w:iCs/>
          <w:noProof/>
          <w:sz w:val="24"/>
          <w:szCs w:val="24"/>
        </w:rPr>
      </w:pPr>
      <w:r>
        <w:rPr>
          <w:rFonts w:ascii="Times New Roman" w:hAnsi="Times New Roman"/>
          <w:b/>
          <w:noProof/>
          <w:sz w:val="24"/>
        </w:rPr>
        <w:t>Финансова подкрепа</w:t>
      </w:r>
    </w:p>
    <w:p w14:paraId="7666D300" w14:textId="7CB74E97" w:rsidR="001E2845" w:rsidRPr="00F96BDE" w:rsidRDefault="001E2845" w:rsidP="001E2845">
      <w:pPr>
        <w:spacing w:after="120"/>
        <w:jc w:val="both"/>
        <w:rPr>
          <w:noProof/>
        </w:rPr>
      </w:pPr>
      <w:r>
        <w:rPr>
          <w:noProof/>
        </w:rPr>
        <w:t xml:space="preserve">От март 2022 г. насам правилата, уреждащи политиката на сближаване, бяха преразглеждани няколко пъти, за да се даде възможност на държавите членки да използват неизразходваните средства от пакета за периода 2014—2020 г. и да се осигури допълнителна ликвидност и от новия пакет за периода 2021—2027 г. С пакета </w:t>
      </w:r>
      <w:r>
        <w:rPr>
          <w:b/>
          <w:noProof/>
        </w:rPr>
        <w:t>„Действия по линия на сближаването за бежанците в Европа“ (CARE)</w:t>
      </w:r>
      <w:r>
        <w:rPr>
          <w:noProof/>
        </w:rPr>
        <w:t>, състоящ се от три изменения</w:t>
      </w:r>
      <w:r>
        <w:rPr>
          <w:rStyle w:val="FootnoteReference"/>
          <w:noProof/>
        </w:rPr>
        <w:footnoteReference w:id="67"/>
      </w:r>
      <w:r>
        <w:rPr>
          <w:noProof/>
        </w:rPr>
        <w:t>, се увеличи гъвкавостта на съществуващите правила, бе осигурена по-голяма ликвидност за финансиране на спешните нужди и бе опростено докладването за управляващите органи.</w:t>
      </w:r>
    </w:p>
    <w:p w14:paraId="61B99A76" w14:textId="67497B5D" w:rsidR="001E2845" w:rsidRPr="00F96BDE" w:rsidRDefault="00C840F8" w:rsidP="001E2845">
      <w:pPr>
        <w:spacing w:after="120"/>
        <w:jc w:val="both"/>
        <w:rPr>
          <w:noProof/>
        </w:rPr>
      </w:pPr>
      <w:r>
        <w:rPr>
          <w:noProof/>
        </w:rPr>
        <w:t>Общата допълнителна ликвидност, предоставена от ЕС чрез пакетите CARE и FAST-CARE, възлиза на 13,7 милиарда евро. Препрограмирани средства в размер на почти 1 милиард евро</w:t>
      </w:r>
      <w:r>
        <w:rPr>
          <w:rStyle w:val="FootnoteReference"/>
          <w:noProof/>
        </w:rPr>
        <w:footnoteReference w:id="68"/>
      </w:r>
      <w:r>
        <w:rPr>
          <w:noProof/>
        </w:rPr>
        <w:t xml:space="preserve"> за финансиране на посрещането и пристигането на разселени лица от Украйна и улесняване на достъпа до общия пазар на труда, образованието, езиковите курсове, грижите за децата, жилищното настаняване, медицинските грижи и други дългосрочни мерки за интеграция. Тъй като тези мерки са често грижа на местните органи и организациите на гражданското общество, от държавите членки се изисква да разпределят най-малко 30 % от съответните мерки по CARE за тези бенефициери</w:t>
      </w:r>
      <w:r>
        <w:rPr>
          <w:rStyle w:val="FootnoteReference"/>
          <w:noProof/>
        </w:rPr>
        <w:footnoteReference w:id="69"/>
      </w:r>
      <w:r>
        <w:rPr>
          <w:noProof/>
        </w:rPr>
        <w:t xml:space="preserve">. </w:t>
      </w:r>
    </w:p>
    <w:p w14:paraId="084335E6" w14:textId="67C3B913" w:rsidR="00F43041" w:rsidRPr="00F96BDE" w:rsidRDefault="00783D49" w:rsidP="00F43041">
      <w:pPr>
        <w:spacing w:before="120" w:after="120"/>
        <w:jc w:val="both"/>
        <w:rPr>
          <w:noProof/>
        </w:rPr>
      </w:pPr>
      <w:r>
        <w:rPr>
          <w:noProof/>
        </w:rPr>
        <w:t xml:space="preserve">Освен това ЕС измени </w:t>
      </w:r>
      <w:r>
        <w:rPr>
          <w:b/>
          <w:noProof/>
        </w:rPr>
        <w:t>фондовете в областта на вътрешните работи</w:t>
      </w:r>
      <w:r>
        <w:rPr>
          <w:noProof/>
        </w:rPr>
        <w:t xml:space="preserve">, за да увеличи финансовата гъвкавост и да улесни държавите членки при преразпределянето на наличните средства по техните програми за периода 2014—2020 г. за действия, насочени към разселените лица от Украйна, като например задоволяване на нуждите от първоначално приемане (напр. спешно настаняване, храна, здравеопазване, допълнителен персонал и др.), и подкрепа за усилията на държавите членки (напр. дейности по първоначална обработка и регистрация и насочване на лица към специализирани служби за подкрепа). </w:t>
      </w:r>
    </w:p>
    <w:p w14:paraId="582B363B" w14:textId="68E0E7F0" w:rsidR="00783D49" w:rsidRPr="00F96BDE" w:rsidRDefault="00783D49" w:rsidP="00F24CCD">
      <w:pPr>
        <w:spacing w:before="120" w:after="120"/>
        <w:jc w:val="both"/>
        <w:rPr>
          <w:rFonts w:eastAsia="Calibri"/>
          <w:noProof/>
        </w:rPr>
      </w:pPr>
      <w:r>
        <w:rPr>
          <w:noProof/>
        </w:rPr>
        <w:t xml:space="preserve">Освен това от фондовете в областта на вътрешните работи беше мобилизирано </w:t>
      </w:r>
      <w:r>
        <w:rPr>
          <w:b/>
          <w:noProof/>
        </w:rPr>
        <w:t>финансиране за спешна помощ в размер на 400 милиона евро</w:t>
      </w:r>
      <w:r>
        <w:rPr>
          <w:noProof/>
        </w:rPr>
        <w:t xml:space="preserve"> в рамките на проявата за поемане на ангажименти от 9 април 2022 г. „Да се изправим в защита на Украйна“. От тях 385 милиона евро бяха отпуснати за покриване на най-належащите нужди в държавите членки</w:t>
      </w:r>
      <w:r>
        <w:rPr>
          <w:rStyle w:val="FootnoteReference"/>
          <w:noProof/>
        </w:rPr>
        <w:footnoteReference w:id="70"/>
      </w:r>
      <w:r>
        <w:rPr>
          <w:noProof/>
        </w:rPr>
        <w:t xml:space="preserve">, които са най-силно засегнати от притока на разселени лица от Украйна, и за ранна интеграция, а останалите 15 милиона евро са планирани основно за инициативата „Безопасни домове“ и за предоставяне на психосоциална подкрепа за разселените лица от Украйна. </w:t>
      </w:r>
    </w:p>
    <w:p w14:paraId="5B0C44FF" w14:textId="222C70AF" w:rsidR="0048334D" w:rsidRPr="00F96BDE" w:rsidRDefault="0048334D" w:rsidP="0048334D">
      <w:pPr>
        <w:spacing w:before="120" w:after="120"/>
        <w:jc w:val="both"/>
        <w:rPr>
          <w:noProof/>
        </w:rPr>
      </w:pPr>
      <w:r>
        <w:rPr>
          <w:noProof/>
        </w:rPr>
        <w:t xml:space="preserve">Чрез инструмента за техническа подкрепа Комисията също така подпомага администрациите на държавите членки за улесняване на достъпа до права съгласно Директивата за временната закрила. </w:t>
      </w:r>
      <w:r w:rsidR="002D6F2D">
        <w:rPr>
          <w:noProof/>
        </w:rPr>
        <w:t xml:space="preserve">Това допринася за засилване на </w:t>
      </w:r>
      <w:r>
        <w:rPr>
          <w:noProof/>
        </w:rPr>
        <w:t>координацията на множество равнища и подобряване на процедурите, свързани с достъпа до социални услуги, образование и работни места за разселените лица от Украйна.</w:t>
      </w:r>
    </w:p>
    <w:p w14:paraId="6ED3CCD6" w14:textId="77777777" w:rsidR="00223607" w:rsidRPr="00F96BDE" w:rsidRDefault="004E6683" w:rsidP="004E6683">
      <w:pPr>
        <w:spacing w:after="120"/>
        <w:jc w:val="both"/>
        <w:rPr>
          <w:noProof/>
        </w:rPr>
      </w:pPr>
      <w:bookmarkStart w:id="8" w:name="_Hlk128496096"/>
      <w:r>
        <w:rPr>
          <w:noProof/>
        </w:rPr>
        <w:t xml:space="preserve">С приемането на новото поколение програми държавите членки имат достъп до значителна финансова подкрепа по линия на </w:t>
      </w:r>
      <w:r>
        <w:rPr>
          <w:b/>
          <w:noProof/>
        </w:rPr>
        <w:t>фондовете в областта на вътрешните работи и политиката на сближаване за периода 2021—2027 г.</w:t>
      </w:r>
      <w:r>
        <w:rPr>
          <w:noProof/>
        </w:rPr>
        <w:t xml:space="preserve">, което им позволява да предприемат действия, адаптирани към своите специфични нужди. </w:t>
      </w:r>
    </w:p>
    <w:p w14:paraId="20E2D7AE" w14:textId="4CCB25D7" w:rsidR="004E6683" w:rsidRPr="00F96BDE" w:rsidRDefault="00223607" w:rsidP="004E6683">
      <w:pPr>
        <w:spacing w:after="120"/>
        <w:jc w:val="both"/>
        <w:rPr>
          <w:noProof/>
        </w:rPr>
      </w:pPr>
      <w:r>
        <w:rPr>
          <w:noProof/>
        </w:rPr>
        <w:t>Комисията ще продължи да работи с държавите членки, по-специално в контекста на заключенията на Европейския съвет от 9 февруари 2023 г., за да гарантира, че продължава да се предоставя адекватна и гъвкава финансова помощ за държавите членки, които поемат най-голямата тежест, свързана с медицинските разходи, образованието и разходите за живот на бежанците.</w:t>
      </w:r>
    </w:p>
    <w:bookmarkEnd w:id="8"/>
    <w:p w14:paraId="37FA974C" w14:textId="6A126170" w:rsidR="0048334D" w:rsidRPr="00F96BDE" w:rsidRDefault="0048334D" w:rsidP="004967A1">
      <w:pPr>
        <w:pStyle w:val="ListParagraph"/>
        <w:keepNext/>
        <w:numPr>
          <w:ilvl w:val="1"/>
          <w:numId w:val="1"/>
        </w:numPr>
        <w:spacing w:before="360" w:after="120" w:line="240" w:lineRule="auto"/>
        <w:contextualSpacing w:val="0"/>
        <w:jc w:val="both"/>
        <w:rPr>
          <w:rFonts w:ascii="Times New Roman" w:hAnsi="Times New Roman" w:cs="Times New Roman"/>
          <w:b/>
          <w:bCs/>
          <w:iCs/>
          <w:noProof/>
          <w:sz w:val="24"/>
          <w:szCs w:val="24"/>
        </w:rPr>
      </w:pPr>
      <w:r>
        <w:rPr>
          <w:rFonts w:ascii="Times New Roman" w:hAnsi="Times New Roman"/>
          <w:b/>
          <w:noProof/>
          <w:sz w:val="24"/>
        </w:rPr>
        <w:t>Оперативна подкрепа</w:t>
      </w:r>
    </w:p>
    <w:p w14:paraId="6E72E364" w14:textId="127F79AA" w:rsidR="0048334D" w:rsidRPr="00F96BDE" w:rsidRDefault="0048334D" w:rsidP="0048334D">
      <w:pPr>
        <w:spacing w:before="120" w:after="120"/>
        <w:jc w:val="both"/>
        <w:rPr>
          <w:rFonts w:eastAsia="Calibri"/>
          <w:noProof/>
        </w:rPr>
      </w:pPr>
      <w:r>
        <w:rPr>
          <w:noProof/>
        </w:rPr>
        <w:t xml:space="preserve">Агресията на Русия срещу Украйна предизвика най-мащабната спешна операция от създаването на </w:t>
      </w:r>
      <w:r>
        <w:rPr>
          <w:b/>
          <w:noProof/>
        </w:rPr>
        <w:t>Механизма за гражданска защита на Съюза</w:t>
      </w:r>
      <w:r>
        <w:rPr>
          <w:noProof/>
        </w:rPr>
        <w:t xml:space="preserve"> (МГЗС), която показа неговия капацитет да мобилизира помощ както за Украйна, така и за държавите — членки на ЕС, които са най-силно засегнати от притока на разселени лица от Украйна. В Полша, Румъния и Словакия бяха създадени три логистични центъра на МГЗС, които изпратиха в Украйна повече от 80 000 тона помощ в натура от държавите членки и участващите държави. Координационният център за реагиране при извънредни ситуации (ERCC) на Комисията управлява най-голямата и най-сложна до момента операция по МГЗС с прогнозна финансова стойност на помощта от над 540 милиона евро. Това включва, наред с много други, лекарства и медицински изделия, превозни средства за спешна помощ, генератори на енергия и трансформатори. Той също така координира посочените по-горе медицински евакуации.</w:t>
      </w:r>
    </w:p>
    <w:p w14:paraId="155A7E7C" w14:textId="5E5237AC" w:rsidR="00783D49" w:rsidRPr="00F96BDE" w:rsidRDefault="00783D49" w:rsidP="00F24CCD">
      <w:pPr>
        <w:spacing w:before="120" w:after="120"/>
        <w:jc w:val="both"/>
        <w:rPr>
          <w:noProof/>
        </w:rPr>
      </w:pPr>
      <w:r>
        <w:rPr>
          <w:b/>
          <w:noProof/>
        </w:rPr>
        <w:t>Оперативната подкрепа от ЕС</w:t>
      </w:r>
      <w:r>
        <w:rPr>
          <w:noProof/>
        </w:rPr>
        <w:t xml:space="preserve"> се реализира и чрез участието на нейните агенции, по-специално Агенцията на Европейския съюз в областта на убежището (EUAA), Frontex, Европол и Агенцията за основните права (FRA).</w:t>
      </w:r>
    </w:p>
    <w:p w14:paraId="4BB30DC6" w14:textId="12BD16EE" w:rsidR="00783D49" w:rsidRPr="00F96BDE" w:rsidRDefault="00783D49" w:rsidP="00F24CCD">
      <w:pPr>
        <w:spacing w:before="120" w:after="120"/>
        <w:jc w:val="both"/>
        <w:rPr>
          <w:noProof/>
        </w:rPr>
      </w:pPr>
      <w:bookmarkStart w:id="9" w:name="_Hlk126333280"/>
      <w:r>
        <w:rPr>
          <w:noProof/>
        </w:rPr>
        <w:t>EUAA оказва подкрепа на 13 държави членки във връзка с техните нужди в областта на убежището, приемането и временната закрила. Допълнителни 90 служители бяха разположени, за да подкрепят конкретно държавите членки при прилагането на Директивата за временната закрила, нуждите от предоставяне на информация и други последици от руското нашествие в Украйна.</w:t>
      </w:r>
      <w:r>
        <w:rPr>
          <w:i/>
          <w:noProof/>
        </w:rPr>
        <w:t xml:space="preserve"> </w:t>
      </w:r>
      <w:r>
        <w:rPr>
          <w:noProof/>
        </w:rPr>
        <w:t xml:space="preserve">Агенцията разработи и разпространи широк набор от продукти за предоставяне на информация и започна информационни кампании относно временната закрила в тясно сътрудничество с Комисията. На държавите членки беше предоставено подходящо обучение за това как да предоставят на своите служители знанията и уменията, необходими за упражняване на правата съгласно Директивата за временната закрила. </w:t>
      </w:r>
    </w:p>
    <w:p w14:paraId="2F243DA5" w14:textId="40B9D694" w:rsidR="00783D49" w:rsidRPr="00F96BDE" w:rsidRDefault="00783D49" w:rsidP="00F24CCD">
      <w:pPr>
        <w:spacing w:before="120" w:after="120"/>
        <w:jc w:val="both"/>
        <w:rPr>
          <w:noProof/>
        </w:rPr>
      </w:pPr>
      <w:r>
        <w:rPr>
          <w:noProof/>
        </w:rPr>
        <w:t>Около 200 служители на Frontex са изпратени на съответните гранични контролно-пропускателни пунктове в Полша, Румъния, Словакия и Република Молдова, за да подкрепят ефективното и бързо обработване на пристигането на лицата, бягащи от руската агресия срещу Украйна. Европол също изпрати свои служители и гост-служители, които да извършват вторични проверки за сигурност в Литва, Полша, Словакия, Румъния, Унгария и Република Молдова. Също така служителите на Европол подпомагат разследвания в тези държави при поискване.</w:t>
      </w:r>
      <w:bookmarkEnd w:id="9"/>
    </w:p>
    <w:p w14:paraId="3469BA4B" w14:textId="4A3D5484" w:rsidR="00223607" w:rsidRPr="00F96BDE" w:rsidRDefault="00223607" w:rsidP="00F24CCD">
      <w:pPr>
        <w:spacing w:before="120" w:after="120"/>
        <w:jc w:val="both"/>
        <w:rPr>
          <w:noProof/>
        </w:rPr>
      </w:pPr>
      <w:r>
        <w:rPr>
          <w:noProof/>
        </w:rPr>
        <w:t>Агенцията на Европейския съюз за основните права изготви доклади относно прилагането на Директивата за временната закрила и наскоро проведе обширно проучване сред бенефициерите, в което бяха установени основните предизвикателства и приоритети за следващите месеци.</w:t>
      </w:r>
    </w:p>
    <w:bookmarkEnd w:id="7"/>
    <w:p w14:paraId="59D2AA68" w14:textId="3EA15D80" w:rsidR="00783D49" w:rsidRPr="00F96BDE" w:rsidRDefault="00783D49" w:rsidP="001E62FE">
      <w:pPr>
        <w:pStyle w:val="ListParagraph"/>
        <w:keepNext/>
        <w:numPr>
          <w:ilvl w:val="0"/>
          <w:numId w:val="1"/>
        </w:numPr>
        <w:spacing w:before="120" w:after="120" w:line="240" w:lineRule="auto"/>
        <w:jc w:val="both"/>
        <w:rPr>
          <w:rFonts w:ascii="Times New Roman" w:hAnsi="Times New Roman" w:cs="Times New Roman"/>
          <w:b/>
          <w:iCs/>
          <w:noProof/>
          <w:sz w:val="24"/>
          <w:szCs w:val="24"/>
        </w:rPr>
      </w:pPr>
      <w:r>
        <w:rPr>
          <w:rFonts w:ascii="Times New Roman" w:hAnsi="Times New Roman"/>
          <w:b/>
          <w:noProof/>
          <w:sz w:val="24"/>
        </w:rPr>
        <w:t>Солидарност и партньорство</w:t>
      </w:r>
    </w:p>
    <w:p w14:paraId="01E03200" w14:textId="77777777" w:rsidR="00783D49" w:rsidRPr="00F96BDE" w:rsidRDefault="00783D49" w:rsidP="004967A1">
      <w:pPr>
        <w:pStyle w:val="ListParagraph"/>
        <w:keepNext/>
        <w:numPr>
          <w:ilvl w:val="1"/>
          <w:numId w:val="1"/>
        </w:numPr>
        <w:spacing w:before="240" w:after="120" w:line="240" w:lineRule="auto"/>
        <w:contextualSpacing w:val="0"/>
        <w:jc w:val="both"/>
        <w:rPr>
          <w:rFonts w:ascii="Times New Roman" w:hAnsi="Times New Roman" w:cs="Times New Roman"/>
          <w:b/>
          <w:bCs/>
          <w:iCs/>
          <w:noProof/>
          <w:sz w:val="24"/>
          <w:szCs w:val="24"/>
        </w:rPr>
      </w:pPr>
      <w:r>
        <w:rPr>
          <w:rFonts w:ascii="Times New Roman" w:hAnsi="Times New Roman"/>
          <w:b/>
          <w:noProof/>
          <w:sz w:val="24"/>
        </w:rPr>
        <w:t>Солидарност в действие</w:t>
      </w:r>
    </w:p>
    <w:p w14:paraId="10EAD1CA" w14:textId="17A5282C" w:rsidR="00783D49" w:rsidRPr="00F96BDE" w:rsidRDefault="00783D49" w:rsidP="00F24CCD">
      <w:pPr>
        <w:spacing w:before="120" w:after="120"/>
        <w:jc w:val="both"/>
        <w:rPr>
          <w:iCs/>
          <w:noProof/>
        </w:rPr>
      </w:pPr>
      <w:r>
        <w:rPr>
          <w:noProof/>
        </w:rPr>
        <w:t xml:space="preserve">Солидарността е определящата черта на отговора на ЕС на руската агресия срещу Украйна, по-специално с решението на държавите членки </w:t>
      </w:r>
      <w:r>
        <w:rPr>
          <w:b/>
          <w:noProof/>
        </w:rPr>
        <w:t>да се откажат от прилагането на член 11 от Директивата за временната закрила</w:t>
      </w:r>
      <w:r>
        <w:rPr>
          <w:noProof/>
        </w:rPr>
        <w:t xml:space="preserve">, като по този начин се улеснява възможността лицата, ползващи се с временна закрила в една държава членка, да се преместят в други държави членки, за да се ползват от временна закрила там. Това даде възможност за </w:t>
      </w:r>
      <w:r>
        <w:rPr>
          <w:b/>
          <w:noProof/>
        </w:rPr>
        <w:t>безпрепятствено придвижване в ЕС</w:t>
      </w:r>
      <w:r>
        <w:rPr>
          <w:noProof/>
        </w:rPr>
        <w:t>, което спомогна за намаляване на натиска върху националните системи за приемане на държавите членки, граничещи с Украйна, и за намаляване на формалностите</w:t>
      </w:r>
      <w:r>
        <w:rPr>
          <w:rStyle w:val="FootnoteReference"/>
          <w:iCs/>
          <w:noProof/>
        </w:rPr>
        <w:footnoteReference w:id="71"/>
      </w:r>
      <w:r>
        <w:rPr>
          <w:noProof/>
        </w:rPr>
        <w:t xml:space="preserve"> по отношение на прехвърлянията, като по този начин инструментът стана още по-лесен за прилагане.</w:t>
      </w:r>
    </w:p>
    <w:p w14:paraId="1DB28A21" w14:textId="4CE18A11" w:rsidR="0031174D" w:rsidRPr="00F96BDE" w:rsidRDefault="0031174D" w:rsidP="0031174D">
      <w:pPr>
        <w:spacing w:before="120" w:after="120"/>
        <w:jc w:val="both"/>
        <w:rPr>
          <w:noProof/>
        </w:rPr>
      </w:pPr>
      <w:r>
        <w:rPr>
          <w:noProof/>
        </w:rPr>
        <w:t>За да се облекчи претовареният капацитет за прием на Република Молдова, Комисията започна да подкрепя и координира още на ранен етап, в рамките на Платформата за солидарност, прехвърлянето на уязвими лица, избягали от Украйна и имащи право на временна закрила, от Република Молдова към поели ангажимент държави — членки на ЕС, и други асоциирани към Шенген държави. Досега 12 държави — членки на ЕС, както и Норвегия, Лихтенщайн, Швейцария и Исландия поеха ангажимент да приемат 17 870 души, преминаващи транзитно през Република Молдова. От поетите досега ангажименти общо 2377 души са прехвърлени от Република Молдова към ЕС и други асоциирани към Шенген държави (към 17 февруари 2023 г.). Освен това ангажиментът на ЕС включваше и финансова подкрепа за дейностите на Международната организация по миграция (МОМ), свързани с организирането на полети от Република Молдова до поели ангажимент държави — членки на ЕС, и асоциирани към Шенген държави в рамките на проект на стойност 15 милиона евро, финансиран от ЕС.</w:t>
      </w:r>
    </w:p>
    <w:p w14:paraId="70DD13B8" w14:textId="1BE5006D" w:rsidR="00783D49" w:rsidRPr="00F96BDE" w:rsidRDefault="00783D49" w:rsidP="001E62FE">
      <w:pPr>
        <w:pStyle w:val="ListParagraph"/>
        <w:keepNext/>
        <w:numPr>
          <w:ilvl w:val="1"/>
          <w:numId w:val="1"/>
        </w:numPr>
        <w:spacing w:before="120" w:after="120" w:line="240" w:lineRule="auto"/>
        <w:jc w:val="both"/>
        <w:rPr>
          <w:rFonts w:ascii="Times New Roman" w:hAnsi="Times New Roman" w:cs="Times New Roman"/>
          <w:b/>
          <w:bCs/>
          <w:iCs/>
          <w:noProof/>
          <w:sz w:val="24"/>
          <w:szCs w:val="24"/>
        </w:rPr>
      </w:pPr>
      <w:r>
        <w:rPr>
          <w:rFonts w:ascii="Times New Roman" w:hAnsi="Times New Roman"/>
          <w:b/>
          <w:noProof/>
          <w:sz w:val="24"/>
        </w:rPr>
        <w:t>Сътрудничество и координация с украинските органи</w:t>
      </w:r>
    </w:p>
    <w:p w14:paraId="6C4A77A5" w14:textId="1CD8A7F2" w:rsidR="00783D49" w:rsidRPr="00766379" w:rsidRDefault="00783D49" w:rsidP="00F24CCD">
      <w:pPr>
        <w:spacing w:before="120" w:after="120"/>
        <w:jc w:val="both"/>
        <w:rPr>
          <w:bCs/>
          <w:iCs/>
          <w:noProof/>
          <w:spacing w:val="-4"/>
        </w:rPr>
      </w:pPr>
      <w:r w:rsidRPr="00766379">
        <w:rPr>
          <w:noProof/>
          <w:spacing w:val="-4"/>
        </w:rPr>
        <w:t xml:space="preserve">Ангажираността и участието в срещи на украинските органи в Украйна и на украинските посолства и консулства в държавите — членки на ЕС, бързо се превърна в една от </w:t>
      </w:r>
      <w:r w:rsidRPr="00766379">
        <w:rPr>
          <w:b/>
          <w:noProof/>
          <w:spacing w:val="-4"/>
        </w:rPr>
        <w:t>отличителните черти</w:t>
      </w:r>
      <w:r w:rsidRPr="00766379">
        <w:rPr>
          <w:noProof/>
          <w:spacing w:val="-4"/>
        </w:rPr>
        <w:t xml:space="preserve"> на оперативния отговор на тази криза в сравнение с всички други кризи в миналото. Комисията можа да установи тясно сътрудничество с украинските органи, което даде възможност за по-широка координация също и в ключови области, предназначена за защита на категориите уязвими лица, предотвратяване на трафика и контрабандата на хора, както и за по-добро идентифициране на предизвикателствата, пред които са изправени хората при достъпа на практика до правата, свързани с временната закрила. Това помогна на Комисията и на държавите членки да открият и коригират недостатъците при прилагането на Директивата.</w:t>
      </w:r>
    </w:p>
    <w:p w14:paraId="7FDCF43E" w14:textId="77777777" w:rsidR="00783D49" w:rsidRPr="00F96BDE" w:rsidRDefault="00783D49" w:rsidP="001E62FE">
      <w:pPr>
        <w:pStyle w:val="ListParagraph"/>
        <w:keepNext/>
        <w:numPr>
          <w:ilvl w:val="1"/>
          <w:numId w:val="1"/>
        </w:numPr>
        <w:spacing w:before="120" w:after="120" w:line="240" w:lineRule="auto"/>
        <w:jc w:val="both"/>
        <w:rPr>
          <w:rFonts w:ascii="Times New Roman" w:hAnsi="Times New Roman" w:cs="Times New Roman"/>
          <w:b/>
          <w:bCs/>
          <w:iCs/>
          <w:noProof/>
          <w:sz w:val="24"/>
          <w:szCs w:val="24"/>
        </w:rPr>
      </w:pPr>
      <w:r>
        <w:rPr>
          <w:rFonts w:ascii="Times New Roman" w:hAnsi="Times New Roman"/>
          <w:b/>
          <w:noProof/>
          <w:sz w:val="24"/>
        </w:rPr>
        <w:t xml:space="preserve">От европейска солидарност към глобален отговор </w:t>
      </w:r>
    </w:p>
    <w:p w14:paraId="5A92DFBD" w14:textId="037A8BA7" w:rsidR="00783D49" w:rsidRPr="00F96BDE" w:rsidRDefault="00783D49" w:rsidP="00F24CCD">
      <w:pPr>
        <w:spacing w:before="120" w:after="120"/>
        <w:jc w:val="both"/>
        <w:rPr>
          <w:noProof/>
        </w:rPr>
      </w:pPr>
      <w:r>
        <w:rPr>
          <w:noProof/>
        </w:rPr>
        <w:t xml:space="preserve">Комисията се обърна към международните си партньори, като създаде международна част от Платформата за солидарност, в която влизат </w:t>
      </w:r>
      <w:r>
        <w:rPr>
          <w:b/>
          <w:noProof/>
        </w:rPr>
        <w:t>Съединените щати, Канада и Обединеното кралство</w:t>
      </w:r>
      <w:r>
        <w:rPr>
          <w:noProof/>
        </w:rPr>
        <w:t>.</w:t>
      </w:r>
      <w:r>
        <w:rPr>
          <w:b/>
          <w:noProof/>
        </w:rPr>
        <w:t xml:space="preserve"> </w:t>
      </w:r>
      <w:r>
        <w:rPr>
          <w:noProof/>
        </w:rPr>
        <w:t>Целта е да се обменя информация относно схемите, въведени от различни държави, които предлагат защита на лицата, бягащи от руската агресия срещу Украйна</w:t>
      </w:r>
      <w:r>
        <w:rPr>
          <w:rStyle w:val="FootnoteReference"/>
          <w:noProof/>
        </w:rPr>
        <w:footnoteReference w:id="72"/>
      </w:r>
      <w:r>
        <w:rPr>
          <w:noProof/>
        </w:rPr>
        <w:t>, да се споделя актуализирана ситуационна осведоменост относно обстоятелствата в Украйна и да се обсъжда планирането на действия при извънредни ситуации и допълнителната помощ.</w:t>
      </w:r>
    </w:p>
    <w:p w14:paraId="4F9E412E" w14:textId="7D80D483" w:rsidR="00783D49" w:rsidRPr="00F96BDE" w:rsidRDefault="00783D49" w:rsidP="00F24CCD">
      <w:pPr>
        <w:spacing w:before="120" w:after="120"/>
        <w:jc w:val="both"/>
        <w:rPr>
          <w:noProof/>
        </w:rPr>
      </w:pPr>
      <w:r>
        <w:rPr>
          <w:noProof/>
        </w:rPr>
        <w:t xml:space="preserve">Тясното сътрудничество със съответните международни организации, особено с </w:t>
      </w:r>
      <w:r>
        <w:rPr>
          <w:b/>
          <w:noProof/>
        </w:rPr>
        <w:t>ВКБООН и МОМ</w:t>
      </w:r>
      <w:r>
        <w:rPr>
          <w:noProof/>
        </w:rPr>
        <w:t>, спомогна за подобряване на ситуационната осведоменост на ЕС. Посредством това бяха подкрепени по-добре информирани действия (чрез проучвания и анализи) и бе предоставена оперативна подкрепа на заинтересованите страни и конкретни проекти на място, като например прехвърлянето на уязвими лица, бягащи от Украйна, от Република Молдова към ЕС и разработването на стандартни оперативни процедури за направляване на тези прехвърляния.</w:t>
      </w:r>
    </w:p>
    <w:p w14:paraId="053774A8" w14:textId="149D1B22" w:rsidR="00783D49" w:rsidRPr="00F96BDE" w:rsidRDefault="00367173" w:rsidP="001E62FE">
      <w:pPr>
        <w:pStyle w:val="ListParagraph"/>
        <w:keepNext/>
        <w:numPr>
          <w:ilvl w:val="0"/>
          <w:numId w:val="1"/>
        </w:numPr>
        <w:spacing w:before="120" w:after="120" w:line="240" w:lineRule="auto"/>
        <w:jc w:val="both"/>
        <w:rPr>
          <w:rFonts w:ascii="Times New Roman" w:hAnsi="Times New Roman" w:cs="Times New Roman"/>
          <w:b/>
          <w:iCs/>
          <w:noProof/>
          <w:sz w:val="24"/>
          <w:szCs w:val="24"/>
        </w:rPr>
      </w:pPr>
      <w:r>
        <w:rPr>
          <w:rFonts w:ascii="Times New Roman" w:hAnsi="Times New Roman"/>
          <w:b/>
          <w:noProof/>
          <w:sz w:val="24"/>
        </w:rPr>
        <w:t>С поглед към бъдещето</w:t>
      </w:r>
    </w:p>
    <w:p w14:paraId="01B010B1" w14:textId="2C93069B" w:rsidR="00367173" w:rsidRPr="00F96BDE" w:rsidRDefault="007152C3" w:rsidP="00367173">
      <w:pPr>
        <w:spacing w:before="120" w:after="120" w:line="256" w:lineRule="auto"/>
        <w:jc w:val="both"/>
        <w:rPr>
          <w:noProof/>
        </w:rPr>
      </w:pPr>
      <w:r>
        <w:rPr>
          <w:noProof/>
        </w:rPr>
        <w:t xml:space="preserve">Както беше потвърдено на заседанието на Европейския съвет от 9 февруари 2023 г., Съюзът ще подкрепя бягащите от руската агресия срещу Украйна толкова дълго, колкото е необходимо. Със задействането на Директивата за временната закрила ЕС осигури сигурност за милиони хора, които трябваше да напуснат страната. Временната закрила вече беше удължена до март 2024 г. Комисията ще бъде готова да направи предложение за допълнително удължаване, ако е необходимо. </w:t>
      </w:r>
    </w:p>
    <w:p w14:paraId="6257CDD7" w14:textId="188D5C5F" w:rsidR="00367173" w:rsidRPr="00F96BDE" w:rsidRDefault="00367173" w:rsidP="00367173">
      <w:pPr>
        <w:spacing w:before="120" w:after="120" w:line="256" w:lineRule="auto"/>
        <w:jc w:val="both"/>
        <w:rPr>
          <w:noProof/>
        </w:rPr>
      </w:pPr>
      <w:r>
        <w:rPr>
          <w:noProof/>
        </w:rPr>
        <w:t xml:space="preserve">Директивата беше факторът, способстващ за безпрецедентно усилие на цялото общество, за което Комисията се застъпва още от началото на отговора на кризата. Всички сектори на държавното управление и обществото бяха мобилизирани по безпрецедентен начин, което превърна в реалност правата, залегнали в Директивата за временната закрила. Тя стимулира високо ниво на иновации, включително пилотни проекти в различни сектори, сред които заетост, образование, жилищно настаняване и признаване на квалификациите, като това ще донесе важни поуки за подобряване на нашите политики и ще се осигури готовност за бъдещи сценарии. </w:t>
      </w:r>
    </w:p>
    <w:p w14:paraId="5D80ABB0" w14:textId="76F08A24" w:rsidR="00367173" w:rsidRPr="00F96BDE" w:rsidRDefault="00367173" w:rsidP="00367173">
      <w:pPr>
        <w:spacing w:before="120" w:after="120"/>
        <w:jc w:val="both"/>
        <w:rPr>
          <w:noProof/>
        </w:rPr>
      </w:pPr>
      <w:r>
        <w:rPr>
          <w:noProof/>
        </w:rPr>
        <w:t xml:space="preserve">Директивата се оказа както силна, така и достатъчно гъвкава, за да даде възможност за колективен и бърз отговор, подкрепен от </w:t>
      </w:r>
      <w:r>
        <w:rPr>
          <w:b/>
          <w:noProof/>
        </w:rPr>
        <w:t>силна координация на равнище ЕС чрез Платформата за солидарност</w:t>
      </w:r>
      <w:r>
        <w:rPr>
          <w:noProof/>
        </w:rPr>
        <w:t>. Това спомогна за изграждането на нови връзки и за насърчаване на сътрудничеството между публичните органи, социалните партньори, гражданското общество и бягащите от руската агресия срещу Украйна.</w:t>
      </w:r>
    </w:p>
    <w:p w14:paraId="11DC2149" w14:textId="3743B0C8" w:rsidR="00783D49" w:rsidRPr="008C396E" w:rsidRDefault="00367173" w:rsidP="00F24CCD">
      <w:pPr>
        <w:spacing w:before="120" w:after="120"/>
        <w:jc w:val="both"/>
        <w:rPr>
          <w:noProof/>
          <w:spacing w:val="-4"/>
        </w:rPr>
      </w:pPr>
      <w:r w:rsidRPr="008C396E">
        <w:rPr>
          <w:b/>
          <w:noProof/>
          <w:spacing w:val="-4"/>
        </w:rPr>
        <w:t>Силен координиран подход на ЕС</w:t>
      </w:r>
      <w:r w:rsidRPr="008C396E">
        <w:rPr>
          <w:noProof/>
          <w:spacing w:val="-4"/>
        </w:rPr>
        <w:t xml:space="preserve"> е необходим не само за да продължим да се справяме с текущите предизвикателства, но и за всяко бъдещо действие. От решаващо значение ще бъде да се гарантира </w:t>
      </w:r>
      <w:r w:rsidRPr="008C396E">
        <w:rPr>
          <w:b/>
          <w:noProof/>
          <w:spacing w:val="-4"/>
        </w:rPr>
        <w:t>плавен преход</w:t>
      </w:r>
      <w:r w:rsidRPr="008C396E">
        <w:rPr>
          <w:noProof/>
          <w:spacing w:val="-4"/>
        </w:rPr>
        <w:t xml:space="preserve"> към алтернативни правни статуси, които биха позволили достъп до права след изтичане на максималния срок на временната закрила, например чрез удължаване на разрешенията за пребиваване и работа или чрез създаване на условия за преминаване към други правни статуси. Това е важно, за да се гарантира, че системите за убежище на държавите членки не се претоварват. </w:t>
      </w:r>
    </w:p>
    <w:p w14:paraId="2ACB3EBA" w14:textId="58B5F19F" w:rsidR="007152C3" w:rsidRPr="00F96BDE" w:rsidRDefault="003B40A3" w:rsidP="00F24CCD">
      <w:pPr>
        <w:spacing w:before="120" w:after="120"/>
        <w:jc w:val="both"/>
        <w:rPr>
          <w:noProof/>
        </w:rPr>
      </w:pPr>
      <w:r>
        <w:rPr>
          <w:noProof/>
        </w:rPr>
        <w:t xml:space="preserve">Успоредно с това е необходима </w:t>
      </w:r>
      <w:r>
        <w:rPr>
          <w:b/>
          <w:noProof/>
        </w:rPr>
        <w:t>целенасочена подкрепа</w:t>
      </w:r>
      <w:r>
        <w:rPr>
          <w:noProof/>
        </w:rPr>
        <w:t xml:space="preserve"> за лицата, които, след като са избягали от Украйна, искат да се върнат у дома. Комисията вече се намеси по този въпрос с целеви насоки под формата на често задавани въпроси, поясняващи различните последици от краткосрочните посещения в Украйна и доброволното завръщане в Украйна</w:t>
      </w:r>
      <w:r>
        <w:rPr>
          <w:rStyle w:val="FootnoteReference"/>
          <w:noProof/>
        </w:rPr>
        <w:footnoteReference w:id="73"/>
      </w:r>
      <w:r>
        <w:rPr>
          <w:noProof/>
        </w:rPr>
        <w:t>, и като осигури гаранции за тези, които желаят да се върнат у дома в Украйна, така че да могат лесно да получат достъп до закрилата си, ако се налага отново да избягат</w:t>
      </w:r>
      <w:r>
        <w:rPr>
          <w:rStyle w:val="FootnoteReference"/>
          <w:noProof/>
        </w:rPr>
        <w:footnoteReference w:id="74"/>
      </w:r>
      <w:r>
        <w:rPr>
          <w:noProof/>
        </w:rPr>
        <w:t xml:space="preserve">. Комисията ще продължи да наблюдава ситуацията, за да гарантира, че държавите членки предприемат необходимите мерки за подпомагане на доброволното връщане на лица, които при пълно познаване на фактите решат да се завърнат у дома, и да подкрепя такива решения с фондовете в областта на вътрешните работи. Комисията също така увеличава усилията си в рамките на многостранната платформа за координация на донорите в подкрепа на процеса на укрепване, </w:t>
      </w:r>
      <w:r w:rsidR="002D6F2D">
        <w:rPr>
          <w:noProof/>
        </w:rPr>
        <w:t xml:space="preserve">възстановяване и реконструкция </w:t>
      </w:r>
      <w:r>
        <w:rPr>
          <w:noProof/>
        </w:rPr>
        <w:t>на Украйна. Връщането на разселените лица ще бъде важно съображение в този контекст.</w:t>
      </w:r>
    </w:p>
    <w:p w14:paraId="0CC7343D" w14:textId="55ACA1D4" w:rsidR="00554CC4" w:rsidRPr="00F96BDE" w:rsidRDefault="007152C3" w:rsidP="000812EF">
      <w:pPr>
        <w:spacing w:before="120" w:after="120"/>
        <w:jc w:val="both"/>
        <w:rPr>
          <w:noProof/>
        </w:rPr>
      </w:pPr>
      <w:r>
        <w:rPr>
          <w:noProof/>
        </w:rPr>
        <w:t xml:space="preserve">В по-широк план Директивата за временната закрила се доказа като ключов инструмент за предоставяне на незабавна закрила в ЕС и Комисията смята, че тя </w:t>
      </w:r>
      <w:r>
        <w:rPr>
          <w:b/>
          <w:noProof/>
        </w:rPr>
        <w:t>следва да остане и в бъдеще част от инструментариума, с който разполага Европейският съюз</w:t>
      </w:r>
      <w:r>
        <w:rPr>
          <w:noProof/>
        </w:rPr>
        <w:t xml:space="preserve">. </w:t>
      </w:r>
    </w:p>
    <w:p w14:paraId="3AC361B6" w14:textId="1220A3EF" w:rsidR="0032641C" w:rsidRPr="00F96BDE" w:rsidRDefault="00554CC4" w:rsidP="000812EF">
      <w:pPr>
        <w:spacing w:before="120" w:after="120"/>
        <w:jc w:val="both"/>
        <w:rPr>
          <w:b/>
          <w:noProof/>
        </w:rPr>
      </w:pPr>
      <w:r>
        <w:rPr>
          <w:noProof/>
        </w:rPr>
        <w:t>Опитът обаче показва, че видовете предизвикателства, свързани с миграцията, пред които е изправен Съюзът, могат да се различават значително, особено по отношение на мащаба на потоците или техния състав. Поради това е от съществено значение ЕС да разполага с различни инструменти и да бъде подготвен да реагира на всички видове кризи. Комисията ще работи със съзаконодателите, за да гарантира, че Европейският съюз разполага с инструментите, от които ще има нужда в бъдеще, и ще осигури подходящото им съгласуване с предложението на Комисията за регламент за справяне със ситуации на криза и форсмажорни обстоятелства</w:t>
      </w:r>
      <w:r>
        <w:rPr>
          <w:rStyle w:val="FootnoteReference"/>
          <w:noProof/>
        </w:rPr>
        <w:footnoteReference w:id="75"/>
      </w:r>
      <w:r>
        <w:rPr>
          <w:noProof/>
        </w:rPr>
        <w:t>.</w:t>
      </w:r>
    </w:p>
    <w:p w14:paraId="67BD6FC3" w14:textId="7A4CE476" w:rsidR="00783D49" w:rsidRPr="00F96BDE" w:rsidRDefault="00FB51D3" w:rsidP="001B6176">
      <w:pPr>
        <w:pStyle w:val="Copies"/>
        <w:spacing w:before="120" w:after="120"/>
        <w:ind w:left="0" w:firstLine="0"/>
        <w:jc w:val="both"/>
        <w:rPr>
          <w:noProof/>
          <w:szCs w:val="24"/>
        </w:rPr>
      </w:pPr>
      <w:r>
        <w:rPr>
          <w:noProof/>
        </w:rPr>
        <w:t xml:space="preserve">Прилагането на директивата в близко бъдеще ще изисква постоянна подкрепа, за да се гарантира, че съществуващите предизвикателства се преодоляват и че са налице подходящи преходи и планове за действие при непредвидени случаи, за да се отговори на бъдещи ситуации. </w:t>
      </w:r>
      <w:r>
        <w:rPr>
          <w:b/>
          <w:noProof/>
        </w:rPr>
        <w:t>Платформата за солидарност ще продължи да осигурява координирана реакция на равнището на ЕС и да работи с държавите членки</w:t>
      </w:r>
      <w:r>
        <w:rPr>
          <w:noProof/>
        </w:rPr>
        <w:t xml:space="preserve"> и други заинтересовани страни.</w:t>
      </w:r>
    </w:p>
    <w:p w14:paraId="2904CAC3" w14:textId="16F6DCC0" w:rsidR="003B40A3" w:rsidRPr="00F96BDE" w:rsidRDefault="00972F69" w:rsidP="003B40A3">
      <w:pPr>
        <w:pStyle w:val="CommentText"/>
        <w:jc w:val="both"/>
        <w:rPr>
          <w:rFonts w:ascii="Times New Roman" w:hAnsi="Times New Roman" w:cs="Times New Roman"/>
          <w:noProof/>
          <w:sz w:val="24"/>
          <w:szCs w:val="24"/>
        </w:rPr>
      </w:pPr>
      <w:r>
        <w:rPr>
          <w:rFonts w:ascii="Times New Roman" w:hAnsi="Times New Roman"/>
          <w:noProof/>
          <w:sz w:val="24"/>
        </w:rPr>
        <w:t xml:space="preserve">Солидарността и съчувствието, демонстрирани от хората в целия ЕС, както и усилията, положени от националните и местните органи, заинтересованите страни и общностите, продължават да ни дават важни поуки, като доказват още веднъж, че Европейският съюз е силен, когато действа с единство и координация. </w:t>
      </w:r>
    </w:p>
    <w:p w14:paraId="228916FE" w14:textId="028721C2" w:rsidR="00777DDD" w:rsidRPr="00F96BDE" w:rsidRDefault="00777DDD" w:rsidP="00DA7BBB">
      <w:pPr>
        <w:pStyle w:val="Copies"/>
        <w:spacing w:before="120" w:after="120"/>
        <w:ind w:left="0" w:firstLine="0"/>
        <w:rPr>
          <w:noProof/>
          <w:szCs w:val="24"/>
        </w:rPr>
      </w:pPr>
      <w:r>
        <w:rPr>
          <w:noProof/>
        </w:rPr>
        <w:t>Европейският съюз ще продължи да бъде място, което посреща бягащите от руската агресия, толкова дълго, колкото е необходимо.</w:t>
      </w:r>
    </w:p>
    <w:sectPr w:rsidR="00777DDD" w:rsidRPr="00F96BDE" w:rsidSect="00D043D5">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8B6B5" w14:textId="77777777" w:rsidR="00863ED9" w:rsidRDefault="00863ED9" w:rsidP="00D043D5">
      <w:r>
        <w:separator/>
      </w:r>
    </w:p>
  </w:endnote>
  <w:endnote w:type="continuationSeparator" w:id="0">
    <w:p w14:paraId="2B4D0187" w14:textId="77777777" w:rsidR="00863ED9" w:rsidRDefault="00863ED9" w:rsidP="00D043D5">
      <w:r>
        <w:continuationSeparator/>
      </w:r>
    </w:p>
  </w:endnote>
  <w:endnote w:type="continuationNotice" w:id="1">
    <w:p w14:paraId="74C89A84" w14:textId="77777777" w:rsidR="00863ED9" w:rsidRDefault="00863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imes New Roman"/>
    <w:charset w:val="00"/>
    <w:family w:val="auto"/>
    <w:pitch w:val="variable"/>
    <w:sig w:usb0="00000001"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EE131" w14:textId="77777777" w:rsidR="003F79E4" w:rsidRPr="003F79E4" w:rsidRDefault="003F79E4" w:rsidP="003F7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3CB3E" w14:textId="5E98B0A0" w:rsidR="000E1ED4" w:rsidRPr="003F79E4" w:rsidRDefault="003F79E4" w:rsidP="003F79E4">
    <w:pPr>
      <w:pStyle w:val="FooterCoverPage"/>
      <w:rPr>
        <w:rFonts w:ascii="Arial" w:hAnsi="Arial" w:cs="Arial"/>
        <w:b/>
        <w:sz w:val="48"/>
      </w:rPr>
    </w:pPr>
    <w:r w:rsidRPr="003F79E4">
      <w:rPr>
        <w:rFonts w:ascii="Arial" w:hAnsi="Arial" w:cs="Arial"/>
        <w:b/>
        <w:sz w:val="48"/>
      </w:rPr>
      <w:t>BG</w:t>
    </w:r>
    <w:r w:rsidRPr="003F79E4">
      <w:rPr>
        <w:rFonts w:ascii="Arial" w:hAnsi="Arial" w:cs="Arial"/>
        <w:b/>
        <w:sz w:val="48"/>
      </w:rPr>
      <w:tab/>
    </w:r>
    <w:r w:rsidRPr="003F79E4">
      <w:rPr>
        <w:rFonts w:ascii="Arial" w:hAnsi="Arial" w:cs="Arial"/>
        <w:b/>
        <w:sz w:val="48"/>
      </w:rPr>
      <w:tab/>
    </w:r>
    <w:r w:rsidRPr="003F79E4">
      <w:tab/>
    </w:r>
    <w:r w:rsidRPr="003F79E4">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4B56D" w14:textId="77777777" w:rsidR="003F79E4" w:rsidRPr="003F79E4" w:rsidRDefault="003F79E4" w:rsidP="003F79E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7C82B" w14:textId="77777777" w:rsidR="00B57C2B" w:rsidRDefault="00B57C2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234285114"/>
      <w:docPartObj>
        <w:docPartGallery w:val="Page Numbers (Bottom of Page)"/>
        <w:docPartUnique/>
      </w:docPartObj>
    </w:sdtPr>
    <w:sdtEndPr>
      <w:rPr>
        <w:noProof/>
      </w:rPr>
    </w:sdtEndPr>
    <w:sdtContent>
      <w:p w14:paraId="78711C06" w14:textId="531ED53B" w:rsidR="00B57C2B" w:rsidRPr="00D63070" w:rsidRDefault="00B57C2B">
        <w:pPr>
          <w:pStyle w:val="Footer"/>
          <w:jc w:val="center"/>
          <w:rPr>
            <w:sz w:val="22"/>
            <w:szCs w:val="22"/>
          </w:rPr>
        </w:pPr>
        <w:r>
          <w:rPr>
            <w:sz w:val="22"/>
          </w:rPr>
          <w:fldChar w:fldCharType="begin"/>
        </w:r>
        <w:r>
          <w:rPr>
            <w:sz w:val="22"/>
          </w:rPr>
          <w:instrText xml:space="preserve"> PAGE   \* MERGEFORMAT </w:instrText>
        </w:r>
        <w:r>
          <w:rPr>
            <w:sz w:val="22"/>
          </w:rPr>
          <w:fldChar w:fldCharType="separate"/>
        </w:r>
        <w:r w:rsidR="003F79E4">
          <w:rPr>
            <w:noProof/>
            <w:sz w:val="22"/>
          </w:rPr>
          <w:t>1</w:t>
        </w:r>
        <w:r>
          <w:rPr>
            <w:sz w:val="22"/>
          </w:rPr>
          <w:fldChar w:fldCharType="end"/>
        </w:r>
      </w:p>
    </w:sdtContent>
  </w:sdt>
  <w:p w14:paraId="53995D35" w14:textId="77777777" w:rsidR="00B57C2B" w:rsidRPr="00D63070" w:rsidRDefault="00B57C2B">
    <w:pPr>
      <w:pStyle w:val="Footer"/>
      <w:rPr>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51A3E" w14:textId="77777777" w:rsidR="00B57C2B" w:rsidRDefault="00B57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90C6E" w14:textId="77777777" w:rsidR="00863ED9" w:rsidRDefault="00863ED9" w:rsidP="00D043D5">
      <w:r>
        <w:separator/>
      </w:r>
    </w:p>
  </w:footnote>
  <w:footnote w:type="continuationSeparator" w:id="0">
    <w:p w14:paraId="256B9AF8" w14:textId="77777777" w:rsidR="00863ED9" w:rsidRDefault="00863ED9" w:rsidP="00D043D5">
      <w:r>
        <w:continuationSeparator/>
      </w:r>
    </w:p>
  </w:footnote>
  <w:footnote w:type="continuationNotice" w:id="1">
    <w:p w14:paraId="1F831471" w14:textId="77777777" w:rsidR="00863ED9" w:rsidRDefault="00863ED9"/>
  </w:footnote>
  <w:footnote w:id="2">
    <w:p w14:paraId="27E68FF4" w14:textId="0C614496" w:rsidR="00B57C2B" w:rsidRPr="0086760B" w:rsidRDefault="00B57C2B"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 w:history="1">
        <w:r>
          <w:rPr>
            <w:rStyle w:val="Hyperlink"/>
            <w:rFonts w:ascii="Times New Roman" w:hAnsi="Times New Roman"/>
          </w:rPr>
          <w:t>Директива 2001/55/ЕО на Съвета от 20 юли 2001 г. относно минималните стандарти за предоставяне на временна закрила в случай на масово навлизане на разселени лица и за мерките за поддържане на баланса между държавите членки в полагането на усилия за прием на такива лица и понасяне на последиците от този прием.</w:t>
        </w:r>
      </w:hyperlink>
    </w:p>
  </w:footnote>
  <w:footnote w:id="3">
    <w:p w14:paraId="1479919E" w14:textId="38A1C266" w:rsidR="00B57C2B" w:rsidRPr="0086760B" w:rsidRDefault="00B57C2B"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2" w:history="1">
        <w:r>
          <w:rPr>
            <w:rStyle w:val="Hyperlink"/>
            <w:rFonts w:ascii="Times New Roman" w:hAnsi="Times New Roman"/>
          </w:rPr>
          <w:t>План от 10 точки за засилена европейска координация при посрещането на хората, бягащи от войната от Украйна</w:t>
        </w:r>
      </w:hyperlink>
      <w:r>
        <w:rPr>
          <w:rStyle w:val="Hyperlink"/>
          <w:rFonts w:ascii="Times New Roman" w:hAnsi="Times New Roman"/>
        </w:rPr>
        <w:t>.</w:t>
      </w:r>
    </w:p>
  </w:footnote>
  <w:footnote w:id="4">
    <w:p w14:paraId="532D547D" w14:textId="29231D09" w:rsidR="00B57C2B" w:rsidRPr="0086760B" w:rsidRDefault="00B57C2B"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3" w:history="1">
        <w:r>
          <w:rPr>
            <w:rStyle w:val="Hyperlink"/>
            <w:rFonts w:ascii="Times New Roman" w:hAnsi="Times New Roman"/>
          </w:rPr>
          <w:t>Съобщение на Комисията до Европейския парламент, Европейския съвет, Съвета, Европейския икономически и социален комитет и Комитета на регионите „Топло посрещане на хората, бягащи от войната в Украйна:</w:t>
        </w:r>
      </w:hyperlink>
      <w:hyperlink r:id="rId4" w:history="1">
        <w:r>
          <w:rPr>
            <w:rStyle w:val="Hyperlink"/>
            <w:rFonts w:ascii="Times New Roman" w:hAnsi="Times New Roman"/>
          </w:rPr>
          <w:t>подготовка на Европа за удовлетворяване на нуждите“.</w:t>
        </w:r>
      </w:hyperlink>
    </w:p>
  </w:footnote>
  <w:footnote w:id="5">
    <w:p w14:paraId="0D0F18E1" w14:textId="01C9A67A" w:rsidR="00B57C2B" w:rsidRPr="0086760B" w:rsidRDefault="00B57C2B"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Кумулативният брой на влизанията в ЕС от Украйна и Молдова не включва влизанията на румънски и молдовски граждани от Молдова в Румъния. Наличните данни не ни позволяват да различим каква част от това е нормален граничен трафик и колко са тези, които бягат от руската агресия срещу Украйна. Данните за влизанията и излизанията показват броя на трансграничните движения, а не отделни физически лица. Разликата между общия брой на влизанията и влизанията на украински граждани включва влизанията на граждани на ЕС и граждани на трети държави, различни от Украйна. Над 300 000 граждани на трети държави, различни от Украйна, влязоха в ЕС от Украйна и Молдова, като основните националности са турски граждани, граждани на САЩ, руснаци, израелци, индийци, азербайджанци, грузинци, граждани на Обединеното кралство, молдовци и узбекци.</w:t>
      </w:r>
    </w:p>
  </w:footnote>
  <w:footnote w:id="6">
    <w:p w14:paraId="173A1E92" w14:textId="6BF3FB15" w:rsidR="00B57C2B" w:rsidRPr="0086760B" w:rsidRDefault="00B57C2B"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5" w:history="1">
        <w:r>
          <w:rPr>
            <w:rFonts w:ascii="Times New Roman" w:hAnsi="Times New Roman"/>
            <w:color w:val="0000FF"/>
            <w:u w:val="single"/>
          </w:rPr>
          <w:t>Лица, ползващи се с временна закрила в края на месеца, по гражданство, възраст и пол — месечни данни</w:t>
        </w:r>
      </w:hyperlink>
      <w:r>
        <w:rPr>
          <w:rFonts w:ascii="Times New Roman" w:hAnsi="Times New Roman"/>
        </w:rPr>
        <w:t xml:space="preserve">. </w:t>
      </w:r>
    </w:p>
  </w:footnote>
  <w:footnote w:id="7">
    <w:p w14:paraId="20F783D1" w14:textId="574A1AEC" w:rsidR="00B57C2B" w:rsidRPr="0086760B" w:rsidRDefault="00B57C2B" w:rsidP="0086760B">
      <w:pPr>
        <w:ind w:left="357" w:hanging="357"/>
        <w:jc w:val="both"/>
        <w:rPr>
          <w:sz w:val="20"/>
          <w:szCs w:val="20"/>
        </w:rPr>
      </w:pPr>
      <w:r>
        <w:rPr>
          <w:rStyle w:val="FootnoteReference"/>
          <w:sz w:val="20"/>
          <w:szCs w:val="20"/>
        </w:rPr>
        <w:footnoteRef/>
      </w:r>
      <w:r>
        <w:rPr>
          <w:sz w:val="20"/>
        </w:rPr>
        <w:t xml:space="preserve"> </w:t>
      </w:r>
      <w:r>
        <w:tab/>
      </w:r>
      <w:r>
        <w:rPr>
          <w:sz w:val="20"/>
        </w:rPr>
        <w:t xml:space="preserve">Платформата за солидарност обединява Европейската комисия, Секретариата на Съвета, Европейската служба за външна дейност, държавите — членки на ЕС, и асоциираните към Шенген държави, агенциите на ЕС, международни организации като Върховния комисар на ООН за бежанците (ВКБООН) и Международната организация по миграция (МОМ), както и украинските и молдовските органи. </w:t>
      </w:r>
    </w:p>
  </w:footnote>
  <w:footnote w:id="8">
    <w:p w14:paraId="313E5F80" w14:textId="35004FF3" w:rsidR="00B57C2B" w:rsidRPr="0086760B" w:rsidRDefault="00B57C2B"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6" w:history="1">
        <w:r>
          <w:rPr>
            <w:rStyle w:val="Hyperlink"/>
            <w:rFonts w:ascii="Times New Roman" w:hAnsi="Times New Roman"/>
          </w:rPr>
          <w:t>Решение за изпълнение (ЕС) 2022/382 на Съвета от 4 март 2022 г. за установяване на съществуването на масово навлизане на разселени лица от Украйна по смисъла на член 5 от Директива 2001/55/ЕО и за въвеждане на временна закрила</w:t>
        </w:r>
      </w:hyperlink>
      <w:r>
        <w:rPr>
          <w:rStyle w:val="Hyperlink"/>
          <w:rFonts w:ascii="Times New Roman" w:hAnsi="Times New Roman"/>
        </w:rPr>
        <w:t>.</w:t>
      </w:r>
    </w:p>
  </w:footnote>
  <w:footnote w:id="9">
    <w:p w14:paraId="652830C4" w14:textId="77777777" w:rsidR="00B57C2B" w:rsidRPr="0086760B" w:rsidRDefault="00B57C2B" w:rsidP="0086760B">
      <w:pPr>
        <w:ind w:left="357" w:hanging="357"/>
        <w:contextualSpacing/>
        <w:jc w:val="both"/>
        <w:rPr>
          <w:sz w:val="20"/>
          <w:szCs w:val="20"/>
        </w:rPr>
      </w:pPr>
      <w:r>
        <w:rPr>
          <w:rStyle w:val="FootnoteReference"/>
          <w:sz w:val="20"/>
          <w:szCs w:val="20"/>
        </w:rPr>
        <w:footnoteRef/>
      </w:r>
      <w:r>
        <w:rPr>
          <w:sz w:val="20"/>
        </w:rPr>
        <w:t xml:space="preserve"> </w:t>
      </w:r>
      <w:r>
        <w:tab/>
      </w:r>
      <w:r>
        <w:rPr>
          <w:sz w:val="20"/>
        </w:rPr>
        <w:t xml:space="preserve">Тази мрежа отговаря на необходимостта от предоставяне на точна, актуализирана и детайлна картина на положението като основа за бързо вземане на политически и оперативни решения. Тя наблюдава трансграничните движения от Украйна към ЕС, първия прием и прилагането на Директивата за временната закрила, включително тенденциите при седмичните регистрации и задълбочената информация относно достъпа до образование, заетост и здравеопазване. </w:t>
      </w:r>
      <w:hyperlink r:id="rId7" w:history="1">
        <w:r>
          <w:rPr>
            <w:rStyle w:val="Hyperlink"/>
            <w:sz w:val="20"/>
          </w:rPr>
          <w:t>Препоръка (ЕС) 2020/1366 на Комисията от 23 септември 2020 г. относно механизъм на ЕС за подготвеност и управление на кризи в областта на миграцията.</w:t>
        </w:r>
      </w:hyperlink>
    </w:p>
  </w:footnote>
  <w:footnote w:id="10">
    <w:p w14:paraId="5B262AB3" w14:textId="7FB2804E" w:rsidR="00B57C2B" w:rsidRPr="0086760B" w:rsidRDefault="00B57C2B"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8" w:history="1">
        <w:r>
          <w:rPr>
            <w:rStyle w:val="Hyperlink"/>
            <w:rFonts w:ascii="Times New Roman" w:hAnsi="Times New Roman"/>
          </w:rPr>
          <w:t>Солидарност на ЕС с Украйна</w:t>
        </w:r>
      </w:hyperlink>
      <w:r>
        <w:rPr>
          <w:rFonts w:ascii="Times New Roman" w:hAnsi="Times New Roman"/>
        </w:rPr>
        <w:t>.</w:t>
      </w:r>
    </w:p>
  </w:footnote>
  <w:footnote w:id="11">
    <w:p w14:paraId="2D0E236A" w14:textId="4C341EBF" w:rsidR="00B57C2B" w:rsidRPr="0086760B" w:rsidRDefault="00B57C2B"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9" w:history="1">
        <w:r>
          <w:rPr>
            <w:rStyle w:val="Hyperlink"/>
            <w:rFonts w:ascii="Times New Roman" w:hAnsi="Times New Roman"/>
          </w:rPr>
          <w:t>EU Helpline</w:t>
        </w:r>
      </w:hyperlink>
      <w:r>
        <w:rPr>
          <w:rStyle w:val="Hyperlink"/>
          <w:rFonts w:ascii="Times New Roman" w:hAnsi="Times New Roman"/>
        </w:rPr>
        <w:t>.</w:t>
      </w:r>
    </w:p>
  </w:footnote>
  <w:footnote w:id="12">
    <w:p w14:paraId="1E3DF427" w14:textId="58951FFB" w:rsidR="00B57C2B" w:rsidRPr="0086760B" w:rsidRDefault="00B57C2B"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0" w:history="1">
        <w:r>
          <w:rPr>
            <w:rStyle w:val="Hyperlink"/>
            <w:rFonts w:ascii="Times New Roman" w:hAnsi="Times New Roman"/>
          </w:rPr>
          <w:t>Една година украинска съпротива</w:t>
        </w:r>
      </w:hyperlink>
      <w:r>
        <w:rPr>
          <w:rFonts w:ascii="Times New Roman" w:hAnsi="Times New Roman"/>
        </w:rPr>
        <w:t>.</w:t>
      </w:r>
    </w:p>
  </w:footnote>
  <w:footnote w:id="13">
    <w:p w14:paraId="12715514" w14:textId="0C83DA9D" w:rsidR="00B57C2B" w:rsidRPr="0086760B" w:rsidRDefault="00B57C2B"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Член 2, параграфи 1 и 2 от решението за изпълнение на Съвета.</w:t>
      </w:r>
    </w:p>
  </w:footnote>
  <w:footnote w:id="14">
    <w:p w14:paraId="52686F01" w14:textId="2F9B6845" w:rsidR="00B57C2B" w:rsidRPr="0086760B" w:rsidRDefault="00B57C2B" w:rsidP="0086760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В решението се предвижда, че за тази категория лица държавите членки прилагат временна закрила или адекватна закрила съгласно националното право. Повечето държави членки избегнаха прилагането на „двупистови“ системи, като </w:t>
      </w:r>
      <w:bookmarkStart w:id="4" w:name="_Hlk128050459"/>
      <w:r>
        <w:rPr>
          <w:rFonts w:ascii="Times New Roman" w:hAnsi="Times New Roman"/>
        </w:rPr>
        <w:t>гражданите на трети държави и лицата без гражданство, които са пребивавали постоянно в Украйна, се ползваха от правата, свързани с временната закрила, а не от други форми на адекватна закрила, предвидени в националното право</w:t>
      </w:r>
      <w:bookmarkEnd w:id="4"/>
      <w:r>
        <w:rPr>
          <w:rFonts w:ascii="Times New Roman" w:hAnsi="Times New Roman"/>
        </w:rPr>
        <w:t>.</w:t>
      </w:r>
    </w:p>
  </w:footnote>
  <w:footnote w:id="15">
    <w:p w14:paraId="20D9A341" w14:textId="59E2097E" w:rsidR="00B57C2B" w:rsidRPr="0086760B" w:rsidRDefault="00B57C2B" w:rsidP="0086760B">
      <w:pPr>
        <w:ind w:left="357" w:hanging="357"/>
        <w:jc w:val="both"/>
        <w:rPr>
          <w:sz w:val="20"/>
          <w:szCs w:val="20"/>
        </w:rPr>
      </w:pPr>
      <w:r>
        <w:rPr>
          <w:rStyle w:val="FootnoteReference"/>
          <w:sz w:val="20"/>
          <w:szCs w:val="20"/>
        </w:rPr>
        <w:footnoteRef/>
      </w:r>
      <w:r>
        <w:rPr>
          <w:rStyle w:val="FootnoteReference"/>
          <w:sz w:val="20"/>
        </w:rPr>
        <w:t xml:space="preserve"> </w:t>
      </w:r>
      <w:r>
        <w:tab/>
      </w:r>
      <w:r>
        <w:rPr>
          <w:sz w:val="20"/>
        </w:rPr>
        <w:t xml:space="preserve">При все това една година след началото на агресията подобни разпоредби се спират в някои държави членки, като например Нидерландия. </w:t>
      </w:r>
    </w:p>
  </w:footnote>
  <w:footnote w:id="16">
    <w:p w14:paraId="7462E7B6" w14:textId="2DDFABDF" w:rsidR="00B57C2B" w:rsidRPr="0086760B" w:rsidRDefault="00B57C2B"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В Полша гражданите на трети държави се управляват административно чрез Бюрото за чужденците. </w:t>
      </w:r>
    </w:p>
  </w:footnote>
  <w:footnote w:id="17">
    <w:p w14:paraId="1AD397B9" w14:textId="77777777" w:rsidR="00B57C2B" w:rsidRPr="0086760B" w:rsidRDefault="00B57C2B"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Австрия, Гърция, Естония и Швеция.</w:t>
      </w:r>
    </w:p>
  </w:footnote>
  <w:footnote w:id="18">
    <w:p w14:paraId="5E6E726B" w14:textId="5F1D79B7" w:rsidR="00B57C2B" w:rsidRPr="0086760B" w:rsidRDefault="00B57C2B"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Австрия и Естония например прилагат ускорени процедури.</w:t>
      </w:r>
    </w:p>
  </w:footnote>
  <w:footnote w:id="19">
    <w:p w14:paraId="4E286848" w14:textId="4D156313" w:rsidR="00B57C2B" w:rsidRPr="0086760B" w:rsidRDefault="00B57C2B"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tab/>
      </w:r>
      <w:hyperlink r:id="rId11" w:history="1">
        <w:r>
          <w:rPr>
            <w:rStyle w:val="Hyperlink"/>
            <w:rFonts w:ascii="Times New Roman" w:hAnsi="Times New Roman"/>
          </w:rPr>
          <w:t>Лица, ползващи се с временна закрила в края на месеца, по гражданство, възраст и пол — месечни данни</w:t>
        </w:r>
      </w:hyperlink>
      <w:r>
        <w:rPr>
          <w:rStyle w:val="Hyperlink"/>
          <w:rFonts w:ascii="Times New Roman" w:hAnsi="Times New Roman"/>
        </w:rPr>
        <w:t>.</w:t>
      </w:r>
    </w:p>
  </w:footnote>
  <w:footnote w:id="20">
    <w:p w14:paraId="7F358432" w14:textId="2945169F" w:rsidR="00B57C2B" w:rsidRPr="0086760B" w:rsidRDefault="00B57C2B"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2" w:history="1">
        <w:r>
          <w:rPr>
            <w:rStyle w:val="Hyperlink"/>
            <w:rFonts w:ascii="Times New Roman" w:hAnsi="Times New Roman"/>
          </w:rPr>
          <w:t>Fleeing Ukraine:</w:t>
        </w:r>
      </w:hyperlink>
      <w:hyperlink r:id="rId13" w:history="1">
        <w:r>
          <w:rPr>
            <w:rStyle w:val="Hyperlink"/>
            <w:rFonts w:ascii="Times New Roman" w:hAnsi="Times New Roman"/>
          </w:rPr>
          <w:t xml:space="preserve"> Displaced people’s experiences in the EU</w:t>
        </w:r>
      </w:hyperlink>
      <w:r>
        <w:rPr>
          <w:rFonts w:ascii="Times New Roman" w:hAnsi="Times New Roman"/>
        </w:rPr>
        <w:t>.</w:t>
      </w:r>
    </w:p>
  </w:footnote>
  <w:footnote w:id="21">
    <w:p w14:paraId="589A35D9" w14:textId="4AB5DCA9" w:rsidR="00B57C2B" w:rsidRPr="0086760B" w:rsidRDefault="00B57C2B"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4" w:history="1">
        <w:r>
          <w:rPr>
            <w:rStyle w:val="Hyperlink"/>
            <w:rFonts w:ascii="Times New Roman" w:hAnsi="Times New Roman"/>
          </w:rPr>
          <w:t>Съобщение на Комисията за оперативни насоки за прилагането на Решение за изпълнение (ЕС) 2022/382 на Съвета за установяване на съществуването на масово навлизане на разселени лица от Украйна по смисъла на член 5 от Директива 2001/55/ЕО и за въвеждане на временна закрила</w:t>
        </w:r>
      </w:hyperlink>
      <w:r>
        <w:rPr>
          <w:rFonts w:ascii="Times New Roman" w:hAnsi="Times New Roman"/>
        </w:rPr>
        <w:t>.</w:t>
      </w:r>
    </w:p>
  </w:footnote>
  <w:footnote w:id="22">
    <w:p w14:paraId="08D3C36A" w14:textId="7A1D10BF" w:rsidR="00B57C2B" w:rsidRPr="0086760B" w:rsidRDefault="00B57C2B" w:rsidP="0086760B">
      <w:pPr>
        <w:pStyle w:val="FootnoteText"/>
        <w:ind w:left="360" w:hanging="360"/>
        <w:jc w:val="both"/>
        <w:rPr>
          <w:rStyle w:val="Hyperlink"/>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5" w:history="1">
        <w:r>
          <w:rPr>
            <w:rStyle w:val="Hyperlink"/>
            <w:rFonts w:ascii="Times New Roman" w:hAnsi="Times New Roman"/>
          </w:rPr>
          <w:t>Непридружени и разделени от семействата си деца, бягащи от войната в Украйна — Често задавани въпроси относно регистрацията, приемането и грижите</w:t>
        </w:r>
      </w:hyperlink>
      <w:r>
        <w:rPr>
          <w:rStyle w:val="Hyperlink"/>
          <w:rFonts w:ascii="Times New Roman" w:hAnsi="Times New Roman"/>
        </w:rPr>
        <w:t>.</w:t>
      </w:r>
    </w:p>
  </w:footnote>
  <w:footnote w:id="23">
    <w:p w14:paraId="19139031" w14:textId="65E6603B" w:rsidR="00B57C2B" w:rsidRPr="0086760B" w:rsidRDefault="00B57C2B"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„Непридружаван непълнолетен“ означава граждани на трета държава или лица без гражданство, ненавършили осемнадесет години, които пристигат на територията на държавите членки непридружени от възрастно лице, отговарящо за тях по силата на закон или обичай, и доколкото те не се намират под грижите на такова лице, или непълнолетни, оставени без придружител, след като са влезли в територията на държавите членки (член 2, буква е) от Директивата за временната закрила 2001/55/EC). </w:t>
      </w:r>
    </w:p>
    <w:p w14:paraId="11315427" w14:textId="4BF1DF62" w:rsidR="00B57C2B" w:rsidRPr="0086760B" w:rsidRDefault="00B57C2B" w:rsidP="0086760B">
      <w:pPr>
        <w:pStyle w:val="FootnoteText"/>
        <w:ind w:left="357"/>
        <w:jc w:val="both"/>
        <w:rPr>
          <w:rFonts w:ascii="Times New Roman" w:hAnsi="Times New Roman" w:cs="Times New Roman"/>
        </w:rPr>
      </w:pPr>
      <w:r>
        <w:rPr>
          <w:rFonts w:ascii="Times New Roman" w:hAnsi="Times New Roman"/>
        </w:rPr>
        <w:t>„Разделено от семейството си дете“ е дете, което пристига на територията на държавите членки, придружено от роднини или известни (несвързани) възрастни, като понякога на последните е предоставено разрешение от родителя (родителите) да пътуват с детето и/или да предоставят временни грижи (например: украинска майка, която пътува със собствените си деца и децата на друго семейство).</w:t>
      </w:r>
    </w:p>
  </w:footnote>
  <w:footnote w:id="24">
    <w:p w14:paraId="293D2D9E" w14:textId="5A81A53B" w:rsidR="00261ED7" w:rsidRPr="0086760B" w:rsidRDefault="00261ED7"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Съюзът отдава значение на деинституционализацията, като това е отразено в общата политическа рамка на ЕС. Например в Препоръката на Съвета за създаване на Европейска гаранция за децата се предвижда, че: „С цел деинституционализация на децата следва да се насърчава предоставянето на качествени грижи в общността или в семейството. Настаняването на деца в институции следва да се извършва само когато това е във висшия интерес на детето, като се взема предвид цялостната ситуация, в която се намира детето, и се отчитат индивидуалните потребности на детето“.</w:t>
      </w:r>
    </w:p>
  </w:footnote>
  <w:footnote w:id="25">
    <w:p w14:paraId="52BD9316" w14:textId="77FBD89C" w:rsidR="005E2510" w:rsidRPr="0086760B" w:rsidRDefault="005E2510"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6" w:history="1">
        <w:r>
          <w:rPr>
            <w:rStyle w:val="Hyperlink"/>
            <w:rFonts w:ascii="Times New Roman" w:hAnsi="Times New Roman"/>
          </w:rPr>
          <w:t>Съобщение на Комисията за оперативни насоки за прилагането на Решение за изпълнение (ЕС) 2022/382 на Съвета за установяване на съществуването на масово навлизане на разселени лица от Украйна по смисъла на член 5 от Директива 2001/55/ЕО и за въвеждане на временна закрила</w:t>
        </w:r>
      </w:hyperlink>
      <w:r>
        <w:rPr>
          <w:rFonts w:ascii="Times New Roman" w:hAnsi="Times New Roman"/>
        </w:rPr>
        <w:t>.</w:t>
      </w:r>
    </w:p>
  </w:footnote>
  <w:footnote w:id="26">
    <w:p w14:paraId="4DC081E4" w14:textId="77777777" w:rsidR="005E2510" w:rsidRPr="0086760B" w:rsidRDefault="005E2510"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7" w:history="1">
        <w:r>
          <w:rPr>
            <w:rStyle w:val="Hyperlink"/>
            <w:rFonts w:ascii="Times New Roman" w:hAnsi="Times New Roman"/>
          </w:rPr>
          <w:t>Често задавани въпроси относно регистрацията, приемането и грижите за непридружени и разделени от семействата си деца, бягащи от войната в Украйна</w:t>
        </w:r>
      </w:hyperlink>
      <w:r>
        <w:rPr>
          <w:rStyle w:val="Hyperlink"/>
          <w:rFonts w:ascii="Times New Roman" w:hAnsi="Times New Roman"/>
        </w:rPr>
        <w:t>.</w:t>
      </w:r>
    </w:p>
  </w:footnote>
  <w:footnote w:id="27">
    <w:p w14:paraId="2F10A0F2" w14:textId="5349F6EE" w:rsidR="00B57C2B" w:rsidRPr="0086760B" w:rsidRDefault="00B57C2B"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8" w:history="1">
        <w:r>
          <w:rPr>
            <w:rStyle w:val="Hyperlink"/>
            <w:rFonts w:ascii="Times New Roman" w:hAnsi="Times New Roman"/>
          </w:rPr>
          <w:t>Конвенция за компетентността, приложимото право, признаването, изпълнението и сътрудничеството във връзка с родителската отговорност и мерките за закрила на децата.</w:t>
        </w:r>
      </w:hyperlink>
    </w:p>
  </w:footnote>
  <w:footnote w:id="28">
    <w:p w14:paraId="2C0727FA" w14:textId="77777777" w:rsidR="005E2510" w:rsidRPr="0086760B" w:rsidRDefault="005E2510"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9" w:history="1">
        <w:r>
          <w:rPr>
            <w:rStyle w:val="Hyperlink"/>
            <w:rFonts w:ascii="Times New Roman" w:hAnsi="Times New Roman"/>
          </w:rPr>
          <w:t>Практики по отношение на непридружените и разделените от семействата си деца от Украйна.</w:t>
        </w:r>
      </w:hyperlink>
    </w:p>
  </w:footnote>
  <w:footnote w:id="29">
    <w:p w14:paraId="43A25D01" w14:textId="54A3DC31" w:rsidR="00FF4098" w:rsidRPr="0086760B" w:rsidRDefault="00FF4098"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Руската агресивна война срещу Украйна — Широкото въздействие върху основните права в ЕС, Бюлетин 2 Агенция на Европейския съюз за основните права (</w:t>
      </w:r>
      <w:hyperlink r:id="rId20" w:history="1">
        <w:r>
          <w:rPr>
            <w:rStyle w:val="Hyperlink"/>
            <w:rFonts w:ascii="Times New Roman" w:hAnsi="Times New Roman"/>
          </w:rPr>
          <w:t>Руската агресивна война срещу Украйна — Широкото въздействие върху основните права в ЕС (europa.eu</w:t>
        </w:r>
      </w:hyperlink>
      <w:r>
        <w:rPr>
          <w:rFonts w:ascii="Times New Roman" w:hAnsi="Times New Roman"/>
        </w:rPr>
        <w:t>).</w:t>
      </w:r>
    </w:p>
  </w:footnote>
  <w:footnote w:id="30">
    <w:p w14:paraId="0732F82F" w14:textId="3CE2DE84" w:rsidR="00FF4098" w:rsidRPr="0086760B" w:rsidRDefault="00FF4098" w:rsidP="0086760B">
      <w:pPr>
        <w:pStyle w:val="Heading2"/>
        <w:shd w:val="clear" w:color="auto" w:fill="FFFFFF"/>
        <w:spacing w:before="0" w:beforeAutospacing="0" w:after="0" w:afterAutospacing="0"/>
        <w:ind w:left="357" w:hanging="357"/>
        <w:jc w:val="both"/>
        <w:rPr>
          <w:sz w:val="20"/>
          <w:szCs w:val="20"/>
        </w:rPr>
      </w:pPr>
      <w:r>
        <w:rPr>
          <w:rStyle w:val="FootnoteReference"/>
          <w:rFonts w:eastAsiaTheme="minorHAnsi"/>
          <w:b w:val="0"/>
          <w:sz w:val="20"/>
          <w:szCs w:val="20"/>
          <w:lang w:val="en-GB" w:eastAsia="en-US"/>
        </w:rPr>
        <w:footnoteRef/>
      </w:r>
      <w:r>
        <w:rPr>
          <w:rStyle w:val="Hyperlink"/>
          <w:b w:val="0"/>
          <w:sz w:val="20"/>
          <w:u w:val="none"/>
        </w:rPr>
        <w:t xml:space="preserve"> </w:t>
      </w:r>
      <w:r>
        <w:tab/>
      </w:r>
      <w:hyperlink r:id="rId21" w:history="1">
        <w:r>
          <w:rPr>
            <w:rStyle w:val="Hyperlink"/>
            <w:b w:val="0"/>
            <w:sz w:val="20"/>
          </w:rPr>
          <w:t>Международната организация на труда и Европейският орган по труда обединиха сили за намаляването на рисковете от недеклариран труд, трудова експлоатация и трафик на хора, бягащи от войната в Украйна |</w:t>
        </w:r>
      </w:hyperlink>
      <w:hyperlink r:id="rId22" w:history="1">
        <w:r>
          <w:rPr>
            <w:rStyle w:val="Hyperlink"/>
            <w:b w:val="0"/>
            <w:sz w:val="20"/>
          </w:rPr>
          <w:t xml:space="preserve"> Европейски орган по труда (europa.eu)</w:t>
        </w:r>
      </w:hyperlink>
      <w:r>
        <w:rPr>
          <w:rStyle w:val="Hyperlink"/>
          <w:b w:val="0"/>
          <w:sz w:val="20"/>
          <w:u w:val="none"/>
        </w:rPr>
        <w:t>.</w:t>
      </w:r>
    </w:p>
  </w:footnote>
  <w:footnote w:id="31">
    <w:p w14:paraId="4D53761F" w14:textId="354128E9" w:rsidR="00B57C2B" w:rsidRPr="0086760B" w:rsidRDefault="00B57C2B" w:rsidP="0086760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23" w:history="1">
        <w:r>
          <w:rPr>
            <w:rStyle w:val="Hyperlink"/>
            <w:rFonts w:ascii="Times New Roman" w:hAnsi="Times New Roman"/>
          </w:rPr>
          <w:t>Общ план за борба с трафика на хора за справяне с рисковете от трафика на хора и за подкрепа на потенциалните жертви сред хората, бягащи от войната в Украйна.</w:t>
        </w:r>
      </w:hyperlink>
      <w:r>
        <w:rPr>
          <w:rFonts w:ascii="Times New Roman" w:hAnsi="Times New Roman"/>
        </w:rPr>
        <w:t>.</w:t>
      </w:r>
    </w:p>
  </w:footnote>
  <w:footnote w:id="32">
    <w:p w14:paraId="19532B65" w14:textId="16E29746" w:rsidR="00B57C2B" w:rsidRPr="0086760B" w:rsidRDefault="00B57C2B"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24" w:history="1">
        <w:r>
          <w:rPr>
            <w:rStyle w:val="Hyperlink"/>
            <w:rFonts w:ascii="Times New Roman" w:hAnsi="Times New Roman"/>
          </w:rPr>
          <w:t>Доклад относно напредъка в борбата с трафика на хора (четвърти доклад)</w:t>
        </w:r>
      </w:hyperlink>
      <w:r>
        <w:rPr>
          <w:rStyle w:val="Hyperlink"/>
          <w:rFonts w:ascii="Times New Roman" w:hAnsi="Times New Roman"/>
        </w:rPr>
        <w:t>.</w:t>
      </w:r>
      <w:r>
        <w:rPr>
          <w:rFonts w:ascii="Times New Roman" w:hAnsi="Times New Roman"/>
        </w:rPr>
        <w:t xml:space="preserve"> </w:t>
      </w:r>
    </w:p>
  </w:footnote>
  <w:footnote w:id="33">
    <w:p w14:paraId="28892073" w14:textId="6F551BF7" w:rsidR="00FF4098" w:rsidRPr="0086760B" w:rsidRDefault="00FF4098"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Националният докладчик или еквивалентните механизми в държавите членки допринасят за разбирането на трафика на хора в различните му форми на експлоатация, като редовно събират и анализират данни, оценяват ефективността и въздействието на националните политики и действия срещу трафика на хора и в подкрепа на жертвите от него и представят препоръки за подобряване на политиките и практиките за справяне с всички форми на трафик (</w:t>
      </w:r>
      <w:hyperlink r:id="rId25" w:anchor="eu-network-of-national-rapporteurs-or-equivalent-mechanisms-on-trafficking-in-human-beings" w:history="1">
        <w:r>
          <w:rPr>
            <w:rStyle w:val="Hyperlink"/>
            <w:rFonts w:ascii="Times New Roman" w:hAnsi="Times New Roman"/>
          </w:rPr>
          <w:t>Засилване на координирания отговор (europa.eu</w:t>
        </w:r>
      </w:hyperlink>
      <w:r>
        <w:rPr>
          <w:rFonts w:ascii="Times New Roman" w:hAnsi="Times New Roman"/>
        </w:rPr>
        <w:t>).</w:t>
      </w:r>
    </w:p>
  </w:footnote>
  <w:footnote w:id="34">
    <w:p w14:paraId="3F036F19" w14:textId="736BCDDE" w:rsidR="00B54964" w:rsidRPr="00F45D04" w:rsidRDefault="00B54964" w:rsidP="004B77A7">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Директива 2012/29/ЕС на Европейския парламент и на Съвета от 25 октомври 2012 г. за установяване на минимални стандарти за правата, подкрепата и защитата на жертвите на престъпления и за замяна на Рамково решение 2001/220/ПВР на Съвета (ОВ L 315, 14.11.2012 г., стр. 57—73).</w:t>
      </w:r>
    </w:p>
  </w:footnote>
  <w:footnote w:id="35">
    <w:p w14:paraId="385026B8" w14:textId="46B46724" w:rsidR="00B54964" w:rsidRPr="00F45D04" w:rsidRDefault="00B54964" w:rsidP="004B77A7">
      <w:pPr>
        <w:pStyle w:val="FootnoteText"/>
        <w:ind w:left="357" w:hanging="357"/>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26" w:history="1">
        <w:r>
          <w:rPr>
            <w:rStyle w:val="Hyperlink"/>
            <w:rFonts w:ascii="Times New Roman" w:hAnsi="Times New Roman"/>
          </w:rPr>
          <w:t>https://www.eurojust.europa.eu/sites/default/files/assets/eurojust-icc-csos-guidelines.pdf</w:t>
        </w:r>
      </w:hyperlink>
    </w:p>
  </w:footnote>
  <w:footnote w:id="36">
    <w:p w14:paraId="1E7DFA82" w14:textId="77777777" w:rsidR="00B57C2B" w:rsidRPr="0086760B" w:rsidRDefault="00B57C2B"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 началото на учебната 2022/2023 година само половин милион украински деца бяха записани в образователните системи в целия ЕС.</w:t>
      </w:r>
    </w:p>
  </w:footnote>
  <w:footnote w:id="37">
    <w:p w14:paraId="7EB25A87" w14:textId="7B03CEB9" w:rsidR="00B57C2B" w:rsidRPr="0086760B" w:rsidRDefault="00B57C2B"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27" w:history="1">
        <w:r>
          <w:rPr>
            <w:rStyle w:val="Hyperlink"/>
            <w:rFonts w:ascii="Times New Roman" w:hAnsi="Times New Roman"/>
          </w:rPr>
          <w:t>Европейско пространство за образование — Качествено образование и обучение за всички</w:t>
        </w:r>
      </w:hyperlink>
      <w:r>
        <w:rPr>
          <w:rFonts w:ascii="Times New Roman" w:hAnsi="Times New Roman"/>
        </w:rPr>
        <w:t>.</w:t>
      </w:r>
    </w:p>
  </w:footnote>
  <w:footnote w:id="38">
    <w:p w14:paraId="26B488A6" w14:textId="05BA0205" w:rsidR="00B57C2B" w:rsidRPr="0086760B" w:rsidRDefault="00B57C2B"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t xml:space="preserve">Уебсайтът </w:t>
      </w:r>
      <w:hyperlink r:id="rId28" w:anchor=":~:text=Ukrainian%20Education%20in%20Emergency%20Millions%20of%20Ukrainian%20children,and%20shelling%20and%20hundreds%20have%20been%20destroyed%20completely." w:history="1">
        <w:r>
          <w:rPr>
            <w:rStyle w:val="Hyperlink"/>
            <w:rFonts w:ascii="Times New Roman" w:hAnsi="Times New Roman"/>
          </w:rPr>
          <w:t>Украинското образование в извънредна ситуация</w:t>
        </w:r>
      </w:hyperlink>
      <w:r>
        <w:rPr>
          <w:rFonts w:ascii="Times New Roman" w:hAnsi="Times New Roman"/>
        </w:rPr>
        <w:t xml:space="preserve"> предоставя информация за украинската образователна система и учебната програма, като неговата цел е да помогне на украинските деца да се адаптират към новите училища и учебни програми в чужбина.</w:t>
      </w:r>
    </w:p>
  </w:footnote>
  <w:footnote w:id="39">
    <w:p w14:paraId="372F67B0" w14:textId="77777777" w:rsidR="00110CA3" w:rsidRPr="0086760B" w:rsidRDefault="00110CA3"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29" w:history="1">
        <w:r>
          <w:rPr>
            <w:rStyle w:val="Hyperlink"/>
            <w:rFonts w:ascii="Times New Roman" w:hAnsi="Times New Roman"/>
          </w:rPr>
          <w:t>Подкрепа за приобщаване на разселените деца от Украйна към образованието:</w:t>
        </w:r>
      </w:hyperlink>
      <w:hyperlink r:id="rId30" w:history="1">
        <w:r>
          <w:rPr>
            <w:rStyle w:val="Hyperlink"/>
            <w:rFonts w:ascii="Times New Roman" w:hAnsi="Times New Roman"/>
          </w:rPr>
          <w:t>съображения, ключови принципи и практики за учебната 2022—2023 година, юни 2022 г</w:t>
        </w:r>
      </w:hyperlink>
      <w:r>
        <w:rPr>
          <w:rStyle w:val="Hyperlink"/>
          <w:rFonts w:ascii="Times New Roman" w:hAnsi="Times New Roman"/>
        </w:rPr>
        <w:t>.</w:t>
      </w:r>
    </w:p>
  </w:footnote>
  <w:footnote w:id="40">
    <w:p w14:paraId="02E5A324" w14:textId="38555612" w:rsidR="001052D6" w:rsidRPr="0040758E" w:rsidRDefault="001052D6" w:rsidP="001052D6">
      <w:pPr>
        <w:pStyle w:val="FootnoteText"/>
        <w:ind w:left="357" w:hanging="357"/>
        <w:rPr>
          <w:rFonts w:ascii="Times New Roman" w:hAnsi="Times New Roman" w:cs="Times New Roman"/>
        </w:rPr>
      </w:pPr>
      <w:r>
        <w:rPr>
          <w:rStyle w:val="FootnoteReference"/>
          <w:rFonts w:ascii="Times New Roman" w:hAnsi="Times New Roman" w:cs="Times New Roman"/>
        </w:rPr>
        <w:footnoteRef/>
      </w:r>
      <w:r>
        <w:tab/>
      </w:r>
      <w:hyperlink r:id="rId31" w:history="1">
        <w:r>
          <w:rPr>
            <w:rStyle w:val="Hyperlink"/>
            <w:rFonts w:ascii="Times New Roman" w:hAnsi="Times New Roman"/>
          </w:rPr>
          <w:t>Европейска платформа за училищно образование</w:t>
        </w:r>
      </w:hyperlink>
      <w:r>
        <w:rPr>
          <w:rFonts w:ascii="Times New Roman" w:hAnsi="Times New Roman"/>
        </w:rPr>
        <w:t>.</w:t>
      </w:r>
    </w:p>
  </w:footnote>
  <w:footnote w:id="41">
    <w:p w14:paraId="6066FC1D" w14:textId="096A14AE" w:rsidR="00B57C2B" w:rsidRPr="0086760B" w:rsidRDefault="00B57C2B"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32" w:history="1">
        <w:r>
          <w:rPr>
            <w:rStyle w:val="Hyperlink"/>
            <w:rFonts w:ascii="Times New Roman" w:hAnsi="Times New Roman"/>
          </w:rPr>
          <w:t>Портал за училищно образование</w:t>
        </w:r>
      </w:hyperlink>
    </w:p>
  </w:footnote>
  <w:footnote w:id="42">
    <w:p w14:paraId="6B783B6D" w14:textId="48DC588E" w:rsidR="008D2C75" w:rsidRPr="0086760B" w:rsidRDefault="008D2C75"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33" w:history="1">
        <w:r>
          <w:rPr>
            <w:rStyle w:val="Hyperlink"/>
            <w:rFonts w:ascii="Times New Roman" w:hAnsi="Times New Roman"/>
          </w:rPr>
          <w:t>Образование и подкрепа за украинските бежанци</w:t>
        </w:r>
      </w:hyperlink>
      <w:r>
        <w:rPr>
          <w:rFonts w:ascii="Times New Roman" w:hAnsi="Times New Roman"/>
        </w:rPr>
        <w:t>. Началната страница беше създадена първоначално на онлайн портала за училищно образование, който от 1 октомври 2022 г. мигрира към Европейската платформа за училищно образование.</w:t>
      </w:r>
    </w:p>
  </w:footnote>
  <w:footnote w:id="43">
    <w:p w14:paraId="71AA3D7C" w14:textId="431DA136" w:rsidR="00B57C2B" w:rsidRPr="0086760B" w:rsidRDefault="00B57C2B"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t xml:space="preserve">Съобщение на Комисията </w:t>
      </w:r>
      <w:hyperlink r:id="rId34" w:history="1">
        <w:r>
          <w:rPr>
            <w:rStyle w:val="Hyperlink"/>
            <w:rFonts w:ascii="Times New Roman" w:hAnsi="Times New Roman"/>
          </w:rPr>
          <w:t>„Насоки относно достъпа до трудовия пазар, професионалното образование и обучение и ученето за възрастни за хората, които бягат от военната агресия на Русия срещу Украйна“</w:t>
        </w:r>
      </w:hyperlink>
      <w:r>
        <w:t>.</w:t>
      </w:r>
    </w:p>
  </w:footnote>
  <w:footnote w:id="44">
    <w:p w14:paraId="359DD635" w14:textId="5455D772" w:rsidR="00B57C2B" w:rsidRPr="0086760B" w:rsidRDefault="00B57C2B"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Вж. член 13 от ДВЗ.</w:t>
      </w:r>
    </w:p>
  </w:footnote>
  <w:footnote w:id="45">
    <w:p w14:paraId="032F923D" w14:textId="09CCCD1D" w:rsidR="00B57C2B" w:rsidRPr="0086760B" w:rsidRDefault="00B57C2B" w:rsidP="0086760B">
      <w:pPr>
        <w:pStyle w:val="NormalWeb"/>
        <w:spacing w:before="0" w:beforeAutospacing="0" w:after="0" w:afterAutospacing="0" w:line="259" w:lineRule="auto"/>
        <w:ind w:left="357" w:hanging="357"/>
        <w:jc w:val="both"/>
        <w:rPr>
          <w:rFonts w:eastAsiaTheme="minorHAnsi"/>
          <w:sz w:val="20"/>
          <w:szCs w:val="20"/>
        </w:rPr>
      </w:pPr>
      <w:r>
        <w:rPr>
          <w:rStyle w:val="FootnoteReference"/>
          <w:sz w:val="20"/>
          <w:szCs w:val="20"/>
        </w:rPr>
        <w:footnoteRef/>
      </w:r>
      <w:r>
        <w:tab/>
      </w:r>
      <w:r w:rsidRPr="00D307D6">
        <w:rPr>
          <w:sz w:val="20"/>
        </w:rPr>
        <w:t xml:space="preserve">В член </w:t>
      </w:r>
      <w:r>
        <w:rPr>
          <w:sz w:val="20"/>
        </w:rPr>
        <w:t>13 се посочва също: „Когато лицата, ползващи се с временна закрила, работят или упражняват свободна професия, при определяне на предложената степен на оказване на помощ се взема предвид възможността им да поемат разноските, свързани с техните нужди“.</w:t>
      </w:r>
    </w:p>
  </w:footnote>
  <w:footnote w:id="46">
    <w:p w14:paraId="5309DF9D" w14:textId="1205EE15" w:rsidR="00B57C2B" w:rsidRPr="0086760B" w:rsidRDefault="00B57C2B" w:rsidP="0086760B">
      <w:pPr>
        <w:pStyle w:val="titlepageDate"/>
        <w:spacing w:before="0" w:after="0" w:line="240" w:lineRule="auto"/>
        <w:ind w:left="357" w:hanging="357"/>
        <w:jc w:val="both"/>
        <w:rPr>
          <w:rFonts w:ascii="Times New Roman" w:eastAsiaTheme="minorEastAsia" w:hAnsi="Times New Roman" w:cs="Times New Roman"/>
          <w:color w:val="000000" w:themeColor="text1"/>
          <w:sz w:val="20"/>
          <w:szCs w:val="20"/>
        </w:rPr>
      </w:pPr>
      <w:r>
        <w:rPr>
          <w:rStyle w:val="FootnoteReference"/>
          <w:rFonts w:ascii="Times New Roman" w:hAnsi="Times New Roman" w:cs="Times New Roman"/>
          <w:b w:val="0"/>
          <w:bCs/>
          <w:color w:val="000000" w:themeColor="text1"/>
          <w:sz w:val="20"/>
          <w:szCs w:val="20"/>
        </w:rPr>
        <w:footnoteRef/>
      </w:r>
      <w:r>
        <w:rPr>
          <w:rStyle w:val="FootnoteReference"/>
          <w:rFonts w:ascii="Times New Roman" w:hAnsi="Times New Roman"/>
          <w:b w:val="0"/>
          <w:color w:val="000000" w:themeColor="text1"/>
          <w:sz w:val="20"/>
        </w:rPr>
        <w:t xml:space="preserve"> </w:t>
      </w:r>
      <w:bookmarkStart w:id="5" w:name="_Hlk128048601"/>
      <w:r>
        <w:tab/>
      </w:r>
      <w:bookmarkEnd w:id="5"/>
      <w:r>
        <w:rPr>
          <w:rFonts w:ascii="Times New Roman" w:hAnsi="Times New Roman"/>
          <w:b w:val="0"/>
          <w:color w:val="000000" w:themeColor="text1"/>
          <w:sz w:val="20"/>
        </w:rPr>
        <w:t>Предоставяне от EUAA на временна закрила на разселени лица от Украйна: преглед на годината.</w:t>
      </w:r>
    </w:p>
  </w:footnote>
  <w:footnote w:id="47">
    <w:p w14:paraId="66473C67" w14:textId="3FCC6AFA" w:rsidR="00B57C2B" w:rsidRPr="0086760B" w:rsidRDefault="00B57C2B" w:rsidP="0086760B">
      <w:pPr>
        <w:pStyle w:val="FootnoteText"/>
        <w:ind w:left="357" w:hanging="357"/>
        <w:jc w:val="both"/>
        <w:rPr>
          <w:rStyle w:val="Hyperlink"/>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35" w:history="1">
        <w:r>
          <w:rPr>
            <w:rStyle w:val="Hyperlink"/>
            <w:rFonts w:ascii="Times New Roman" w:hAnsi="Times New Roman"/>
          </w:rPr>
          <w:t>Доклад относно достъпа до здравни грижи в държавите — членки на ЕС: прилагане на Директивата за временната закрила (2001/55/ЕО) и на Решение за изпълнение (ЕС) 2022/382 на Съвета</w:t>
        </w:r>
      </w:hyperlink>
      <w:r>
        <w:t>.</w:t>
      </w:r>
    </w:p>
  </w:footnote>
  <w:footnote w:id="48">
    <w:p w14:paraId="58117C3B" w14:textId="7D12BAF3" w:rsidR="00B57C2B" w:rsidRPr="004B77A7" w:rsidRDefault="00B57C2B" w:rsidP="0086760B">
      <w:pPr>
        <w:pStyle w:val="FootnoteText"/>
        <w:ind w:left="357" w:hanging="357"/>
        <w:jc w:val="both"/>
        <w:rPr>
          <w:rFonts w:ascii="Times New Roman" w:hAnsi="Times New Roman" w:cs="Times New Roman"/>
          <w:color w:val="000000" w:themeColor="text1"/>
        </w:rPr>
      </w:pPr>
      <w:r>
        <w:rPr>
          <w:rStyle w:val="FootnoteReference"/>
          <w:rFonts w:ascii="Times New Roman" w:hAnsi="Times New Roman" w:cs="Times New Roman"/>
        </w:rPr>
        <w:footnoteRef/>
      </w:r>
      <w:r>
        <w:rPr>
          <w:rFonts w:ascii="Times New Roman" w:hAnsi="Times New Roman"/>
        </w:rPr>
        <w:t xml:space="preserve"> </w:t>
      </w:r>
      <w:r>
        <w:tab/>
      </w:r>
      <w:r>
        <w:rPr>
          <w:rStyle w:val="Hyperlink"/>
          <w:rFonts w:ascii="Times New Roman" w:hAnsi="Times New Roman"/>
          <w:color w:val="000000" w:themeColor="text1"/>
          <w:u w:val="none"/>
        </w:rPr>
        <w:t>В по-голямата част от държавите членки беше осигурена безплатна ваксинация срещу COVID-19.</w:t>
      </w:r>
    </w:p>
  </w:footnote>
  <w:footnote w:id="49">
    <w:p w14:paraId="355DF8CE" w14:textId="77777777" w:rsidR="00B57C2B" w:rsidRPr="0086760B" w:rsidRDefault="00B57C2B" w:rsidP="0086760B">
      <w:pPr>
        <w:pStyle w:val="FootnoteText"/>
        <w:ind w:left="357" w:hanging="357"/>
        <w:jc w:val="both"/>
        <w:rPr>
          <w:rFonts w:ascii="Times New Roman" w:hAnsi="Times New Roman" w:cs="Times New Roman"/>
        </w:rPr>
      </w:pPr>
      <w:r>
        <w:rPr>
          <w:rStyle w:val="Hyperlink"/>
          <w:rFonts w:ascii="Times New Roman" w:hAnsi="Times New Roman" w:cs="Times New Roman"/>
          <w:color w:val="auto"/>
          <w:u w:val="none"/>
          <w:vertAlign w:val="superscript"/>
        </w:rPr>
        <w:footnoteRef/>
      </w:r>
      <w:r>
        <w:tab/>
      </w:r>
      <w:hyperlink r:id="rId36" w:history="1">
        <w:r>
          <w:rPr>
            <w:rStyle w:val="Hyperlink"/>
            <w:rFonts w:ascii="Times New Roman" w:hAnsi="Times New Roman"/>
          </w:rPr>
          <w:t>Съобщение на Комисията за оперативни насоки за прилагането на Решение за изпълнение (ЕС) 2022/382 на Съвета за установяване на съществуването на масово навлизане на разселени лица от Украйна по смисъла на член 5 от Директива 2001/55/ЕО и за въвеждане на временна закрила</w:t>
        </w:r>
      </w:hyperlink>
      <w:r>
        <w:rPr>
          <w:rStyle w:val="Hyperlink"/>
          <w:rFonts w:ascii="Times New Roman" w:hAnsi="Times New Roman"/>
        </w:rPr>
        <w:t>.</w:t>
      </w:r>
    </w:p>
  </w:footnote>
  <w:footnote w:id="50">
    <w:p w14:paraId="13AA6F45" w14:textId="62BE5E45" w:rsidR="00B57C2B" w:rsidRPr="0086760B" w:rsidRDefault="00B57C2B"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sidRPr="00D307D6">
        <w:rPr>
          <w:rStyle w:val="Hyperlink"/>
          <w:rFonts w:ascii="Times New Roman" w:hAnsi="Times New Roman"/>
          <w:color w:val="000000" w:themeColor="text1"/>
          <w:u w:val="none"/>
        </w:rPr>
        <w:t>Съобщение на Комисията</w:t>
      </w:r>
      <w:r>
        <w:t xml:space="preserve"> </w:t>
      </w:r>
      <w:hyperlink r:id="rId37" w:history="1">
        <w:r>
          <w:rPr>
            <w:rStyle w:val="Hyperlink"/>
            <w:rFonts w:ascii="Times New Roman" w:hAnsi="Times New Roman"/>
          </w:rPr>
          <w:t>„Насоки относно достъпа до трудовия пазар, професионалното образование и обучение и ученето за възрастни за хората, които бягат от военната агресия на Русия срещу Украйна“</w:t>
        </w:r>
      </w:hyperlink>
      <w:r>
        <w:t>.</w:t>
      </w:r>
    </w:p>
  </w:footnote>
  <w:footnote w:id="51">
    <w:p w14:paraId="64826325" w14:textId="796218C7" w:rsidR="00B57C2B" w:rsidRPr="0086760B" w:rsidRDefault="00B57C2B" w:rsidP="0086760B">
      <w:pPr>
        <w:pStyle w:val="FootnoteText"/>
        <w:ind w:left="357" w:hanging="357"/>
        <w:jc w:val="both"/>
        <w:rPr>
          <w:rFonts w:ascii="Times New Roman" w:hAnsi="Times New Roman" w:cs="Times New Roman"/>
          <w:color w:val="365F91" w:themeColor="accent1" w:themeShade="BF"/>
        </w:rPr>
      </w:pPr>
      <w:r>
        <w:rPr>
          <w:rStyle w:val="FootnoteReference"/>
          <w:rFonts w:ascii="Times New Roman" w:hAnsi="Times New Roman" w:cs="Times New Roman"/>
        </w:rPr>
        <w:footnoteRef/>
      </w:r>
      <w:r>
        <w:rPr>
          <w:rFonts w:ascii="Times New Roman" w:hAnsi="Times New Roman"/>
          <w:color w:val="365F91" w:themeColor="accent1" w:themeShade="BF"/>
        </w:rPr>
        <w:t xml:space="preserve"> </w:t>
      </w:r>
      <w:r>
        <w:tab/>
      </w:r>
      <w:hyperlink r:id="rId38" w:history="1">
        <w:r>
          <w:rPr>
            <w:rStyle w:val="Hyperlink"/>
            <w:rFonts w:ascii="Times New Roman" w:hAnsi="Times New Roman"/>
          </w:rPr>
          <w:t>Отговори на политиката на ОИСР относно въздействието на войната в Украйна — Какво знаем за уменията и ранните резултати на пазара на труда на бежанците от Украйна</w:t>
        </w:r>
      </w:hyperlink>
      <w:r>
        <w:rPr>
          <w:rStyle w:val="Hyperlink"/>
          <w:rFonts w:ascii="Times New Roman" w:hAnsi="Times New Roman"/>
        </w:rPr>
        <w:t>.</w:t>
      </w:r>
    </w:p>
  </w:footnote>
  <w:footnote w:id="52">
    <w:p w14:paraId="792BC4A1" w14:textId="77777777" w:rsidR="00B57C2B" w:rsidRPr="0086760B" w:rsidRDefault="00B57C2B"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39" w:history="1">
        <w:r>
          <w:rPr>
            <w:rStyle w:val="Hyperlink"/>
            <w:rFonts w:ascii="Times New Roman" w:hAnsi="Times New Roman"/>
          </w:rPr>
          <w:t>Подкрепа на публичните служби по заетостта за разселените лица от Украйна:</w:t>
        </w:r>
      </w:hyperlink>
      <w:hyperlink r:id="rId40" w:history="1">
        <w:r>
          <w:rPr>
            <w:rStyle w:val="Hyperlink"/>
            <w:rFonts w:ascii="Times New Roman" w:hAnsi="Times New Roman"/>
          </w:rPr>
          <w:t xml:space="preserve"> последни промени — заетост, социални въпроси и приобщаване</w:t>
        </w:r>
      </w:hyperlink>
      <w:r>
        <w:rPr>
          <w:rStyle w:val="Hyperlink"/>
          <w:rFonts w:ascii="Times New Roman" w:hAnsi="Times New Roman"/>
        </w:rPr>
        <w:t>.</w:t>
      </w:r>
    </w:p>
  </w:footnote>
  <w:footnote w:id="53">
    <w:p w14:paraId="2C2919F9" w14:textId="4DA90CD2" w:rsidR="00B57C2B" w:rsidRPr="0086760B" w:rsidRDefault="00B57C2B"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41" w:history="1">
        <w:r>
          <w:rPr>
            <w:rStyle w:val="Hyperlink"/>
            <w:rFonts w:ascii="Times New Roman" w:hAnsi="Times New Roman"/>
          </w:rPr>
          <w:t xml:space="preserve">Пилотен проект „Резерв на ЕС от таланти“ </w:t>
        </w:r>
      </w:hyperlink>
      <w:r>
        <w:rPr>
          <w:rFonts w:ascii="Times New Roman" w:hAnsi="Times New Roman"/>
        </w:rPr>
        <w:t>.</w:t>
      </w:r>
    </w:p>
  </w:footnote>
  <w:footnote w:id="54">
    <w:p w14:paraId="4E3F3A9E" w14:textId="77777777" w:rsidR="00CB350E" w:rsidRPr="0086760B" w:rsidRDefault="00CB350E"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Кипър, Испания, Финландия, Хърватия, Литва, Словакия, Полша.</w:t>
      </w:r>
    </w:p>
  </w:footnote>
  <w:footnote w:id="55">
    <w:p w14:paraId="1A7D9AF2" w14:textId="17DCF4D3" w:rsidR="00B57C2B" w:rsidRPr="0086760B" w:rsidRDefault="00B57C2B" w:rsidP="0086760B">
      <w:pPr>
        <w:pStyle w:val="FootnoteText"/>
        <w:ind w:left="357" w:hanging="357"/>
        <w:jc w:val="both"/>
        <w:rPr>
          <w:rFonts w:ascii="Times New Roman" w:hAnsi="Times New Roman" w:cs="Times New Roman"/>
          <w:color w:val="365F91" w:themeColor="accent1" w:themeShade="BF"/>
        </w:rPr>
      </w:pPr>
      <w:r>
        <w:rPr>
          <w:rStyle w:val="FootnoteReference"/>
          <w:rFonts w:ascii="Times New Roman" w:hAnsi="Times New Roman" w:cs="Times New Roman"/>
        </w:rPr>
        <w:footnoteRef/>
      </w:r>
      <w:r>
        <w:rPr>
          <w:rFonts w:ascii="Times New Roman" w:hAnsi="Times New Roman"/>
        </w:rPr>
        <w:t xml:space="preserve"> </w:t>
      </w:r>
      <w:r>
        <w:tab/>
      </w:r>
      <w:hyperlink r:id="rId42" w:history="1">
        <w:r>
          <w:rPr>
            <w:rStyle w:val="Hyperlink"/>
            <w:rFonts w:ascii="Times New Roman" w:hAnsi="Times New Roman"/>
          </w:rPr>
          <w:t>Препоръка (ЕС) 2022/554 на Комисията от 5 април 2022 г. относно признаването на квалификациите на лицата, бягащи от руското нашествие в Украйна</w:t>
        </w:r>
      </w:hyperlink>
      <w:r>
        <w:rPr>
          <w:rStyle w:val="Hyperlink"/>
          <w:rFonts w:ascii="Times New Roman" w:hAnsi="Times New Roman"/>
        </w:rPr>
        <w:t>.</w:t>
      </w:r>
    </w:p>
  </w:footnote>
  <w:footnote w:id="56">
    <w:p w14:paraId="1E1923D0" w14:textId="77777777" w:rsidR="00510A73" w:rsidRPr="00D307D6" w:rsidRDefault="00510A73" w:rsidP="0086760B">
      <w:pPr>
        <w:ind w:left="357" w:hanging="357"/>
        <w:jc w:val="both"/>
        <w:rPr>
          <w:color w:val="365F91" w:themeColor="accent1" w:themeShade="BF"/>
          <w:sz w:val="20"/>
          <w:szCs w:val="20"/>
        </w:rPr>
      </w:pPr>
      <w:r>
        <w:rPr>
          <w:rStyle w:val="FootnoteReference"/>
          <w:sz w:val="20"/>
          <w:szCs w:val="20"/>
        </w:rPr>
        <w:footnoteRef/>
      </w:r>
      <w:hyperlink r:id="rId43" w:history="1">
        <w:r>
          <w:rPr>
            <w:rStyle w:val="Hyperlink"/>
            <w:sz w:val="20"/>
          </w:rPr>
          <w:t xml:space="preserve"> </w:t>
        </w:r>
      </w:hyperlink>
      <w:hyperlink r:id="rId44" w:history="1">
        <w:r w:rsidRPr="00D307D6">
          <w:rPr>
            <w:rStyle w:val="Hyperlink"/>
            <w:sz w:val="20"/>
            <w:szCs w:val="20"/>
          </w:rPr>
          <w:t>Сравнителен доклад за европейската квалификационна рамка и украинската национална квалификационна рамка</w:t>
        </w:r>
      </w:hyperlink>
      <w:r w:rsidRPr="00D307D6">
        <w:rPr>
          <w:rStyle w:val="Hyperlink"/>
          <w:sz w:val="20"/>
          <w:szCs w:val="20"/>
        </w:rPr>
        <w:t>.</w:t>
      </w:r>
    </w:p>
  </w:footnote>
  <w:footnote w:id="57">
    <w:p w14:paraId="13256DD1" w14:textId="77777777" w:rsidR="00CA2022" w:rsidRPr="0086760B" w:rsidRDefault="00CA2022"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Например мерки, чрез които на украинските медицински специалисти се позволява да работят под наблюдение в Латвия, преди квалификациите им да бъдат официално признати.</w:t>
      </w:r>
    </w:p>
  </w:footnote>
  <w:footnote w:id="58">
    <w:p w14:paraId="1B053043" w14:textId="190B297D" w:rsidR="00B54964" w:rsidRPr="00972CC8" w:rsidRDefault="00B54964" w:rsidP="004B77A7">
      <w:pPr>
        <w:pStyle w:val="FootnoteText"/>
        <w:ind w:left="357" w:hanging="357"/>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https://www.mfrr.eu/.</w:t>
      </w:r>
    </w:p>
  </w:footnote>
  <w:footnote w:id="59">
    <w:p w14:paraId="31193310" w14:textId="6747AB8C" w:rsidR="00B54964" w:rsidRPr="005063C0" w:rsidRDefault="00B54964" w:rsidP="004B77A7">
      <w:pPr>
        <w:pStyle w:val="FootnoteText"/>
        <w:ind w:left="357" w:hanging="357"/>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https://www.investigativejournalismforeu.net/.</w:t>
      </w:r>
    </w:p>
  </w:footnote>
  <w:footnote w:id="60">
    <w:p w14:paraId="4A481307" w14:textId="77777777" w:rsidR="0087353C" w:rsidRPr="0086760B" w:rsidRDefault="0087353C"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45" w:history="1">
        <w:r>
          <w:rPr>
            <w:rStyle w:val="Hyperlink"/>
            <w:rFonts w:ascii="Times New Roman" w:hAnsi="Times New Roman"/>
          </w:rPr>
          <w:t>Европейско партньорство за интеграция</w:t>
        </w:r>
      </w:hyperlink>
    </w:p>
  </w:footnote>
  <w:footnote w:id="61">
    <w:p w14:paraId="485D65CF" w14:textId="718F61BF" w:rsidR="00B57C2B" w:rsidRPr="001341D3" w:rsidRDefault="00B57C2B" w:rsidP="0086760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46" w:history="1">
        <w:r>
          <w:rPr>
            <w:rStyle w:val="Hyperlink"/>
            <w:rFonts w:ascii="Times New Roman" w:hAnsi="Times New Roman"/>
          </w:rPr>
          <w:t>Механизъм за гражданска защита на Съюза (europa.eu)</w:t>
        </w:r>
      </w:hyperlink>
      <w:r>
        <w:t>.</w:t>
      </w:r>
    </w:p>
  </w:footnote>
  <w:footnote w:id="62">
    <w:p w14:paraId="232FFB73" w14:textId="2BBCC784" w:rsidR="00B57C2B" w:rsidRPr="0086760B" w:rsidRDefault="00B57C2B"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47" w:history="1">
        <w:r>
          <w:rPr>
            <w:rStyle w:val="Hyperlink"/>
            <w:rFonts w:ascii="Times New Roman" w:hAnsi="Times New Roman"/>
          </w:rPr>
          <w:t>Отговори на политиката на ОИСР относно въздействието на войната в Украйна — Жилищна подкрепа за украинските бежанци в приемащите държави</w:t>
        </w:r>
      </w:hyperlink>
      <w:r>
        <w:rPr>
          <w:rStyle w:val="Hyperlink"/>
          <w:rFonts w:ascii="Times New Roman" w:hAnsi="Times New Roman"/>
        </w:rPr>
        <w:t>.</w:t>
      </w:r>
    </w:p>
  </w:footnote>
  <w:footnote w:id="63">
    <w:p w14:paraId="16497460" w14:textId="29FF1E7B" w:rsidR="00B57C2B" w:rsidRPr="0086760B" w:rsidRDefault="00B57C2B"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48" w:history="1">
        <w:r>
          <w:rPr>
            <w:rStyle w:val="Hyperlink"/>
            <w:rFonts w:ascii="Times New Roman" w:hAnsi="Times New Roman"/>
          </w:rPr>
          <w:t>Безопасни и подходящи домове за хората, бягащи от войната в Украйна</w:t>
        </w:r>
      </w:hyperlink>
      <w:r>
        <w:t>.</w:t>
      </w:r>
    </w:p>
  </w:footnote>
  <w:footnote w:id="64">
    <w:p w14:paraId="02CE3D81" w14:textId="13B1C5B2" w:rsidR="00B57C2B" w:rsidRPr="004B77A7" w:rsidRDefault="00B57C2B" w:rsidP="0086760B">
      <w:pPr>
        <w:pStyle w:val="FootnoteText"/>
        <w:ind w:left="357" w:hanging="357"/>
        <w:jc w:val="both"/>
        <w:rPr>
          <w:rFonts w:ascii="Times New Roman" w:hAnsi="Times New Roman" w:cs="Times New Roman"/>
          <w:color w:val="0000FF"/>
        </w:rPr>
      </w:pPr>
      <w:r>
        <w:rPr>
          <w:rStyle w:val="FootnoteReference"/>
          <w:rFonts w:ascii="Times New Roman" w:hAnsi="Times New Roman" w:cs="Times New Roman"/>
        </w:rPr>
        <w:footnoteRef/>
      </w:r>
      <w:r>
        <w:rPr>
          <w:rFonts w:ascii="Times New Roman" w:hAnsi="Times New Roman"/>
        </w:rPr>
        <w:t xml:space="preserve"> </w:t>
      </w:r>
      <w:r>
        <w:tab/>
      </w:r>
      <w:hyperlink r:id="rId49" w:history="1">
        <w:r>
          <w:rPr>
            <w:rStyle w:val="Hyperlink"/>
            <w:rFonts w:ascii="Times New Roman" w:hAnsi="Times New Roman"/>
          </w:rPr>
          <w:t>Солидарност и жилищно настаняване:</w:t>
        </w:r>
      </w:hyperlink>
      <w:r>
        <w:rPr>
          <w:rStyle w:val="Hyperlink"/>
          <w:rFonts w:ascii="Times New Roman" w:hAnsi="Times New Roman"/>
        </w:rPr>
        <w:t>подкрепа за безопасни домове — Съображения, основни принципи и практики — състояние към 21 февруари 2023 г.</w:t>
      </w:r>
    </w:p>
  </w:footnote>
  <w:footnote w:id="65">
    <w:p w14:paraId="7292EE2C" w14:textId="1D55C7C4" w:rsidR="00B57C2B" w:rsidRPr="0086760B" w:rsidRDefault="00B57C2B" w:rsidP="00D307D6">
      <w:pPr>
        <w:pStyle w:val="FootnoteText"/>
        <w:ind w:left="357" w:hanging="357"/>
        <w:jc w:val="both"/>
        <w:rPr>
          <w:rFonts w:ascii="Times New Roman" w:hAnsi="Times New Roman" w:cs="Times New Roman"/>
          <w:color w:val="0000FF" w:themeColor="hyperlink"/>
          <w:u w:val="single"/>
        </w:rPr>
      </w:pPr>
      <w:r>
        <w:rPr>
          <w:rStyle w:val="FootnoteReference"/>
          <w:rFonts w:ascii="Times New Roman" w:hAnsi="Times New Roman" w:cs="Times New Roman"/>
        </w:rPr>
        <w:footnoteRef/>
      </w:r>
      <w:r>
        <w:rPr>
          <w:rFonts w:ascii="Times New Roman" w:hAnsi="Times New Roman"/>
        </w:rPr>
        <w:t xml:space="preserve"> </w:t>
      </w:r>
      <w:r>
        <w:tab/>
      </w:r>
      <w:hyperlink r:id="rId50" w:history="1">
        <w:r>
          <w:rPr>
            <w:rStyle w:val="Hyperlink"/>
            <w:rFonts w:ascii="Times New Roman" w:hAnsi="Times New Roman"/>
          </w:rPr>
          <w:t>Фонд „Убежище, миграция и интеграция“ (ФУМИ) — покана за представяне на предложения — 17 януари 2023 г</w:t>
        </w:r>
      </w:hyperlink>
      <w:r>
        <w:rPr>
          <w:rStyle w:val="Hyperlink"/>
        </w:rPr>
        <w:t>.</w:t>
      </w:r>
      <w:r>
        <w:rPr>
          <w:rFonts w:ascii="Times New Roman" w:hAnsi="Times New Roman"/>
        </w:rPr>
        <w:t xml:space="preserve"> </w:t>
      </w:r>
    </w:p>
  </w:footnote>
  <w:footnote w:id="66">
    <w:p w14:paraId="73ADB541" w14:textId="477B0C6F" w:rsidR="004E6683" w:rsidRPr="0086760B" w:rsidRDefault="004E6683"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Европейската мрежа за интеграция обединява представители на националните публични органи, главно от министерствата, отговарящи за интеграцията на мигрантите, от всички 27 държави — членки на ЕС, и Исландия и Норвегия. Те често играят роля в планирането и прилагането на специални възможности за финансиране от ЕС, като например фонд „Убежище, миграция и интеграция“ (ФУМИ) в съответните си държави. Членовете на Европейската мрежа за интеграция участват също така в целеви учебни посещения, партньорски проверки, семинари и действия за взаимопомощ по конкретни аспекти на интеграцията с цел обмен на знания. Вж. </w:t>
      </w:r>
      <w:hyperlink r:id="rId51" w:history="1">
        <w:r>
          <w:rPr>
            <w:rStyle w:val="Hyperlink"/>
            <w:rFonts w:ascii="Times New Roman" w:hAnsi="Times New Roman"/>
          </w:rPr>
          <w:t>Европейска мрежа за интеграция|</w:t>
        </w:r>
      </w:hyperlink>
      <w:hyperlink r:id="rId52" w:history="1">
        <w:r>
          <w:rPr>
            <w:rStyle w:val="Hyperlink"/>
            <w:rFonts w:ascii="Times New Roman" w:hAnsi="Times New Roman"/>
          </w:rPr>
          <w:t>Европейски уебсайт за интеграцията (europa.eu).</w:t>
        </w:r>
      </w:hyperlink>
    </w:p>
  </w:footnote>
  <w:footnote w:id="67">
    <w:p w14:paraId="79B0C702" w14:textId="0D42539B" w:rsidR="00B57C2B" w:rsidRPr="0086760B" w:rsidRDefault="00B57C2B"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53" w:history="1">
        <w:r>
          <w:rPr>
            <w:rStyle w:val="Hyperlink"/>
            <w:rFonts w:ascii="Times New Roman" w:hAnsi="Times New Roman"/>
          </w:rPr>
          <w:t>Регламент (ЕС) 2022/562 от 6 април 2022 г.</w:t>
        </w:r>
      </w:hyperlink>
      <w:r>
        <w:rPr>
          <w:rFonts w:ascii="Times New Roman" w:hAnsi="Times New Roman"/>
        </w:rPr>
        <w:t xml:space="preserve">, </w:t>
      </w:r>
      <w:hyperlink r:id="rId54" w:history="1">
        <w:r>
          <w:rPr>
            <w:rStyle w:val="Hyperlink"/>
            <w:rFonts w:ascii="Times New Roman" w:hAnsi="Times New Roman"/>
          </w:rPr>
          <w:t>Регламент (ЕС) 2022/613 от 12 април 2022 г.</w:t>
        </w:r>
      </w:hyperlink>
      <w:r>
        <w:rPr>
          <w:rFonts w:ascii="Times New Roman" w:hAnsi="Times New Roman"/>
        </w:rPr>
        <w:t xml:space="preserve">, </w:t>
      </w:r>
      <w:hyperlink r:id="rId55" w:history="1">
        <w:r>
          <w:rPr>
            <w:rStyle w:val="Hyperlink"/>
            <w:rFonts w:ascii="Times New Roman" w:hAnsi="Times New Roman"/>
          </w:rPr>
          <w:t>Регламент (ЕС) 2022/2039 от 26 октомври 2022 г.</w:t>
        </w:r>
      </w:hyperlink>
      <w:r>
        <w:rPr>
          <w:rFonts w:ascii="Times New Roman" w:hAnsi="Times New Roman"/>
        </w:rPr>
        <w:t>.</w:t>
      </w:r>
    </w:p>
  </w:footnote>
  <w:footnote w:id="68">
    <w:p w14:paraId="57A6D50E" w14:textId="3AACAF9C" w:rsidR="00B57C2B" w:rsidRPr="0086760B" w:rsidRDefault="00B57C2B" w:rsidP="0086760B">
      <w:pPr>
        <w:pStyle w:val="FootnoteText"/>
        <w:tabs>
          <w:tab w:val="left" w:pos="360"/>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Към 31 януари 2023 г.</w:t>
      </w:r>
    </w:p>
  </w:footnote>
  <w:footnote w:id="69">
    <w:p w14:paraId="0616862C" w14:textId="049B7892" w:rsidR="00BB5E93" w:rsidRPr="0086760B" w:rsidRDefault="00BB5E93" w:rsidP="0086760B">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Препрограмирането за създаване на тази схема е в ход и Комисията ще провери спазването на това условие при приключването на програмите.</w:t>
      </w:r>
    </w:p>
  </w:footnote>
  <w:footnote w:id="70">
    <w:p w14:paraId="46B8566D" w14:textId="32A81CF2" w:rsidR="00B57C2B" w:rsidRPr="0086760B" w:rsidRDefault="00B57C2B"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Спешна помощ в размер на 385 милиона евро беше отпусната на Чехия (54,4 милиона евро), Полша (200,1 милиона евро), Естония (10,1 милиона евро), Литва (10,1 милиона евро), България (10,9 милиона евро), Латвия (7,8 милиона евро), Румъния (39,1 милиона евро), Унгария (21,1 милиона евро), Словакия (24,7 милиона евро) и Кипър (6,7 милиона евро).</w:t>
      </w:r>
    </w:p>
  </w:footnote>
  <w:footnote w:id="71">
    <w:p w14:paraId="28D871EF" w14:textId="4942C6BE" w:rsidR="00B57C2B" w:rsidRPr="0086760B" w:rsidRDefault="00B57C2B"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Член 26 от ДВЗ.</w:t>
      </w:r>
    </w:p>
  </w:footnote>
  <w:footnote w:id="72">
    <w:p w14:paraId="5F9EFB40" w14:textId="055D8708" w:rsidR="00B57C2B" w:rsidRPr="0086760B" w:rsidRDefault="00B57C2B" w:rsidP="0086760B">
      <w:pPr>
        <w:ind w:left="357" w:hanging="357"/>
        <w:jc w:val="both"/>
        <w:rPr>
          <w:sz w:val="20"/>
          <w:szCs w:val="20"/>
        </w:rPr>
      </w:pPr>
      <w:r>
        <w:rPr>
          <w:rStyle w:val="FootnoteReference"/>
          <w:sz w:val="20"/>
          <w:szCs w:val="20"/>
        </w:rPr>
        <w:footnoteRef/>
      </w:r>
      <w:r>
        <w:rPr>
          <w:sz w:val="20"/>
        </w:rPr>
        <w:t xml:space="preserve"> </w:t>
      </w:r>
      <w:r>
        <w:tab/>
      </w:r>
      <w:r>
        <w:rPr>
          <w:sz w:val="20"/>
        </w:rPr>
        <w:t>От началото на войната над 400 000 души от Украйна пристигнаха в САЩ, Канада и Обединеното кралство.</w:t>
      </w:r>
    </w:p>
  </w:footnote>
  <w:footnote w:id="73">
    <w:p w14:paraId="19CA8F10" w14:textId="2BDA0647" w:rsidR="00CC57CD" w:rsidRPr="0086760B" w:rsidRDefault="00CC57CD"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56" w:history="1">
        <w:r>
          <w:rPr>
            <w:rStyle w:val="Hyperlink"/>
            <w:rFonts w:ascii="Times New Roman" w:hAnsi="Times New Roman"/>
          </w:rPr>
          <w:t xml:space="preserve">Често задавани въпроси относно тълкуването на Директивата за временната закрила и Решение за изпълнение 2022/382 на Съвета (Frequently asked questions received on the interpretation of the Temporary Protection Directive and Council Implementing Decision 2022-382_en.pdf.) </w:t>
        </w:r>
      </w:hyperlink>
    </w:p>
  </w:footnote>
  <w:footnote w:id="74">
    <w:p w14:paraId="682C9409" w14:textId="6E3C10A7" w:rsidR="00CC57CD" w:rsidRPr="0086760B" w:rsidRDefault="00CC57CD"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57" w:history="1">
        <w:r>
          <w:rPr>
            <w:rStyle w:val="Hyperlink"/>
            <w:rFonts w:ascii="Times New Roman" w:hAnsi="Times New Roman"/>
          </w:rPr>
          <w:t xml:space="preserve">Често задавани въпроси относно доброволното завръщане у дома в Украйна в контекста на временната закрила (Frequently Asked Questions on going home to Ukraine on a voluntary basis in the context of the Temporary Protection_en.pdf.) </w:t>
        </w:r>
      </w:hyperlink>
    </w:p>
  </w:footnote>
  <w:footnote w:id="75">
    <w:p w14:paraId="159CA72E" w14:textId="5AFFE3D4" w:rsidR="004E6683" w:rsidRPr="0086760B" w:rsidRDefault="004E6683" w:rsidP="0086760B">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58" w:history="1">
        <w:r>
          <w:rPr>
            <w:rStyle w:val="Hyperlink"/>
            <w:rFonts w:ascii="Times New Roman" w:hAnsi="Times New Roman"/>
          </w:rPr>
          <w:t>Предложение за регламент на Европейския парламент и на Съвета за справяне със ситуации на криза и форсмажорни обстоятелства в областта на миграцията и убежището</w:t>
        </w:r>
      </w:hyperlink>
      <w:r>
        <w:rPr>
          <w:rStyle w:val="Hyperlink"/>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5A5C6" w14:textId="77777777" w:rsidR="003F79E4" w:rsidRPr="003F79E4" w:rsidRDefault="003F79E4" w:rsidP="003F79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DD7F5" w14:textId="77777777" w:rsidR="003F79E4" w:rsidRPr="003F79E4" w:rsidRDefault="003F79E4" w:rsidP="003F79E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90A6" w14:textId="77777777" w:rsidR="003F79E4" w:rsidRPr="003F79E4" w:rsidRDefault="003F79E4" w:rsidP="003F79E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845B" w14:textId="77777777" w:rsidR="00B57C2B" w:rsidRDefault="00B57C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38930" w14:textId="77777777" w:rsidR="00B57C2B" w:rsidRDefault="00B57C2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DF63B" w14:textId="77777777" w:rsidR="00B57C2B" w:rsidRDefault="00B57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2521E"/>
    <w:multiLevelType w:val="hybridMultilevel"/>
    <w:tmpl w:val="133AD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5C77A9"/>
    <w:multiLevelType w:val="multilevel"/>
    <w:tmpl w:val="1BDC3650"/>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5E1DD0"/>
    <w:multiLevelType w:val="hybridMultilevel"/>
    <w:tmpl w:val="CF3478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F66DD2"/>
    <w:multiLevelType w:val="multilevel"/>
    <w:tmpl w:val="1BDC3650"/>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451CE3"/>
    <w:multiLevelType w:val="hybridMultilevel"/>
    <w:tmpl w:val="DB2CBC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05D0BC2"/>
    <w:multiLevelType w:val="hybridMultilevel"/>
    <w:tmpl w:val="694E57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6755888"/>
    <w:multiLevelType w:val="hybridMultilevel"/>
    <w:tmpl w:val="3EE2D3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0E14001"/>
    <w:multiLevelType w:val="hybridMultilevel"/>
    <w:tmpl w:val="F294BEE8"/>
    <w:lvl w:ilvl="0" w:tplc="91607BC0">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43543F37"/>
    <w:multiLevelType w:val="multilevel"/>
    <w:tmpl w:val="1DB4C97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ascii="Times New Roman" w:hAnsi="Times New Roman" w:cs="Times New Roman" w:hint="default"/>
        <w:b/>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410BAA"/>
    <w:multiLevelType w:val="hybridMultilevel"/>
    <w:tmpl w:val="7304E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4D418EC"/>
    <w:multiLevelType w:val="hybridMultilevel"/>
    <w:tmpl w:val="A210F0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8FD307E"/>
    <w:multiLevelType w:val="multilevel"/>
    <w:tmpl w:val="1BDC3650"/>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563B82"/>
    <w:multiLevelType w:val="hybridMultilevel"/>
    <w:tmpl w:val="3C2E0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7AD25FE"/>
    <w:multiLevelType w:val="hybridMultilevel"/>
    <w:tmpl w:val="3C84FFEC"/>
    <w:lvl w:ilvl="0" w:tplc="0E7AE35E">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90F378F"/>
    <w:multiLevelType w:val="multilevel"/>
    <w:tmpl w:val="1BDC3650"/>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9F214F7"/>
    <w:multiLevelType w:val="hybridMultilevel"/>
    <w:tmpl w:val="FF4E19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3"/>
  </w:num>
  <w:num w:numId="4">
    <w:abstractNumId w:val="10"/>
  </w:num>
  <w:num w:numId="5">
    <w:abstractNumId w:val="13"/>
  </w:num>
  <w:num w:numId="6">
    <w:abstractNumId w:val="11"/>
  </w:num>
  <w:num w:numId="7">
    <w:abstractNumId w:val="1"/>
  </w:num>
  <w:num w:numId="8">
    <w:abstractNumId w:val="4"/>
  </w:num>
  <w:num w:numId="9">
    <w:abstractNumId w:val="12"/>
  </w:num>
  <w:num w:numId="10">
    <w:abstractNumId w:val="9"/>
  </w:num>
  <w:num w:numId="11">
    <w:abstractNumId w:val="0"/>
  </w:num>
  <w:num w:numId="12">
    <w:abstractNumId w:val="15"/>
  </w:num>
  <w:num w:numId="13">
    <w:abstractNumId w:val="5"/>
  </w:num>
  <w:num w:numId="14">
    <w:abstractNumId w:val="2"/>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hideSpellingErrors/>
  <w:hideGrammaticalErrors/>
  <w:activeWritingStyle w:appName="MSWord" w:lang="de-DE" w:vendorID="64" w:dllVersion="6" w:nlCheck="1" w:checkStyle="0"/>
  <w:activeWritingStyle w:appName="MSWord" w:lang="en-GB" w:vendorID="64" w:dllVersion="6" w:nlCheck="1" w:checkStyle="1"/>
  <w:activeWritingStyle w:appName="MSWord" w:lang="en-IE"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08F0DF0-1B96-46C1-95B4-110EB68D1FF6"/>
    <w:docVar w:name="LW_COVERPAGE_TYPE" w:val="1"/>
    <w:docVar w:name="LW_CROSSREFERENCE" w:val="&lt;UNUSED&gt;"/>
    <w:docVar w:name="LW_DocType" w:val="NORMAL"/>
    <w:docVar w:name="LW_EMISSION" w:val="8.3.2023"/>
    <w:docVar w:name="LW_EMISSION_ISODATE" w:val="2023-03-08"/>
    <w:docVar w:name="LW_EMISSION_LOCATION" w:val="BRX"/>
    <w:docVar w:name="LW_EMISSION_PREFIX" w:val="\u1041?\u1088?\u1102?\u1082?\u1089?\u1077?\u1083?,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3) 1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Segoe UI Cyr&gt;Временната закрила на хората, бягащи от агресивната война на Русия срещу Украйна: една година по-късно&lt;/FMT&gt;_x000b_"/>
    <w:docVar w:name="LW_TYPE.DOC.CP" w:val="СЪОБЩЕНИЕ НА КОМИСИЯТА ДО ЕВРОПЕЙСКИЯ ПАРЛАМЕНТ И СЪВЕТА"/>
    <w:docVar w:name="LW_TYPE.DOC.CP.USERTEXT" w:val="&lt;EMPTY&gt;"/>
    <w:docVar w:name="LwApiVersions" w:val="LW4CoDe 1.23.2.0; LW 8.0, Build 20211117"/>
  </w:docVars>
  <w:rsids>
    <w:rsidRoot w:val="00D043D5"/>
    <w:rsid w:val="000003D9"/>
    <w:rsid w:val="00000C7D"/>
    <w:rsid w:val="00000E29"/>
    <w:rsid w:val="00002BA4"/>
    <w:rsid w:val="00002F8C"/>
    <w:rsid w:val="00003A84"/>
    <w:rsid w:val="00003DB0"/>
    <w:rsid w:val="000047F9"/>
    <w:rsid w:val="00004C90"/>
    <w:rsid w:val="0000503E"/>
    <w:rsid w:val="000052AC"/>
    <w:rsid w:val="00005413"/>
    <w:rsid w:val="00005825"/>
    <w:rsid w:val="00005A73"/>
    <w:rsid w:val="00005DE9"/>
    <w:rsid w:val="000062DB"/>
    <w:rsid w:val="00006679"/>
    <w:rsid w:val="00006A94"/>
    <w:rsid w:val="00006F00"/>
    <w:rsid w:val="00007191"/>
    <w:rsid w:val="000074B1"/>
    <w:rsid w:val="0000766D"/>
    <w:rsid w:val="00007DDA"/>
    <w:rsid w:val="00010003"/>
    <w:rsid w:val="00010122"/>
    <w:rsid w:val="000107C0"/>
    <w:rsid w:val="000107D8"/>
    <w:rsid w:val="000117A3"/>
    <w:rsid w:val="00011BCC"/>
    <w:rsid w:val="00011D46"/>
    <w:rsid w:val="0001246A"/>
    <w:rsid w:val="00013606"/>
    <w:rsid w:val="000140B5"/>
    <w:rsid w:val="000144C6"/>
    <w:rsid w:val="0001546F"/>
    <w:rsid w:val="0001594A"/>
    <w:rsid w:val="0001601D"/>
    <w:rsid w:val="000163F2"/>
    <w:rsid w:val="00016EA1"/>
    <w:rsid w:val="00017A30"/>
    <w:rsid w:val="00020752"/>
    <w:rsid w:val="000207D6"/>
    <w:rsid w:val="000213EF"/>
    <w:rsid w:val="00021792"/>
    <w:rsid w:val="0002185E"/>
    <w:rsid w:val="00022569"/>
    <w:rsid w:val="0002267E"/>
    <w:rsid w:val="00023206"/>
    <w:rsid w:val="000232C2"/>
    <w:rsid w:val="000236C6"/>
    <w:rsid w:val="00023AAB"/>
    <w:rsid w:val="000245BE"/>
    <w:rsid w:val="00024BA6"/>
    <w:rsid w:val="000253D7"/>
    <w:rsid w:val="0002550E"/>
    <w:rsid w:val="00025849"/>
    <w:rsid w:val="000263F6"/>
    <w:rsid w:val="000265C9"/>
    <w:rsid w:val="00026BD6"/>
    <w:rsid w:val="00026D07"/>
    <w:rsid w:val="000274F1"/>
    <w:rsid w:val="00030212"/>
    <w:rsid w:val="0003069F"/>
    <w:rsid w:val="00030F5D"/>
    <w:rsid w:val="00031589"/>
    <w:rsid w:val="000315A3"/>
    <w:rsid w:val="00031878"/>
    <w:rsid w:val="00032067"/>
    <w:rsid w:val="000326E5"/>
    <w:rsid w:val="00032AB1"/>
    <w:rsid w:val="00032C05"/>
    <w:rsid w:val="000333D9"/>
    <w:rsid w:val="00033568"/>
    <w:rsid w:val="0003373F"/>
    <w:rsid w:val="000343CC"/>
    <w:rsid w:val="00034B01"/>
    <w:rsid w:val="00034F07"/>
    <w:rsid w:val="00035089"/>
    <w:rsid w:val="00035215"/>
    <w:rsid w:val="00035545"/>
    <w:rsid w:val="00035726"/>
    <w:rsid w:val="00035BC9"/>
    <w:rsid w:val="00035D8A"/>
    <w:rsid w:val="00036996"/>
    <w:rsid w:val="0003723A"/>
    <w:rsid w:val="000375B1"/>
    <w:rsid w:val="00037772"/>
    <w:rsid w:val="00040401"/>
    <w:rsid w:val="00040593"/>
    <w:rsid w:val="00040E19"/>
    <w:rsid w:val="00041243"/>
    <w:rsid w:val="00041620"/>
    <w:rsid w:val="00042B42"/>
    <w:rsid w:val="00042BD3"/>
    <w:rsid w:val="0004326C"/>
    <w:rsid w:val="000441C3"/>
    <w:rsid w:val="0004462E"/>
    <w:rsid w:val="00044CF0"/>
    <w:rsid w:val="00044EC5"/>
    <w:rsid w:val="00045AD9"/>
    <w:rsid w:val="00045AEE"/>
    <w:rsid w:val="00045EBD"/>
    <w:rsid w:val="000469CF"/>
    <w:rsid w:val="00047BB1"/>
    <w:rsid w:val="00050234"/>
    <w:rsid w:val="00050DFB"/>
    <w:rsid w:val="000517B3"/>
    <w:rsid w:val="0005182B"/>
    <w:rsid w:val="00052299"/>
    <w:rsid w:val="0005296D"/>
    <w:rsid w:val="00052C71"/>
    <w:rsid w:val="00053662"/>
    <w:rsid w:val="00053869"/>
    <w:rsid w:val="000543BE"/>
    <w:rsid w:val="00054751"/>
    <w:rsid w:val="0005476E"/>
    <w:rsid w:val="00054986"/>
    <w:rsid w:val="0005505A"/>
    <w:rsid w:val="00055110"/>
    <w:rsid w:val="000557DD"/>
    <w:rsid w:val="00055F68"/>
    <w:rsid w:val="00056062"/>
    <w:rsid w:val="000563DD"/>
    <w:rsid w:val="000578C4"/>
    <w:rsid w:val="00057C98"/>
    <w:rsid w:val="00057D44"/>
    <w:rsid w:val="00060A98"/>
    <w:rsid w:val="000616F0"/>
    <w:rsid w:val="0006176F"/>
    <w:rsid w:val="00061778"/>
    <w:rsid w:val="00062EDD"/>
    <w:rsid w:val="000634E8"/>
    <w:rsid w:val="00063F9A"/>
    <w:rsid w:val="00064199"/>
    <w:rsid w:val="000643FC"/>
    <w:rsid w:val="0006465C"/>
    <w:rsid w:val="00064794"/>
    <w:rsid w:val="0006493C"/>
    <w:rsid w:val="00065B94"/>
    <w:rsid w:val="00066878"/>
    <w:rsid w:val="00066CBE"/>
    <w:rsid w:val="000672B2"/>
    <w:rsid w:val="00067689"/>
    <w:rsid w:val="00067AE7"/>
    <w:rsid w:val="00067F09"/>
    <w:rsid w:val="0007026B"/>
    <w:rsid w:val="000702DC"/>
    <w:rsid w:val="000703DC"/>
    <w:rsid w:val="00070850"/>
    <w:rsid w:val="00070C37"/>
    <w:rsid w:val="000710B7"/>
    <w:rsid w:val="00071586"/>
    <w:rsid w:val="000715E8"/>
    <w:rsid w:val="00071BB1"/>
    <w:rsid w:val="00071F1E"/>
    <w:rsid w:val="00072629"/>
    <w:rsid w:val="000730EB"/>
    <w:rsid w:val="000732C8"/>
    <w:rsid w:val="000732D1"/>
    <w:rsid w:val="00073AE9"/>
    <w:rsid w:val="0007404E"/>
    <w:rsid w:val="0007492E"/>
    <w:rsid w:val="00074E12"/>
    <w:rsid w:val="00074F2B"/>
    <w:rsid w:val="00075585"/>
    <w:rsid w:val="000755D7"/>
    <w:rsid w:val="00075AD4"/>
    <w:rsid w:val="000761AF"/>
    <w:rsid w:val="0007644F"/>
    <w:rsid w:val="00076795"/>
    <w:rsid w:val="0007690E"/>
    <w:rsid w:val="00076B17"/>
    <w:rsid w:val="0007729C"/>
    <w:rsid w:val="000774E4"/>
    <w:rsid w:val="00077DBD"/>
    <w:rsid w:val="000802F1"/>
    <w:rsid w:val="000808F8"/>
    <w:rsid w:val="00080BA2"/>
    <w:rsid w:val="00080FC9"/>
    <w:rsid w:val="000810A9"/>
    <w:rsid w:val="000812EF"/>
    <w:rsid w:val="00081709"/>
    <w:rsid w:val="00081B40"/>
    <w:rsid w:val="00081B54"/>
    <w:rsid w:val="00081BD3"/>
    <w:rsid w:val="00081DD6"/>
    <w:rsid w:val="000825B7"/>
    <w:rsid w:val="00082EC0"/>
    <w:rsid w:val="000837B4"/>
    <w:rsid w:val="00083E10"/>
    <w:rsid w:val="000845A9"/>
    <w:rsid w:val="000845B6"/>
    <w:rsid w:val="00084DF7"/>
    <w:rsid w:val="00085640"/>
    <w:rsid w:val="00085789"/>
    <w:rsid w:val="000858D5"/>
    <w:rsid w:val="00085D52"/>
    <w:rsid w:val="00086075"/>
    <w:rsid w:val="00086334"/>
    <w:rsid w:val="00086D16"/>
    <w:rsid w:val="00087A45"/>
    <w:rsid w:val="00090075"/>
    <w:rsid w:val="00090400"/>
    <w:rsid w:val="00090C63"/>
    <w:rsid w:val="00091DAD"/>
    <w:rsid w:val="0009333A"/>
    <w:rsid w:val="00093662"/>
    <w:rsid w:val="00093EBE"/>
    <w:rsid w:val="00093EF3"/>
    <w:rsid w:val="000943F1"/>
    <w:rsid w:val="0009503F"/>
    <w:rsid w:val="00095066"/>
    <w:rsid w:val="00095468"/>
    <w:rsid w:val="000957B8"/>
    <w:rsid w:val="000958C4"/>
    <w:rsid w:val="00096561"/>
    <w:rsid w:val="000967F4"/>
    <w:rsid w:val="0009738A"/>
    <w:rsid w:val="00097C00"/>
    <w:rsid w:val="00097C6C"/>
    <w:rsid w:val="00097F94"/>
    <w:rsid w:val="000A07FF"/>
    <w:rsid w:val="000A087D"/>
    <w:rsid w:val="000A0A37"/>
    <w:rsid w:val="000A0C68"/>
    <w:rsid w:val="000A1E30"/>
    <w:rsid w:val="000A201E"/>
    <w:rsid w:val="000A2713"/>
    <w:rsid w:val="000A27FB"/>
    <w:rsid w:val="000A3A1F"/>
    <w:rsid w:val="000A49EE"/>
    <w:rsid w:val="000A4D55"/>
    <w:rsid w:val="000A5186"/>
    <w:rsid w:val="000A5577"/>
    <w:rsid w:val="000A652F"/>
    <w:rsid w:val="000A65BB"/>
    <w:rsid w:val="000A66E9"/>
    <w:rsid w:val="000A6D2D"/>
    <w:rsid w:val="000A6E16"/>
    <w:rsid w:val="000A712E"/>
    <w:rsid w:val="000A750F"/>
    <w:rsid w:val="000B0037"/>
    <w:rsid w:val="000B08EE"/>
    <w:rsid w:val="000B0FD9"/>
    <w:rsid w:val="000B106A"/>
    <w:rsid w:val="000B1381"/>
    <w:rsid w:val="000B16A7"/>
    <w:rsid w:val="000B1BF6"/>
    <w:rsid w:val="000B1C9C"/>
    <w:rsid w:val="000B22FE"/>
    <w:rsid w:val="000B2396"/>
    <w:rsid w:val="000B24A1"/>
    <w:rsid w:val="000B36E7"/>
    <w:rsid w:val="000B3F1C"/>
    <w:rsid w:val="000B4F50"/>
    <w:rsid w:val="000B512A"/>
    <w:rsid w:val="000B5A8B"/>
    <w:rsid w:val="000B5AEC"/>
    <w:rsid w:val="000B5B25"/>
    <w:rsid w:val="000B6CEB"/>
    <w:rsid w:val="000B6DC1"/>
    <w:rsid w:val="000B71EB"/>
    <w:rsid w:val="000B772D"/>
    <w:rsid w:val="000B7924"/>
    <w:rsid w:val="000C046A"/>
    <w:rsid w:val="000C0C11"/>
    <w:rsid w:val="000C1388"/>
    <w:rsid w:val="000C1AC2"/>
    <w:rsid w:val="000C246E"/>
    <w:rsid w:val="000C250D"/>
    <w:rsid w:val="000C2887"/>
    <w:rsid w:val="000C37BA"/>
    <w:rsid w:val="000C3DEF"/>
    <w:rsid w:val="000C4B91"/>
    <w:rsid w:val="000C517E"/>
    <w:rsid w:val="000C5E16"/>
    <w:rsid w:val="000C5E91"/>
    <w:rsid w:val="000C6D4E"/>
    <w:rsid w:val="000C7653"/>
    <w:rsid w:val="000D0D34"/>
    <w:rsid w:val="000D174A"/>
    <w:rsid w:val="000D17C8"/>
    <w:rsid w:val="000D23D1"/>
    <w:rsid w:val="000D38C6"/>
    <w:rsid w:val="000D42BB"/>
    <w:rsid w:val="000D46CC"/>
    <w:rsid w:val="000D49D5"/>
    <w:rsid w:val="000D4F65"/>
    <w:rsid w:val="000D51AB"/>
    <w:rsid w:val="000D5495"/>
    <w:rsid w:val="000D56FE"/>
    <w:rsid w:val="000D5B09"/>
    <w:rsid w:val="000D6277"/>
    <w:rsid w:val="000D63FE"/>
    <w:rsid w:val="000D67E2"/>
    <w:rsid w:val="000D6936"/>
    <w:rsid w:val="000D7746"/>
    <w:rsid w:val="000D7949"/>
    <w:rsid w:val="000D7B30"/>
    <w:rsid w:val="000D7F5C"/>
    <w:rsid w:val="000E0553"/>
    <w:rsid w:val="000E0D25"/>
    <w:rsid w:val="000E1240"/>
    <w:rsid w:val="000E1802"/>
    <w:rsid w:val="000E1B53"/>
    <w:rsid w:val="000E1E32"/>
    <w:rsid w:val="000E1ECA"/>
    <w:rsid w:val="000E1ED4"/>
    <w:rsid w:val="000E23B3"/>
    <w:rsid w:val="000E25CC"/>
    <w:rsid w:val="000E31A0"/>
    <w:rsid w:val="000E38C8"/>
    <w:rsid w:val="000E40E7"/>
    <w:rsid w:val="000E4B46"/>
    <w:rsid w:val="000E500C"/>
    <w:rsid w:val="000E5E7E"/>
    <w:rsid w:val="000E6696"/>
    <w:rsid w:val="000E676E"/>
    <w:rsid w:val="000E67A5"/>
    <w:rsid w:val="000E6BF5"/>
    <w:rsid w:val="000E7E0F"/>
    <w:rsid w:val="000F0680"/>
    <w:rsid w:val="000F0878"/>
    <w:rsid w:val="000F0C59"/>
    <w:rsid w:val="000F0D97"/>
    <w:rsid w:val="000F282F"/>
    <w:rsid w:val="000F342E"/>
    <w:rsid w:val="000F3432"/>
    <w:rsid w:val="000F4680"/>
    <w:rsid w:val="000F46E3"/>
    <w:rsid w:val="000F4C25"/>
    <w:rsid w:val="000F502E"/>
    <w:rsid w:val="000F56CF"/>
    <w:rsid w:val="000F5BD2"/>
    <w:rsid w:val="000F5F21"/>
    <w:rsid w:val="000F6758"/>
    <w:rsid w:val="000F67A6"/>
    <w:rsid w:val="000F6F24"/>
    <w:rsid w:val="000F749D"/>
    <w:rsid w:val="000F7A31"/>
    <w:rsid w:val="001015A7"/>
    <w:rsid w:val="00101CEC"/>
    <w:rsid w:val="00101D99"/>
    <w:rsid w:val="0010208D"/>
    <w:rsid w:val="00102108"/>
    <w:rsid w:val="0010269A"/>
    <w:rsid w:val="00102BB3"/>
    <w:rsid w:val="0010306E"/>
    <w:rsid w:val="00103776"/>
    <w:rsid w:val="001039E1"/>
    <w:rsid w:val="00103BC3"/>
    <w:rsid w:val="00103D09"/>
    <w:rsid w:val="00104000"/>
    <w:rsid w:val="001052D6"/>
    <w:rsid w:val="00105360"/>
    <w:rsid w:val="00105C41"/>
    <w:rsid w:val="001062F1"/>
    <w:rsid w:val="001079D4"/>
    <w:rsid w:val="00107BD9"/>
    <w:rsid w:val="001108F5"/>
    <w:rsid w:val="00110B22"/>
    <w:rsid w:val="00110CA3"/>
    <w:rsid w:val="00110D88"/>
    <w:rsid w:val="001110FC"/>
    <w:rsid w:val="0011190B"/>
    <w:rsid w:val="00111F84"/>
    <w:rsid w:val="001124F0"/>
    <w:rsid w:val="001126A0"/>
    <w:rsid w:val="001127C4"/>
    <w:rsid w:val="00112EC4"/>
    <w:rsid w:val="00112F94"/>
    <w:rsid w:val="001133F0"/>
    <w:rsid w:val="00113676"/>
    <w:rsid w:val="00113D46"/>
    <w:rsid w:val="001140B0"/>
    <w:rsid w:val="0011502A"/>
    <w:rsid w:val="00115EDE"/>
    <w:rsid w:val="001160BD"/>
    <w:rsid w:val="001163BB"/>
    <w:rsid w:val="00116D97"/>
    <w:rsid w:val="00116FC9"/>
    <w:rsid w:val="001171A6"/>
    <w:rsid w:val="0012022F"/>
    <w:rsid w:val="00120561"/>
    <w:rsid w:val="001208FB"/>
    <w:rsid w:val="00121A8F"/>
    <w:rsid w:val="00122C19"/>
    <w:rsid w:val="00123268"/>
    <w:rsid w:val="00123739"/>
    <w:rsid w:val="00123E40"/>
    <w:rsid w:val="00124263"/>
    <w:rsid w:val="0012594D"/>
    <w:rsid w:val="00125BF7"/>
    <w:rsid w:val="00125CD7"/>
    <w:rsid w:val="00126C18"/>
    <w:rsid w:val="00127189"/>
    <w:rsid w:val="001279B1"/>
    <w:rsid w:val="00127CB0"/>
    <w:rsid w:val="0013075F"/>
    <w:rsid w:val="0013136E"/>
    <w:rsid w:val="0013169F"/>
    <w:rsid w:val="001316D2"/>
    <w:rsid w:val="00131863"/>
    <w:rsid w:val="00131BDB"/>
    <w:rsid w:val="00132302"/>
    <w:rsid w:val="001323BC"/>
    <w:rsid w:val="0013288E"/>
    <w:rsid w:val="00132B77"/>
    <w:rsid w:val="0013306C"/>
    <w:rsid w:val="001336C5"/>
    <w:rsid w:val="001341D3"/>
    <w:rsid w:val="001342AD"/>
    <w:rsid w:val="001344A7"/>
    <w:rsid w:val="00134B1A"/>
    <w:rsid w:val="001351F0"/>
    <w:rsid w:val="001362B4"/>
    <w:rsid w:val="0013665D"/>
    <w:rsid w:val="001400C0"/>
    <w:rsid w:val="001402C9"/>
    <w:rsid w:val="00140733"/>
    <w:rsid w:val="0014082A"/>
    <w:rsid w:val="001421C5"/>
    <w:rsid w:val="0014320F"/>
    <w:rsid w:val="00143368"/>
    <w:rsid w:val="001435BF"/>
    <w:rsid w:val="001437EA"/>
    <w:rsid w:val="001448CE"/>
    <w:rsid w:val="00144931"/>
    <w:rsid w:val="00145FAF"/>
    <w:rsid w:val="00146034"/>
    <w:rsid w:val="0014640B"/>
    <w:rsid w:val="00146414"/>
    <w:rsid w:val="001464B8"/>
    <w:rsid w:val="00146A8D"/>
    <w:rsid w:val="001478EC"/>
    <w:rsid w:val="00147A9D"/>
    <w:rsid w:val="00151178"/>
    <w:rsid w:val="001512BE"/>
    <w:rsid w:val="001515F2"/>
    <w:rsid w:val="00151A92"/>
    <w:rsid w:val="00151C1A"/>
    <w:rsid w:val="0015284D"/>
    <w:rsid w:val="001532A3"/>
    <w:rsid w:val="001534BA"/>
    <w:rsid w:val="001550A5"/>
    <w:rsid w:val="001555CE"/>
    <w:rsid w:val="00155704"/>
    <w:rsid w:val="0015586F"/>
    <w:rsid w:val="00156E0C"/>
    <w:rsid w:val="00157476"/>
    <w:rsid w:val="00157BA8"/>
    <w:rsid w:val="00157F84"/>
    <w:rsid w:val="00160BBC"/>
    <w:rsid w:val="00160EF0"/>
    <w:rsid w:val="001620CB"/>
    <w:rsid w:val="00162394"/>
    <w:rsid w:val="0016275C"/>
    <w:rsid w:val="00163001"/>
    <w:rsid w:val="00163191"/>
    <w:rsid w:val="00163887"/>
    <w:rsid w:val="0016403F"/>
    <w:rsid w:val="001640F1"/>
    <w:rsid w:val="001656DB"/>
    <w:rsid w:val="00167390"/>
    <w:rsid w:val="001674CD"/>
    <w:rsid w:val="00170ECB"/>
    <w:rsid w:val="00171252"/>
    <w:rsid w:val="00171314"/>
    <w:rsid w:val="0017293A"/>
    <w:rsid w:val="00172E3E"/>
    <w:rsid w:val="00173315"/>
    <w:rsid w:val="0017384D"/>
    <w:rsid w:val="00173AD0"/>
    <w:rsid w:val="00174434"/>
    <w:rsid w:val="00174544"/>
    <w:rsid w:val="00174809"/>
    <w:rsid w:val="001757BE"/>
    <w:rsid w:val="00175ADA"/>
    <w:rsid w:val="00175F51"/>
    <w:rsid w:val="001761A0"/>
    <w:rsid w:val="00176535"/>
    <w:rsid w:val="00180962"/>
    <w:rsid w:val="00180D50"/>
    <w:rsid w:val="00181260"/>
    <w:rsid w:val="0018134E"/>
    <w:rsid w:val="00182545"/>
    <w:rsid w:val="0018272B"/>
    <w:rsid w:val="001827B6"/>
    <w:rsid w:val="00182F2C"/>
    <w:rsid w:val="001835B5"/>
    <w:rsid w:val="0018365B"/>
    <w:rsid w:val="001839D7"/>
    <w:rsid w:val="0018426E"/>
    <w:rsid w:val="001844CE"/>
    <w:rsid w:val="00184E0A"/>
    <w:rsid w:val="00185792"/>
    <w:rsid w:val="00185BFF"/>
    <w:rsid w:val="00186B1A"/>
    <w:rsid w:val="00186E8E"/>
    <w:rsid w:val="00187146"/>
    <w:rsid w:val="00187623"/>
    <w:rsid w:val="00187C80"/>
    <w:rsid w:val="00190255"/>
    <w:rsid w:val="0019026E"/>
    <w:rsid w:val="00191187"/>
    <w:rsid w:val="001912F7"/>
    <w:rsid w:val="00191BBB"/>
    <w:rsid w:val="00192A54"/>
    <w:rsid w:val="00193CED"/>
    <w:rsid w:val="001942EE"/>
    <w:rsid w:val="001943BA"/>
    <w:rsid w:val="00194800"/>
    <w:rsid w:val="00194D22"/>
    <w:rsid w:val="00194F41"/>
    <w:rsid w:val="0019543E"/>
    <w:rsid w:val="0019665E"/>
    <w:rsid w:val="001969B6"/>
    <w:rsid w:val="00196AA4"/>
    <w:rsid w:val="00196C82"/>
    <w:rsid w:val="001970CD"/>
    <w:rsid w:val="001971D3"/>
    <w:rsid w:val="00197998"/>
    <w:rsid w:val="00197C18"/>
    <w:rsid w:val="00197C38"/>
    <w:rsid w:val="00197FBB"/>
    <w:rsid w:val="001A04EA"/>
    <w:rsid w:val="001A08CB"/>
    <w:rsid w:val="001A1321"/>
    <w:rsid w:val="001A3400"/>
    <w:rsid w:val="001A397F"/>
    <w:rsid w:val="001A3D65"/>
    <w:rsid w:val="001A534C"/>
    <w:rsid w:val="001A53E4"/>
    <w:rsid w:val="001A5543"/>
    <w:rsid w:val="001A5BD1"/>
    <w:rsid w:val="001A5E5B"/>
    <w:rsid w:val="001A5F85"/>
    <w:rsid w:val="001A6069"/>
    <w:rsid w:val="001A61E6"/>
    <w:rsid w:val="001A6ACD"/>
    <w:rsid w:val="001A75F9"/>
    <w:rsid w:val="001A765D"/>
    <w:rsid w:val="001A7913"/>
    <w:rsid w:val="001B051C"/>
    <w:rsid w:val="001B08C4"/>
    <w:rsid w:val="001B0C1E"/>
    <w:rsid w:val="001B1393"/>
    <w:rsid w:val="001B1B29"/>
    <w:rsid w:val="001B20F2"/>
    <w:rsid w:val="001B2421"/>
    <w:rsid w:val="001B28A3"/>
    <w:rsid w:val="001B2DB4"/>
    <w:rsid w:val="001B2ED7"/>
    <w:rsid w:val="001B32F9"/>
    <w:rsid w:val="001B3614"/>
    <w:rsid w:val="001B3668"/>
    <w:rsid w:val="001B38B1"/>
    <w:rsid w:val="001B4185"/>
    <w:rsid w:val="001B4DB2"/>
    <w:rsid w:val="001B5188"/>
    <w:rsid w:val="001B5DAC"/>
    <w:rsid w:val="001B5E9A"/>
    <w:rsid w:val="001B6176"/>
    <w:rsid w:val="001B68CE"/>
    <w:rsid w:val="001B7332"/>
    <w:rsid w:val="001C01AA"/>
    <w:rsid w:val="001C070B"/>
    <w:rsid w:val="001C10EC"/>
    <w:rsid w:val="001C1AB4"/>
    <w:rsid w:val="001C1C7A"/>
    <w:rsid w:val="001C1D26"/>
    <w:rsid w:val="001C1F1C"/>
    <w:rsid w:val="001C28D0"/>
    <w:rsid w:val="001C298B"/>
    <w:rsid w:val="001C318D"/>
    <w:rsid w:val="001C3A80"/>
    <w:rsid w:val="001C4914"/>
    <w:rsid w:val="001C4A70"/>
    <w:rsid w:val="001C4AFC"/>
    <w:rsid w:val="001C4F5A"/>
    <w:rsid w:val="001C5073"/>
    <w:rsid w:val="001C59C9"/>
    <w:rsid w:val="001C5DC0"/>
    <w:rsid w:val="001C672D"/>
    <w:rsid w:val="001C6AB1"/>
    <w:rsid w:val="001C6CC2"/>
    <w:rsid w:val="001C72B4"/>
    <w:rsid w:val="001D0605"/>
    <w:rsid w:val="001D0BD5"/>
    <w:rsid w:val="001D0CF4"/>
    <w:rsid w:val="001D0DAC"/>
    <w:rsid w:val="001D13BE"/>
    <w:rsid w:val="001D1653"/>
    <w:rsid w:val="001D36D8"/>
    <w:rsid w:val="001D39C8"/>
    <w:rsid w:val="001D3BFC"/>
    <w:rsid w:val="001D419A"/>
    <w:rsid w:val="001D41FA"/>
    <w:rsid w:val="001D438F"/>
    <w:rsid w:val="001D4C33"/>
    <w:rsid w:val="001D5B3D"/>
    <w:rsid w:val="001D5E84"/>
    <w:rsid w:val="001D5FD7"/>
    <w:rsid w:val="001D68A7"/>
    <w:rsid w:val="001D6A16"/>
    <w:rsid w:val="001D6ECE"/>
    <w:rsid w:val="001D701F"/>
    <w:rsid w:val="001D7CF9"/>
    <w:rsid w:val="001D7E3E"/>
    <w:rsid w:val="001D7F29"/>
    <w:rsid w:val="001E0446"/>
    <w:rsid w:val="001E08E8"/>
    <w:rsid w:val="001E17DC"/>
    <w:rsid w:val="001E17E6"/>
    <w:rsid w:val="001E2845"/>
    <w:rsid w:val="001E2FF1"/>
    <w:rsid w:val="001E4679"/>
    <w:rsid w:val="001E4935"/>
    <w:rsid w:val="001E4F61"/>
    <w:rsid w:val="001E53F0"/>
    <w:rsid w:val="001E57C3"/>
    <w:rsid w:val="001E60A5"/>
    <w:rsid w:val="001E62FE"/>
    <w:rsid w:val="001E655B"/>
    <w:rsid w:val="001F0021"/>
    <w:rsid w:val="001F02BA"/>
    <w:rsid w:val="001F087D"/>
    <w:rsid w:val="001F08C9"/>
    <w:rsid w:val="001F0C9D"/>
    <w:rsid w:val="001F0CE5"/>
    <w:rsid w:val="001F0DD7"/>
    <w:rsid w:val="001F18AB"/>
    <w:rsid w:val="001F2B61"/>
    <w:rsid w:val="001F2BEF"/>
    <w:rsid w:val="001F33BC"/>
    <w:rsid w:val="001F3A18"/>
    <w:rsid w:val="001F3B38"/>
    <w:rsid w:val="001F3D63"/>
    <w:rsid w:val="001F3D9A"/>
    <w:rsid w:val="001F5742"/>
    <w:rsid w:val="001F5E02"/>
    <w:rsid w:val="001F5F61"/>
    <w:rsid w:val="001F660E"/>
    <w:rsid w:val="001F6947"/>
    <w:rsid w:val="001F71C0"/>
    <w:rsid w:val="001F7991"/>
    <w:rsid w:val="001F7DB5"/>
    <w:rsid w:val="001F7F28"/>
    <w:rsid w:val="002010A7"/>
    <w:rsid w:val="00201EBA"/>
    <w:rsid w:val="00201FCE"/>
    <w:rsid w:val="002028EA"/>
    <w:rsid w:val="00202A3E"/>
    <w:rsid w:val="00202CE9"/>
    <w:rsid w:val="00202EBB"/>
    <w:rsid w:val="0020307F"/>
    <w:rsid w:val="002032B2"/>
    <w:rsid w:val="00203AEF"/>
    <w:rsid w:val="00203EC4"/>
    <w:rsid w:val="002047B7"/>
    <w:rsid w:val="002048AB"/>
    <w:rsid w:val="00204BF4"/>
    <w:rsid w:val="00204F76"/>
    <w:rsid w:val="0020526C"/>
    <w:rsid w:val="00205435"/>
    <w:rsid w:val="00205AB3"/>
    <w:rsid w:val="00206224"/>
    <w:rsid w:val="00207390"/>
    <w:rsid w:val="00207998"/>
    <w:rsid w:val="00207A09"/>
    <w:rsid w:val="002105BA"/>
    <w:rsid w:val="0021158E"/>
    <w:rsid w:val="00211794"/>
    <w:rsid w:val="002123DE"/>
    <w:rsid w:val="00212682"/>
    <w:rsid w:val="00212B5D"/>
    <w:rsid w:val="00213B93"/>
    <w:rsid w:val="00213CCC"/>
    <w:rsid w:val="00213FF1"/>
    <w:rsid w:val="002151C0"/>
    <w:rsid w:val="00215482"/>
    <w:rsid w:val="0021599C"/>
    <w:rsid w:val="00215B32"/>
    <w:rsid w:val="00216806"/>
    <w:rsid w:val="00216B9D"/>
    <w:rsid w:val="00216BB9"/>
    <w:rsid w:val="00216C19"/>
    <w:rsid w:val="00216F6E"/>
    <w:rsid w:val="00217333"/>
    <w:rsid w:val="00217A35"/>
    <w:rsid w:val="00217F89"/>
    <w:rsid w:val="00217FDD"/>
    <w:rsid w:val="00220175"/>
    <w:rsid w:val="002205AE"/>
    <w:rsid w:val="00220759"/>
    <w:rsid w:val="00220FED"/>
    <w:rsid w:val="00221F8B"/>
    <w:rsid w:val="00222043"/>
    <w:rsid w:val="00222325"/>
    <w:rsid w:val="002223D8"/>
    <w:rsid w:val="002226C1"/>
    <w:rsid w:val="00222E62"/>
    <w:rsid w:val="00222F50"/>
    <w:rsid w:val="00223607"/>
    <w:rsid w:val="002238D6"/>
    <w:rsid w:val="00223957"/>
    <w:rsid w:val="00223BFD"/>
    <w:rsid w:val="00223E42"/>
    <w:rsid w:val="00224436"/>
    <w:rsid w:val="002244B1"/>
    <w:rsid w:val="002245A6"/>
    <w:rsid w:val="00224F84"/>
    <w:rsid w:val="00225153"/>
    <w:rsid w:val="002257DE"/>
    <w:rsid w:val="00225991"/>
    <w:rsid w:val="00225BD6"/>
    <w:rsid w:val="00225ED1"/>
    <w:rsid w:val="002264BE"/>
    <w:rsid w:val="00226674"/>
    <w:rsid w:val="00226C8B"/>
    <w:rsid w:val="002270A2"/>
    <w:rsid w:val="00227BFF"/>
    <w:rsid w:val="002304EF"/>
    <w:rsid w:val="002306CD"/>
    <w:rsid w:val="00232091"/>
    <w:rsid w:val="002323A0"/>
    <w:rsid w:val="00232597"/>
    <w:rsid w:val="002327A3"/>
    <w:rsid w:val="00232E15"/>
    <w:rsid w:val="002333EA"/>
    <w:rsid w:val="00234E2B"/>
    <w:rsid w:val="00235329"/>
    <w:rsid w:val="002355A7"/>
    <w:rsid w:val="00235844"/>
    <w:rsid w:val="00235B31"/>
    <w:rsid w:val="00235BB4"/>
    <w:rsid w:val="00235C94"/>
    <w:rsid w:val="002361A7"/>
    <w:rsid w:val="00236C9C"/>
    <w:rsid w:val="00237377"/>
    <w:rsid w:val="00237879"/>
    <w:rsid w:val="00237911"/>
    <w:rsid w:val="002400BB"/>
    <w:rsid w:val="00240596"/>
    <w:rsid w:val="00241196"/>
    <w:rsid w:val="00241E47"/>
    <w:rsid w:val="002434E3"/>
    <w:rsid w:val="00243E4B"/>
    <w:rsid w:val="00244D92"/>
    <w:rsid w:val="00244FB6"/>
    <w:rsid w:val="00246B56"/>
    <w:rsid w:val="00246E9D"/>
    <w:rsid w:val="00246F04"/>
    <w:rsid w:val="00247804"/>
    <w:rsid w:val="00247F3E"/>
    <w:rsid w:val="00247FE0"/>
    <w:rsid w:val="002505DE"/>
    <w:rsid w:val="002510EC"/>
    <w:rsid w:val="002511C4"/>
    <w:rsid w:val="00251309"/>
    <w:rsid w:val="002518CF"/>
    <w:rsid w:val="002523EA"/>
    <w:rsid w:val="002523FD"/>
    <w:rsid w:val="00252520"/>
    <w:rsid w:val="002526DF"/>
    <w:rsid w:val="00252960"/>
    <w:rsid w:val="00252C9C"/>
    <w:rsid w:val="0025302F"/>
    <w:rsid w:val="00253851"/>
    <w:rsid w:val="00254150"/>
    <w:rsid w:val="002544FA"/>
    <w:rsid w:val="00254AB9"/>
    <w:rsid w:val="00254F0C"/>
    <w:rsid w:val="0025501A"/>
    <w:rsid w:val="00255E8A"/>
    <w:rsid w:val="00255F2E"/>
    <w:rsid w:val="00256B66"/>
    <w:rsid w:val="00256F5E"/>
    <w:rsid w:val="002571EB"/>
    <w:rsid w:val="00257586"/>
    <w:rsid w:val="002578AB"/>
    <w:rsid w:val="00260077"/>
    <w:rsid w:val="00260396"/>
    <w:rsid w:val="00260460"/>
    <w:rsid w:val="002609E5"/>
    <w:rsid w:val="00260CB7"/>
    <w:rsid w:val="00260D1C"/>
    <w:rsid w:val="002610D3"/>
    <w:rsid w:val="00261ED7"/>
    <w:rsid w:val="00261EE5"/>
    <w:rsid w:val="00261FAC"/>
    <w:rsid w:val="00262833"/>
    <w:rsid w:val="0026283C"/>
    <w:rsid w:val="00263270"/>
    <w:rsid w:val="00263922"/>
    <w:rsid w:val="002643EB"/>
    <w:rsid w:val="00265F19"/>
    <w:rsid w:val="002665B3"/>
    <w:rsid w:val="00266723"/>
    <w:rsid w:val="00266846"/>
    <w:rsid w:val="00266BD5"/>
    <w:rsid w:val="00266D62"/>
    <w:rsid w:val="00267A65"/>
    <w:rsid w:val="002714D3"/>
    <w:rsid w:val="002717A6"/>
    <w:rsid w:val="00271E3D"/>
    <w:rsid w:val="00272858"/>
    <w:rsid w:val="0027296D"/>
    <w:rsid w:val="00272EF4"/>
    <w:rsid w:val="002734FD"/>
    <w:rsid w:val="00273BDE"/>
    <w:rsid w:val="00274004"/>
    <w:rsid w:val="0027487C"/>
    <w:rsid w:val="00275391"/>
    <w:rsid w:val="002755D7"/>
    <w:rsid w:val="002756AF"/>
    <w:rsid w:val="00275EAA"/>
    <w:rsid w:val="002767FE"/>
    <w:rsid w:val="00276B55"/>
    <w:rsid w:val="0027762F"/>
    <w:rsid w:val="00277D4A"/>
    <w:rsid w:val="00277D7F"/>
    <w:rsid w:val="0028248F"/>
    <w:rsid w:val="002827D4"/>
    <w:rsid w:val="00282A80"/>
    <w:rsid w:val="00284E70"/>
    <w:rsid w:val="002852D5"/>
    <w:rsid w:val="002859DA"/>
    <w:rsid w:val="002861B2"/>
    <w:rsid w:val="0028637A"/>
    <w:rsid w:val="0028637C"/>
    <w:rsid w:val="002865CE"/>
    <w:rsid w:val="0028664D"/>
    <w:rsid w:val="00287214"/>
    <w:rsid w:val="00287914"/>
    <w:rsid w:val="00290123"/>
    <w:rsid w:val="002905DA"/>
    <w:rsid w:val="002908DE"/>
    <w:rsid w:val="002910B7"/>
    <w:rsid w:val="00291121"/>
    <w:rsid w:val="00291626"/>
    <w:rsid w:val="00291701"/>
    <w:rsid w:val="00291A85"/>
    <w:rsid w:val="00291D46"/>
    <w:rsid w:val="00292EA5"/>
    <w:rsid w:val="0029333B"/>
    <w:rsid w:val="0029374C"/>
    <w:rsid w:val="00294C67"/>
    <w:rsid w:val="0029517A"/>
    <w:rsid w:val="00295493"/>
    <w:rsid w:val="0029584B"/>
    <w:rsid w:val="00295C5C"/>
    <w:rsid w:val="00295E5C"/>
    <w:rsid w:val="00295EAF"/>
    <w:rsid w:val="00296426"/>
    <w:rsid w:val="00296566"/>
    <w:rsid w:val="00296ABD"/>
    <w:rsid w:val="00296F47"/>
    <w:rsid w:val="00297006"/>
    <w:rsid w:val="002A0834"/>
    <w:rsid w:val="002A0C58"/>
    <w:rsid w:val="002A1493"/>
    <w:rsid w:val="002A1A80"/>
    <w:rsid w:val="002A1CC2"/>
    <w:rsid w:val="002A1FC9"/>
    <w:rsid w:val="002A2351"/>
    <w:rsid w:val="002A242F"/>
    <w:rsid w:val="002A267C"/>
    <w:rsid w:val="002A296A"/>
    <w:rsid w:val="002A2E45"/>
    <w:rsid w:val="002A31A6"/>
    <w:rsid w:val="002A38D8"/>
    <w:rsid w:val="002A39CE"/>
    <w:rsid w:val="002A3B53"/>
    <w:rsid w:val="002A3C24"/>
    <w:rsid w:val="002A4029"/>
    <w:rsid w:val="002A452D"/>
    <w:rsid w:val="002A45E9"/>
    <w:rsid w:val="002A48AC"/>
    <w:rsid w:val="002A4FA2"/>
    <w:rsid w:val="002A507D"/>
    <w:rsid w:val="002A5590"/>
    <w:rsid w:val="002A5B4F"/>
    <w:rsid w:val="002A627C"/>
    <w:rsid w:val="002A644D"/>
    <w:rsid w:val="002A678E"/>
    <w:rsid w:val="002A722F"/>
    <w:rsid w:val="002A7E54"/>
    <w:rsid w:val="002A7F13"/>
    <w:rsid w:val="002B0091"/>
    <w:rsid w:val="002B0841"/>
    <w:rsid w:val="002B0871"/>
    <w:rsid w:val="002B25C9"/>
    <w:rsid w:val="002B275A"/>
    <w:rsid w:val="002B2EE6"/>
    <w:rsid w:val="002B36B9"/>
    <w:rsid w:val="002B36D5"/>
    <w:rsid w:val="002B3BCD"/>
    <w:rsid w:val="002B3CC8"/>
    <w:rsid w:val="002B3D0A"/>
    <w:rsid w:val="002B4CA8"/>
    <w:rsid w:val="002B4DC1"/>
    <w:rsid w:val="002B510E"/>
    <w:rsid w:val="002B5135"/>
    <w:rsid w:val="002B5387"/>
    <w:rsid w:val="002B56D0"/>
    <w:rsid w:val="002B5C94"/>
    <w:rsid w:val="002B627B"/>
    <w:rsid w:val="002B63F1"/>
    <w:rsid w:val="002B67BB"/>
    <w:rsid w:val="002B67E5"/>
    <w:rsid w:val="002B68B1"/>
    <w:rsid w:val="002B7406"/>
    <w:rsid w:val="002B7559"/>
    <w:rsid w:val="002C0583"/>
    <w:rsid w:val="002C0F6D"/>
    <w:rsid w:val="002C0F99"/>
    <w:rsid w:val="002C131A"/>
    <w:rsid w:val="002C18E4"/>
    <w:rsid w:val="002C2603"/>
    <w:rsid w:val="002C2B79"/>
    <w:rsid w:val="002C3444"/>
    <w:rsid w:val="002C4D3B"/>
    <w:rsid w:val="002C5736"/>
    <w:rsid w:val="002C5905"/>
    <w:rsid w:val="002C59D6"/>
    <w:rsid w:val="002C60EC"/>
    <w:rsid w:val="002C6143"/>
    <w:rsid w:val="002C614F"/>
    <w:rsid w:val="002C6A9E"/>
    <w:rsid w:val="002C7884"/>
    <w:rsid w:val="002D03C1"/>
    <w:rsid w:val="002D1B38"/>
    <w:rsid w:val="002D1C3A"/>
    <w:rsid w:val="002D1E7E"/>
    <w:rsid w:val="002D23F5"/>
    <w:rsid w:val="002D32AF"/>
    <w:rsid w:val="002D35CE"/>
    <w:rsid w:val="002D3C40"/>
    <w:rsid w:val="002D3FB4"/>
    <w:rsid w:val="002D4041"/>
    <w:rsid w:val="002D4555"/>
    <w:rsid w:val="002D46EE"/>
    <w:rsid w:val="002D4A84"/>
    <w:rsid w:val="002D5006"/>
    <w:rsid w:val="002D62DD"/>
    <w:rsid w:val="002D6602"/>
    <w:rsid w:val="002D66A8"/>
    <w:rsid w:val="002D6831"/>
    <w:rsid w:val="002D6995"/>
    <w:rsid w:val="002D6F2D"/>
    <w:rsid w:val="002D7CA2"/>
    <w:rsid w:val="002D7F22"/>
    <w:rsid w:val="002E0483"/>
    <w:rsid w:val="002E069B"/>
    <w:rsid w:val="002E07FF"/>
    <w:rsid w:val="002E1BE2"/>
    <w:rsid w:val="002E1E70"/>
    <w:rsid w:val="002E2321"/>
    <w:rsid w:val="002E2E83"/>
    <w:rsid w:val="002E3A09"/>
    <w:rsid w:val="002E482B"/>
    <w:rsid w:val="002E4AD8"/>
    <w:rsid w:val="002E535F"/>
    <w:rsid w:val="002E5586"/>
    <w:rsid w:val="002E59FD"/>
    <w:rsid w:val="002E6189"/>
    <w:rsid w:val="002E6FEE"/>
    <w:rsid w:val="002E70A7"/>
    <w:rsid w:val="002E7141"/>
    <w:rsid w:val="002E739D"/>
    <w:rsid w:val="002F1200"/>
    <w:rsid w:val="002F1395"/>
    <w:rsid w:val="002F288A"/>
    <w:rsid w:val="002F28C3"/>
    <w:rsid w:val="002F3AFD"/>
    <w:rsid w:val="002F471C"/>
    <w:rsid w:val="002F474A"/>
    <w:rsid w:val="002F55A0"/>
    <w:rsid w:val="002F58AD"/>
    <w:rsid w:val="002F5A28"/>
    <w:rsid w:val="002F6741"/>
    <w:rsid w:val="002F73F3"/>
    <w:rsid w:val="002F74A1"/>
    <w:rsid w:val="002F7DB3"/>
    <w:rsid w:val="003001EC"/>
    <w:rsid w:val="0030025B"/>
    <w:rsid w:val="003004DB"/>
    <w:rsid w:val="003009FE"/>
    <w:rsid w:val="00301C5D"/>
    <w:rsid w:val="00303214"/>
    <w:rsid w:val="00303A6C"/>
    <w:rsid w:val="00304489"/>
    <w:rsid w:val="00304B3E"/>
    <w:rsid w:val="00305263"/>
    <w:rsid w:val="003054B6"/>
    <w:rsid w:val="00305BD1"/>
    <w:rsid w:val="00305C05"/>
    <w:rsid w:val="00305CB9"/>
    <w:rsid w:val="00306B20"/>
    <w:rsid w:val="003071A5"/>
    <w:rsid w:val="00307365"/>
    <w:rsid w:val="00307411"/>
    <w:rsid w:val="00307C66"/>
    <w:rsid w:val="00307D17"/>
    <w:rsid w:val="003103D1"/>
    <w:rsid w:val="0031055C"/>
    <w:rsid w:val="003109A8"/>
    <w:rsid w:val="003111EB"/>
    <w:rsid w:val="0031174D"/>
    <w:rsid w:val="00312401"/>
    <w:rsid w:val="0031256E"/>
    <w:rsid w:val="00312809"/>
    <w:rsid w:val="00312F10"/>
    <w:rsid w:val="00312F7F"/>
    <w:rsid w:val="003131B9"/>
    <w:rsid w:val="003136EB"/>
    <w:rsid w:val="00314C89"/>
    <w:rsid w:val="00315598"/>
    <w:rsid w:val="00315C4F"/>
    <w:rsid w:val="00315E6D"/>
    <w:rsid w:val="00316125"/>
    <w:rsid w:val="003166F8"/>
    <w:rsid w:val="00316B7D"/>
    <w:rsid w:val="003172C8"/>
    <w:rsid w:val="003173CB"/>
    <w:rsid w:val="00320439"/>
    <w:rsid w:val="00321A34"/>
    <w:rsid w:val="00322D05"/>
    <w:rsid w:val="00322E9B"/>
    <w:rsid w:val="003233CC"/>
    <w:rsid w:val="0032357B"/>
    <w:rsid w:val="003236D7"/>
    <w:rsid w:val="0032383A"/>
    <w:rsid w:val="003239F6"/>
    <w:rsid w:val="00323E8C"/>
    <w:rsid w:val="00324A22"/>
    <w:rsid w:val="00324DD1"/>
    <w:rsid w:val="00324DD3"/>
    <w:rsid w:val="00325BDF"/>
    <w:rsid w:val="0032641C"/>
    <w:rsid w:val="00326713"/>
    <w:rsid w:val="00327234"/>
    <w:rsid w:val="0032748E"/>
    <w:rsid w:val="00327F2A"/>
    <w:rsid w:val="003306B6"/>
    <w:rsid w:val="00330939"/>
    <w:rsid w:val="0033145A"/>
    <w:rsid w:val="003315CC"/>
    <w:rsid w:val="003315DA"/>
    <w:rsid w:val="00331B89"/>
    <w:rsid w:val="003321D1"/>
    <w:rsid w:val="00332635"/>
    <w:rsid w:val="0033280A"/>
    <w:rsid w:val="00332E05"/>
    <w:rsid w:val="00332EBE"/>
    <w:rsid w:val="003346B7"/>
    <w:rsid w:val="00335523"/>
    <w:rsid w:val="00335A22"/>
    <w:rsid w:val="00335AF8"/>
    <w:rsid w:val="003364FF"/>
    <w:rsid w:val="003366B3"/>
    <w:rsid w:val="00336770"/>
    <w:rsid w:val="00337F7D"/>
    <w:rsid w:val="003404E3"/>
    <w:rsid w:val="00340C37"/>
    <w:rsid w:val="00340E67"/>
    <w:rsid w:val="00341478"/>
    <w:rsid w:val="0034150B"/>
    <w:rsid w:val="00341ABE"/>
    <w:rsid w:val="0034202F"/>
    <w:rsid w:val="0034224F"/>
    <w:rsid w:val="003426BD"/>
    <w:rsid w:val="003427FE"/>
    <w:rsid w:val="00343B74"/>
    <w:rsid w:val="00343D07"/>
    <w:rsid w:val="00343EE9"/>
    <w:rsid w:val="00344D6E"/>
    <w:rsid w:val="00345176"/>
    <w:rsid w:val="00345844"/>
    <w:rsid w:val="003459AF"/>
    <w:rsid w:val="00345FB0"/>
    <w:rsid w:val="00346BE3"/>
    <w:rsid w:val="00346D16"/>
    <w:rsid w:val="003474B3"/>
    <w:rsid w:val="00350900"/>
    <w:rsid w:val="00350B54"/>
    <w:rsid w:val="0035195E"/>
    <w:rsid w:val="003522B2"/>
    <w:rsid w:val="00352476"/>
    <w:rsid w:val="00353B5B"/>
    <w:rsid w:val="003540A8"/>
    <w:rsid w:val="003543D8"/>
    <w:rsid w:val="0035449B"/>
    <w:rsid w:val="00354FD6"/>
    <w:rsid w:val="0035539D"/>
    <w:rsid w:val="00356E95"/>
    <w:rsid w:val="00356FCE"/>
    <w:rsid w:val="003570AF"/>
    <w:rsid w:val="003575E5"/>
    <w:rsid w:val="00357ED1"/>
    <w:rsid w:val="0036131A"/>
    <w:rsid w:val="00361636"/>
    <w:rsid w:val="00361CF7"/>
    <w:rsid w:val="00361DFD"/>
    <w:rsid w:val="003628BA"/>
    <w:rsid w:val="00362B85"/>
    <w:rsid w:val="0036404C"/>
    <w:rsid w:val="003642F4"/>
    <w:rsid w:val="00364E52"/>
    <w:rsid w:val="00364FDF"/>
    <w:rsid w:val="00365588"/>
    <w:rsid w:val="003656CF"/>
    <w:rsid w:val="003658B2"/>
    <w:rsid w:val="00365E1F"/>
    <w:rsid w:val="00365F4F"/>
    <w:rsid w:val="003667AC"/>
    <w:rsid w:val="00367173"/>
    <w:rsid w:val="003671C2"/>
    <w:rsid w:val="00367640"/>
    <w:rsid w:val="0037008E"/>
    <w:rsid w:val="0037036F"/>
    <w:rsid w:val="00370A3E"/>
    <w:rsid w:val="00370C64"/>
    <w:rsid w:val="00370F9D"/>
    <w:rsid w:val="00371759"/>
    <w:rsid w:val="00371D19"/>
    <w:rsid w:val="003723A5"/>
    <w:rsid w:val="00372810"/>
    <w:rsid w:val="0037296D"/>
    <w:rsid w:val="00373822"/>
    <w:rsid w:val="003742BF"/>
    <w:rsid w:val="003749E2"/>
    <w:rsid w:val="0037539A"/>
    <w:rsid w:val="0037551C"/>
    <w:rsid w:val="00375876"/>
    <w:rsid w:val="0037587C"/>
    <w:rsid w:val="003761B4"/>
    <w:rsid w:val="00376242"/>
    <w:rsid w:val="0037641B"/>
    <w:rsid w:val="00376C7D"/>
    <w:rsid w:val="00377F61"/>
    <w:rsid w:val="0038034C"/>
    <w:rsid w:val="0038120C"/>
    <w:rsid w:val="0038129B"/>
    <w:rsid w:val="003812DD"/>
    <w:rsid w:val="00381630"/>
    <w:rsid w:val="003817CC"/>
    <w:rsid w:val="00382278"/>
    <w:rsid w:val="00382D6F"/>
    <w:rsid w:val="003838C0"/>
    <w:rsid w:val="0038486B"/>
    <w:rsid w:val="00385A88"/>
    <w:rsid w:val="00386639"/>
    <w:rsid w:val="003867A2"/>
    <w:rsid w:val="00386C81"/>
    <w:rsid w:val="00386F33"/>
    <w:rsid w:val="00387241"/>
    <w:rsid w:val="0038737C"/>
    <w:rsid w:val="00387B22"/>
    <w:rsid w:val="00387D6A"/>
    <w:rsid w:val="00387D80"/>
    <w:rsid w:val="00387DFB"/>
    <w:rsid w:val="003900B0"/>
    <w:rsid w:val="0039047D"/>
    <w:rsid w:val="00390981"/>
    <w:rsid w:val="00391638"/>
    <w:rsid w:val="00391A65"/>
    <w:rsid w:val="00391BCA"/>
    <w:rsid w:val="003921CF"/>
    <w:rsid w:val="003923B1"/>
    <w:rsid w:val="003923B2"/>
    <w:rsid w:val="003925B3"/>
    <w:rsid w:val="00392F65"/>
    <w:rsid w:val="0039361F"/>
    <w:rsid w:val="00393C20"/>
    <w:rsid w:val="00393D48"/>
    <w:rsid w:val="00393E3E"/>
    <w:rsid w:val="00393F0B"/>
    <w:rsid w:val="00394410"/>
    <w:rsid w:val="003944DE"/>
    <w:rsid w:val="003949E8"/>
    <w:rsid w:val="00394C54"/>
    <w:rsid w:val="00394CFC"/>
    <w:rsid w:val="00394FC8"/>
    <w:rsid w:val="00395C5A"/>
    <w:rsid w:val="00395FB8"/>
    <w:rsid w:val="0039616D"/>
    <w:rsid w:val="00396766"/>
    <w:rsid w:val="00396C9A"/>
    <w:rsid w:val="00396EEA"/>
    <w:rsid w:val="00396FD7"/>
    <w:rsid w:val="003971A9"/>
    <w:rsid w:val="003972E9"/>
    <w:rsid w:val="00397680"/>
    <w:rsid w:val="00397BAA"/>
    <w:rsid w:val="003A00B6"/>
    <w:rsid w:val="003A0D56"/>
    <w:rsid w:val="003A153E"/>
    <w:rsid w:val="003A1817"/>
    <w:rsid w:val="003A193F"/>
    <w:rsid w:val="003A1D48"/>
    <w:rsid w:val="003A215D"/>
    <w:rsid w:val="003A2199"/>
    <w:rsid w:val="003A2C84"/>
    <w:rsid w:val="003A2F4F"/>
    <w:rsid w:val="003A4220"/>
    <w:rsid w:val="003A47AA"/>
    <w:rsid w:val="003A53DA"/>
    <w:rsid w:val="003A554C"/>
    <w:rsid w:val="003A56AC"/>
    <w:rsid w:val="003A63BD"/>
    <w:rsid w:val="003A68CA"/>
    <w:rsid w:val="003A7241"/>
    <w:rsid w:val="003B0522"/>
    <w:rsid w:val="003B0647"/>
    <w:rsid w:val="003B07C2"/>
    <w:rsid w:val="003B0913"/>
    <w:rsid w:val="003B3830"/>
    <w:rsid w:val="003B3C04"/>
    <w:rsid w:val="003B3E32"/>
    <w:rsid w:val="003B40A3"/>
    <w:rsid w:val="003B4239"/>
    <w:rsid w:val="003B4552"/>
    <w:rsid w:val="003B4EE8"/>
    <w:rsid w:val="003B5EDA"/>
    <w:rsid w:val="003B6419"/>
    <w:rsid w:val="003B66CA"/>
    <w:rsid w:val="003B69ED"/>
    <w:rsid w:val="003B6F1D"/>
    <w:rsid w:val="003B71F6"/>
    <w:rsid w:val="003B72A4"/>
    <w:rsid w:val="003B73B2"/>
    <w:rsid w:val="003B76E0"/>
    <w:rsid w:val="003B76F3"/>
    <w:rsid w:val="003C0533"/>
    <w:rsid w:val="003C0E14"/>
    <w:rsid w:val="003C16BF"/>
    <w:rsid w:val="003C1A4C"/>
    <w:rsid w:val="003C207F"/>
    <w:rsid w:val="003C22D5"/>
    <w:rsid w:val="003C3A91"/>
    <w:rsid w:val="003C3DDC"/>
    <w:rsid w:val="003C42FD"/>
    <w:rsid w:val="003C4307"/>
    <w:rsid w:val="003C4735"/>
    <w:rsid w:val="003C4AA0"/>
    <w:rsid w:val="003C4D0E"/>
    <w:rsid w:val="003C5252"/>
    <w:rsid w:val="003C62D0"/>
    <w:rsid w:val="003C630E"/>
    <w:rsid w:val="003C63B0"/>
    <w:rsid w:val="003C65B0"/>
    <w:rsid w:val="003C67A4"/>
    <w:rsid w:val="003C67E7"/>
    <w:rsid w:val="003C681E"/>
    <w:rsid w:val="003C69A1"/>
    <w:rsid w:val="003C7733"/>
    <w:rsid w:val="003C7B18"/>
    <w:rsid w:val="003D03D1"/>
    <w:rsid w:val="003D0978"/>
    <w:rsid w:val="003D1044"/>
    <w:rsid w:val="003D13C4"/>
    <w:rsid w:val="003D215C"/>
    <w:rsid w:val="003D2350"/>
    <w:rsid w:val="003D3706"/>
    <w:rsid w:val="003D42E8"/>
    <w:rsid w:val="003D5905"/>
    <w:rsid w:val="003D5A68"/>
    <w:rsid w:val="003D6D15"/>
    <w:rsid w:val="003D742F"/>
    <w:rsid w:val="003D773A"/>
    <w:rsid w:val="003D7AE3"/>
    <w:rsid w:val="003D7CF7"/>
    <w:rsid w:val="003E02AC"/>
    <w:rsid w:val="003E0982"/>
    <w:rsid w:val="003E0F0E"/>
    <w:rsid w:val="003E106F"/>
    <w:rsid w:val="003E126F"/>
    <w:rsid w:val="003E140D"/>
    <w:rsid w:val="003E242E"/>
    <w:rsid w:val="003E29C5"/>
    <w:rsid w:val="003E2D13"/>
    <w:rsid w:val="003E310A"/>
    <w:rsid w:val="003E32E8"/>
    <w:rsid w:val="003E381D"/>
    <w:rsid w:val="003E3E8D"/>
    <w:rsid w:val="003E4202"/>
    <w:rsid w:val="003E4527"/>
    <w:rsid w:val="003E52F9"/>
    <w:rsid w:val="003E595F"/>
    <w:rsid w:val="003E5FC2"/>
    <w:rsid w:val="003E7E27"/>
    <w:rsid w:val="003F04E2"/>
    <w:rsid w:val="003F05ED"/>
    <w:rsid w:val="003F0EC7"/>
    <w:rsid w:val="003F1895"/>
    <w:rsid w:val="003F1F72"/>
    <w:rsid w:val="003F2579"/>
    <w:rsid w:val="003F27CB"/>
    <w:rsid w:val="003F3B1E"/>
    <w:rsid w:val="003F3CAC"/>
    <w:rsid w:val="003F3D53"/>
    <w:rsid w:val="003F4E86"/>
    <w:rsid w:val="003F5813"/>
    <w:rsid w:val="003F60C6"/>
    <w:rsid w:val="003F6297"/>
    <w:rsid w:val="003F6A50"/>
    <w:rsid w:val="003F6DC5"/>
    <w:rsid w:val="003F6FE3"/>
    <w:rsid w:val="003F737E"/>
    <w:rsid w:val="003F7660"/>
    <w:rsid w:val="003F79E4"/>
    <w:rsid w:val="003F7D88"/>
    <w:rsid w:val="004001E4"/>
    <w:rsid w:val="004003C7"/>
    <w:rsid w:val="00400A62"/>
    <w:rsid w:val="00400C1A"/>
    <w:rsid w:val="00400EDA"/>
    <w:rsid w:val="00401E2E"/>
    <w:rsid w:val="00402D89"/>
    <w:rsid w:val="004038C8"/>
    <w:rsid w:val="004042F4"/>
    <w:rsid w:val="00404F6E"/>
    <w:rsid w:val="004053B8"/>
    <w:rsid w:val="00405730"/>
    <w:rsid w:val="0040592A"/>
    <w:rsid w:val="00405A94"/>
    <w:rsid w:val="00405F48"/>
    <w:rsid w:val="004061F3"/>
    <w:rsid w:val="00406CAD"/>
    <w:rsid w:val="0040758E"/>
    <w:rsid w:val="00407BDD"/>
    <w:rsid w:val="004103F9"/>
    <w:rsid w:val="00410D95"/>
    <w:rsid w:val="0041127D"/>
    <w:rsid w:val="00411856"/>
    <w:rsid w:val="00411892"/>
    <w:rsid w:val="00411DEA"/>
    <w:rsid w:val="00411F0D"/>
    <w:rsid w:val="00412470"/>
    <w:rsid w:val="00412EDF"/>
    <w:rsid w:val="004141F1"/>
    <w:rsid w:val="004147CF"/>
    <w:rsid w:val="0041488F"/>
    <w:rsid w:val="00415121"/>
    <w:rsid w:val="004157B6"/>
    <w:rsid w:val="004161C3"/>
    <w:rsid w:val="00416268"/>
    <w:rsid w:val="004163D0"/>
    <w:rsid w:val="004164C1"/>
    <w:rsid w:val="00416CEC"/>
    <w:rsid w:val="00417D38"/>
    <w:rsid w:val="004200DE"/>
    <w:rsid w:val="00420E0A"/>
    <w:rsid w:val="00420F6D"/>
    <w:rsid w:val="0042185A"/>
    <w:rsid w:val="00421B48"/>
    <w:rsid w:val="00421CF8"/>
    <w:rsid w:val="00422352"/>
    <w:rsid w:val="00422790"/>
    <w:rsid w:val="00422DE9"/>
    <w:rsid w:val="00423601"/>
    <w:rsid w:val="004238C6"/>
    <w:rsid w:val="00423B11"/>
    <w:rsid w:val="00423CC0"/>
    <w:rsid w:val="00423FC1"/>
    <w:rsid w:val="0042466D"/>
    <w:rsid w:val="00424757"/>
    <w:rsid w:val="00424CEC"/>
    <w:rsid w:val="00424E7C"/>
    <w:rsid w:val="004253DA"/>
    <w:rsid w:val="00425424"/>
    <w:rsid w:val="004261BC"/>
    <w:rsid w:val="00426630"/>
    <w:rsid w:val="004269BC"/>
    <w:rsid w:val="00426AE1"/>
    <w:rsid w:val="00426D70"/>
    <w:rsid w:val="004273EE"/>
    <w:rsid w:val="0042751B"/>
    <w:rsid w:val="00427956"/>
    <w:rsid w:val="00427C66"/>
    <w:rsid w:val="00427E9B"/>
    <w:rsid w:val="00430391"/>
    <w:rsid w:val="00430771"/>
    <w:rsid w:val="00430B1D"/>
    <w:rsid w:val="004319B6"/>
    <w:rsid w:val="00431EFA"/>
    <w:rsid w:val="00432259"/>
    <w:rsid w:val="00432C34"/>
    <w:rsid w:val="0043306C"/>
    <w:rsid w:val="004339D2"/>
    <w:rsid w:val="00433B64"/>
    <w:rsid w:val="00434B0D"/>
    <w:rsid w:val="00435198"/>
    <w:rsid w:val="0043641B"/>
    <w:rsid w:val="00436BC9"/>
    <w:rsid w:val="00437073"/>
    <w:rsid w:val="004374F0"/>
    <w:rsid w:val="00437C7E"/>
    <w:rsid w:val="00437E71"/>
    <w:rsid w:val="00440177"/>
    <w:rsid w:val="00440347"/>
    <w:rsid w:val="00440F27"/>
    <w:rsid w:val="00441463"/>
    <w:rsid w:val="0044183E"/>
    <w:rsid w:val="00442B1C"/>
    <w:rsid w:val="00442C37"/>
    <w:rsid w:val="00443336"/>
    <w:rsid w:val="0044379F"/>
    <w:rsid w:val="00443CAE"/>
    <w:rsid w:val="00443FCA"/>
    <w:rsid w:val="0044418F"/>
    <w:rsid w:val="004441C1"/>
    <w:rsid w:val="00444A8A"/>
    <w:rsid w:val="004450D7"/>
    <w:rsid w:val="00445C9E"/>
    <w:rsid w:val="004466AF"/>
    <w:rsid w:val="00446985"/>
    <w:rsid w:val="00446E50"/>
    <w:rsid w:val="00447315"/>
    <w:rsid w:val="00447AD3"/>
    <w:rsid w:val="00447C2B"/>
    <w:rsid w:val="00447F5C"/>
    <w:rsid w:val="00450671"/>
    <w:rsid w:val="00450895"/>
    <w:rsid w:val="00450A02"/>
    <w:rsid w:val="00450B78"/>
    <w:rsid w:val="004515FB"/>
    <w:rsid w:val="0045168C"/>
    <w:rsid w:val="0045289C"/>
    <w:rsid w:val="00452974"/>
    <w:rsid w:val="0045377A"/>
    <w:rsid w:val="00453965"/>
    <w:rsid w:val="004540E7"/>
    <w:rsid w:val="004540F4"/>
    <w:rsid w:val="00454B45"/>
    <w:rsid w:val="00454B89"/>
    <w:rsid w:val="00456363"/>
    <w:rsid w:val="00456A56"/>
    <w:rsid w:val="00456BC2"/>
    <w:rsid w:val="004571AE"/>
    <w:rsid w:val="00460995"/>
    <w:rsid w:val="0046201F"/>
    <w:rsid w:val="004628E8"/>
    <w:rsid w:val="00462A7B"/>
    <w:rsid w:val="00462BBD"/>
    <w:rsid w:val="00462D50"/>
    <w:rsid w:val="00462F07"/>
    <w:rsid w:val="004630F2"/>
    <w:rsid w:val="0046317D"/>
    <w:rsid w:val="004643E5"/>
    <w:rsid w:val="00464D1B"/>
    <w:rsid w:val="00464D93"/>
    <w:rsid w:val="0046589C"/>
    <w:rsid w:val="00465A81"/>
    <w:rsid w:val="00465F0F"/>
    <w:rsid w:val="00466A22"/>
    <w:rsid w:val="00467186"/>
    <w:rsid w:val="00467630"/>
    <w:rsid w:val="004679CE"/>
    <w:rsid w:val="00467D18"/>
    <w:rsid w:val="00467E33"/>
    <w:rsid w:val="0047009E"/>
    <w:rsid w:val="0047017E"/>
    <w:rsid w:val="004701B0"/>
    <w:rsid w:val="00470EEA"/>
    <w:rsid w:val="004711AC"/>
    <w:rsid w:val="004717BE"/>
    <w:rsid w:val="00471B5F"/>
    <w:rsid w:val="004720D1"/>
    <w:rsid w:val="0047241B"/>
    <w:rsid w:val="00472822"/>
    <w:rsid w:val="00472BD5"/>
    <w:rsid w:val="00473660"/>
    <w:rsid w:val="0047371A"/>
    <w:rsid w:val="0047404E"/>
    <w:rsid w:val="0047414D"/>
    <w:rsid w:val="00474AB2"/>
    <w:rsid w:val="00474E1A"/>
    <w:rsid w:val="004751B3"/>
    <w:rsid w:val="00475E91"/>
    <w:rsid w:val="004767BC"/>
    <w:rsid w:val="0047712A"/>
    <w:rsid w:val="004771FB"/>
    <w:rsid w:val="004773DB"/>
    <w:rsid w:val="00477B31"/>
    <w:rsid w:val="004801A6"/>
    <w:rsid w:val="00480250"/>
    <w:rsid w:val="00480D19"/>
    <w:rsid w:val="00480F48"/>
    <w:rsid w:val="004820B1"/>
    <w:rsid w:val="00482F36"/>
    <w:rsid w:val="00482F8F"/>
    <w:rsid w:val="0048334D"/>
    <w:rsid w:val="0048374C"/>
    <w:rsid w:val="004840F6"/>
    <w:rsid w:val="00484276"/>
    <w:rsid w:val="00484997"/>
    <w:rsid w:val="00484E16"/>
    <w:rsid w:val="00485106"/>
    <w:rsid w:val="004868D1"/>
    <w:rsid w:val="00487238"/>
    <w:rsid w:val="00490080"/>
    <w:rsid w:val="004906F2"/>
    <w:rsid w:val="00490AA6"/>
    <w:rsid w:val="004912BE"/>
    <w:rsid w:val="00491A95"/>
    <w:rsid w:val="00492834"/>
    <w:rsid w:val="00493A4F"/>
    <w:rsid w:val="00493A7A"/>
    <w:rsid w:val="004945F0"/>
    <w:rsid w:val="00494E6C"/>
    <w:rsid w:val="0049506A"/>
    <w:rsid w:val="004959F8"/>
    <w:rsid w:val="00495F91"/>
    <w:rsid w:val="004965A8"/>
    <w:rsid w:val="004967A1"/>
    <w:rsid w:val="004A090C"/>
    <w:rsid w:val="004A0C6D"/>
    <w:rsid w:val="004A1290"/>
    <w:rsid w:val="004A2446"/>
    <w:rsid w:val="004A2704"/>
    <w:rsid w:val="004A2FD6"/>
    <w:rsid w:val="004A3D14"/>
    <w:rsid w:val="004A3D74"/>
    <w:rsid w:val="004A4A02"/>
    <w:rsid w:val="004A51B9"/>
    <w:rsid w:val="004A59F4"/>
    <w:rsid w:val="004A63E1"/>
    <w:rsid w:val="004A6909"/>
    <w:rsid w:val="004A715D"/>
    <w:rsid w:val="004A78D3"/>
    <w:rsid w:val="004A7C0F"/>
    <w:rsid w:val="004A7C74"/>
    <w:rsid w:val="004B0882"/>
    <w:rsid w:val="004B2D03"/>
    <w:rsid w:val="004B2E1D"/>
    <w:rsid w:val="004B30EC"/>
    <w:rsid w:val="004B3385"/>
    <w:rsid w:val="004B3633"/>
    <w:rsid w:val="004B373B"/>
    <w:rsid w:val="004B3BB2"/>
    <w:rsid w:val="004B3C28"/>
    <w:rsid w:val="004B3F1C"/>
    <w:rsid w:val="004B4967"/>
    <w:rsid w:val="004B4C5E"/>
    <w:rsid w:val="004B558F"/>
    <w:rsid w:val="004B5600"/>
    <w:rsid w:val="004B6904"/>
    <w:rsid w:val="004B6B7D"/>
    <w:rsid w:val="004B6FFC"/>
    <w:rsid w:val="004B77A7"/>
    <w:rsid w:val="004B7BA6"/>
    <w:rsid w:val="004C0438"/>
    <w:rsid w:val="004C08F9"/>
    <w:rsid w:val="004C1184"/>
    <w:rsid w:val="004C1947"/>
    <w:rsid w:val="004C1CBD"/>
    <w:rsid w:val="004C2D16"/>
    <w:rsid w:val="004C388E"/>
    <w:rsid w:val="004C3BF0"/>
    <w:rsid w:val="004C51D8"/>
    <w:rsid w:val="004C55CA"/>
    <w:rsid w:val="004C5659"/>
    <w:rsid w:val="004C5832"/>
    <w:rsid w:val="004C5A6A"/>
    <w:rsid w:val="004C6023"/>
    <w:rsid w:val="004C6328"/>
    <w:rsid w:val="004C6BCA"/>
    <w:rsid w:val="004C6E57"/>
    <w:rsid w:val="004C6E70"/>
    <w:rsid w:val="004C7965"/>
    <w:rsid w:val="004D1127"/>
    <w:rsid w:val="004D2A9D"/>
    <w:rsid w:val="004D33D5"/>
    <w:rsid w:val="004D37AC"/>
    <w:rsid w:val="004D3D5D"/>
    <w:rsid w:val="004D4630"/>
    <w:rsid w:val="004D4ED2"/>
    <w:rsid w:val="004D52EA"/>
    <w:rsid w:val="004D530C"/>
    <w:rsid w:val="004D5737"/>
    <w:rsid w:val="004D5C04"/>
    <w:rsid w:val="004D6A09"/>
    <w:rsid w:val="004D7D90"/>
    <w:rsid w:val="004D7EC7"/>
    <w:rsid w:val="004E1379"/>
    <w:rsid w:val="004E1E6E"/>
    <w:rsid w:val="004E221F"/>
    <w:rsid w:val="004E2684"/>
    <w:rsid w:val="004E2959"/>
    <w:rsid w:val="004E2B6E"/>
    <w:rsid w:val="004E2BDE"/>
    <w:rsid w:val="004E2D1A"/>
    <w:rsid w:val="004E3138"/>
    <w:rsid w:val="004E4189"/>
    <w:rsid w:val="004E44E5"/>
    <w:rsid w:val="004E4885"/>
    <w:rsid w:val="004E5171"/>
    <w:rsid w:val="004E5922"/>
    <w:rsid w:val="004E647D"/>
    <w:rsid w:val="004E6683"/>
    <w:rsid w:val="004E6A56"/>
    <w:rsid w:val="004E71F5"/>
    <w:rsid w:val="004E73CD"/>
    <w:rsid w:val="004E73FA"/>
    <w:rsid w:val="004E759F"/>
    <w:rsid w:val="004F0152"/>
    <w:rsid w:val="004F08DF"/>
    <w:rsid w:val="004F18AE"/>
    <w:rsid w:val="004F336B"/>
    <w:rsid w:val="004F3B35"/>
    <w:rsid w:val="004F3EDA"/>
    <w:rsid w:val="004F46C1"/>
    <w:rsid w:val="004F46EE"/>
    <w:rsid w:val="004F4C13"/>
    <w:rsid w:val="004F4E0D"/>
    <w:rsid w:val="004F5149"/>
    <w:rsid w:val="004F5FA8"/>
    <w:rsid w:val="004F639F"/>
    <w:rsid w:val="004F7094"/>
    <w:rsid w:val="004F734A"/>
    <w:rsid w:val="00501076"/>
    <w:rsid w:val="00501813"/>
    <w:rsid w:val="00502FC0"/>
    <w:rsid w:val="005035A1"/>
    <w:rsid w:val="00503AD5"/>
    <w:rsid w:val="00504069"/>
    <w:rsid w:val="00504992"/>
    <w:rsid w:val="00505116"/>
    <w:rsid w:val="00505141"/>
    <w:rsid w:val="00506158"/>
    <w:rsid w:val="005063EC"/>
    <w:rsid w:val="0050649B"/>
    <w:rsid w:val="00506663"/>
    <w:rsid w:val="00506B2D"/>
    <w:rsid w:val="005070BE"/>
    <w:rsid w:val="00510A73"/>
    <w:rsid w:val="00511196"/>
    <w:rsid w:val="00511417"/>
    <w:rsid w:val="005115A4"/>
    <w:rsid w:val="005115D0"/>
    <w:rsid w:val="00512512"/>
    <w:rsid w:val="0051274B"/>
    <w:rsid w:val="00513074"/>
    <w:rsid w:val="005131D6"/>
    <w:rsid w:val="00513293"/>
    <w:rsid w:val="00513CF8"/>
    <w:rsid w:val="00513D1D"/>
    <w:rsid w:val="005142E1"/>
    <w:rsid w:val="005143B7"/>
    <w:rsid w:val="00514869"/>
    <w:rsid w:val="005165EB"/>
    <w:rsid w:val="005165F6"/>
    <w:rsid w:val="00517493"/>
    <w:rsid w:val="00517772"/>
    <w:rsid w:val="005179AF"/>
    <w:rsid w:val="00517BED"/>
    <w:rsid w:val="00520660"/>
    <w:rsid w:val="005216E1"/>
    <w:rsid w:val="005220A8"/>
    <w:rsid w:val="005220D3"/>
    <w:rsid w:val="005222A6"/>
    <w:rsid w:val="005222C2"/>
    <w:rsid w:val="00522334"/>
    <w:rsid w:val="00522D58"/>
    <w:rsid w:val="005231C0"/>
    <w:rsid w:val="0052322F"/>
    <w:rsid w:val="005234D7"/>
    <w:rsid w:val="00523852"/>
    <w:rsid w:val="00523ACC"/>
    <w:rsid w:val="005249EE"/>
    <w:rsid w:val="00524D1B"/>
    <w:rsid w:val="00524EF5"/>
    <w:rsid w:val="0052502B"/>
    <w:rsid w:val="00525238"/>
    <w:rsid w:val="00525453"/>
    <w:rsid w:val="005255E3"/>
    <w:rsid w:val="005258F5"/>
    <w:rsid w:val="00526337"/>
    <w:rsid w:val="00526B8A"/>
    <w:rsid w:val="00526BB0"/>
    <w:rsid w:val="00527136"/>
    <w:rsid w:val="00527172"/>
    <w:rsid w:val="00527924"/>
    <w:rsid w:val="005301F8"/>
    <w:rsid w:val="00530441"/>
    <w:rsid w:val="0053094D"/>
    <w:rsid w:val="005309FD"/>
    <w:rsid w:val="00531780"/>
    <w:rsid w:val="005319BD"/>
    <w:rsid w:val="00531AF1"/>
    <w:rsid w:val="00531D27"/>
    <w:rsid w:val="00531DB7"/>
    <w:rsid w:val="00531EB0"/>
    <w:rsid w:val="00532A84"/>
    <w:rsid w:val="005340BD"/>
    <w:rsid w:val="00534439"/>
    <w:rsid w:val="00534810"/>
    <w:rsid w:val="00535394"/>
    <w:rsid w:val="00535ACB"/>
    <w:rsid w:val="005371B7"/>
    <w:rsid w:val="00537255"/>
    <w:rsid w:val="00537D82"/>
    <w:rsid w:val="00540698"/>
    <w:rsid w:val="00540A11"/>
    <w:rsid w:val="00540E3C"/>
    <w:rsid w:val="00541148"/>
    <w:rsid w:val="00541870"/>
    <w:rsid w:val="00542446"/>
    <w:rsid w:val="0054294A"/>
    <w:rsid w:val="00542EAA"/>
    <w:rsid w:val="00544005"/>
    <w:rsid w:val="0054435C"/>
    <w:rsid w:val="0054509B"/>
    <w:rsid w:val="00545C4C"/>
    <w:rsid w:val="00545CC0"/>
    <w:rsid w:val="00546839"/>
    <w:rsid w:val="00546C16"/>
    <w:rsid w:val="00546E59"/>
    <w:rsid w:val="005471F6"/>
    <w:rsid w:val="00547C0E"/>
    <w:rsid w:val="00547FB2"/>
    <w:rsid w:val="005503AE"/>
    <w:rsid w:val="0055071B"/>
    <w:rsid w:val="0055134E"/>
    <w:rsid w:val="005514BD"/>
    <w:rsid w:val="0055161C"/>
    <w:rsid w:val="00551E22"/>
    <w:rsid w:val="00551F07"/>
    <w:rsid w:val="0055227A"/>
    <w:rsid w:val="00552822"/>
    <w:rsid w:val="00552B61"/>
    <w:rsid w:val="00552B96"/>
    <w:rsid w:val="0055310A"/>
    <w:rsid w:val="00553D2D"/>
    <w:rsid w:val="005544E8"/>
    <w:rsid w:val="00554771"/>
    <w:rsid w:val="00554820"/>
    <w:rsid w:val="00554CC4"/>
    <w:rsid w:val="00554E09"/>
    <w:rsid w:val="00555215"/>
    <w:rsid w:val="005557C3"/>
    <w:rsid w:val="00555BD3"/>
    <w:rsid w:val="0055703A"/>
    <w:rsid w:val="005573A0"/>
    <w:rsid w:val="00557581"/>
    <w:rsid w:val="00557774"/>
    <w:rsid w:val="0055794A"/>
    <w:rsid w:val="00557B1A"/>
    <w:rsid w:val="00557C82"/>
    <w:rsid w:val="00557E47"/>
    <w:rsid w:val="00560252"/>
    <w:rsid w:val="00560D3A"/>
    <w:rsid w:val="00560E4D"/>
    <w:rsid w:val="00560E55"/>
    <w:rsid w:val="005615A3"/>
    <w:rsid w:val="005626CE"/>
    <w:rsid w:val="00562D94"/>
    <w:rsid w:val="0056309D"/>
    <w:rsid w:val="005633D7"/>
    <w:rsid w:val="00563803"/>
    <w:rsid w:val="00564794"/>
    <w:rsid w:val="005654E6"/>
    <w:rsid w:val="00565944"/>
    <w:rsid w:val="00565DEE"/>
    <w:rsid w:val="0056618C"/>
    <w:rsid w:val="005664C1"/>
    <w:rsid w:val="005667E1"/>
    <w:rsid w:val="0056680F"/>
    <w:rsid w:val="00566A43"/>
    <w:rsid w:val="00566E5E"/>
    <w:rsid w:val="005701E5"/>
    <w:rsid w:val="00570A04"/>
    <w:rsid w:val="00570B41"/>
    <w:rsid w:val="00570D66"/>
    <w:rsid w:val="00570FD8"/>
    <w:rsid w:val="0057153A"/>
    <w:rsid w:val="00571BCF"/>
    <w:rsid w:val="00571FB8"/>
    <w:rsid w:val="00572ACE"/>
    <w:rsid w:val="00573DF6"/>
    <w:rsid w:val="005744D1"/>
    <w:rsid w:val="00574747"/>
    <w:rsid w:val="005757F1"/>
    <w:rsid w:val="005764ED"/>
    <w:rsid w:val="005777CD"/>
    <w:rsid w:val="005777FF"/>
    <w:rsid w:val="00577996"/>
    <w:rsid w:val="00577B14"/>
    <w:rsid w:val="005802B4"/>
    <w:rsid w:val="005808B4"/>
    <w:rsid w:val="00581850"/>
    <w:rsid w:val="0058200D"/>
    <w:rsid w:val="00582769"/>
    <w:rsid w:val="00582AE5"/>
    <w:rsid w:val="005832EA"/>
    <w:rsid w:val="00584036"/>
    <w:rsid w:val="005843E6"/>
    <w:rsid w:val="0058489A"/>
    <w:rsid w:val="00584DBF"/>
    <w:rsid w:val="00585187"/>
    <w:rsid w:val="0058563E"/>
    <w:rsid w:val="00585852"/>
    <w:rsid w:val="00586847"/>
    <w:rsid w:val="00586BD2"/>
    <w:rsid w:val="00586CA4"/>
    <w:rsid w:val="005875D8"/>
    <w:rsid w:val="005879A5"/>
    <w:rsid w:val="00587D05"/>
    <w:rsid w:val="00590027"/>
    <w:rsid w:val="005908F6"/>
    <w:rsid w:val="00590ADE"/>
    <w:rsid w:val="00591108"/>
    <w:rsid w:val="00591B70"/>
    <w:rsid w:val="00593134"/>
    <w:rsid w:val="00593845"/>
    <w:rsid w:val="00593F4C"/>
    <w:rsid w:val="005943CF"/>
    <w:rsid w:val="0059484F"/>
    <w:rsid w:val="005954C7"/>
    <w:rsid w:val="0059597C"/>
    <w:rsid w:val="005959A3"/>
    <w:rsid w:val="005959B5"/>
    <w:rsid w:val="00595DAF"/>
    <w:rsid w:val="00596589"/>
    <w:rsid w:val="00596FC4"/>
    <w:rsid w:val="00597D03"/>
    <w:rsid w:val="005A01B9"/>
    <w:rsid w:val="005A045F"/>
    <w:rsid w:val="005A04FD"/>
    <w:rsid w:val="005A13F4"/>
    <w:rsid w:val="005A1491"/>
    <w:rsid w:val="005A1647"/>
    <w:rsid w:val="005A1877"/>
    <w:rsid w:val="005A1FA5"/>
    <w:rsid w:val="005A27AF"/>
    <w:rsid w:val="005A2893"/>
    <w:rsid w:val="005A2BD0"/>
    <w:rsid w:val="005A3101"/>
    <w:rsid w:val="005A3D22"/>
    <w:rsid w:val="005A4517"/>
    <w:rsid w:val="005A48AD"/>
    <w:rsid w:val="005A4B18"/>
    <w:rsid w:val="005A532F"/>
    <w:rsid w:val="005A5AFB"/>
    <w:rsid w:val="005A6372"/>
    <w:rsid w:val="005A6678"/>
    <w:rsid w:val="005A6735"/>
    <w:rsid w:val="005A6AF9"/>
    <w:rsid w:val="005A6E40"/>
    <w:rsid w:val="005A742A"/>
    <w:rsid w:val="005A7548"/>
    <w:rsid w:val="005B0383"/>
    <w:rsid w:val="005B064A"/>
    <w:rsid w:val="005B08A3"/>
    <w:rsid w:val="005B0DCC"/>
    <w:rsid w:val="005B18AC"/>
    <w:rsid w:val="005B267C"/>
    <w:rsid w:val="005B281E"/>
    <w:rsid w:val="005B2BD6"/>
    <w:rsid w:val="005B3203"/>
    <w:rsid w:val="005B334D"/>
    <w:rsid w:val="005B3B16"/>
    <w:rsid w:val="005B3FE7"/>
    <w:rsid w:val="005B4613"/>
    <w:rsid w:val="005B467F"/>
    <w:rsid w:val="005B4FE3"/>
    <w:rsid w:val="005B5312"/>
    <w:rsid w:val="005B573B"/>
    <w:rsid w:val="005B6231"/>
    <w:rsid w:val="005B6358"/>
    <w:rsid w:val="005B6D4C"/>
    <w:rsid w:val="005B7013"/>
    <w:rsid w:val="005B7FDA"/>
    <w:rsid w:val="005C0EB9"/>
    <w:rsid w:val="005C13F6"/>
    <w:rsid w:val="005C1B02"/>
    <w:rsid w:val="005C1CF6"/>
    <w:rsid w:val="005C30AD"/>
    <w:rsid w:val="005C3899"/>
    <w:rsid w:val="005C3C4D"/>
    <w:rsid w:val="005C42FA"/>
    <w:rsid w:val="005C43AA"/>
    <w:rsid w:val="005C4AB7"/>
    <w:rsid w:val="005C54FE"/>
    <w:rsid w:val="005C5B84"/>
    <w:rsid w:val="005C5EF6"/>
    <w:rsid w:val="005C5EF8"/>
    <w:rsid w:val="005C719E"/>
    <w:rsid w:val="005C752B"/>
    <w:rsid w:val="005D0ADC"/>
    <w:rsid w:val="005D14BD"/>
    <w:rsid w:val="005D33AB"/>
    <w:rsid w:val="005D41B6"/>
    <w:rsid w:val="005D45F6"/>
    <w:rsid w:val="005D4681"/>
    <w:rsid w:val="005D4753"/>
    <w:rsid w:val="005D5FF7"/>
    <w:rsid w:val="005D6838"/>
    <w:rsid w:val="005D6EF7"/>
    <w:rsid w:val="005D7557"/>
    <w:rsid w:val="005E03E8"/>
    <w:rsid w:val="005E05B3"/>
    <w:rsid w:val="005E16D3"/>
    <w:rsid w:val="005E1F10"/>
    <w:rsid w:val="005E2136"/>
    <w:rsid w:val="005E2510"/>
    <w:rsid w:val="005E2A80"/>
    <w:rsid w:val="005E32C8"/>
    <w:rsid w:val="005E33F3"/>
    <w:rsid w:val="005E369C"/>
    <w:rsid w:val="005E429E"/>
    <w:rsid w:val="005E47A2"/>
    <w:rsid w:val="005E4881"/>
    <w:rsid w:val="005E51E3"/>
    <w:rsid w:val="005E52C3"/>
    <w:rsid w:val="005E5B0E"/>
    <w:rsid w:val="005E5BE5"/>
    <w:rsid w:val="005E65C3"/>
    <w:rsid w:val="005E6CB4"/>
    <w:rsid w:val="005E6F6E"/>
    <w:rsid w:val="005E777E"/>
    <w:rsid w:val="005F003D"/>
    <w:rsid w:val="005F0AC0"/>
    <w:rsid w:val="005F1431"/>
    <w:rsid w:val="005F1CDB"/>
    <w:rsid w:val="005F22CB"/>
    <w:rsid w:val="005F267E"/>
    <w:rsid w:val="005F29C4"/>
    <w:rsid w:val="005F2C2D"/>
    <w:rsid w:val="005F2FDC"/>
    <w:rsid w:val="005F32EF"/>
    <w:rsid w:val="005F340D"/>
    <w:rsid w:val="005F3A74"/>
    <w:rsid w:val="005F3B6D"/>
    <w:rsid w:val="005F40B3"/>
    <w:rsid w:val="005F439E"/>
    <w:rsid w:val="005F47F8"/>
    <w:rsid w:val="005F4DB1"/>
    <w:rsid w:val="005F5348"/>
    <w:rsid w:val="005F5ECD"/>
    <w:rsid w:val="005F649D"/>
    <w:rsid w:val="005F6961"/>
    <w:rsid w:val="005F697D"/>
    <w:rsid w:val="005F6B20"/>
    <w:rsid w:val="005F7353"/>
    <w:rsid w:val="005F779C"/>
    <w:rsid w:val="005F7A51"/>
    <w:rsid w:val="005F7DAB"/>
    <w:rsid w:val="00600190"/>
    <w:rsid w:val="00600739"/>
    <w:rsid w:val="00600CC0"/>
    <w:rsid w:val="0060114B"/>
    <w:rsid w:val="006023DD"/>
    <w:rsid w:val="00604206"/>
    <w:rsid w:val="00604566"/>
    <w:rsid w:val="006045A6"/>
    <w:rsid w:val="006055EB"/>
    <w:rsid w:val="00606B44"/>
    <w:rsid w:val="00607FFB"/>
    <w:rsid w:val="006104F3"/>
    <w:rsid w:val="006113DA"/>
    <w:rsid w:val="00611524"/>
    <w:rsid w:val="006115B7"/>
    <w:rsid w:val="0061200B"/>
    <w:rsid w:val="00612299"/>
    <w:rsid w:val="00612906"/>
    <w:rsid w:val="00612C4D"/>
    <w:rsid w:val="00612D56"/>
    <w:rsid w:val="00612FC8"/>
    <w:rsid w:val="0061329B"/>
    <w:rsid w:val="006139BC"/>
    <w:rsid w:val="00613B16"/>
    <w:rsid w:val="00613CD0"/>
    <w:rsid w:val="0061462F"/>
    <w:rsid w:val="00614B26"/>
    <w:rsid w:val="00614DD5"/>
    <w:rsid w:val="00615019"/>
    <w:rsid w:val="006159BC"/>
    <w:rsid w:val="00615AD4"/>
    <w:rsid w:val="00615C8A"/>
    <w:rsid w:val="00616068"/>
    <w:rsid w:val="006160C6"/>
    <w:rsid w:val="00617483"/>
    <w:rsid w:val="00617DD7"/>
    <w:rsid w:val="00620731"/>
    <w:rsid w:val="00620AE4"/>
    <w:rsid w:val="00620B2C"/>
    <w:rsid w:val="006231F9"/>
    <w:rsid w:val="006238B0"/>
    <w:rsid w:val="00623C74"/>
    <w:rsid w:val="00623F7A"/>
    <w:rsid w:val="0062456C"/>
    <w:rsid w:val="006245E4"/>
    <w:rsid w:val="00624A90"/>
    <w:rsid w:val="00624B6E"/>
    <w:rsid w:val="0062501F"/>
    <w:rsid w:val="006251C2"/>
    <w:rsid w:val="0062525B"/>
    <w:rsid w:val="0062529D"/>
    <w:rsid w:val="006276B5"/>
    <w:rsid w:val="006279A8"/>
    <w:rsid w:val="0063103B"/>
    <w:rsid w:val="0063109C"/>
    <w:rsid w:val="00631274"/>
    <w:rsid w:val="00631D89"/>
    <w:rsid w:val="00632A5A"/>
    <w:rsid w:val="00633A0D"/>
    <w:rsid w:val="00633D3E"/>
    <w:rsid w:val="00633EE5"/>
    <w:rsid w:val="00634424"/>
    <w:rsid w:val="00634878"/>
    <w:rsid w:val="00634A20"/>
    <w:rsid w:val="00634F68"/>
    <w:rsid w:val="00635117"/>
    <w:rsid w:val="006357B2"/>
    <w:rsid w:val="00636791"/>
    <w:rsid w:val="006367E9"/>
    <w:rsid w:val="006368C0"/>
    <w:rsid w:val="00636B91"/>
    <w:rsid w:val="006371BA"/>
    <w:rsid w:val="006372D7"/>
    <w:rsid w:val="006373B8"/>
    <w:rsid w:val="00637675"/>
    <w:rsid w:val="00637C6B"/>
    <w:rsid w:val="006404F8"/>
    <w:rsid w:val="006411AD"/>
    <w:rsid w:val="00641A52"/>
    <w:rsid w:val="006427E7"/>
    <w:rsid w:val="00642BF9"/>
    <w:rsid w:val="00643ACC"/>
    <w:rsid w:val="00644546"/>
    <w:rsid w:val="00645896"/>
    <w:rsid w:val="00645DA1"/>
    <w:rsid w:val="006467C7"/>
    <w:rsid w:val="006473C2"/>
    <w:rsid w:val="00650090"/>
    <w:rsid w:val="006500A5"/>
    <w:rsid w:val="0065057D"/>
    <w:rsid w:val="006507BC"/>
    <w:rsid w:val="0065159F"/>
    <w:rsid w:val="006515CA"/>
    <w:rsid w:val="006517C4"/>
    <w:rsid w:val="00651D17"/>
    <w:rsid w:val="006522BB"/>
    <w:rsid w:val="00652DBC"/>
    <w:rsid w:val="00653772"/>
    <w:rsid w:val="00653E67"/>
    <w:rsid w:val="00654CD6"/>
    <w:rsid w:val="0065556C"/>
    <w:rsid w:val="006566D0"/>
    <w:rsid w:val="00656E33"/>
    <w:rsid w:val="006570E9"/>
    <w:rsid w:val="00657708"/>
    <w:rsid w:val="006578C6"/>
    <w:rsid w:val="00657BDA"/>
    <w:rsid w:val="00657F65"/>
    <w:rsid w:val="00660D47"/>
    <w:rsid w:val="0066134D"/>
    <w:rsid w:val="006614DB"/>
    <w:rsid w:val="00661D5B"/>
    <w:rsid w:val="006629F5"/>
    <w:rsid w:val="006631E5"/>
    <w:rsid w:val="006637EF"/>
    <w:rsid w:val="0066389E"/>
    <w:rsid w:val="00663AE8"/>
    <w:rsid w:val="00664073"/>
    <w:rsid w:val="006654E2"/>
    <w:rsid w:val="006658CE"/>
    <w:rsid w:val="006658EF"/>
    <w:rsid w:val="0066616E"/>
    <w:rsid w:val="006662D8"/>
    <w:rsid w:val="00666903"/>
    <w:rsid w:val="00666A0E"/>
    <w:rsid w:val="006679CC"/>
    <w:rsid w:val="00667CA1"/>
    <w:rsid w:val="00667CF2"/>
    <w:rsid w:val="0067097C"/>
    <w:rsid w:val="00670A6E"/>
    <w:rsid w:val="00671320"/>
    <w:rsid w:val="006716CC"/>
    <w:rsid w:val="006717F0"/>
    <w:rsid w:val="00671B4B"/>
    <w:rsid w:val="00671C41"/>
    <w:rsid w:val="0067277E"/>
    <w:rsid w:val="006729A1"/>
    <w:rsid w:val="00672BDC"/>
    <w:rsid w:val="00673AEE"/>
    <w:rsid w:val="0067421F"/>
    <w:rsid w:val="00674A5E"/>
    <w:rsid w:val="00674D4A"/>
    <w:rsid w:val="006753AE"/>
    <w:rsid w:val="0067639B"/>
    <w:rsid w:val="00676C9B"/>
    <w:rsid w:val="006800C9"/>
    <w:rsid w:val="006805DD"/>
    <w:rsid w:val="00680965"/>
    <w:rsid w:val="00680B2B"/>
    <w:rsid w:val="00680B37"/>
    <w:rsid w:val="00680B61"/>
    <w:rsid w:val="006817AF"/>
    <w:rsid w:val="006823BC"/>
    <w:rsid w:val="00682475"/>
    <w:rsid w:val="00682B8F"/>
    <w:rsid w:val="00682C83"/>
    <w:rsid w:val="00682D52"/>
    <w:rsid w:val="006831F8"/>
    <w:rsid w:val="0068344A"/>
    <w:rsid w:val="0068412A"/>
    <w:rsid w:val="00684572"/>
    <w:rsid w:val="006846CC"/>
    <w:rsid w:val="006855CA"/>
    <w:rsid w:val="00685BA7"/>
    <w:rsid w:val="006865E4"/>
    <w:rsid w:val="00686F61"/>
    <w:rsid w:val="00687BA9"/>
    <w:rsid w:val="00687FB7"/>
    <w:rsid w:val="00690B6A"/>
    <w:rsid w:val="00690F40"/>
    <w:rsid w:val="00691112"/>
    <w:rsid w:val="006920E7"/>
    <w:rsid w:val="00692D39"/>
    <w:rsid w:val="00693232"/>
    <w:rsid w:val="006934F5"/>
    <w:rsid w:val="00693CAF"/>
    <w:rsid w:val="00694185"/>
    <w:rsid w:val="006946C6"/>
    <w:rsid w:val="00694C07"/>
    <w:rsid w:val="006954AC"/>
    <w:rsid w:val="006965F9"/>
    <w:rsid w:val="00696DA2"/>
    <w:rsid w:val="00696DDE"/>
    <w:rsid w:val="00696F2B"/>
    <w:rsid w:val="006970C6"/>
    <w:rsid w:val="006A0AE9"/>
    <w:rsid w:val="006A0E9B"/>
    <w:rsid w:val="006A3341"/>
    <w:rsid w:val="006A3B2A"/>
    <w:rsid w:val="006A3CA9"/>
    <w:rsid w:val="006A3F23"/>
    <w:rsid w:val="006A41C4"/>
    <w:rsid w:val="006A555A"/>
    <w:rsid w:val="006A570C"/>
    <w:rsid w:val="006A5B46"/>
    <w:rsid w:val="006A6292"/>
    <w:rsid w:val="006A70FA"/>
    <w:rsid w:val="006A7145"/>
    <w:rsid w:val="006A7C7E"/>
    <w:rsid w:val="006B0938"/>
    <w:rsid w:val="006B155D"/>
    <w:rsid w:val="006B18DD"/>
    <w:rsid w:val="006B218B"/>
    <w:rsid w:val="006B25D0"/>
    <w:rsid w:val="006B2FAD"/>
    <w:rsid w:val="006B3EFB"/>
    <w:rsid w:val="006B3FEB"/>
    <w:rsid w:val="006B4CE1"/>
    <w:rsid w:val="006B55F7"/>
    <w:rsid w:val="006B5680"/>
    <w:rsid w:val="006B597C"/>
    <w:rsid w:val="006B598D"/>
    <w:rsid w:val="006B64B0"/>
    <w:rsid w:val="006B656F"/>
    <w:rsid w:val="006B65B9"/>
    <w:rsid w:val="006B6D73"/>
    <w:rsid w:val="006C098F"/>
    <w:rsid w:val="006C16FF"/>
    <w:rsid w:val="006C1A88"/>
    <w:rsid w:val="006C1ACB"/>
    <w:rsid w:val="006C1E29"/>
    <w:rsid w:val="006C2496"/>
    <w:rsid w:val="006C2707"/>
    <w:rsid w:val="006C2767"/>
    <w:rsid w:val="006C2A32"/>
    <w:rsid w:val="006C2FE1"/>
    <w:rsid w:val="006C3720"/>
    <w:rsid w:val="006C38C7"/>
    <w:rsid w:val="006C391C"/>
    <w:rsid w:val="006C3B69"/>
    <w:rsid w:val="006C4884"/>
    <w:rsid w:val="006C55DA"/>
    <w:rsid w:val="006C5C5F"/>
    <w:rsid w:val="006C6093"/>
    <w:rsid w:val="006C6523"/>
    <w:rsid w:val="006C6CC4"/>
    <w:rsid w:val="006C6D7F"/>
    <w:rsid w:val="006C7758"/>
    <w:rsid w:val="006C7BB6"/>
    <w:rsid w:val="006C7C53"/>
    <w:rsid w:val="006D0087"/>
    <w:rsid w:val="006D015F"/>
    <w:rsid w:val="006D01D4"/>
    <w:rsid w:val="006D06DC"/>
    <w:rsid w:val="006D106E"/>
    <w:rsid w:val="006D144E"/>
    <w:rsid w:val="006D195B"/>
    <w:rsid w:val="006D1D6D"/>
    <w:rsid w:val="006D2382"/>
    <w:rsid w:val="006D284B"/>
    <w:rsid w:val="006D3584"/>
    <w:rsid w:val="006D40DF"/>
    <w:rsid w:val="006D48D4"/>
    <w:rsid w:val="006D5175"/>
    <w:rsid w:val="006D5809"/>
    <w:rsid w:val="006D5F4E"/>
    <w:rsid w:val="006D6703"/>
    <w:rsid w:val="006D687E"/>
    <w:rsid w:val="006D7473"/>
    <w:rsid w:val="006D7EAF"/>
    <w:rsid w:val="006E0829"/>
    <w:rsid w:val="006E095A"/>
    <w:rsid w:val="006E0E47"/>
    <w:rsid w:val="006E13F0"/>
    <w:rsid w:val="006E1BFB"/>
    <w:rsid w:val="006E203D"/>
    <w:rsid w:val="006E223C"/>
    <w:rsid w:val="006E2839"/>
    <w:rsid w:val="006E2FFF"/>
    <w:rsid w:val="006E4086"/>
    <w:rsid w:val="006E46AE"/>
    <w:rsid w:val="006E4937"/>
    <w:rsid w:val="006E4B47"/>
    <w:rsid w:val="006E4C0A"/>
    <w:rsid w:val="006E4F49"/>
    <w:rsid w:val="006E5EEF"/>
    <w:rsid w:val="006E6118"/>
    <w:rsid w:val="006E640B"/>
    <w:rsid w:val="006E6CDF"/>
    <w:rsid w:val="006E72DF"/>
    <w:rsid w:val="006E74E5"/>
    <w:rsid w:val="006E7573"/>
    <w:rsid w:val="006E7AEE"/>
    <w:rsid w:val="006F1776"/>
    <w:rsid w:val="006F17CA"/>
    <w:rsid w:val="006F2C31"/>
    <w:rsid w:val="006F33A1"/>
    <w:rsid w:val="006F34C4"/>
    <w:rsid w:val="006F4D2C"/>
    <w:rsid w:val="006F5100"/>
    <w:rsid w:val="006F58D6"/>
    <w:rsid w:val="006F5F91"/>
    <w:rsid w:val="006F716F"/>
    <w:rsid w:val="006F7845"/>
    <w:rsid w:val="00700458"/>
    <w:rsid w:val="00700AB3"/>
    <w:rsid w:val="00700CA8"/>
    <w:rsid w:val="00700F56"/>
    <w:rsid w:val="0070168F"/>
    <w:rsid w:val="00702D4F"/>
    <w:rsid w:val="007031C9"/>
    <w:rsid w:val="007031E1"/>
    <w:rsid w:val="007042FC"/>
    <w:rsid w:val="007044AC"/>
    <w:rsid w:val="00704C10"/>
    <w:rsid w:val="00704C8C"/>
    <w:rsid w:val="0070589A"/>
    <w:rsid w:val="00706445"/>
    <w:rsid w:val="007067F4"/>
    <w:rsid w:val="007077DA"/>
    <w:rsid w:val="00707D4B"/>
    <w:rsid w:val="0071112A"/>
    <w:rsid w:val="00711B64"/>
    <w:rsid w:val="00711F9C"/>
    <w:rsid w:val="00712051"/>
    <w:rsid w:val="0071243E"/>
    <w:rsid w:val="007124BA"/>
    <w:rsid w:val="00713A2B"/>
    <w:rsid w:val="007152C3"/>
    <w:rsid w:val="00715605"/>
    <w:rsid w:val="007158DD"/>
    <w:rsid w:val="0071631A"/>
    <w:rsid w:val="0071641A"/>
    <w:rsid w:val="0071662C"/>
    <w:rsid w:val="007167CA"/>
    <w:rsid w:val="00716B63"/>
    <w:rsid w:val="00716F3F"/>
    <w:rsid w:val="00717148"/>
    <w:rsid w:val="00717F19"/>
    <w:rsid w:val="00720795"/>
    <w:rsid w:val="00720B13"/>
    <w:rsid w:val="007229FC"/>
    <w:rsid w:val="00722AF4"/>
    <w:rsid w:val="00723F36"/>
    <w:rsid w:val="00725BDC"/>
    <w:rsid w:val="00725C1F"/>
    <w:rsid w:val="00725FB2"/>
    <w:rsid w:val="00726A05"/>
    <w:rsid w:val="00727B85"/>
    <w:rsid w:val="00727EBE"/>
    <w:rsid w:val="0073011F"/>
    <w:rsid w:val="00730692"/>
    <w:rsid w:val="007306F8"/>
    <w:rsid w:val="007309C9"/>
    <w:rsid w:val="00730CEE"/>
    <w:rsid w:val="00730F8F"/>
    <w:rsid w:val="007313B6"/>
    <w:rsid w:val="00731BD0"/>
    <w:rsid w:val="00732352"/>
    <w:rsid w:val="007339A1"/>
    <w:rsid w:val="00733F78"/>
    <w:rsid w:val="00734236"/>
    <w:rsid w:val="007346B9"/>
    <w:rsid w:val="00734FA7"/>
    <w:rsid w:val="00735019"/>
    <w:rsid w:val="007358FC"/>
    <w:rsid w:val="00736388"/>
    <w:rsid w:val="00736C42"/>
    <w:rsid w:val="00736F53"/>
    <w:rsid w:val="00737918"/>
    <w:rsid w:val="00740B78"/>
    <w:rsid w:val="007413EE"/>
    <w:rsid w:val="0074164E"/>
    <w:rsid w:val="00741656"/>
    <w:rsid w:val="00741B38"/>
    <w:rsid w:val="007437D0"/>
    <w:rsid w:val="00743CD3"/>
    <w:rsid w:val="00743FD1"/>
    <w:rsid w:val="00744EFF"/>
    <w:rsid w:val="00744F41"/>
    <w:rsid w:val="0074543A"/>
    <w:rsid w:val="00745A41"/>
    <w:rsid w:val="00745F54"/>
    <w:rsid w:val="00746443"/>
    <w:rsid w:val="00746A4F"/>
    <w:rsid w:val="00746C93"/>
    <w:rsid w:val="00747251"/>
    <w:rsid w:val="00747839"/>
    <w:rsid w:val="007508B5"/>
    <w:rsid w:val="00750E60"/>
    <w:rsid w:val="00750EC9"/>
    <w:rsid w:val="0075137D"/>
    <w:rsid w:val="007513D2"/>
    <w:rsid w:val="007515A7"/>
    <w:rsid w:val="007518F8"/>
    <w:rsid w:val="007535B3"/>
    <w:rsid w:val="007537AD"/>
    <w:rsid w:val="007541DB"/>
    <w:rsid w:val="007544D7"/>
    <w:rsid w:val="00754D42"/>
    <w:rsid w:val="0075567E"/>
    <w:rsid w:val="007564A8"/>
    <w:rsid w:val="007566DA"/>
    <w:rsid w:val="007570D8"/>
    <w:rsid w:val="00757356"/>
    <w:rsid w:val="00757F2B"/>
    <w:rsid w:val="0076031D"/>
    <w:rsid w:val="00760780"/>
    <w:rsid w:val="00760DAB"/>
    <w:rsid w:val="00760EB8"/>
    <w:rsid w:val="00762C92"/>
    <w:rsid w:val="00762F78"/>
    <w:rsid w:val="00763A88"/>
    <w:rsid w:val="00763EEA"/>
    <w:rsid w:val="00764946"/>
    <w:rsid w:val="00764A7D"/>
    <w:rsid w:val="00765E0E"/>
    <w:rsid w:val="00766379"/>
    <w:rsid w:val="0076679F"/>
    <w:rsid w:val="0076681D"/>
    <w:rsid w:val="007668EB"/>
    <w:rsid w:val="00770301"/>
    <w:rsid w:val="007703C0"/>
    <w:rsid w:val="0077054B"/>
    <w:rsid w:val="00770FED"/>
    <w:rsid w:val="007718D5"/>
    <w:rsid w:val="00771B7C"/>
    <w:rsid w:val="00772243"/>
    <w:rsid w:val="007731B2"/>
    <w:rsid w:val="007739CD"/>
    <w:rsid w:val="00773D89"/>
    <w:rsid w:val="00773FE9"/>
    <w:rsid w:val="007748EE"/>
    <w:rsid w:val="00775177"/>
    <w:rsid w:val="007752E5"/>
    <w:rsid w:val="00775ECA"/>
    <w:rsid w:val="00776111"/>
    <w:rsid w:val="00777B6B"/>
    <w:rsid w:val="00777DDD"/>
    <w:rsid w:val="00780F72"/>
    <w:rsid w:val="0078138D"/>
    <w:rsid w:val="00781845"/>
    <w:rsid w:val="0078186D"/>
    <w:rsid w:val="00782F04"/>
    <w:rsid w:val="007836E8"/>
    <w:rsid w:val="00783A7F"/>
    <w:rsid w:val="00783D49"/>
    <w:rsid w:val="00784759"/>
    <w:rsid w:val="00785347"/>
    <w:rsid w:val="007854E9"/>
    <w:rsid w:val="00785782"/>
    <w:rsid w:val="00785C1C"/>
    <w:rsid w:val="00785F32"/>
    <w:rsid w:val="007860B7"/>
    <w:rsid w:val="00786D83"/>
    <w:rsid w:val="007871ED"/>
    <w:rsid w:val="0078736D"/>
    <w:rsid w:val="00787600"/>
    <w:rsid w:val="007928EB"/>
    <w:rsid w:val="00792A6E"/>
    <w:rsid w:val="00792CFF"/>
    <w:rsid w:val="00792E11"/>
    <w:rsid w:val="007937C7"/>
    <w:rsid w:val="007945EC"/>
    <w:rsid w:val="0079491B"/>
    <w:rsid w:val="00795259"/>
    <w:rsid w:val="00795685"/>
    <w:rsid w:val="007964AC"/>
    <w:rsid w:val="00796AF7"/>
    <w:rsid w:val="00797383"/>
    <w:rsid w:val="0079738B"/>
    <w:rsid w:val="00797623"/>
    <w:rsid w:val="007A009E"/>
    <w:rsid w:val="007A0D81"/>
    <w:rsid w:val="007A0F62"/>
    <w:rsid w:val="007A18B4"/>
    <w:rsid w:val="007A2209"/>
    <w:rsid w:val="007A25B5"/>
    <w:rsid w:val="007A25CD"/>
    <w:rsid w:val="007A388A"/>
    <w:rsid w:val="007A3BA3"/>
    <w:rsid w:val="007A3E17"/>
    <w:rsid w:val="007A3FB3"/>
    <w:rsid w:val="007A443A"/>
    <w:rsid w:val="007A4716"/>
    <w:rsid w:val="007A4EBD"/>
    <w:rsid w:val="007A51EA"/>
    <w:rsid w:val="007A64F8"/>
    <w:rsid w:val="007A714B"/>
    <w:rsid w:val="007A7634"/>
    <w:rsid w:val="007A7ADF"/>
    <w:rsid w:val="007B0395"/>
    <w:rsid w:val="007B0FBD"/>
    <w:rsid w:val="007B1285"/>
    <w:rsid w:val="007B1839"/>
    <w:rsid w:val="007B184A"/>
    <w:rsid w:val="007B1D63"/>
    <w:rsid w:val="007B2916"/>
    <w:rsid w:val="007B2B40"/>
    <w:rsid w:val="007B399A"/>
    <w:rsid w:val="007B3B96"/>
    <w:rsid w:val="007B3BEF"/>
    <w:rsid w:val="007B40A8"/>
    <w:rsid w:val="007B423E"/>
    <w:rsid w:val="007B451B"/>
    <w:rsid w:val="007B47E2"/>
    <w:rsid w:val="007B53A9"/>
    <w:rsid w:val="007B6D43"/>
    <w:rsid w:val="007B7682"/>
    <w:rsid w:val="007C00DC"/>
    <w:rsid w:val="007C0800"/>
    <w:rsid w:val="007C1868"/>
    <w:rsid w:val="007C1A17"/>
    <w:rsid w:val="007C1B71"/>
    <w:rsid w:val="007C2658"/>
    <w:rsid w:val="007C2FC4"/>
    <w:rsid w:val="007C3033"/>
    <w:rsid w:val="007C3B5F"/>
    <w:rsid w:val="007C4292"/>
    <w:rsid w:val="007C43D0"/>
    <w:rsid w:val="007C4563"/>
    <w:rsid w:val="007C46B6"/>
    <w:rsid w:val="007C5DB4"/>
    <w:rsid w:val="007C6281"/>
    <w:rsid w:val="007C6A2A"/>
    <w:rsid w:val="007C73A5"/>
    <w:rsid w:val="007D04C6"/>
    <w:rsid w:val="007D11E4"/>
    <w:rsid w:val="007D1986"/>
    <w:rsid w:val="007D1B10"/>
    <w:rsid w:val="007D1FD4"/>
    <w:rsid w:val="007D2636"/>
    <w:rsid w:val="007D3703"/>
    <w:rsid w:val="007D3FA2"/>
    <w:rsid w:val="007D3FBC"/>
    <w:rsid w:val="007D3FCC"/>
    <w:rsid w:val="007D4A69"/>
    <w:rsid w:val="007D545A"/>
    <w:rsid w:val="007D5557"/>
    <w:rsid w:val="007D572A"/>
    <w:rsid w:val="007D580F"/>
    <w:rsid w:val="007D5F10"/>
    <w:rsid w:val="007D619E"/>
    <w:rsid w:val="007D6BAD"/>
    <w:rsid w:val="007D6DF0"/>
    <w:rsid w:val="007D6E29"/>
    <w:rsid w:val="007D7080"/>
    <w:rsid w:val="007D70E1"/>
    <w:rsid w:val="007D7238"/>
    <w:rsid w:val="007D72D4"/>
    <w:rsid w:val="007D7804"/>
    <w:rsid w:val="007E00F1"/>
    <w:rsid w:val="007E05AC"/>
    <w:rsid w:val="007E0A35"/>
    <w:rsid w:val="007E232F"/>
    <w:rsid w:val="007E3437"/>
    <w:rsid w:val="007E35D4"/>
    <w:rsid w:val="007E3776"/>
    <w:rsid w:val="007E4A47"/>
    <w:rsid w:val="007E4D85"/>
    <w:rsid w:val="007E631B"/>
    <w:rsid w:val="007E6585"/>
    <w:rsid w:val="007E6D23"/>
    <w:rsid w:val="007E70C1"/>
    <w:rsid w:val="007E71E2"/>
    <w:rsid w:val="007E72D6"/>
    <w:rsid w:val="007E72DB"/>
    <w:rsid w:val="007E78E9"/>
    <w:rsid w:val="007E7B8F"/>
    <w:rsid w:val="007F15AB"/>
    <w:rsid w:val="007F2A84"/>
    <w:rsid w:val="007F2B75"/>
    <w:rsid w:val="007F3086"/>
    <w:rsid w:val="007F34A7"/>
    <w:rsid w:val="007F3759"/>
    <w:rsid w:val="007F3F73"/>
    <w:rsid w:val="007F41CC"/>
    <w:rsid w:val="007F4C3E"/>
    <w:rsid w:val="007F4C62"/>
    <w:rsid w:val="007F5570"/>
    <w:rsid w:val="007F5A70"/>
    <w:rsid w:val="007F5FFA"/>
    <w:rsid w:val="007F693B"/>
    <w:rsid w:val="007F6DB0"/>
    <w:rsid w:val="00800D20"/>
    <w:rsid w:val="00800DA8"/>
    <w:rsid w:val="0080153C"/>
    <w:rsid w:val="00801AD6"/>
    <w:rsid w:val="008028CB"/>
    <w:rsid w:val="00802C62"/>
    <w:rsid w:val="008030CF"/>
    <w:rsid w:val="00803B87"/>
    <w:rsid w:val="00803E75"/>
    <w:rsid w:val="00804250"/>
    <w:rsid w:val="00804293"/>
    <w:rsid w:val="00804695"/>
    <w:rsid w:val="00804D2F"/>
    <w:rsid w:val="00805185"/>
    <w:rsid w:val="00805BD2"/>
    <w:rsid w:val="00805D90"/>
    <w:rsid w:val="0080633A"/>
    <w:rsid w:val="00806F8D"/>
    <w:rsid w:val="008073B1"/>
    <w:rsid w:val="00810348"/>
    <w:rsid w:val="0081073A"/>
    <w:rsid w:val="00810C49"/>
    <w:rsid w:val="00810F04"/>
    <w:rsid w:val="0081143B"/>
    <w:rsid w:val="008117C2"/>
    <w:rsid w:val="00811A9C"/>
    <w:rsid w:val="008124AB"/>
    <w:rsid w:val="008132A1"/>
    <w:rsid w:val="00813843"/>
    <w:rsid w:val="00813AEB"/>
    <w:rsid w:val="008144DB"/>
    <w:rsid w:val="00814896"/>
    <w:rsid w:val="008155F6"/>
    <w:rsid w:val="008155FF"/>
    <w:rsid w:val="00815B4F"/>
    <w:rsid w:val="00815E34"/>
    <w:rsid w:val="00815F59"/>
    <w:rsid w:val="0081638C"/>
    <w:rsid w:val="008163C8"/>
    <w:rsid w:val="008176BC"/>
    <w:rsid w:val="008179F8"/>
    <w:rsid w:val="00817CD0"/>
    <w:rsid w:val="00817E4E"/>
    <w:rsid w:val="0082010E"/>
    <w:rsid w:val="00820430"/>
    <w:rsid w:val="00820467"/>
    <w:rsid w:val="0082244F"/>
    <w:rsid w:val="00822D05"/>
    <w:rsid w:val="00823169"/>
    <w:rsid w:val="00823531"/>
    <w:rsid w:val="008238C6"/>
    <w:rsid w:val="00824E77"/>
    <w:rsid w:val="00825108"/>
    <w:rsid w:val="008253D7"/>
    <w:rsid w:val="008255D2"/>
    <w:rsid w:val="0082586F"/>
    <w:rsid w:val="00825D96"/>
    <w:rsid w:val="0082672F"/>
    <w:rsid w:val="00826DB5"/>
    <w:rsid w:val="0082756C"/>
    <w:rsid w:val="008277FB"/>
    <w:rsid w:val="008304C9"/>
    <w:rsid w:val="008315A4"/>
    <w:rsid w:val="0083173F"/>
    <w:rsid w:val="00831938"/>
    <w:rsid w:val="00831C38"/>
    <w:rsid w:val="00831F10"/>
    <w:rsid w:val="008322DF"/>
    <w:rsid w:val="00833152"/>
    <w:rsid w:val="0083327E"/>
    <w:rsid w:val="00833C20"/>
    <w:rsid w:val="00833C29"/>
    <w:rsid w:val="008342EB"/>
    <w:rsid w:val="00835169"/>
    <w:rsid w:val="008355C0"/>
    <w:rsid w:val="00836102"/>
    <w:rsid w:val="0083682C"/>
    <w:rsid w:val="00837154"/>
    <w:rsid w:val="008377C1"/>
    <w:rsid w:val="00837ED8"/>
    <w:rsid w:val="00840B17"/>
    <w:rsid w:val="00840C3F"/>
    <w:rsid w:val="0084106E"/>
    <w:rsid w:val="008417EF"/>
    <w:rsid w:val="00841B7F"/>
    <w:rsid w:val="00843498"/>
    <w:rsid w:val="00843566"/>
    <w:rsid w:val="00843B83"/>
    <w:rsid w:val="00843E41"/>
    <w:rsid w:val="00843EFD"/>
    <w:rsid w:val="008443D1"/>
    <w:rsid w:val="00844466"/>
    <w:rsid w:val="008449B1"/>
    <w:rsid w:val="008453F2"/>
    <w:rsid w:val="00845724"/>
    <w:rsid w:val="0084695B"/>
    <w:rsid w:val="00846C62"/>
    <w:rsid w:val="00846F8A"/>
    <w:rsid w:val="008479AA"/>
    <w:rsid w:val="00847A64"/>
    <w:rsid w:val="00850029"/>
    <w:rsid w:val="008502DF"/>
    <w:rsid w:val="00850385"/>
    <w:rsid w:val="00850F77"/>
    <w:rsid w:val="00851557"/>
    <w:rsid w:val="00851638"/>
    <w:rsid w:val="00851902"/>
    <w:rsid w:val="00851CCB"/>
    <w:rsid w:val="00851E51"/>
    <w:rsid w:val="0085208F"/>
    <w:rsid w:val="008529F5"/>
    <w:rsid w:val="00852DAF"/>
    <w:rsid w:val="008530F9"/>
    <w:rsid w:val="008533E9"/>
    <w:rsid w:val="00854077"/>
    <w:rsid w:val="00854318"/>
    <w:rsid w:val="0085500C"/>
    <w:rsid w:val="00855812"/>
    <w:rsid w:val="0085698E"/>
    <w:rsid w:val="00857301"/>
    <w:rsid w:val="00857316"/>
    <w:rsid w:val="00857607"/>
    <w:rsid w:val="00857942"/>
    <w:rsid w:val="008607EE"/>
    <w:rsid w:val="0086081C"/>
    <w:rsid w:val="008614F6"/>
    <w:rsid w:val="008618D9"/>
    <w:rsid w:val="00863217"/>
    <w:rsid w:val="00863957"/>
    <w:rsid w:val="00863B35"/>
    <w:rsid w:val="00863ED9"/>
    <w:rsid w:val="00864050"/>
    <w:rsid w:val="00864271"/>
    <w:rsid w:val="00864894"/>
    <w:rsid w:val="00864CB5"/>
    <w:rsid w:val="00864CF4"/>
    <w:rsid w:val="008660E1"/>
    <w:rsid w:val="008660EC"/>
    <w:rsid w:val="008667BA"/>
    <w:rsid w:val="0086688B"/>
    <w:rsid w:val="00867003"/>
    <w:rsid w:val="008672E7"/>
    <w:rsid w:val="0086760B"/>
    <w:rsid w:val="00870B46"/>
    <w:rsid w:val="008724AC"/>
    <w:rsid w:val="00872CDA"/>
    <w:rsid w:val="00872EDF"/>
    <w:rsid w:val="00872F7E"/>
    <w:rsid w:val="0087353C"/>
    <w:rsid w:val="00873DC9"/>
    <w:rsid w:val="00874132"/>
    <w:rsid w:val="008754E9"/>
    <w:rsid w:val="008755C5"/>
    <w:rsid w:val="0087595B"/>
    <w:rsid w:val="00875D68"/>
    <w:rsid w:val="0087662C"/>
    <w:rsid w:val="00876669"/>
    <w:rsid w:val="00876AE5"/>
    <w:rsid w:val="00876B6A"/>
    <w:rsid w:val="00876ED1"/>
    <w:rsid w:val="0087723E"/>
    <w:rsid w:val="0087738E"/>
    <w:rsid w:val="00877476"/>
    <w:rsid w:val="008779E2"/>
    <w:rsid w:val="00877C82"/>
    <w:rsid w:val="00877E8B"/>
    <w:rsid w:val="00877F83"/>
    <w:rsid w:val="00880B28"/>
    <w:rsid w:val="00880CCE"/>
    <w:rsid w:val="00880F3C"/>
    <w:rsid w:val="0088112D"/>
    <w:rsid w:val="00881241"/>
    <w:rsid w:val="00881476"/>
    <w:rsid w:val="008816E6"/>
    <w:rsid w:val="00881BCD"/>
    <w:rsid w:val="0088239E"/>
    <w:rsid w:val="0088290D"/>
    <w:rsid w:val="00882B9F"/>
    <w:rsid w:val="00882CA1"/>
    <w:rsid w:val="00884032"/>
    <w:rsid w:val="00885484"/>
    <w:rsid w:val="008858D4"/>
    <w:rsid w:val="00885AAE"/>
    <w:rsid w:val="00885C53"/>
    <w:rsid w:val="008864DF"/>
    <w:rsid w:val="00887971"/>
    <w:rsid w:val="008879AF"/>
    <w:rsid w:val="00887D03"/>
    <w:rsid w:val="00887EAB"/>
    <w:rsid w:val="00890536"/>
    <w:rsid w:val="008908D3"/>
    <w:rsid w:val="00890CF8"/>
    <w:rsid w:val="00891CB2"/>
    <w:rsid w:val="00891DEC"/>
    <w:rsid w:val="00891E60"/>
    <w:rsid w:val="00892408"/>
    <w:rsid w:val="00892EC2"/>
    <w:rsid w:val="00892F5F"/>
    <w:rsid w:val="00893EF1"/>
    <w:rsid w:val="008941AB"/>
    <w:rsid w:val="008941C3"/>
    <w:rsid w:val="008943A5"/>
    <w:rsid w:val="0089483C"/>
    <w:rsid w:val="008949A9"/>
    <w:rsid w:val="00895309"/>
    <w:rsid w:val="00895542"/>
    <w:rsid w:val="008961FC"/>
    <w:rsid w:val="008969F3"/>
    <w:rsid w:val="00896E0E"/>
    <w:rsid w:val="00897557"/>
    <w:rsid w:val="00897867"/>
    <w:rsid w:val="008A117C"/>
    <w:rsid w:val="008A17DE"/>
    <w:rsid w:val="008A19F2"/>
    <w:rsid w:val="008A1B40"/>
    <w:rsid w:val="008A1FB7"/>
    <w:rsid w:val="008A2017"/>
    <w:rsid w:val="008A2586"/>
    <w:rsid w:val="008A25C2"/>
    <w:rsid w:val="008A291E"/>
    <w:rsid w:val="008A34E9"/>
    <w:rsid w:val="008A3F9C"/>
    <w:rsid w:val="008A3FB7"/>
    <w:rsid w:val="008A40FF"/>
    <w:rsid w:val="008A4281"/>
    <w:rsid w:val="008A4635"/>
    <w:rsid w:val="008A483B"/>
    <w:rsid w:val="008A4C39"/>
    <w:rsid w:val="008A5666"/>
    <w:rsid w:val="008A5882"/>
    <w:rsid w:val="008A5B7A"/>
    <w:rsid w:val="008A5C91"/>
    <w:rsid w:val="008A5DE7"/>
    <w:rsid w:val="008A658A"/>
    <w:rsid w:val="008A6695"/>
    <w:rsid w:val="008B04F2"/>
    <w:rsid w:val="008B0A6D"/>
    <w:rsid w:val="008B0E3D"/>
    <w:rsid w:val="008B10A2"/>
    <w:rsid w:val="008B10C5"/>
    <w:rsid w:val="008B1523"/>
    <w:rsid w:val="008B182A"/>
    <w:rsid w:val="008B1AE6"/>
    <w:rsid w:val="008B1C39"/>
    <w:rsid w:val="008B1E28"/>
    <w:rsid w:val="008B25DA"/>
    <w:rsid w:val="008B3DE3"/>
    <w:rsid w:val="008B43A8"/>
    <w:rsid w:val="008B4F7B"/>
    <w:rsid w:val="008B5390"/>
    <w:rsid w:val="008B5A75"/>
    <w:rsid w:val="008B69D8"/>
    <w:rsid w:val="008B6B64"/>
    <w:rsid w:val="008B74F0"/>
    <w:rsid w:val="008C008D"/>
    <w:rsid w:val="008C00B6"/>
    <w:rsid w:val="008C0681"/>
    <w:rsid w:val="008C10C8"/>
    <w:rsid w:val="008C19CA"/>
    <w:rsid w:val="008C206F"/>
    <w:rsid w:val="008C2613"/>
    <w:rsid w:val="008C2BD5"/>
    <w:rsid w:val="008C2D98"/>
    <w:rsid w:val="008C2DDC"/>
    <w:rsid w:val="008C32DD"/>
    <w:rsid w:val="008C3407"/>
    <w:rsid w:val="008C35D8"/>
    <w:rsid w:val="008C396E"/>
    <w:rsid w:val="008C404A"/>
    <w:rsid w:val="008C4243"/>
    <w:rsid w:val="008C482C"/>
    <w:rsid w:val="008C4C4E"/>
    <w:rsid w:val="008C4D10"/>
    <w:rsid w:val="008C561C"/>
    <w:rsid w:val="008C5AE6"/>
    <w:rsid w:val="008C5DE9"/>
    <w:rsid w:val="008C6323"/>
    <w:rsid w:val="008C6A6D"/>
    <w:rsid w:val="008C7AAE"/>
    <w:rsid w:val="008D1133"/>
    <w:rsid w:val="008D13F1"/>
    <w:rsid w:val="008D1588"/>
    <w:rsid w:val="008D16D5"/>
    <w:rsid w:val="008D19EF"/>
    <w:rsid w:val="008D1D58"/>
    <w:rsid w:val="008D21D4"/>
    <w:rsid w:val="008D2C75"/>
    <w:rsid w:val="008D33AD"/>
    <w:rsid w:val="008D3840"/>
    <w:rsid w:val="008D3A8F"/>
    <w:rsid w:val="008D3CB2"/>
    <w:rsid w:val="008D50CB"/>
    <w:rsid w:val="008D54BA"/>
    <w:rsid w:val="008D5745"/>
    <w:rsid w:val="008D5775"/>
    <w:rsid w:val="008D62D4"/>
    <w:rsid w:val="008D6B96"/>
    <w:rsid w:val="008D6BAF"/>
    <w:rsid w:val="008D6D1F"/>
    <w:rsid w:val="008D7EA4"/>
    <w:rsid w:val="008E0330"/>
    <w:rsid w:val="008E0494"/>
    <w:rsid w:val="008E0B2F"/>
    <w:rsid w:val="008E18F1"/>
    <w:rsid w:val="008E1A6B"/>
    <w:rsid w:val="008E1F79"/>
    <w:rsid w:val="008E2046"/>
    <w:rsid w:val="008E206D"/>
    <w:rsid w:val="008E2CEC"/>
    <w:rsid w:val="008E36A2"/>
    <w:rsid w:val="008E403D"/>
    <w:rsid w:val="008E555D"/>
    <w:rsid w:val="008E5585"/>
    <w:rsid w:val="008E582D"/>
    <w:rsid w:val="008E5C28"/>
    <w:rsid w:val="008E618D"/>
    <w:rsid w:val="008E64D5"/>
    <w:rsid w:val="008E6621"/>
    <w:rsid w:val="008E6799"/>
    <w:rsid w:val="008E741C"/>
    <w:rsid w:val="008F0005"/>
    <w:rsid w:val="008F12C3"/>
    <w:rsid w:val="008F14AB"/>
    <w:rsid w:val="008F32CA"/>
    <w:rsid w:val="008F3446"/>
    <w:rsid w:val="008F3C74"/>
    <w:rsid w:val="008F3D81"/>
    <w:rsid w:val="008F4A78"/>
    <w:rsid w:val="008F59E1"/>
    <w:rsid w:val="008F5B40"/>
    <w:rsid w:val="008F6405"/>
    <w:rsid w:val="008F6ED9"/>
    <w:rsid w:val="008F7038"/>
    <w:rsid w:val="008F78A5"/>
    <w:rsid w:val="00901C98"/>
    <w:rsid w:val="00902757"/>
    <w:rsid w:val="009031ED"/>
    <w:rsid w:val="0090342F"/>
    <w:rsid w:val="00903771"/>
    <w:rsid w:val="00903B2D"/>
    <w:rsid w:val="009044D7"/>
    <w:rsid w:val="009046F3"/>
    <w:rsid w:val="009050CB"/>
    <w:rsid w:val="00905366"/>
    <w:rsid w:val="0090603B"/>
    <w:rsid w:val="009068F9"/>
    <w:rsid w:val="009069F7"/>
    <w:rsid w:val="00906EB3"/>
    <w:rsid w:val="0090705B"/>
    <w:rsid w:val="0090775E"/>
    <w:rsid w:val="00907EC7"/>
    <w:rsid w:val="0091024F"/>
    <w:rsid w:val="00910601"/>
    <w:rsid w:val="0091067F"/>
    <w:rsid w:val="009108F7"/>
    <w:rsid w:val="0091189A"/>
    <w:rsid w:val="00911F74"/>
    <w:rsid w:val="00912188"/>
    <w:rsid w:val="00912684"/>
    <w:rsid w:val="00912799"/>
    <w:rsid w:val="009131A3"/>
    <w:rsid w:val="009138A1"/>
    <w:rsid w:val="00914646"/>
    <w:rsid w:val="009156D2"/>
    <w:rsid w:val="00915765"/>
    <w:rsid w:val="0091577D"/>
    <w:rsid w:val="009159AD"/>
    <w:rsid w:val="00915F36"/>
    <w:rsid w:val="00916260"/>
    <w:rsid w:val="00916332"/>
    <w:rsid w:val="00916FAA"/>
    <w:rsid w:val="0091741F"/>
    <w:rsid w:val="009174D3"/>
    <w:rsid w:val="00917D03"/>
    <w:rsid w:val="009210A3"/>
    <w:rsid w:val="00921236"/>
    <w:rsid w:val="0092123D"/>
    <w:rsid w:val="009213DC"/>
    <w:rsid w:val="00921445"/>
    <w:rsid w:val="00922EAB"/>
    <w:rsid w:val="00923137"/>
    <w:rsid w:val="009231A8"/>
    <w:rsid w:val="009232D1"/>
    <w:rsid w:val="00923577"/>
    <w:rsid w:val="00923ACA"/>
    <w:rsid w:val="00923DC7"/>
    <w:rsid w:val="00924311"/>
    <w:rsid w:val="00924369"/>
    <w:rsid w:val="00925327"/>
    <w:rsid w:val="0092564D"/>
    <w:rsid w:val="00925D06"/>
    <w:rsid w:val="009262A9"/>
    <w:rsid w:val="009273C2"/>
    <w:rsid w:val="0092785D"/>
    <w:rsid w:val="00927A7F"/>
    <w:rsid w:val="00927C16"/>
    <w:rsid w:val="00927ED5"/>
    <w:rsid w:val="00927FB0"/>
    <w:rsid w:val="00930FAE"/>
    <w:rsid w:val="0093115C"/>
    <w:rsid w:val="00931748"/>
    <w:rsid w:val="0093255C"/>
    <w:rsid w:val="00932716"/>
    <w:rsid w:val="009327E2"/>
    <w:rsid w:val="0093308F"/>
    <w:rsid w:val="00933926"/>
    <w:rsid w:val="009339FD"/>
    <w:rsid w:val="00933D1C"/>
    <w:rsid w:val="009343F2"/>
    <w:rsid w:val="00936BBB"/>
    <w:rsid w:val="00936F0B"/>
    <w:rsid w:val="00940622"/>
    <w:rsid w:val="00941013"/>
    <w:rsid w:val="0094102B"/>
    <w:rsid w:val="00941216"/>
    <w:rsid w:val="009415D3"/>
    <w:rsid w:val="00941612"/>
    <w:rsid w:val="0094165F"/>
    <w:rsid w:val="009423E6"/>
    <w:rsid w:val="0094377C"/>
    <w:rsid w:val="00943912"/>
    <w:rsid w:val="00943C28"/>
    <w:rsid w:val="00943C41"/>
    <w:rsid w:val="00943D2F"/>
    <w:rsid w:val="00943E86"/>
    <w:rsid w:val="00943F7D"/>
    <w:rsid w:val="00944AB5"/>
    <w:rsid w:val="00944CED"/>
    <w:rsid w:val="0094530B"/>
    <w:rsid w:val="00945461"/>
    <w:rsid w:val="00945958"/>
    <w:rsid w:val="00945A16"/>
    <w:rsid w:val="00945BBC"/>
    <w:rsid w:val="00945D9E"/>
    <w:rsid w:val="00945EAB"/>
    <w:rsid w:val="009463F9"/>
    <w:rsid w:val="0094655E"/>
    <w:rsid w:val="009468E2"/>
    <w:rsid w:val="00946CE2"/>
    <w:rsid w:val="0094700D"/>
    <w:rsid w:val="0094786D"/>
    <w:rsid w:val="00947FCE"/>
    <w:rsid w:val="009506CC"/>
    <w:rsid w:val="00950844"/>
    <w:rsid w:val="00950C5D"/>
    <w:rsid w:val="00950D98"/>
    <w:rsid w:val="0095112F"/>
    <w:rsid w:val="0095152C"/>
    <w:rsid w:val="00951F69"/>
    <w:rsid w:val="00952176"/>
    <w:rsid w:val="00952A74"/>
    <w:rsid w:val="00952E47"/>
    <w:rsid w:val="0095302A"/>
    <w:rsid w:val="00953602"/>
    <w:rsid w:val="009538CF"/>
    <w:rsid w:val="0095400B"/>
    <w:rsid w:val="0095413E"/>
    <w:rsid w:val="009541F0"/>
    <w:rsid w:val="00954DED"/>
    <w:rsid w:val="00954F4A"/>
    <w:rsid w:val="009553FC"/>
    <w:rsid w:val="00956136"/>
    <w:rsid w:val="00956424"/>
    <w:rsid w:val="009571C5"/>
    <w:rsid w:val="00960186"/>
    <w:rsid w:val="00960306"/>
    <w:rsid w:val="0096058A"/>
    <w:rsid w:val="009605EB"/>
    <w:rsid w:val="00960700"/>
    <w:rsid w:val="009615F3"/>
    <w:rsid w:val="009618DB"/>
    <w:rsid w:val="0096238F"/>
    <w:rsid w:val="0096283D"/>
    <w:rsid w:val="00963493"/>
    <w:rsid w:val="00964722"/>
    <w:rsid w:val="00964F47"/>
    <w:rsid w:val="0096557F"/>
    <w:rsid w:val="009657F6"/>
    <w:rsid w:val="00965863"/>
    <w:rsid w:val="0096677C"/>
    <w:rsid w:val="00967128"/>
    <w:rsid w:val="009672D3"/>
    <w:rsid w:val="0096745F"/>
    <w:rsid w:val="00967509"/>
    <w:rsid w:val="009707BE"/>
    <w:rsid w:val="00970FFA"/>
    <w:rsid w:val="0097128E"/>
    <w:rsid w:val="00972776"/>
    <w:rsid w:val="009727D2"/>
    <w:rsid w:val="009728B5"/>
    <w:rsid w:val="00972B62"/>
    <w:rsid w:val="00972CC8"/>
    <w:rsid w:val="00972F69"/>
    <w:rsid w:val="00973299"/>
    <w:rsid w:val="00973722"/>
    <w:rsid w:val="00973948"/>
    <w:rsid w:val="0097466F"/>
    <w:rsid w:val="00974DE9"/>
    <w:rsid w:val="00975050"/>
    <w:rsid w:val="00975445"/>
    <w:rsid w:val="0097561B"/>
    <w:rsid w:val="00975E4F"/>
    <w:rsid w:val="00976AF7"/>
    <w:rsid w:val="00976D5D"/>
    <w:rsid w:val="00977645"/>
    <w:rsid w:val="00977934"/>
    <w:rsid w:val="00977A93"/>
    <w:rsid w:val="00980457"/>
    <w:rsid w:val="0098073E"/>
    <w:rsid w:val="009808E8"/>
    <w:rsid w:val="00981739"/>
    <w:rsid w:val="0098220F"/>
    <w:rsid w:val="00982296"/>
    <w:rsid w:val="00982460"/>
    <w:rsid w:val="009824BF"/>
    <w:rsid w:val="00982982"/>
    <w:rsid w:val="00983384"/>
    <w:rsid w:val="00983A51"/>
    <w:rsid w:val="00984863"/>
    <w:rsid w:val="00984986"/>
    <w:rsid w:val="00985333"/>
    <w:rsid w:val="00985C38"/>
    <w:rsid w:val="00985D8D"/>
    <w:rsid w:val="00985FFA"/>
    <w:rsid w:val="00986D62"/>
    <w:rsid w:val="00986D83"/>
    <w:rsid w:val="0098706D"/>
    <w:rsid w:val="00987379"/>
    <w:rsid w:val="00987B92"/>
    <w:rsid w:val="00987C81"/>
    <w:rsid w:val="00987F47"/>
    <w:rsid w:val="009905C5"/>
    <w:rsid w:val="00991015"/>
    <w:rsid w:val="00991DBF"/>
    <w:rsid w:val="00992036"/>
    <w:rsid w:val="009925E5"/>
    <w:rsid w:val="009926C1"/>
    <w:rsid w:val="009927DE"/>
    <w:rsid w:val="009935C0"/>
    <w:rsid w:val="00993E8D"/>
    <w:rsid w:val="00994780"/>
    <w:rsid w:val="00994C43"/>
    <w:rsid w:val="00994CB4"/>
    <w:rsid w:val="0099529F"/>
    <w:rsid w:val="009955C4"/>
    <w:rsid w:val="00995F39"/>
    <w:rsid w:val="009964A1"/>
    <w:rsid w:val="00997903"/>
    <w:rsid w:val="00997DE9"/>
    <w:rsid w:val="009A05DF"/>
    <w:rsid w:val="009A069B"/>
    <w:rsid w:val="009A12AC"/>
    <w:rsid w:val="009A1C62"/>
    <w:rsid w:val="009A1E5B"/>
    <w:rsid w:val="009A237B"/>
    <w:rsid w:val="009A24C2"/>
    <w:rsid w:val="009A2B06"/>
    <w:rsid w:val="009A2DBF"/>
    <w:rsid w:val="009A36DD"/>
    <w:rsid w:val="009A3EB9"/>
    <w:rsid w:val="009A44B8"/>
    <w:rsid w:val="009A4A34"/>
    <w:rsid w:val="009A4D00"/>
    <w:rsid w:val="009A59BE"/>
    <w:rsid w:val="009A5FE1"/>
    <w:rsid w:val="009A6CC5"/>
    <w:rsid w:val="009A74B9"/>
    <w:rsid w:val="009A7724"/>
    <w:rsid w:val="009A7A3A"/>
    <w:rsid w:val="009A7A70"/>
    <w:rsid w:val="009A7C42"/>
    <w:rsid w:val="009B0245"/>
    <w:rsid w:val="009B0C4A"/>
    <w:rsid w:val="009B0D5A"/>
    <w:rsid w:val="009B15ED"/>
    <w:rsid w:val="009B1629"/>
    <w:rsid w:val="009B2411"/>
    <w:rsid w:val="009B32A2"/>
    <w:rsid w:val="009B32E8"/>
    <w:rsid w:val="009B3EB6"/>
    <w:rsid w:val="009B3F45"/>
    <w:rsid w:val="009B62B8"/>
    <w:rsid w:val="009B7211"/>
    <w:rsid w:val="009B7260"/>
    <w:rsid w:val="009B7681"/>
    <w:rsid w:val="009B7D06"/>
    <w:rsid w:val="009B7F08"/>
    <w:rsid w:val="009C1271"/>
    <w:rsid w:val="009C1862"/>
    <w:rsid w:val="009C19DD"/>
    <w:rsid w:val="009C1F97"/>
    <w:rsid w:val="009C233B"/>
    <w:rsid w:val="009C31BD"/>
    <w:rsid w:val="009C35C5"/>
    <w:rsid w:val="009C45F8"/>
    <w:rsid w:val="009C490D"/>
    <w:rsid w:val="009C4B28"/>
    <w:rsid w:val="009C5CC8"/>
    <w:rsid w:val="009C6410"/>
    <w:rsid w:val="009C6E62"/>
    <w:rsid w:val="009C73FE"/>
    <w:rsid w:val="009C7524"/>
    <w:rsid w:val="009C7BDF"/>
    <w:rsid w:val="009C7CDA"/>
    <w:rsid w:val="009D036D"/>
    <w:rsid w:val="009D0396"/>
    <w:rsid w:val="009D0F0B"/>
    <w:rsid w:val="009D11D4"/>
    <w:rsid w:val="009D2BC1"/>
    <w:rsid w:val="009D2C84"/>
    <w:rsid w:val="009D2E99"/>
    <w:rsid w:val="009D2F68"/>
    <w:rsid w:val="009D3359"/>
    <w:rsid w:val="009D5CAC"/>
    <w:rsid w:val="009D64DD"/>
    <w:rsid w:val="009D6B17"/>
    <w:rsid w:val="009D6DA7"/>
    <w:rsid w:val="009D6E40"/>
    <w:rsid w:val="009D7949"/>
    <w:rsid w:val="009D79E2"/>
    <w:rsid w:val="009D7E00"/>
    <w:rsid w:val="009D7EBC"/>
    <w:rsid w:val="009E1A58"/>
    <w:rsid w:val="009E2662"/>
    <w:rsid w:val="009E2AAD"/>
    <w:rsid w:val="009E2C34"/>
    <w:rsid w:val="009E414D"/>
    <w:rsid w:val="009E4656"/>
    <w:rsid w:val="009E4710"/>
    <w:rsid w:val="009E4A38"/>
    <w:rsid w:val="009E4A4A"/>
    <w:rsid w:val="009E59FA"/>
    <w:rsid w:val="009E5E8F"/>
    <w:rsid w:val="009E68A1"/>
    <w:rsid w:val="009E7470"/>
    <w:rsid w:val="009E7886"/>
    <w:rsid w:val="009E7F98"/>
    <w:rsid w:val="009F03B8"/>
    <w:rsid w:val="009F050C"/>
    <w:rsid w:val="009F197A"/>
    <w:rsid w:val="009F1A4F"/>
    <w:rsid w:val="009F1D2A"/>
    <w:rsid w:val="009F25B2"/>
    <w:rsid w:val="009F29C5"/>
    <w:rsid w:val="009F361D"/>
    <w:rsid w:val="009F3B20"/>
    <w:rsid w:val="009F3FB1"/>
    <w:rsid w:val="009F4C12"/>
    <w:rsid w:val="009F4FF1"/>
    <w:rsid w:val="009F5501"/>
    <w:rsid w:val="009F653B"/>
    <w:rsid w:val="00A01514"/>
    <w:rsid w:val="00A016FC"/>
    <w:rsid w:val="00A01C15"/>
    <w:rsid w:val="00A01CFA"/>
    <w:rsid w:val="00A01F57"/>
    <w:rsid w:val="00A0217D"/>
    <w:rsid w:val="00A03F7E"/>
    <w:rsid w:val="00A04530"/>
    <w:rsid w:val="00A0480E"/>
    <w:rsid w:val="00A04E59"/>
    <w:rsid w:val="00A0647C"/>
    <w:rsid w:val="00A06517"/>
    <w:rsid w:val="00A0672D"/>
    <w:rsid w:val="00A0730B"/>
    <w:rsid w:val="00A101C4"/>
    <w:rsid w:val="00A102F4"/>
    <w:rsid w:val="00A106F2"/>
    <w:rsid w:val="00A108EA"/>
    <w:rsid w:val="00A110D6"/>
    <w:rsid w:val="00A11A1D"/>
    <w:rsid w:val="00A12096"/>
    <w:rsid w:val="00A122CB"/>
    <w:rsid w:val="00A12B47"/>
    <w:rsid w:val="00A13466"/>
    <w:rsid w:val="00A136C7"/>
    <w:rsid w:val="00A13AB6"/>
    <w:rsid w:val="00A13F69"/>
    <w:rsid w:val="00A15060"/>
    <w:rsid w:val="00A152D5"/>
    <w:rsid w:val="00A15879"/>
    <w:rsid w:val="00A15A69"/>
    <w:rsid w:val="00A15D5C"/>
    <w:rsid w:val="00A16508"/>
    <w:rsid w:val="00A16E6D"/>
    <w:rsid w:val="00A1715B"/>
    <w:rsid w:val="00A20BDB"/>
    <w:rsid w:val="00A20C7F"/>
    <w:rsid w:val="00A20D06"/>
    <w:rsid w:val="00A2129D"/>
    <w:rsid w:val="00A212F7"/>
    <w:rsid w:val="00A21A3B"/>
    <w:rsid w:val="00A22048"/>
    <w:rsid w:val="00A22795"/>
    <w:rsid w:val="00A23153"/>
    <w:rsid w:val="00A231BF"/>
    <w:rsid w:val="00A232CC"/>
    <w:rsid w:val="00A2397E"/>
    <w:rsid w:val="00A2453C"/>
    <w:rsid w:val="00A24CD9"/>
    <w:rsid w:val="00A24FCF"/>
    <w:rsid w:val="00A24FF9"/>
    <w:rsid w:val="00A251E3"/>
    <w:rsid w:val="00A2562D"/>
    <w:rsid w:val="00A25D2F"/>
    <w:rsid w:val="00A2626B"/>
    <w:rsid w:val="00A26287"/>
    <w:rsid w:val="00A26AFC"/>
    <w:rsid w:val="00A26C97"/>
    <w:rsid w:val="00A3014D"/>
    <w:rsid w:val="00A30D28"/>
    <w:rsid w:val="00A311E2"/>
    <w:rsid w:val="00A3172D"/>
    <w:rsid w:val="00A32191"/>
    <w:rsid w:val="00A321BA"/>
    <w:rsid w:val="00A3221B"/>
    <w:rsid w:val="00A3312A"/>
    <w:rsid w:val="00A33850"/>
    <w:rsid w:val="00A340B8"/>
    <w:rsid w:val="00A3412E"/>
    <w:rsid w:val="00A346FE"/>
    <w:rsid w:val="00A34741"/>
    <w:rsid w:val="00A34F52"/>
    <w:rsid w:val="00A35732"/>
    <w:rsid w:val="00A35C32"/>
    <w:rsid w:val="00A3659E"/>
    <w:rsid w:val="00A36F3F"/>
    <w:rsid w:val="00A37579"/>
    <w:rsid w:val="00A37CE0"/>
    <w:rsid w:val="00A37F3C"/>
    <w:rsid w:val="00A40086"/>
    <w:rsid w:val="00A401BC"/>
    <w:rsid w:val="00A4044E"/>
    <w:rsid w:val="00A40A83"/>
    <w:rsid w:val="00A40C75"/>
    <w:rsid w:val="00A40CEF"/>
    <w:rsid w:val="00A410A2"/>
    <w:rsid w:val="00A41BF2"/>
    <w:rsid w:val="00A427DF"/>
    <w:rsid w:val="00A42AA8"/>
    <w:rsid w:val="00A440FC"/>
    <w:rsid w:val="00A44369"/>
    <w:rsid w:val="00A443A4"/>
    <w:rsid w:val="00A44449"/>
    <w:rsid w:val="00A44845"/>
    <w:rsid w:val="00A44968"/>
    <w:rsid w:val="00A44FEE"/>
    <w:rsid w:val="00A45A45"/>
    <w:rsid w:val="00A468E1"/>
    <w:rsid w:val="00A46D5E"/>
    <w:rsid w:val="00A473BC"/>
    <w:rsid w:val="00A477E2"/>
    <w:rsid w:val="00A47ABE"/>
    <w:rsid w:val="00A47D62"/>
    <w:rsid w:val="00A50153"/>
    <w:rsid w:val="00A50BF1"/>
    <w:rsid w:val="00A51B97"/>
    <w:rsid w:val="00A52EDF"/>
    <w:rsid w:val="00A53686"/>
    <w:rsid w:val="00A536FA"/>
    <w:rsid w:val="00A53DDC"/>
    <w:rsid w:val="00A543E2"/>
    <w:rsid w:val="00A54675"/>
    <w:rsid w:val="00A54DCA"/>
    <w:rsid w:val="00A555B3"/>
    <w:rsid w:val="00A559A4"/>
    <w:rsid w:val="00A55A57"/>
    <w:rsid w:val="00A55CA1"/>
    <w:rsid w:val="00A56FAA"/>
    <w:rsid w:val="00A579CB"/>
    <w:rsid w:val="00A606B0"/>
    <w:rsid w:val="00A6131B"/>
    <w:rsid w:val="00A613D8"/>
    <w:rsid w:val="00A615BA"/>
    <w:rsid w:val="00A615F5"/>
    <w:rsid w:val="00A61C41"/>
    <w:rsid w:val="00A62402"/>
    <w:rsid w:val="00A624ED"/>
    <w:rsid w:val="00A626A1"/>
    <w:rsid w:val="00A62988"/>
    <w:rsid w:val="00A62CA4"/>
    <w:rsid w:val="00A6300A"/>
    <w:rsid w:val="00A63FD7"/>
    <w:rsid w:val="00A652CF"/>
    <w:rsid w:val="00A657BC"/>
    <w:rsid w:val="00A65E49"/>
    <w:rsid w:val="00A66006"/>
    <w:rsid w:val="00A661D5"/>
    <w:rsid w:val="00A66380"/>
    <w:rsid w:val="00A66B9D"/>
    <w:rsid w:val="00A66C86"/>
    <w:rsid w:val="00A67207"/>
    <w:rsid w:val="00A7051E"/>
    <w:rsid w:val="00A70BDD"/>
    <w:rsid w:val="00A70DA3"/>
    <w:rsid w:val="00A71034"/>
    <w:rsid w:val="00A71242"/>
    <w:rsid w:val="00A723FE"/>
    <w:rsid w:val="00A72718"/>
    <w:rsid w:val="00A728C4"/>
    <w:rsid w:val="00A732C4"/>
    <w:rsid w:val="00A734C3"/>
    <w:rsid w:val="00A73A19"/>
    <w:rsid w:val="00A73F95"/>
    <w:rsid w:val="00A747AD"/>
    <w:rsid w:val="00A76030"/>
    <w:rsid w:val="00A76259"/>
    <w:rsid w:val="00A76CD8"/>
    <w:rsid w:val="00A77601"/>
    <w:rsid w:val="00A8261F"/>
    <w:rsid w:val="00A829A9"/>
    <w:rsid w:val="00A84519"/>
    <w:rsid w:val="00A84FFD"/>
    <w:rsid w:val="00A85173"/>
    <w:rsid w:val="00A86B99"/>
    <w:rsid w:val="00A872D6"/>
    <w:rsid w:val="00A87DD2"/>
    <w:rsid w:val="00A900FA"/>
    <w:rsid w:val="00A90206"/>
    <w:rsid w:val="00A90260"/>
    <w:rsid w:val="00A90573"/>
    <w:rsid w:val="00A912E1"/>
    <w:rsid w:val="00A91ABB"/>
    <w:rsid w:val="00A91EEE"/>
    <w:rsid w:val="00A9211A"/>
    <w:rsid w:val="00A92606"/>
    <w:rsid w:val="00A926AF"/>
    <w:rsid w:val="00A93369"/>
    <w:rsid w:val="00A93F0F"/>
    <w:rsid w:val="00A93F23"/>
    <w:rsid w:val="00A941E2"/>
    <w:rsid w:val="00A94411"/>
    <w:rsid w:val="00A94EA8"/>
    <w:rsid w:val="00A963E2"/>
    <w:rsid w:val="00A9641D"/>
    <w:rsid w:val="00A96906"/>
    <w:rsid w:val="00A96CCA"/>
    <w:rsid w:val="00A974CE"/>
    <w:rsid w:val="00A97EFF"/>
    <w:rsid w:val="00AA00CC"/>
    <w:rsid w:val="00AA045C"/>
    <w:rsid w:val="00AA0A86"/>
    <w:rsid w:val="00AA0FE5"/>
    <w:rsid w:val="00AA15F7"/>
    <w:rsid w:val="00AA168A"/>
    <w:rsid w:val="00AA16EF"/>
    <w:rsid w:val="00AA1C44"/>
    <w:rsid w:val="00AA1CE1"/>
    <w:rsid w:val="00AA2BF9"/>
    <w:rsid w:val="00AA3892"/>
    <w:rsid w:val="00AA3B81"/>
    <w:rsid w:val="00AA48E0"/>
    <w:rsid w:val="00AA4C33"/>
    <w:rsid w:val="00AA4FA5"/>
    <w:rsid w:val="00AA59A3"/>
    <w:rsid w:val="00AA5D57"/>
    <w:rsid w:val="00AA5F1D"/>
    <w:rsid w:val="00AA6A24"/>
    <w:rsid w:val="00AA6B6D"/>
    <w:rsid w:val="00AA709D"/>
    <w:rsid w:val="00AA7579"/>
    <w:rsid w:val="00AA7AF9"/>
    <w:rsid w:val="00AA7BCD"/>
    <w:rsid w:val="00AA7D5D"/>
    <w:rsid w:val="00AB0A0D"/>
    <w:rsid w:val="00AB1A49"/>
    <w:rsid w:val="00AB1BD2"/>
    <w:rsid w:val="00AB22AB"/>
    <w:rsid w:val="00AB2302"/>
    <w:rsid w:val="00AB23D0"/>
    <w:rsid w:val="00AB345C"/>
    <w:rsid w:val="00AB3CE2"/>
    <w:rsid w:val="00AB3ED3"/>
    <w:rsid w:val="00AB4B25"/>
    <w:rsid w:val="00AB5217"/>
    <w:rsid w:val="00AB690D"/>
    <w:rsid w:val="00AB7034"/>
    <w:rsid w:val="00AC0127"/>
    <w:rsid w:val="00AC070A"/>
    <w:rsid w:val="00AC0A89"/>
    <w:rsid w:val="00AC1BCA"/>
    <w:rsid w:val="00AC205E"/>
    <w:rsid w:val="00AC20A4"/>
    <w:rsid w:val="00AC2521"/>
    <w:rsid w:val="00AC266E"/>
    <w:rsid w:val="00AC2977"/>
    <w:rsid w:val="00AC405B"/>
    <w:rsid w:val="00AC4453"/>
    <w:rsid w:val="00AC4574"/>
    <w:rsid w:val="00AC45BA"/>
    <w:rsid w:val="00AC47DE"/>
    <w:rsid w:val="00AC49FC"/>
    <w:rsid w:val="00AC4BD7"/>
    <w:rsid w:val="00AC506C"/>
    <w:rsid w:val="00AC5482"/>
    <w:rsid w:val="00AC5940"/>
    <w:rsid w:val="00AC5F5F"/>
    <w:rsid w:val="00AC6578"/>
    <w:rsid w:val="00AC6E18"/>
    <w:rsid w:val="00AC7E1F"/>
    <w:rsid w:val="00AD0202"/>
    <w:rsid w:val="00AD1E44"/>
    <w:rsid w:val="00AD2136"/>
    <w:rsid w:val="00AD2B0A"/>
    <w:rsid w:val="00AD2DB0"/>
    <w:rsid w:val="00AD42A8"/>
    <w:rsid w:val="00AD4E4A"/>
    <w:rsid w:val="00AD534D"/>
    <w:rsid w:val="00AD5378"/>
    <w:rsid w:val="00AD56AF"/>
    <w:rsid w:val="00AD57F1"/>
    <w:rsid w:val="00AD6266"/>
    <w:rsid w:val="00AD6455"/>
    <w:rsid w:val="00AD6726"/>
    <w:rsid w:val="00AD6737"/>
    <w:rsid w:val="00AD6A33"/>
    <w:rsid w:val="00AD7992"/>
    <w:rsid w:val="00AD7B32"/>
    <w:rsid w:val="00AE070A"/>
    <w:rsid w:val="00AE1441"/>
    <w:rsid w:val="00AE17D2"/>
    <w:rsid w:val="00AE1B9C"/>
    <w:rsid w:val="00AE1F54"/>
    <w:rsid w:val="00AE236F"/>
    <w:rsid w:val="00AE2F09"/>
    <w:rsid w:val="00AE321E"/>
    <w:rsid w:val="00AE3322"/>
    <w:rsid w:val="00AE3AA2"/>
    <w:rsid w:val="00AE3DC3"/>
    <w:rsid w:val="00AE442A"/>
    <w:rsid w:val="00AE44B4"/>
    <w:rsid w:val="00AE4588"/>
    <w:rsid w:val="00AE4C71"/>
    <w:rsid w:val="00AE4CAC"/>
    <w:rsid w:val="00AE518F"/>
    <w:rsid w:val="00AE56FD"/>
    <w:rsid w:val="00AE5A7F"/>
    <w:rsid w:val="00AE64B9"/>
    <w:rsid w:val="00AE6A2C"/>
    <w:rsid w:val="00AE6B4A"/>
    <w:rsid w:val="00AE715D"/>
    <w:rsid w:val="00AE750F"/>
    <w:rsid w:val="00AE7B9D"/>
    <w:rsid w:val="00AE7E01"/>
    <w:rsid w:val="00AF0601"/>
    <w:rsid w:val="00AF06F9"/>
    <w:rsid w:val="00AF0B87"/>
    <w:rsid w:val="00AF121D"/>
    <w:rsid w:val="00AF1670"/>
    <w:rsid w:val="00AF1741"/>
    <w:rsid w:val="00AF1879"/>
    <w:rsid w:val="00AF1F5D"/>
    <w:rsid w:val="00AF2516"/>
    <w:rsid w:val="00AF25B5"/>
    <w:rsid w:val="00AF2B05"/>
    <w:rsid w:val="00AF31D6"/>
    <w:rsid w:val="00AF3B51"/>
    <w:rsid w:val="00AF3DCC"/>
    <w:rsid w:val="00AF5220"/>
    <w:rsid w:val="00AF5475"/>
    <w:rsid w:val="00AF5CAD"/>
    <w:rsid w:val="00AF62A4"/>
    <w:rsid w:val="00AF65B7"/>
    <w:rsid w:val="00AF6BC5"/>
    <w:rsid w:val="00AF7069"/>
    <w:rsid w:val="00AF738D"/>
    <w:rsid w:val="00AF73C6"/>
    <w:rsid w:val="00B001B5"/>
    <w:rsid w:val="00B0047F"/>
    <w:rsid w:val="00B00EE0"/>
    <w:rsid w:val="00B0107D"/>
    <w:rsid w:val="00B0185D"/>
    <w:rsid w:val="00B0223D"/>
    <w:rsid w:val="00B03251"/>
    <w:rsid w:val="00B034CD"/>
    <w:rsid w:val="00B041ED"/>
    <w:rsid w:val="00B04B35"/>
    <w:rsid w:val="00B054D6"/>
    <w:rsid w:val="00B06881"/>
    <w:rsid w:val="00B06BC7"/>
    <w:rsid w:val="00B06D69"/>
    <w:rsid w:val="00B07158"/>
    <w:rsid w:val="00B07268"/>
    <w:rsid w:val="00B077A6"/>
    <w:rsid w:val="00B07A97"/>
    <w:rsid w:val="00B07F3D"/>
    <w:rsid w:val="00B118B7"/>
    <w:rsid w:val="00B11993"/>
    <w:rsid w:val="00B11FAE"/>
    <w:rsid w:val="00B122F5"/>
    <w:rsid w:val="00B12592"/>
    <w:rsid w:val="00B125E7"/>
    <w:rsid w:val="00B126B4"/>
    <w:rsid w:val="00B12A3C"/>
    <w:rsid w:val="00B12A4C"/>
    <w:rsid w:val="00B12BD0"/>
    <w:rsid w:val="00B12C18"/>
    <w:rsid w:val="00B13C58"/>
    <w:rsid w:val="00B13DF7"/>
    <w:rsid w:val="00B14A2F"/>
    <w:rsid w:val="00B15622"/>
    <w:rsid w:val="00B16AA4"/>
    <w:rsid w:val="00B16B86"/>
    <w:rsid w:val="00B17451"/>
    <w:rsid w:val="00B178B5"/>
    <w:rsid w:val="00B17C09"/>
    <w:rsid w:val="00B20838"/>
    <w:rsid w:val="00B219C9"/>
    <w:rsid w:val="00B21B5D"/>
    <w:rsid w:val="00B21EEB"/>
    <w:rsid w:val="00B21FA5"/>
    <w:rsid w:val="00B231F0"/>
    <w:rsid w:val="00B23978"/>
    <w:rsid w:val="00B242F6"/>
    <w:rsid w:val="00B244D0"/>
    <w:rsid w:val="00B24DED"/>
    <w:rsid w:val="00B2582F"/>
    <w:rsid w:val="00B25A0D"/>
    <w:rsid w:val="00B2724A"/>
    <w:rsid w:val="00B277AA"/>
    <w:rsid w:val="00B27A79"/>
    <w:rsid w:val="00B30301"/>
    <w:rsid w:val="00B30582"/>
    <w:rsid w:val="00B30A7C"/>
    <w:rsid w:val="00B31EC0"/>
    <w:rsid w:val="00B32362"/>
    <w:rsid w:val="00B324F9"/>
    <w:rsid w:val="00B3259A"/>
    <w:rsid w:val="00B338F4"/>
    <w:rsid w:val="00B33AC0"/>
    <w:rsid w:val="00B33FFC"/>
    <w:rsid w:val="00B340FC"/>
    <w:rsid w:val="00B34511"/>
    <w:rsid w:val="00B3469B"/>
    <w:rsid w:val="00B3470F"/>
    <w:rsid w:val="00B34824"/>
    <w:rsid w:val="00B349CD"/>
    <w:rsid w:val="00B34C18"/>
    <w:rsid w:val="00B3630D"/>
    <w:rsid w:val="00B37109"/>
    <w:rsid w:val="00B3714B"/>
    <w:rsid w:val="00B37C6F"/>
    <w:rsid w:val="00B4023E"/>
    <w:rsid w:val="00B402E7"/>
    <w:rsid w:val="00B40375"/>
    <w:rsid w:val="00B4051B"/>
    <w:rsid w:val="00B409C6"/>
    <w:rsid w:val="00B40AFE"/>
    <w:rsid w:val="00B41A64"/>
    <w:rsid w:val="00B42C11"/>
    <w:rsid w:val="00B4329C"/>
    <w:rsid w:val="00B436CB"/>
    <w:rsid w:val="00B4398A"/>
    <w:rsid w:val="00B43D9D"/>
    <w:rsid w:val="00B446D9"/>
    <w:rsid w:val="00B45E1A"/>
    <w:rsid w:val="00B461E2"/>
    <w:rsid w:val="00B466EF"/>
    <w:rsid w:val="00B468B7"/>
    <w:rsid w:val="00B470EF"/>
    <w:rsid w:val="00B4733B"/>
    <w:rsid w:val="00B474B4"/>
    <w:rsid w:val="00B47A10"/>
    <w:rsid w:val="00B47CBD"/>
    <w:rsid w:val="00B47EF0"/>
    <w:rsid w:val="00B50CE1"/>
    <w:rsid w:val="00B50ED0"/>
    <w:rsid w:val="00B51477"/>
    <w:rsid w:val="00B51A9B"/>
    <w:rsid w:val="00B51C10"/>
    <w:rsid w:val="00B51FCF"/>
    <w:rsid w:val="00B529B0"/>
    <w:rsid w:val="00B534EB"/>
    <w:rsid w:val="00B53C7C"/>
    <w:rsid w:val="00B546F7"/>
    <w:rsid w:val="00B54964"/>
    <w:rsid w:val="00B55AB6"/>
    <w:rsid w:val="00B5611A"/>
    <w:rsid w:val="00B5663D"/>
    <w:rsid w:val="00B56CE3"/>
    <w:rsid w:val="00B5752C"/>
    <w:rsid w:val="00B57C2B"/>
    <w:rsid w:val="00B57FB5"/>
    <w:rsid w:val="00B57FF8"/>
    <w:rsid w:val="00B6089C"/>
    <w:rsid w:val="00B60B6D"/>
    <w:rsid w:val="00B60B8B"/>
    <w:rsid w:val="00B6155B"/>
    <w:rsid w:val="00B61A55"/>
    <w:rsid w:val="00B62F64"/>
    <w:rsid w:val="00B6490C"/>
    <w:rsid w:val="00B64D3A"/>
    <w:rsid w:val="00B64D6A"/>
    <w:rsid w:val="00B64F3E"/>
    <w:rsid w:val="00B6509C"/>
    <w:rsid w:val="00B652F1"/>
    <w:rsid w:val="00B65524"/>
    <w:rsid w:val="00B657A1"/>
    <w:rsid w:val="00B658A0"/>
    <w:rsid w:val="00B65CD6"/>
    <w:rsid w:val="00B65F89"/>
    <w:rsid w:val="00B664A0"/>
    <w:rsid w:val="00B66BDF"/>
    <w:rsid w:val="00B66E13"/>
    <w:rsid w:val="00B66E4F"/>
    <w:rsid w:val="00B6753C"/>
    <w:rsid w:val="00B67B69"/>
    <w:rsid w:val="00B7040B"/>
    <w:rsid w:val="00B7049B"/>
    <w:rsid w:val="00B707DE"/>
    <w:rsid w:val="00B725A4"/>
    <w:rsid w:val="00B72A05"/>
    <w:rsid w:val="00B72BEF"/>
    <w:rsid w:val="00B731CC"/>
    <w:rsid w:val="00B733CC"/>
    <w:rsid w:val="00B735D4"/>
    <w:rsid w:val="00B736D0"/>
    <w:rsid w:val="00B73CDC"/>
    <w:rsid w:val="00B73CDD"/>
    <w:rsid w:val="00B743DE"/>
    <w:rsid w:val="00B74538"/>
    <w:rsid w:val="00B746FA"/>
    <w:rsid w:val="00B75786"/>
    <w:rsid w:val="00B758D1"/>
    <w:rsid w:val="00B762A4"/>
    <w:rsid w:val="00B766DC"/>
    <w:rsid w:val="00B76AC0"/>
    <w:rsid w:val="00B76BF1"/>
    <w:rsid w:val="00B76E06"/>
    <w:rsid w:val="00B77272"/>
    <w:rsid w:val="00B772EA"/>
    <w:rsid w:val="00B77B06"/>
    <w:rsid w:val="00B77E24"/>
    <w:rsid w:val="00B80034"/>
    <w:rsid w:val="00B80295"/>
    <w:rsid w:val="00B80308"/>
    <w:rsid w:val="00B80D28"/>
    <w:rsid w:val="00B80EE0"/>
    <w:rsid w:val="00B81D29"/>
    <w:rsid w:val="00B81F8E"/>
    <w:rsid w:val="00B821EE"/>
    <w:rsid w:val="00B82CE9"/>
    <w:rsid w:val="00B830FE"/>
    <w:rsid w:val="00B834AB"/>
    <w:rsid w:val="00B845CE"/>
    <w:rsid w:val="00B85B4D"/>
    <w:rsid w:val="00B8637F"/>
    <w:rsid w:val="00B864C0"/>
    <w:rsid w:val="00B866AB"/>
    <w:rsid w:val="00B8689D"/>
    <w:rsid w:val="00B86E27"/>
    <w:rsid w:val="00B86F54"/>
    <w:rsid w:val="00B8740D"/>
    <w:rsid w:val="00B87545"/>
    <w:rsid w:val="00B8772C"/>
    <w:rsid w:val="00B87BDC"/>
    <w:rsid w:val="00B87C48"/>
    <w:rsid w:val="00B87DED"/>
    <w:rsid w:val="00B87E32"/>
    <w:rsid w:val="00B9009B"/>
    <w:rsid w:val="00B90599"/>
    <w:rsid w:val="00B90E6C"/>
    <w:rsid w:val="00B9132E"/>
    <w:rsid w:val="00B916BD"/>
    <w:rsid w:val="00B9284C"/>
    <w:rsid w:val="00B93711"/>
    <w:rsid w:val="00B93C9B"/>
    <w:rsid w:val="00B93D11"/>
    <w:rsid w:val="00B93D3A"/>
    <w:rsid w:val="00B93F30"/>
    <w:rsid w:val="00B94034"/>
    <w:rsid w:val="00B94EEF"/>
    <w:rsid w:val="00B95852"/>
    <w:rsid w:val="00B95BBD"/>
    <w:rsid w:val="00B96550"/>
    <w:rsid w:val="00B96622"/>
    <w:rsid w:val="00B966E9"/>
    <w:rsid w:val="00B96B0B"/>
    <w:rsid w:val="00B9756F"/>
    <w:rsid w:val="00B97F6C"/>
    <w:rsid w:val="00BA0041"/>
    <w:rsid w:val="00BA0302"/>
    <w:rsid w:val="00BA0934"/>
    <w:rsid w:val="00BA169E"/>
    <w:rsid w:val="00BA1BEE"/>
    <w:rsid w:val="00BA1CF6"/>
    <w:rsid w:val="00BA1D55"/>
    <w:rsid w:val="00BA2170"/>
    <w:rsid w:val="00BA25F9"/>
    <w:rsid w:val="00BA2A38"/>
    <w:rsid w:val="00BA2FCD"/>
    <w:rsid w:val="00BA37CA"/>
    <w:rsid w:val="00BA40D4"/>
    <w:rsid w:val="00BA4344"/>
    <w:rsid w:val="00BA4817"/>
    <w:rsid w:val="00BA4FEC"/>
    <w:rsid w:val="00BA5782"/>
    <w:rsid w:val="00BA6033"/>
    <w:rsid w:val="00BA6079"/>
    <w:rsid w:val="00BA6A40"/>
    <w:rsid w:val="00BA7C6F"/>
    <w:rsid w:val="00BA7DB1"/>
    <w:rsid w:val="00BA7FB2"/>
    <w:rsid w:val="00BB037D"/>
    <w:rsid w:val="00BB10E3"/>
    <w:rsid w:val="00BB18EB"/>
    <w:rsid w:val="00BB2755"/>
    <w:rsid w:val="00BB2BA1"/>
    <w:rsid w:val="00BB40CB"/>
    <w:rsid w:val="00BB57E9"/>
    <w:rsid w:val="00BB5B78"/>
    <w:rsid w:val="00BB5E28"/>
    <w:rsid w:val="00BB5E93"/>
    <w:rsid w:val="00BB6A93"/>
    <w:rsid w:val="00BB772A"/>
    <w:rsid w:val="00BB7ADD"/>
    <w:rsid w:val="00BB7FA6"/>
    <w:rsid w:val="00BC0704"/>
    <w:rsid w:val="00BC1A7F"/>
    <w:rsid w:val="00BC1D0F"/>
    <w:rsid w:val="00BC213D"/>
    <w:rsid w:val="00BC2C32"/>
    <w:rsid w:val="00BC32DC"/>
    <w:rsid w:val="00BC3801"/>
    <w:rsid w:val="00BC440A"/>
    <w:rsid w:val="00BC47D1"/>
    <w:rsid w:val="00BC4AC5"/>
    <w:rsid w:val="00BC4C03"/>
    <w:rsid w:val="00BC4F3D"/>
    <w:rsid w:val="00BC53CF"/>
    <w:rsid w:val="00BC5585"/>
    <w:rsid w:val="00BC6570"/>
    <w:rsid w:val="00BC6AEC"/>
    <w:rsid w:val="00BC6BCC"/>
    <w:rsid w:val="00BC6ECB"/>
    <w:rsid w:val="00BC6F9A"/>
    <w:rsid w:val="00BC7A73"/>
    <w:rsid w:val="00BC7C51"/>
    <w:rsid w:val="00BC7F81"/>
    <w:rsid w:val="00BD03AA"/>
    <w:rsid w:val="00BD0C74"/>
    <w:rsid w:val="00BD0CFE"/>
    <w:rsid w:val="00BD0DC0"/>
    <w:rsid w:val="00BD1759"/>
    <w:rsid w:val="00BD1AC2"/>
    <w:rsid w:val="00BD2E84"/>
    <w:rsid w:val="00BD2F9A"/>
    <w:rsid w:val="00BD399B"/>
    <w:rsid w:val="00BD3A3D"/>
    <w:rsid w:val="00BD3BC5"/>
    <w:rsid w:val="00BD4367"/>
    <w:rsid w:val="00BD4E91"/>
    <w:rsid w:val="00BD5384"/>
    <w:rsid w:val="00BD57AE"/>
    <w:rsid w:val="00BD5D45"/>
    <w:rsid w:val="00BD5FF9"/>
    <w:rsid w:val="00BD687D"/>
    <w:rsid w:val="00BD6C08"/>
    <w:rsid w:val="00BD6F4B"/>
    <w:rsid w:val="00BD7104"/>
    <w:rsid w:val="00BD735A"/>
    <w:rsid w:val="00BD73BD"/>
    <w:rsid w:val="00BD749C"/>
    <w:rsid w:val="00BE02EF"/>
    <w:rsid w:val="00BE2275"/>
    <w:rsid w:val="00BE2705"/>
    <w:rsid w:val="00BE29AC"/>
    <w:rsid w:val="00BE2CF6"/>
    <w:rsid w:val="00BE2D23"/>
    <w:rsid w:val="00BE34B8"/>
    <w:rsid w:val="00BE421F"/>
    <w:rsid w:val="00BE46CB"/>
    <w:rsid w:val="00BE4E5C"/>
    <w:rsid w:val="00BE4EF0"/>
    <w:rsid w:val="00BE5DF0"/>
    <w:rsid w:val="00BE7254"/>
    <w:rsid w:val="00BE74D6"/>
    <w:rsid w:val="00BE7C45"/>
    <w:rsid w:val="00BF027C"/>
    <w:rsid w:val="00BF0F4A"/>
    <w:rsid w:val="00BF0F5E"/>
    <w:rsid w:val="00BF13FC"/>
    <w:rsid w:val="00BF1BE7"/>
    <w:rsid w:val="00BF205C"/>
    <w:rsid w:val="00BF224A"/>
    <w:rsid w:val="00BF22E5"/>
    <w:rsid w:val="00BF2505"/>
    <w:rsid w:val="00BF2935"/>
    <w:rsid w:val="00BF2B62"/>
    <w:rsid w:val="00BF2B64"/>
    <w:rsid w:val="00BF2E62"/>
    <w:rsid w:val="00BF2F35"/>
    <w:rsid w:val="00BF3097"/>
    <w:rsid w:val="00BF42EC"/>
    <w:rsid w:val="00BF5668"/>
    <w:rsid w:val="00BF6031"/>
    <w:rsid w:val="00BF63DE"/>
    <w:rsid w:val="00BF6B1A"/>
    <w:rsid w:val="00C001A6"/>
    <w:rsid w:val="00C0184B"/>
    <w:rsid w:val="00C02373"/>
    <w:rsid w:val="00C024B4"/>
    <w:rsid w:val="00C024C2"/>
    <w:rsid w:val="00C027D8"/>
    <w:rsid w:val="00C0288B"/>
    <w:rsid w:val="00C02A78"/>
    <w:rsid w:val="00C02B90"/>
    <w:rsid w:val="00C03249"/>
    <w:rsid w:val="00C039A3"/>
    <w:rsid w:val="00C04E82"/>
    <w:rsid w:val="00C0579B"/>
    <w:rsid w:val="00C05964"/>
    <w:rsid w:val="00C05B35"/>
    <w:rsid w:val="00C05BC4"/>
    <w:rsid w:val="00C06550"/>
    <w:rsid w:val="00C0655A"/>
    <w:rsid w:val="00C06C16"/>
    <w:rsid w:val="00C06D73"/>
    <w:rsid w:val="00C07589"/>
    <w:rsid w:val="00C0765D"/>
    <w:rsid w:val="00C07CFC"/>
    <w:rsid w:val="00C102E2"/>
    <w:rsid w:val="00C1033D"/>
    <w:rsid w:val="00C104DE"/>
    <w:rsid w:val="00C10C54"/>
    <w:rsid w:val="00C1122C"/>
    <w:rsid w:val="00C11A7A"/>
    <w:rsid w:val="00C12340"/>
    <w:rsid w:val="00C12638"/>
    <w:rsid w:val="00C131F3"/>
    <w:rsid w:val="00C13592"/>
    <w:rsid w:val="00C13D6A"/>
    <w:rsid w:val="00C13E11"/>
    <w:rsid w:val="00C145AF"/>
    <w:rsid w:val="00C14E91"/>
    <w:rsid w:val="00C15AE4"/>
    <w:rsid w:val="00C15F3E"/>
    <w:rsid w:val="00C1773F"/>
    <w:rsid w:val="00C206D8"/>
    <w:rsid w:val="00C208A3"/>
    <w:rsid w:val="00C20B65"/>
    <w:rsid w:val="00C20DB9"/>
    <w:rsid w:val="00C21036"/>
    <w:rsid w:val="00C23DB3"/>
    <w:rsid w:val="00C24520"/>
    <w:rsid w:val="00C24658"/>
    <w:rsid w:val="00C24B14"/>
    <w:rsid w:val="00C25188"/>
    <w:rsid w:val="00C25B43"/>
    <w:rsid w:val="00C25E6E"/>
    <w:rsid w:val="00C26C26"/>
    <w:rsid w:val="00C27108"/>
    <w:rsid w:val="00C27A4D"/>
    <w:rsid w:val="00C27B95"/>
    <w:rsid w:val="00C31337"/>
    <w:rsid w:val="00C314C9"/>
    <w:rsid w:val="00C315CC"/>
    <w:rsid w:val="00C316BF"/>
    <w:rsid w:val="00C318AF"/>
    <w:rsid w:val="00C321EF"/>
    <w:rsid w:val="00C3359D"/>
    <w:rsid w:val="00C33920"/>
    <w:rsid w:val="00C3444F"/>
    <w:rsid w:val="00C34478"/>
    <w:rsid w:val="00C34BA2"/>
    <w:rsid w:val="00C34C91"/>
    <w:rsid w:val="00C3500E"/>
    <w:rsid w:val="00C36B29"/>
    <w:rsid w:val="00C36BC3"/>
    <w:rsid w:val="00C36DD1"/>
    <w:rsid w:val="00C370DF"/>
    <w:rsid w:val="00C373C9"/>
    <w:rsid w:val="00C401BA"/>
    <w:rsid w:val="00C402B0"/>
    <w:rsid w:val="00C410FA"/>
    <w:rsid w:val="00C4164B"/>
    <w:rsid w:val="00C4237A"/>
    <w:rsid w:val="00C42A6C"/>
    <w:rsid w:val="00C430CF"/>
    <w:rsid w:val="00C434C0"/>
    <w:rsid w:val="00C43581"/>
    <w:rsid w:val="00C43979"/>
    <w:rsid w:val="00C43A66"/>
    <w:rsid w:val="00C43E64"/>
    <w:rsid w:val="00C453EE"/>
    <w:rsid w:val="00C45981"/>
    <w:rsid w:val="00C45AA8"/>
    <w:rsid w:val="00C46887"/>
    <w:rsid w:val="00C468CB"/>
    <w:rsid w:val="00C47802"/>
    <w:rsid w:val="00C50C79"/>
    <w:rsid w:val="00C50D3D"/>
    <w:rsid w:val="00C51051"/>
    <w:rsid w:val="00C51131"/>
    <w:rsid w:val="00C53209"/>
    <w:rsid w:val="00C5409D"/>
    <w:rsid w:val="00C54B4F"/>
    <w:rsid w:val="00C55FCC"/>
    <w:rsid w:val="00C5646B"/>
    <w:rsid w:val="00C56A0E"/>
    <w:rsid w:val="00C56ACD"/>
    <w:rsid w:val="00C56D8D"/>
    <w:rsid w:val="00C576DD"/>
    <w:rsid w:val="00C57834"/>
    <w:rsid w:val="00C57D7E"/>
    <w:rsid w:val="00C60AE2"/>
    <w:rsid w:val="00C60B34"/>
    <w:rsid w:val="00C61191"/>
    <w:rsid w:val="00C61AED"/>
    <w:rsid w:val="00C61B97"/>
    <w:rsid w:val="00C63094"/>
    <w:rsid w:val="00C63163"/>
    <w:rsid w:val="00C6487A"/>
    <w:rsid w:val="00C64A2F"/>
    <w:rsid w:val="00C6614D"/>
    <w:rsid w:val="00C6691E"/>
    <w:rsid w:val="00C66C2A"/>
    <w:rsid w:val="00C673F1"/>
    <w:rsid w:val="00C67801"/>
    <w:rsid w:val="00C70357"/>
    <w:rsid w:val="00C70A1A"/>
    <w:rsid w:val="00C70E8C"/>
    <w:rsid w:val="00C72327"/>
    <w:rsid w:val="00C72456"/>
    <w:rsid w:val="00C72FC7"/>
    <w:rsid w:val="00C73635"/>
    <w:rsid w:val="00C7377D"/>
    <w:rsid w:val="00C73A57"/>
    <w:rsid w:val="00C74115"/>
    <w:rsid w:val="00C747CE"/>
    <w:rsid w:val="00C75557"/>
    <w:rsid w:val="00C75886"/>
    <w:rsid w:val="00C75A2C"/>
    <w:rsid w:val="00C75A97"/>
    <w:rsid w:val="00C76883"/>
    <w:rsid w:val="00C76AFD"/>
    <w:rsid w:val="00C76E26"/>
    <w:rsid w:val="00C76ED9"/>
    <w:rsid w:val="00C7722D"/>
    <w:rsid w:val="00C772CA"/>
    <w:rsid w:val="00C77F32"/>
    <w:rsid w:val="00C80925"/>
    <w:rsid w:val="00C80AEF"/>
    <w:rsid w:val="00C80BE7"/>
    <w:rsid w:val="00C81BC1"/>
    <w:rsid w:val="00C81EC1"/>
    <w:rsid w:val="00C81F86"/>
    <w:rsid w:val="00C82DC8"/>
    <w:rsid w:val="00C82EBB"/>
    <w:rsid w:val="00C82F57"/>
    <w:rsid w:val="00C8318E"/>
    <w:rsid w:val="00C83C02"/>
    <w:rsid w:val="00C840F8"/>
    <w:rsid w:val="00C84827"/>
    <w:rsid w:val="00C86196"/>
    <w:rsid w:val="00C86F3E"/>
    <w:rsid w:val="00C871CA"/>
    <w:rsid w:val="00C8722E"/>
    <w:rsid w:val="00C87785"/>
    <w:rsid w:val="00C87830"/>
    <w:rsid w:val="00C87B6C"/>
    <w:rsid w:val="00C87DB9"/>
    <w:rsid w:val="00C90130"/>
    <w:rsid w:val="00C9016D"/>
    <w:rsid w:val="00C916CB"/>
    <w:rsid w:val="00C91874"/>
    <w:rsid w:val="00C919B7"/>
    <w:rsid w:val="00C91C33"/>
    <w:rsid w:val="00C925B0"/>
    <w:rsid w:val="00C93088"/>
    <w:rsid w:val="00C939DF"/>
    <w:rsid w:val="00C93DF3"/>
    <w:rsid w:val="00C93F6D"/>
    <w:rsid w:val="00C941CF"/>
    <w:rsid w:val="00C94BEA"/>
    <w:rsid w:val="00C95273"/>
    <w:rsid w:val="00C95280"/>
    <w:rsid w:val="00C95E0D"/>
    <w:rsid w:val="00C960DB"/>
    <w:rsid w:val="00C96530"/>
    <w:rsid w:val="00C971C6"/>
    <w:rsid w:val="00C97438"/>
    <w:rsid w:val="00C97D34"/>
    <w:rsid w:val="00CA03C2"/>
    <w:rsid w:val="00CA04AA"/>
    <w:rsid w:val="00CA0595"/>
    <w:rsid w:val="00CA121F"/>
    <w:rsid w:val="00CA1518"/>
    <w:rsid w:val="00CA1566"/>
    <w:rsid w:val="00CA1D70"/>
    <w:rsid w:val="00CA2022"/>
    <w:rsid w:val="00CA2082"/>
    <w:rsid w:val="00CA211A"/>
    <w:rsid w:val="00CA2973"/>
    <w:rsid w:val="00CA3303"/>
    <w:rsid w:val="00CA467A"/>
    <w:rsid w:val="00CA46CF"/>
    <w:rsid w:val="00CA4833"/>
    <w:rsid w:val="00CA4EE4"/>
    <w:rsid w:val="00CA55E5"/>
    <w:rsid w:val="00CA5757"/>
    <w:rsid w:val="00CA6202"/>
    <w:rsid w:val="00CA664D"/>
    <w:rsid w:val="00CA7609"/>
    <w:rsid w:val="00CA79E0"/>
    <w:rsid w:val="00CA7EC8"/>
    <w:rsid w:val="00CB0054"/>
    <w:rsid w:val="00CB0AC6"/>
    <w:rsid w:val="00CB0D50"/>
    <w:rsid w:val="00CB106F"/>
    <w:rsid w:val="00CB17E5"/>
    <w:rsid w:val="00CB23A6"/>
    <w:rsid w:val="00CB348E"/>
    <w:rsid w:val="00CB350E"/>
    <w:rsid w:val="00CB3638"/>
    <w:rsid w:val="00CB38BB"/>
    <w:rsid w:val="00CB3E39"/>
    <w:rsid w:val="00CB4E88"/>
    <w:rsid w:val="00CB5D0C"/>
    <w:rsid w:val="00CB63DA"/>
    <w:rsid w:val="00CB6B03"/>
    <w:rsid w:val="00CB74BE"/>
    <w:rsid w:val="00CB76FA"/>
    <w:rsid w:val="00CB78A3"/>
    <w:rsid w:val="00CB7997"/>
    <w:rsid w:val="00CB7B25"/>
    <w:rsid w:val="00CB7CF6"/>
    <w:rsid w:val="00CC0F6B"/>
    <w:rsid w:val="00CC159B"/>
    <w:rsid w:val="00CC248B"/>
    <w:rsid w:val="00CC2D2C"/>
    <w:rsid w:val="00CC3B53"/>
    <w:rsid w:val="00CC3F8A"/>
    <w:rsid w:val="00CC4887"/>
    <w:rsid w:val="00CC4E4E"/>
    <w:rsid w:val="00CC52B5"/>
    <w:rsid w:val="00CC57CD"/>
    <w:rsid w:val="00CC591A"/>
    <w:rsid w:val="00CC5BDE"/>
    <w:rsid w:val="00CC5D0A"/>
    <w:rsid w:val="00CC6280"/>
    <w:rsid w:val="00CC6535"/>
    <w:rsid w:val="00CC6DD6"/>
    <w:rsid w:val="00CC70DD"/>
    <w:rsid w:val="00CC7472"/>
    <w:rsid w:val="00CC7BA3"/>
    <w:rsid w:val="00CC7CA1"/>
    <w:rsid w:val="00CD01DF"/>
    <w:rsid w:val="00CD0894"/>
    <w:rsid w:val="00CD0B1B"/>
    <w:rsid w:val="00CD0FE7"/>
    <w:rsid w:val="00CD13A1"/>
    <w:rsid w:val="00CD1521"/>
    <w:rsid w:val="00CD4B70"/>
    <w:rsid w:val="00CD50D5"/>
    <w:rsid w:val="00CD5BCB"/>
    <w:rsid w:val="00CD6621"/>
    <w:rsid w:val="00CD67F7"/>
    <w:rsid w:val="00CD6B04"/>
    <w:rsid w:val="00CD71C2"/>
    <w:rsid w:val="00CD7311"/>
    <w:rsid w:val="00CD7978"/>
    <w:rsid w:val="00CD7BA8"/>
    <w:rsid w:val="00CE0F1A"/>
    <w:rsid w:val="00CE15B3"/>
    <w:rsid w:val="00CE277D"/>
    <w:rsid w:val="00CE2C5B"/>
    <w:rsid w:val="00CE32D5"/>
    <w:rsid w:val="00CE3C3C"/>
    <w:rsid w:val="00CE40A8"/>
    <w:rsid w:val="00CE49CA"/>
    <w:rsid w:val="00CE4C6B"/>
    <w:rsid w:val="00CE56E0"/>
    <w:rsid w:val="00CE5C5B"/>
    <w:rsid w:val="00CE648D"/>
    <w:rsid w:val="00CE6AF1"/>
    <w:rsid w:val="00CE6B26"/>
    <w:rsid w:val="00CE7600"/>
    <w:rsid w:val="00CE7FD6"/>
    <w:rsid w:val="00CF06A8"/>
    <w:rsid w:val="00CF0873"/>
    <w:rsid w:val="00CF09F4"/>
    <w:rsid w:val="00CF0E39"/>
    <w:rsid w:val="00CF13F3"/>
    <w:rsid w:val="00CF1BCF"/>
    <w:rsid w:val="00CF1EA0"/>
    <w:rsid w:val="00CF2039"/>
    <w:rsid w:val="00CF21FF"/>
    <w:rsid w:val="00CF2AE6"/>
    <w:rsid w:val="00CF2D8A"/>
    <w:rsid w:val="00CF3123"/>
    <w:rsid w:val="00CF36B8"/>
    <w:rsid w:val="00CF375E"/>
    <w:rsid w:val="00CF383D"/>
    <w:rsid w:val="00CF4531"/>
    <w:rsid w:val="00CF4C38"/>
    <w:rsid w:val="00CF523B"/>
    <w:rsid w:val="00CF5A92"/>
    <w:rsid w:val="00CF5B2A"/>
    <w:rsid w:val="00CF64E9"/>
    <w:rsid w:val="00CF687B"/>
    <w:rsid w:val="00CF68DE"/>
    <w:rsid w:val="00CF7401"/>
    <w:rsid w:val="00CF761A"/>
    <w:rsid w:val="00CF7A0A"/>
    <w:rsid w:val="00D01000"/>
    <w:rsid w:val="00D0238F"/>
    <w:rsid w:val="00D02606"/>
    <w:rsid w:val="00D02D6C"/>
    <w:rsid w:val="00D02E88"/>
    <w:rsid w:val="00D02F70"/>
    <w:rsid w:val="00D03B2B"/>
    <w:rsid w:val="00D04179"/>
    <w:rsid w:val="00D041B0"/>
    <w:rsid w:val="00D043D5"/>
    <w:rsid w:val="00D051E2"/>
    <w:rsid w:val="00D06CD5"/>
    <w:rsid w:val="00D10162"/>
    <w:rsid w:val="00D10273"/>
    <w:rsid w:val="00D10732"/>
    <w:rsid w:val="00D10B8B"/>
    <w:rsid w:val="00D10D7B"/>
    <w:rsid w:val="00D10F41"/>
    <w:rsid w:val="00D11D29"/>
    <w:rsid w:val="00D12025"/>
    <w:rsid w:val="00D128D6"/>
    <w:rsid w:val="00D13275"/>
    <w:rsid w:val="00D13783"/>
    <w:rsid w:val="00D137B9"/>
    <w:rsid w:val="00D13BCF"/>
    <w:rsid w:val="00D1469E"/>
    <w:rsid w:val="00D1478D"/>
    <w:rsid w:val="00D1479C"/>
    <w:rsid w:val="00D14CD8"/>
    <w:rsid w:val="00D15007"/>
    <w:rsid w:val="00D15154"/>
    <w:rsid w:val="00D15611"/>
    <w:rsid w:val="00D15907"/>
    <w:rsid w:val="00D15A3F"/>
    <w:rsid w:val="00D15A48"/>
    <w:rsid w:val="00D166A1"/>
    <w:rsid w:val="00D1688F"/>
    <w:rsid w:val="00D16AF5"/>
    <w:rsid w:val="00D17323"/>
    <w:rsid w:val="00D175C7"/>
    <w:rsid w:val="00D2002C"/>
    <w:rsid w:val="00D2021D"/>
    <w:rsid w:val="00D20801"/>
    <w:rsid w:val="00D20AC5"/>
    <w:rsid w:val="00D20DBA"/>
    <w:rsid w:val="00D213B2"/>
    <w:rsid w:val="00D21551"/>
    <w:rsid w:val="00D228A1"/>
    <w:rsid w:val="00D22982"/>
    <w:rsid w:val="00D22C68"/>
    <w:rsid w:val="00D23424"/>
    <w:rsid w:val="00D23673"/>
    <w:rsid w:val="00D2386B"/>
    <w:rsid w:val="00D23A0A"/>
    <w:rsid w:val="00D23F21"/>
    <w:rsid w:val="00D2474D"/>
    <w:rsid w:val="00D25328"/>
    <w:rsid w:val="00D2560E"/>
    <w:rsid w:val="00D25C0D"/>
    <w:rsid w:val="00D25C4E"/>
    <w:rsid w:val="00D25D40"/>
    <w:rsid w:val="00D25EE2"/>
    <w:rsid w:val="00D25F2E"/>
    <w:rsid w:val="00D25FE5"/>
    <w:rsid w:val="00D2638D"/>
    <w:rsid w:val="00D26A1E"/>
    <w:rsid w:val="00D26BEF"/>
    <w:rsid w:val="00D26D7B"/>
    <w:rsid w:val="00D26FCD"/>
    <w:rsid w:val="00D27103"/>
    <w:rsid w:val="00D2717B"/>
    <w:rsid w:val="00D2793B"/>
    <w:rsid w:val="00D27B98"/>
    <w:rsid w:val="00D307D6"/>
    <w:rsid w:val="00D30B04"/>
    <w:rsid w:val="00D30EAC"/>
    <w:rsid w:val="00D30EFA"/>
    <w:rsid w:val="00D30FE1"/>
    <w:rsid w:val="00D316F2"/>
    <w:rsid w:val="00D319F9"/>
    <w:rsid w:val="00D31DF2"/>
    <w:rsid w:val="00D33476"/>
    <w:rsid w:val="00D351C9"/>
    <w:rsid w:val="00D358CF"/>
    <w:rsid w:val="00D35AC5"/>
    <w:rsid w:val="00D35FE3"/>
    <w:rsid w:val="00D379A1"/>
    <w:rsid w:val="00D37A9F"/>
    <w:rsid w:val="00D40607"/>
    <w:rsid w:val="00D40B42"/>
    <w:rsid w:val="00D41A13"/>
    <w:rsid w:val="00D41B09"/>
    <w:rsid w:val="00D41BF5"/>
    <w:rsid w:val="00D42284"/>
    <w:rsid w:val="00D42707"/>
    <w:rsid w:val="00D42883"/>
    <w:rsid w:val="00D435D0"/>
    <w:rsid w:val="00D442CD"/>
    <w:rsid w:val="00D442EE"/>
    <w:rsid w:val="00D44318"/>
    <w:rsid w:val="00D44353"/>
    <w:rsid w:val="00D443DC"/>
    <w:rsid w:val="00D4468C"/>
    <w:rsid w:val="00D44E6E"/>
    <w:rsid w:val="00D4500F"/>
    <w:rsid w:val="00D45BD4"/>
    <w:rsid w:val="00D45F9F"/>
    <w:rsid w:val="00D4692A"/>
    <w:rsid w:val="00D46E0F"/>
    <w:rsid w:val="00D47162"/>
    <w:rsid w:val="00D47629"/>
    <w:rsid w:val="00D47C28"/>
    <w:rsid w:val="00D50A3C"/>
    <w:rsid w:val="00D50CF2"/>
    <w:rsid w:val="00D51ACA"/>
    <w:rsid w:val="00D53A1B"/>
    <w:rsid w:val="00D53BE6"/>
    <w:rsid w:val="00D53E6B"/>
    <w:rsid w:val="00D53E75"/>
    <w:rsid w:val="00D55ED0"/>
    <w:rsid w:val="00D55EF4"/>
    <w:rsid w:val="00D564F0"/>
    <w:rsid w:val="00D56C0A"/>
    <w:rsid w:val="00D575AC"/>
    <w:rsid w:val="00D6147C"/>
    <w:rsid w:val="00D61A94"/>
    <w:rsid w:val="00D61CB8"/>
    <w:rsid w:val="00D62716"/>
    <w:rsid w:val="00D62CE8"/>
    <w:rsid w:val="00D62F47"/>
    <w:rsid w:val="00D63070"/>
    <w:rsid w:val="00D637B7"/>
    <w:rsid w:val="00D63C0E"/>
    <w:rsid w:val="00D63CD6"/>
    <w:rsid w:val="00D63EC7"/>
    <w:rsid w:val="00D6497A"/>
    <w:rsid w:val="00D64FC3"/>
    <w:rsid w:val="00D65386"/>
    <w:rsid w:val="00D6557E"/>
    <w:rsid w:val="00D655E3"/>
    <w:rsid w:val="00D66A20"/>
    <w:rsid w:val="00D67774"/>
    <w:rsid w:val="00D70054"/>
    <w:rsid w:val="00D7023F"/>
    <w:rsid w:val="00D705BB"/>
    <w:rsid w:val="00D70A8F"/>
    <w:rsid w:val="00D70B7E"/>
    <w:rsid w:val="00D71AB8"/>
    <w:rsid w:val="00D71DB8"/>
    <w:rsid w:val="00D7203B"/>
    <w:rsid w:val="00D725CF"/>
    <w:rsid w:val="00D734B5"/>
    <w:rsid w:val="00D73E19"/>
    <w:rsid w:val="00D74347"/>
    <w:rsid w:val="00D745E0"/>
    <w:rsid w:val="00D758C0"/>
    <w:rsid w:val="00D768E0"/>
    <w:rsid w:val="00D769DF"/>
    <w:rsid w:val="00D76CB1"/>
    <w:rsid w:val="00D773B8"/>
    <w:rsid w:val="00D779E5"/>
    <w:rsid w:val="00D80827"/>
    <w:rsid w:val="00D808D1"/>
    <w:rsid w:val="00D80DFC"/>
    <w:rsid w:val="00D81826"/>
    <w:rsid w:val="00D81989"/>
    <w:rsid w:val="00D82547"/>
    <w:rsid w:val="00D82669"/>
    <w:rsid w:val="00D826CF"/>
    <w:rsid w:val="00D82830"/>
    <w:rsid w:val="00D82C2F"/>
    <w:rsid w:val="00D82F49"/>
    <w:rsid w:val="00D83E6D"/>
    <w:rsid w:val="00D84158"/>
    <w:rsid w:val="00D85057"/>
    <w:rsid w:val="00D8523B"/>
    <w:rsid w:val="00D85C07"/>
    <w:rsid w:val="00D85E38"/>
    <w:rsid w:val="00D868A2"/>
    <w:rsid w:val="00D86D8F"/>
    <w:rsid w:val="00D86E0C"/>
    <w:rsid w:val="00D87C39"/>
    <w:rsid w:val="00D87DA6"/>
    <w:rsid w:val="00D9024B"/>
    <w:rsid w:val="00D905C3"/>
    <w:rsid w:val="00D90766"/>
    <w:rsid w:val="00D91110"/>
    <w:rsid w:val="00D9129C"/>
    <w:rsid w:val="00D912A8"/>
    <w:rsid w:val="00D92996"/>
    <w:rsid w:val="00D92B06"/>
    <w:rsid w:val="00D930AE"/>
    <w:rsid w:val="00D93659"/>
    <w:rsid w:val="00D949F6"/>
    <w:rsid w:val="00D94B5B"/>
    <w:rsid w:val="00D95A2D"/>
    <w:rsid w:val="00D95EB1"/>
    <w:rsid w:val="00D965AA"/>
    <w:rsid w:val="00D968E3"/>
    <w:rsid w:val="00D969BA"/>
    <w:rsid w:val="00D9789E"/>
    <w:rsid w:val="00D978E4"/>
    <w:rsid w:val="00DA0354"/>
    <w:rsid w:val="00DA0AD4"/>
    <w:rsid w:val="00DA1909"/>
    <w:rsid w:val="00DA2567"/>
    <w:rsid w:val="00DA2EBC"/>
    <w:rsid w:val="00DA328B"/>
    <w:rsid w:val="00DA3816"/>
    <w:rsid w:val="00DA46CB"/>
    <w:rsid w:val="00DA5103"/>
    <w:rsid w:val="00DA5B5A"/>
    <w:rsid w:val="00DA5CC1"/>
    <w:rsid w:val="00DA6825"/>
    <w:rsid w:val="00DA6ACA"/>
    <w:rsid w:val="00DA6FD4"/>
    <w:rsid w:val="00DA72F7"/>
    <w:rsid w:val="00DA7BA9"/>
    <w:rsid w:val="00DA7BBB"/>
    <w:rsid w:val="00DB01EB"/>
    <w:rsid w:val="00DB0710"/>
    <w:rsid w:val="00DB0C89"/>
    <w:rsid w:val="00DB1246"/>
    <w:rsid w:val="00DB15B9"/>
    <w:rsid w:val="00DB2139"/>
    <w:rsid w:val="00DB2920"/>
    <w:rsid w:val="00DB2B01"/>
    <w:rsid w:val="00DB5584"/>
    <w:rsid w:val="00DB55F0"/>
    <w:rsid w:val="00DB5700"/>
    <w:rsid w:val="00DB6849"/>
    <w:rsid w:val="00DC00E2"/>
    <w:rsid w:val="00DC09C2"/>
    <w:rsid w:val="00DC0A72"/>
    <w:rsid w:val="00DC0A7E"/>
    <w:rsid w:val="00DC0C13"/>
    <w:rsid w:val="00DC1294"/>
    <w:rsid w:val="00DC1835"/>
    <w:rsid w:val="00DC1AB0"/>
    <w:rsid w:val="00DC1FFF"/>
    <w:rsid w:val="00DC22B6"/>
    <w:rsid w:val="00DC3379"/>
    <w:rsid w:val="00DC4165"/>
    <w:rsid w:val="00DC56C8"/>
    <w:rsid w:val="00DC59CB"/>
    <w:rsid w:val="00DC5A10"/>
    <w:rsid w:val="00DC5E4D"/>
    <w:rsid w:val="00DC6207"/>
    <w:rsid w:val="00DC7346"/>
    <w:rsid w:val="00DC77F8"/>
    <w:rsid w:val="00DC7892"/>
    <w:rsid w:val="00DC7DE1"/>
    <w:rsid w:val="00DD0068"/>
    <w:rsid w:val="00DD03E4"/>
    <w:rsid w:val="00DD1161"/>
    <w:rsid w:val="00DD1EB5"/>
    <w:rsid w:val="00DD24C3"/>
    <w:rsid w:val="00DD251E"/>
    <w:rsid w:val="00DD2A53"/>
    <w:rsid w:val="00DD2D24"/>
    <w:rsid w:val="00DD3A73"/>
    <w:rsid w:val="00DD3FAF"/>
    <w:rsid w:val="00DD5488"/>
    <w:rsid w:val="00DD7BB0"/>
    <w:rsid w:val="00DD7D68"/>
    <w:rsid w:val="00DE015E"/>
    <w:rsid w:val="00DE0488"/>
    <w:rsid w:val="00DE08F0"/>
    <w:rsid w:val="00DE1320"/>
    <w:rsid w:val="00DE1A06"/>
    <w:rsid w:val="00DE1CE1"/>
    <w:rsid w:val="00DE1DE4"/>
    <w:rsid w:val="00DE21D5"/>
    <w:rsid w:val="00DE27E1"/>
    <w:rsid w:val="00DE28A6"/>
    <w:rsid w:val="00DE2948"/>
    <w:rsid w:val="00DE29B1"/>
    <w:rsid w:val="00DE2E3A"/>
    <w:rsid w:val="00DE324F"/>
    <w:rsid w:val="00DE3A84"/>
    <w:rsid w:val="00DE3AFF"/>
    <w:rsid w:val="00DE429B"/>
    <w:rsid w:val="00DE44AA"/>
    <w:rsid w:val="00DE47BA"/>
    <w:rsid w:val="00DE4BBC"/>
    <w:rsid w:val="00DE4CF2"/>
    <w:rsid w:val="00DE5369"/>
    <w:rsid w:val="00DE6941"/>
    <w:rsid w:val="00DE6A0C"/>
    <w:rsid w:val="00DE6F06"/>
    <w:rsid w:val="00DE6F07"/>
    <w:rsid w:val="00DE70F0"/>
    <w:rsid w:val="00DE7D98"/>
    <w:rsid w:val="00DF0DAF"/>
    <w:rsid w:val="00DF1FE2"/>
    <w:rsid w:val="00DF2470"/>
    <w:rsid w:val="00DF28CC"/>
    <w:rsid w:val="00DF2BA4"/>
    <w:rsid w:val="00DF37E9"/>
    <w:rsid w:val="00DF3912"/>
    <w:rsid w:val="00DF3B18"/>
    <w:rsid w:val="00DF3C02"/>
    <w:rsid w:val="00DF46F1"/>
    <w:rsid w:val="00DF5339"/>
    <w:rsid w:val="00DF55BE"/>
    <w:rsid w:val="00DF5EB4"/>
    <w:rsid w:val="00DF5F45"/>
    <w:rsid w:val="00DF67C5"/>
    <w:rsid w:val="00DF7420"/>
    <w:rsid w:val="00DF76A4"/>
    <w:rsid w:val="00DF7EE6"/>
    <w:rsid w:val="00E002E7"/>
    <w:rsid w:val="00E00889"/>
    <w:rsid w:val="00E00B9F"/>
    <w:rsid w:val="00E00E1F"/>
    <w:rsid w:val="00E0106B"/>
    <w:rsid w:val="00E01E13"/>
    <w:rsid w:val="00E01F0C"/>
    <w:rsid w:val="00E02692"/>
    <w:rsid w:val="00E02AD1"/>
    <w:rsid w:val="00E02DC1"/>
    <w:rsid w:val="00E0349C"/>
    <w:rsid w:val="00E0455A"/>
    <w:rsid w:val="00E04C9F"/>
    <w:rsid w:val="00E0519D"/>
    <w:rsid w:val="00E053CE"/>
    <w:rsid w:val="00E05580"/>
    <w:rsid w:val="00E058A3"/>
    <w:rsid w:val="00E05A38"/>
    <w:rsid w:val="00E0625B"/>
    <w:rsid w:val="00E0649C"/>
    <w:rsid w:val="00E065D1"/>
    <w:rsid w:val="00E06A6E"/>
    <w:rsid w:val="00E06C00"/>
    <w:rsid w:val="00E06EBA"/>
    <w:rsid w:val="00E07D8B"/>
    <w:rsid w:val="00E1006B"/>
    <w:rsid w:val="00E10CEA"/>
    <w:rsid w:val="00E115C5"/>
    <w:rsid w:val="00E134CA"/>
    <w:rsid w:val="00E1362D"/>
    <w:rsid w:val="00E1437C"/>
    <w:rsid w:val="00E14824"/>
    <w:rsid w:val="00E15A39"/>
    <w:rsid w:val="00E15A69"/>
    <w:rsid w:val="00E15B3B"/>
    <w:rsid w:val="00E15D95"/>
    <w:rsid w:val="00E16216"/>
    <w:rsid w:val="00E16E77"/>
    <w:rsid w:val="00E170EF"/>
    <w:rsid w:val="00E17EF0"/>
    <w:rsid w:val="00E17F01"/>
    <w:rsid w:val="00E17F1A"/>
    <w:rsid w:val="00E20629"/>
    <w:rsid w:val="00E20CFA"/>
    <w:rsid w:val="00E211BF"/>
    <w:rsid w:val="00E21BA9"/>
    <w:rsid w:val="00E230A0"/>
    <w:rsid w:val="00E238FB"/>
    <w:rsid w:val="00E23A62"/>
    <w:rsid w:val="00E23AA5"/>
    <w:rsid w:val="00E247EB"/>
    <w:rsid w:val="00E24F9D"/>
    <w:rsid w:val="00E2522D"/>
    <w:rsid w:val="00E254A6"/>
    <w:rsid w:val="00E254B0"/>
    <w:rsid w:val="00E2554E"/>
    <w:rsid w:val="00E26148"/>
    <w:rsid w:val="00E273E8"/>
    <w:rsid w:val="00E3049C"/>
    <w:rsid w:val="00E30EAD"/>
    <w:rsid w:val="00E30EFB"/>
    <w:rsid w:val="00E32321"/>
    <w:rsid w:val="00E32A60"/>
    <w:rsid w:val="00E32B8E"/>
    <w:rsid w:val="00E339F7"/>
    <w:rsid w:val="00E33FFC"/>
    <w:rsid w:val="00E34057"/>
    <w:rsid w:val="00E34452"/>
    <w:rsid w:val="00E34FA6"/>
    <w:rsid w:val="00E36318"/>
    <w:rsid w:val="00E36506"/>
    <w:rsid w:val="00E366AF"/>
    <w:rsid w:val="00E36C62"/>
    <w:rsid w:val="00E3783C"/>
    <w:rsid w:val="00E37AD8"/>
    <w:rsid w:val="00E37B67"/>
    <w:rsid w:val="00E37B98"/>
    <w:rsid w:val="00E406FF"/>
    <w:rsid w:val="00E4083A"/>
    <w:rsid w:val="00E40A68"/>
    <w:rsid w:val="00E40CE6"/>
    <w:rsid w:val="00E410B8"/>
    <w:rsid w:val="00E411D4"/>
    <w:rsid w:val="00E416BA"/>
    <w:rsid w:val="00E41981"/>
    <w:rsid w:val="00E419EA"/>
    <w:rsid w:val="00E41DE4"/>
    <w:rsid w:val="00E43297"/>
    <w:rsid w:val="00E43D26"/>
    <w:rsid w:val="00E43E82"/>
    <w:rsid w:val="00E44279"/>
    <w:rsid w:val="00E445B7"/>
    <w:rsid w:val="00E4487A"/>
    <w:rsid w:val="00E44AEF"/>
    <w:rsid w:val="00E45C16"/>
    <w:rsid w:val="00E45C8F"/>
    <w:rsid w:val="00E4651E"/>
    <w:rsid w:val="00E4679A"/>
    <w:rsid w:val="00E46B3E"/>
    <w:rsid w:val="00E46FCF"/>
    <w:rsid w:val="00E47114"/>
    <w:rsid w:val="00E47A0D"/>
    <w:rsid w:val="00E47E92"/>
    <w:rsid w:val="00E50488"/>
    <w:rsid w:val="00E5074F"/>
    <w:rsid w:val="00E50A33"/>
    <w:rsid w:val="00E50A94"/>
    <w:rsid w:val="00E50B97"/>
    <w:rsid w:val="00E511C7"/>
    <w:rsid w:val="00E515C0"/>
    <w:rsid w:val="00E518E3"/>
    <w:rsid w:val="00E52641"/>
    <w:rsid w:val="00E531C2"/>
    <w:rsid w:val="00E535A6"/>
    <w:rsid w:val="00E53A6D"/>
    <w:rsid w:val="00E544B8"/>
    <w:rsid w:val="00E545F7"/>
    <w:rsid w:val="00E54CDB"/>
    <w:rsid w:val="00E55130"/>
    <w:rsid w:val="00E55858"/>
    <w:rsid w:val="00E55BDB"/>
    <w:rsid w:val="00E564C3"/>
    <w:rsid w:val="00E56778"/>
    <w:rsid w:val="00E56BD1"/>
    <w:rsid w:val="00E572F8"/>
    <w:rsid w:val="00E577D3"/>
    <w:rsid w:val="00E57B46"/>
    <w:rsid w:val="00E60176"/>
    <w:rsid w:val="00E60B92"/>
    <w:rsid w:val="00E6150D"/>
    <w:rsid w:val="00E615A4"/>
    <w:rsid w:val="00E618D9"/>
    <w:rsid w:val="00E61A65"/>
    <w:rsid w:val="00E61B0C"/>
    <w:rsid w:val="00E62457"/>
    <w:rsid w:val="00E6279E"/>
    <w:rsid w:val="00E62A14"/>
    <w:rsid w:val="00E62BC5"/>
    <w:rsid w:val="00E633AF"/>
    <w:rsid w:val="00E64528"/>
    <w:rsid w:val="00E65532"/>
    <w:rsid w:val="00E66F6B"/>
    <w:rsid w:val="00E670EB"/>
    <w:rsid w:val="00E67FC2"/>
    <w:rsid w:val="00E701F5"/>
    <w:rsid w:val="00E7126F"/>
    <w:rsid w:val="00E7154C"/>
    <w:rsid w:val="00E7166E"/>
    <w:rsid w:val="00E72501"/>
    <w:rsid w:val="00E72BF9"/>
    <w:rsid w:val="00E734BA"/>
    <w:rsid w:val="00E73563"/>
    <w:rsid w:val="00E73971"/>
    <w:rsid w:val="00E749BD"/>
    <w:rsid w:val="00E75605"/>
    <w:rsid w:val="00E75B9E"/>
    <w:rsid w:val="00E764D8"/>
    <w:rsid w:val="00E76AD1"/>
    <w:rsid w:val="00E76BFD"/>
    <w:rsid w:val="00E77704"/>
    <w:rsid w:val="00E802FC"/>
    <w:rsid w:val="00E820CC"/>
    <w:rsid w:val="00E823B1"/>
    <w:rsid w:val="00E824D4"/>
    <w:rsid w:val="00E824F6"/>
    <w:rsid w:val="00E82602"/>
    <w:rsid w:val="00E82671"/>
    <w:rsid w:val="00E829BF"/>
    <w:rsid w:val="00E82ADC"/>
    <w:rsid w:val="00E82EE8"/>
    <w:rsid w:val="00E83204"/>
    <w:rsid w:val="00E8337E"/>
    <w:rsid w:val="00E8398E"/>
    <w:rsid w:val="00E839D1"/>
    <w:rsid w:val="00E83F10"/>
    <w:rsid w:val="00E847AC"/>
    <w:rsid w:val="00E84C6F"/>
    <w:rsid w:val="00E858A2"/>
    <w:rsid w:val="00E85FA5"/>
    <w:rsid w:val="00E86241"/>
    <w:rsid w:val="00E87455"/>
    <w:rsid w:val="00E879FE"/>
    <w:rsid w:val="00E87AB0"/>
    <w:rsid w:val="00E900E2"/>
    <w:rsid w:val="00E909A2"/>
    <w:rsid w:val="00E90F89"/>
    <w:rsid w:val="00E911D9"/>
    <w:rsid w:val="00E917B0"/>
    <w:rsid w:val="00E91DCF"/>
    <w:rsid w:val="00E9225D"/>
    <w:rsid w:val="00E9249D"/>
    <w:rsid w:val="00E92737"/>
    <w:rsid w:val="00E93BB2"/>
    <w:rsid w:val="00E9433B"/>
    <w:rsid w:val="00E94B0F"/>
    <w:rsid w:val="00E95592"/>
    <w:rsid w:val="00E95A5B"/>
    <w:rsid w:val="00E966F1"/>
    <w:rsid w:val="00E96E94"/>
    <w:rsid w:val="00E9754E"/>
    <w:rsid w:val="00EA032E"/>
    <w:rsid w:val="00EA096F"/>
    <w:rsid w:val="00EA1BA6"/>
    <w:rsid w:val="00EA2403"/>
    <w:rsid w:val="00EA2943"/>
    <w:rsid w:val="00EA2C65"/>
    <w:rsid w:val="00EA33CA"/>
    <w:rsid w:val="00EA3888"/>
    <w:rsid w:val="00EA3B16"/>
    <w:rsid w:val="00EA3BA7"/>
    <w:rsid w:val="00EA4188"/>
    <w:rsid w:val="00EA4574"/>
    <w:rsid w:val="00EA45B6"/>
    <w:rsid w:val="00EA4BB2"/>
    <w:rsid w:val="00EA4DBA"/>
    <w:rsid w:val="00EA4E72"/>
    <w:rsid w:val="00EA50EA"/>
    <w:rsid w:val="00EA53FD"/>
    <w:rsid w:val="00EA5D7A"/>
    <w:rsid w:val="00EA5DCA"/>
    <w:rsid w:val="00EA5F33"/>
    <w:rsid w:val="00EA6BA6"/>
    <w:rsid w:val="00EA728D"/>
    <w:rsid w:val="00EA735D"/>
    <w:rsid w:val="00EA772D"/>
    <w:rsid w:val="00EA78FB"/>
    <w:rsid w:val="00EA7EDE"/>
    <w:rsid w:val="00EB0E91"/>
    <w:rsid w:val="00EB1124"/>
    <w:rsid w:val="00EB13BE"/>
    <w:rsid w:val="00EB1E2D"/>
    <w:rsid w:val="00EB21F3"/>
    <w:rsid w:val="00EB307D"/>
    <w:rsid w:val="00EB33CF"/>
    <w:rsid w:val="00EB42A9"/>
    <w:rsid w:val="00EB438A"/>
    <w:rsid w:val="00EB4532"/>
    <w:rsid w:val="00EB4B3B"/>
    <w:rsid w:val="00EB4B5D"/>
    <w:rsid w:val="00EB4D73"/>
    <w:rsid w:val="00EB5341"/>
    <w:rsid w:val="00EB53F9"/>
    <w:rsid w:val="00EB629D"/>
    <w:rsid w:val="00EB6B32"/>
    <w:rsid w:val="00EB6F6B"/>
    <w:rsid w:val="00EB77E1"/>
    <w:rsid w:val="00EC008D"/>
    <w:rsid w:val="00EC0396"/>
    <w:rsid w:val="00EC0505"/>
    <w:rsid w:val="00EC06F2"/>
    <w:rsid w:val="00EC0EEF"/>
    <w:rsid w:val="00EC1447"/>
    <w:rsid w:val="00EC1E27"/>
    <w:rsid w:val="00EC1FD9"/>
    <w:rsid w:val="00EC28A8"/>
    <w:rsid w:val="00EC2D8E"/>
    <w:rsid w:val="00EC2F45"/>
    <w:rsid w:val="00EC3EDD"/>
    <w:rsid w:val="00EC50F6"/>
    <w:rsid w:val="00EC5DAD"/>
    <w:rsid w:val="00EC617B"/>
    <w:rsid w:val="00EC645B"/>
    <w:rsid w:val="00EC70BF"/>
    <w:rsid w:val="00EC711A"/>
    <w:rsid w:val="00EC7139"/>
    <w:rsid w:val="00EC7456"/>
    <w:rsid w:val="00ED1489"/>
    <w:rsid w:val="00ED25A8"/>
    <w:rsid w:val="00ED322D"/>
    <w:rsid w:val="00ED3506"/>
    <w:rsid w:val="00ED37F1"/>
    <w:rsid w:val="00ED3F1E"/>
    <w:rsid w:val="00ED3FA5"/>
    <w:rsid w:val="00ED4304"/>
    <w:rsid w:val="00ED436B"/>
    <w:rsid w:val="00ED4CA2"/>
    <w:rsid w:val="00ED5505"/>
    <w:rsid w:val="00ED644D"/>
    <w:rsid w:val="00ED64DE"/>
    <w:rsid w:val="00ED69CC"/>
    <w:rsid w:val="00ED71DB"/>
    <w:rsid w:val="00ED778F"/>
    <w:rsid w:val="00EE176E"/>
    <w:rsid w:val="00EE2717"/>
    <w:rsid w:val="00EE292F"/>
    <w:rsid w:val="00EE3379"/>
    <w:rsid w:val="00EE3656"/>
    <w:rsid w:val="00EE415F"/>
    <w:rsid w:val="00EE4DFA"/>
    <w:rsid w:val="00EE5D44"/>
    <w:rsid w:val="00EE6059"/>
    <w:rsid w:val="00EE6A2B"/>
    <w:rsid w:val="00EE7568"/>
    <w:rsid w:val="00EE780B"/>
    <w:rsid w:val="00EF026F"/>
    <w:rsid w:val="00EF03F7"/>
    <w:rsid w:val="00EF0449"/>
    <w:rsid w:val="00EF0656"/>
    <w:rsid w:val="00EF069A"/>
    <w:rsid w:val="00EF081D"/>
    <w:rsid w:val="00EF1157"/>
    <w:rsid w:val="00EF152B"/>
    <w:rsid w:val="00EF16CB"/>
    <w:rsid w:val="00EF258C"/>
    <w:rsid w:val="00EF263F"/>
    <w:rsid w:val="00EF2739"/>
    <w:rsid w:val="00EF29B9"/>
    <w:rsid w:val="00EF3ECC"/>
    <w:rsid w:val="00EF3F2F"/>
    <w:rsid w:val="00EF47C4"/>
    <w:rsid w:val="00EF5335"/>
    <w:rsid w:val="00EF5ACE"/>
    <w:rsid w:val="00EF5D8C"/>
    <w:rsid w:val="00EF5EF6"/>
    <w:rsid w:val="00EF6F1C"/>
    <w:rsid w:val="00EF7205"/>
    <w:rsid w:val="00EF7628"/>
    <w:rsid w:val="00EF7680"/>
    <w:rsid w:val="00EF7C33"/>
    <w:rsid w:val="00F0066B"/>
    <w:rsid w:val="00F009AA"/>
    <w:rsid w:val="00F01247"/>
    <w:rsid w:val="00F01846"/>
    <w:rsid w:val="00F01868"/>
    <w:rsid w:val="00F02240"/>
    <w:rsid w:val="00F02B01"/>
    <w:rsid w:val="00F036E2"/>
    <w:rsid w:val="00F03A6B"/>
    <w:rsid w:val="00F0423D"/>
    <w:rsid w:val="00F048AF"/>
    <w:rsid w:val="00F04AB0"/>
    <w:rsid w:val="00F050E4"/>
    <w:rsid w:val="00F053EF"/>
    <w:rsid w:val="00F0559F"/>
    <w:rsid w:val="00F059F0"/>
    <w:rsid w:val="00F05BFE"/>
    <w:rsid w:val="00F061D3"/>
    <w:rsid w:val="00F0627B"/>
    <w:rsid w:val="00F06296"/>
    <w:rsid w:val="00F06A65"/>
    <w:rsid w:val="00F06D33"/>
    <w:rsid w:val="00F07125"/>
    <w:rsid w:val="00F12121"/>
    <w:rsid w:val="00F1231C"/>
    <w:rsid w:val="00F123E7"/>
    <w:rsid w:val="00F12454"/>
    <w:rsid w:val="00F1276D"/>
    <w:rsid w:val="00F133BD"/>
    <w:rsid w:val="00F13881"/>
    <w:rsid w:val="00F13CF7"/>
    <w:rsid w:val="00F13F50"/>
    <w:rsid w:val="00F14310"/>
    <w:rsid w:val="00F1507B"/>
    <w:rsid w:val="00F15525"/>
    <w:rsid w:val="00F158BE"/>
    <w:rsid w:val="00F15A72"/>
    <w:rsid w:val="00F160A9"/>
    <w:rsid w:val="00F160EE"/>
    <w:rsid w:val="00F164CA"/>
    <w:rsid w:val="00F176F9"/>
    <w:rsid w:val="00F1790F"/>
    <w:rsid w:val="00F179D1"/>
    <w:rsid w:val="00F17ADE"/>
    <w:rsid w:val="00F2050E"/>
    <w:rsid w:val="00F2061D"/>
    <w:rsid w:val="00F20883"/>
    <w:rsid w:val="00F20F46"/>
    <w:rsid w:val="00F22084"/>
    <w:rsid w:val="00F2372D"/>
    <w:rsid w:val="00F23846"/>
    <w:rsid w:val="00F239FA"/>
    <w:rsid w:val="00F2412E"/>
    <w:rsid w:val="00F24180"/>
    <w:rsid w:val="00F243DC"/>
    <w:rsid w:val="00F24CCD"/>
    <w:rsid w:val="00F25121"/>
    <w:rsid w:val="00F25D25"/>
    <w:rsid w:val="00F262D9"/>
    <w:rsid w:val="00F264C8"/>
    <w:rsid w:val="00F264EC"/>
    <w:rsid w:val="00F271A6"/>
    <w:rsid w:val="00F27814"/>
    <w:rsid w:val="00F27A95"/>
    <w:rsid w:val="00F309AA"/>
    <w:rsid w:val="00F309BE"/>
    <w:rsid w:val="00F30BB4"/>
    <w:rsid w:val="00F312BD"/>
    <w:rsid w:val="00F31E1A"/>
    <w:rsid w:val="00F31FC7"/>
    <w:rsid w:val="00F32152"/>
    <w:rsid w:val="00F32581"/>
    <w:rsid w:val="00F32683"/>
    <w:rsid w:val="00F329E0"/>
    <w:rsid w:val="00F32EA1"/>
    <w:rsid w:val="00F33002"/>
    <w:rsid w:val="00F3373E"/>
    <w:rsid w:val="00F34EC1"/>
    <w:rsid w:val="00F361BE"/>
    <w:rsid w:val="00F363CC"/>
    <w:rsid w:val="00F36529"/>
    <w:rsid w:val="00F36BDD"/>
    <w:rsid w:val="00F36E7C"/>
    <w:rsid w:val="00F37297"/>
    <w:rsid w:val="00F3741A"/>
    <w:rsid w:val="00F37872"/>
    <w:rsid w:val="00F37B18"/>
    <w:rsid w:val="00F40B37"/>
    <w:rsid w:val="00F40BF7"/>
    <w:rsid w:val="00F421AD"/>
    <w:rsid w:val="00F43041"/>
    <w:rsid w:val="00F44493"/>
    <w:rsid w:val="00F44D89"/>
    <w:rsid w:val="00F44EFD"/>
    <w:rsid w:val="00F45048"/>
    <w:rsid w:val="00F452E3"/>
    <w:rsid w:val="00F45ACB"/>
    <w:rsid w:val="00F45EB9"/>
    <w:rsid w:val="00F46365"/>
    <w:rsid w:val="00F46529"/>
    <w:rsid w:val="00F46936"/>
    <w:rsid w:val="00F502C0"/>
    <w:rsid w:val="00F5074D"/>
    <w:rsid w:val="00F507C5"/>
    <w:rsid w:val="00F50C22"/>
    <w:rsid w:val="00F523C1"/>
    <w:rsid w:val="00F52A24"/>
    <w:rsid w:val="00F52C86"/>
    <w:rsid w:val="00F52DCD"/>
    <w:rsid w:val="00F53134"/>
    <w:rsid w:val="00F53308"/>
    <w:rsid w:val="00F53908"/>
    <w:rsid w:val="00F53DA9"/>
    <w:rsid w:val="00F53FA9"/>
    <w:rsid w:val="00F5469B"/>
    <w:rsid w:val="00F54E84"/>
    <w:rsid w:val="00F55204"/>
    <w:rsid w:val="00F5612D"/>
    <w:rsid w:val="00F563A4"/>
    <w:rsid w:val="00F56446"/>
    <w:rsid w:val="00F6013E"/>
    <w:rsid w:val="00F60DB6"/>
    <w:rsid w:val="00F60DF9"/>
    <w:rsid w:val="00F610AF"/>
    <w:rsid w:val="00F61518"/>
    <w:rsid w:val="00F61567"/>
    <w:rsid w:val="00F61F05"/>
    <w:rsid w:val="00F620CE"/>
    <w:rsid w:val="00F629DE"/>
    <w:rsid w:val="00F62B1E"/>
    <w:rsid w:val="00F62D3B"/>
    <w:rsid w:val="00F63476"/>
    <w:rsid w:val="00F63B85"/>
    <w:rsid w:val="00F648BE"/>
    <w:rsid w:val="00F65249"/>
    <w:rsid w:val="00F65314"/>
    <w:rsid w:val="00F65FB5"/>
    <w:rsid w:val="00F66C12"/>
    <w:rsid w:val="00F67DD1"/>
    <w:rsid w:val="00F70985"/>
    <w:rsid w:val="00F70CA5"/>
    <w:rsid w:val="00F717DB"/>
    <w:rsid w:val="00F71825"/>
    <w:rsid w:val="00F723A7"/>
    <w:rsid w:val="00F72687"/>
    <w:rsid w:val="00F7335F"/>
    <w:rsid w:val="00F73B95"/>
    <w:rsid w:val="00F74596"/>
    <w:rsid w:val="00F74ACE"/>
    <w:rsid w:val="00F75576"/>
    <w:rsid w:val="00F75779"/>
    <w:rsid w:val="00F759E8"/>
    <w:rsid w:val="00F75ACD"/>
    <w:rsid w:val="00F76A0E"/>
    <w:rsid w:val="00F76C9F"/>
    <w:rsid w:val="00F770C6"/>
    <w:rsid w:val="00F77242"/>
    <w:rsid w:val="00F7772C"/>
    <w:rsid w:val="00F778CE"/>
    <w:rsid w:val="00F8080D"/>
    <w:rsid w:val="00F80902"/>
    <w:rsid w:val="00F812CD"/>
    <w:rsid w:val="00F81353"/>
    <w:rsid w:val="00F81917"/>
    <w:rsid w:val="00F81A3D"/>
    <w:rsid w:val="00F82A00"/>
    <w:rsid w:val="00F82AB8"/>
    <w:rsid w:val="00F82F37"/>
    <w:rsid w:val="00F82FF5"/>
    <w:rsid w:val="00F83249"/>
    <w:rsid w:val="00F83846"/>
    <w:rsid w:val="00F83B61"/>
    <w:rsid w:val="00F8470E"/>
    <w:rsid w:val="00F84E74"/>
    <w:rsid w:val="00F85BEC"/>
    <w:rsid w:val="00F8628B"/>
    <w:rsid w:val="00F8633B"/>
    <w:rsid w:val="00F86E34"/>
    <w:rsid w:val="00F86FFA"/>
    <w:rsid w:val="00F903EA"/>
    <w:rsid w:val="00F90ACE"/>
    <w:rsid w:val="00F91AAE"/>
    <w:rsid w:val="00F91AB6"/>
    <w:rsid w:val="00F92BF0"/>
    <w:rsid w:val="00F92CB2"/>
    <w:rsid w:val="00F942AA"/>
    <w:rsid w:val="00F943F8"/>
    <w:rsid w:val="00F9521E"/>
    <w:rsid w:val="00F95C0D"/>
    <w:rsid w:val="00F95C68"/>
    <w:rsid w:val="00F95E24"/>
    <w:rsid w:val="00F9684C"/>
    <w:rsid w:val="00F96A49"/>
    <w:rsid w:val="00F96BDE"/>
    <w:rsid w:val="00F97A55"/>
    <w:rsid w:val="00FA01AD"/>
    <w:rsid w:val="00FA096A"/>
    <w:rsid w:val="00FA1216"/>
    <w:rsid w:val="00FA16BD"/>
    <w:rsid w:val="00FA17CC"/>
    <w:rsid w:val="00FA1B2F"/>
    <w:rsid w:val="00FA1D45"/>
    <w:rsid w:val="00FA2747"/>
    <w:rsid w:val="00FA2F6D"/>
    <w:rsid w:val="00FA36D4"/>
    <w:rsid w:val="00FA42DD"/>
    <w:rsid w:val="00FA431C"/>
    <w:rsid w:val="00FA4BC5"/>
    <w:rsid w:val="00FA4F2B"/>
    <w:rsid w:val="00FA5142"/>
    <w:rsid w:val="00FA635D"/>
    <w:rsid w:val="00FA63C7"/>
    <w:rsid w:val="00FA65F6"/>
    <w:rsid w:val="00FA6A54"/>
    <w:rsid w:val="00FA6F2B"/>
    <w:rsid w:val="00FA7005"/>
    <w:rsid w:val="00FA703C"/>
    <w:rsid w:val="00FA7306"/>
    <w:rsid w:val="00FA7E55"/>
    <w:rsid w:val="00FB007C"/>
    <w:rsid w:val="00FB0397"/>
    <w:rsid w:val="00FB063E"/>
    <w:rsid w:val="00FB1016"/>
    <w:rsid w:val="00FB1338"/>
    <w:rsid w:val="00FB1A1C"/>
    <w:rsid w:val="00FB2007"/>
    <w:rsid w:val="00FB25E2"/>
    <w:rsid w:val="00FB295E"/>
    <w:rsid w:val="00FB2A80"/>
    <w:rsid w:val="00FB36D2"/>
    <w:rsid w:val="00FB435A"/>
    <w:rsid w:val="00FB44C8"/>
    <w:rsid w:val="00FB51D3"/>
    <w:rsid w:val="00FB536C"/>
    <w:rsid w:val="00FB5634"/>
    <w:rsid w:val="00FB5B9E"/>
    <w:rsid w:val="00FC01A8"/>
    <w:rsid w:val="00FC0411"/>
    <w:rsid w:val="00FC102C"/>
    <w:rsid w:val="00FC3BEF"/>
    <w:rsid w:val="00FC4281"/>
    <w:rsid w:val="00FC455B"/>
    <w:rsid w:val="00FC4731"/>
    <w:rsid w:val="00FC4987"/>
    <w:rsid w:val="00FC4A20"/>
    <w:rsid w:val="00FC5630"/>
    <w:rsid w:val="00FC6541"/>
    <w:rsid w:val="00FC69B0"/>
    <w:rsid w:val="00FC79C1"/>
    <w:rsid w:val="00FD0296"/>
    <w:rsid w:val="00FD0518"/>
    <w:rsid w:val="00FD09F3"/>
    <w:rsid w:val="00FD1348"/>
    <w:rsid w:val="00FD151F"/>
    <w:rsid w:val="00FD158E"/>
    <w:rsid w:val="00FD15BC"/>
    <w:rsid w:val="00FD15C9"/>
    <w:rsid w:val="00FD1A47"/>
    <w:rsid w:val="00FD1A63"/>
    <w:rsid w:val="00FD1EEE"/>
    <w:rsid w:val="00FD2014"/>
    <w:rsid w:val="00FD21C3"/>
    <w:rsid w:val="00FD25B4"/>
    <w:rsid w:val="00FD25FB"/>
    <w:rsid w:val="00FD2DFA"/>
    <w:rsid w:val="00FD3114"/>
    <w:rsid w:val="00FD37DE"/>
    <w:rsid w:val="00FD382E"/>
    <w:rsid w:val="00FD38D8"/>
    <w:rsid w:val="00FD3ECA"/>
    <w:rsid w:val="00FD418D"/>
    <w:rsid w:val="00FD462E"/>
    <w:rsid w:val="00FD4E3A"/>
    <w:rsid w:val="00FD5568"/>
    <w:rsid w:val="00FD5947"/>
    <w:rsid w:val="00FD63F7"/>
    <w:rsid w:val="00FD7588"/>
    <w:rsid w:val="00FE07AE"/>
    <w:rsid w:val="00FE11D3"/>
    <w:rsid w:val="00FE1713"/>
    <w:rsid w:val="00FE1B6A"/>
    <w:rsid w:val="00FE204E"/>
    <w:rsid w:val="00FE210A"/>
    <w:rsid w:val="00FE210C"/>
    <w:rsid w:val="00FE28E8"/>
    <w:rsid w:val="00FE2C19"/>
    <w:rsid w:val="00FE345E"/>
    <w:rsid w:val="00FE38B2"/>
    <w:rsid w:val="00FE4144"/>
    <w:rsid w:val="00FE4837"/>
    <w:rsid w:val="00FE4919"/>
    <w:rsid w:val="00FE4B53"/>
    <w:rsid w:val="00FE4B85"/>
    <w:rsid w:val="00FE4C78"/>
    <w:rsid w:val="00FE57ED"/>
    <w:rsid w:val="00FE5C83"/>
    <w:rsid w:val="00FE6050"/>
    <w:rsid w:val="00FE64F4"/>
    <w:rsid w:val="00FE6ACD"/>
    <w:rsid w:val="00FE76C4"/>
    <w:rsid w:val="00FE7E73"/>
    <w:rsid w:val="00FF00FE"/>
    <w:rsid w:val="00FF0A0A"/>
    <w:rsid w:val="00FF0F1A"/>
    <w:rsid w:val="00FF0F46"/>
    <w:rsid w:val="00FF124E"/>
    <w:rsid w:val="00FF12BC"/>
    <w:rsid w:val="00FF1490"/>
    <w:rsid w:val="00FF153F"/>
    <w:rsid w:val="00FF1C8E"/>
    <w:rsid w:val="00FF21BD"/>
    <w:rsid w:val="00FF24AB"/>
    <w:rsid w:val="00FF25DE"/>
    <w:rsid w:val="00FF2A32"/>
    <w:rsid w:val="00FF2CB0"/>
    <w:rsid w:val="00FF2F85"/>
    <w:rsid w:val="00FF384B"/>
    <w:rsid w:val="00FF3D94"/>
    <w:rsid w:val="00FF4042"/>
    <w:rsid w:val="00FF4098"/>
    <w:rsid w:val="00FF43F5"/>
    <w:rsid w:val="00FF4E5D"/>
    <w:rsid w:val="00FF5CCC"/>
    <w:rsid w:val="00FF668D"/>
    <w:rsid w:val="00FF6691"/>
    <w:rsid w:val="00FF6B67"/>
    <w:rsid w:val="00FF6F4A"/>
    <w:rsid w:val="00FF72AC"/>
    <w:rsid w:val="00FF73C7"/>
    <w:rsid w:val="00FF7C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1C0C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4C9"/>
    <w:rPr>
      <w:sz w:val="24"/>
      <w:szCs w:val="24"/>
    </w:rPr>
  </w:style>
  <w:style w:type="paragraph" w:styleId="Heading2">
    <w:name w:val="heading 2"/>
    <w:basedOn w:val="Normal"/>
    <w:link w:val="Heading2Char"/>
    <w:uiPriority w:val="9"/>
    <w:qFormat/>
    <w:rsid w:val="00FF4098"/>
    <w:pPr>
      <w:spacing w:before="100" w:beforeAutospacing="1" w:after="100" w:afterAutospacing="1"/>
      <w:outlineLvl w:val="1"/>
    </w:pPr>
    <w:rPr>
      <w:b/>
      <w:bCs/>
      <w:sz w:val="36"/>
      <w:szCs w:val="36"/>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D043D5"/>
    <w:rPr>
      <w:color w:val="0000FF"/>
      <w:shd w:val="clear" w:color="auto" w:fill="auto"/>
    </w:rPr>
  </w:style>
  <w:style w:type="paragraph" w:styleId="Header">
    <w:name w:val="header"/>
    <w:basedOn w:val="Normal"/>
    <w:link w:val="HeaderChar"/>
    <w:unhideWhenUsed/>
    <w:rsid w:val="00D043D5"/>
    <w:pPr>
      <w:tabs>
        <w:tab w:val="center" w:pos="4513"/>
        <w:tab w:val="right" w:pos="9026"/>
      </w:tabs>
    </w:pPr>
  </w:style>
  <w:style w:type="character" w:customStyle="1" w:styleId="HeaderChar">
    <w:name w:val="Header Char"/>
    <w:basedOn w:val="DefaultParagraphFont"/>
    <w:link w:val="Header"/>
    <w:rsid w:val="00D043D5"/>
    <w:rPr>
      <w:sz w:val="24"/>
      <w:szCs w:val="24"/>
    </w:rPr>
  </w:style>
  <w:style w:type="paragraph" w:styleId="Footer">
    <w:name w:val="footer"/>
    <w:basedOn w:val="Normal"/>
    <w:link w:val="FooterChar"/>
    <w:uiPriority w:val="99"/>
    <w:unhideWhenUsed/>
    <w:rsid w:val="00D043D5"/>
    <w:pPr>
      <w:tabs>
        <w:tab w:val="center" w:pos="4513"/>
        <w:tab w:val="right" w:pos="9026"/>
      </w:tabs>
    </w:pPr>
  </w:style>
  <w:style w:type="character" w:customStyle="1" w:styleId="FooterChar">
    <w:name w:val="Footer Char"/>
    <w:basedOn w:val="DefaultParagraphFont"/>
    <w:link w:val="Footer"/>
    <w:uiPriority w:val="99"/>
    <w:rsid w:val="00D043D5"/>
    <w:rPr>
      <w:sz w:val="24"/>
      <w:szCs w:val="24"/>
    </w:rPr>
  </w:style>
  <w:style w:type="paragraph" w:customStyle="1" w:styleId="Pagedecouverture">
    <w:name w:val="Page de couverture"/>
    <w:basedOn w:val="Normal"/>
    <w:next w:val="Normal"/>
    <w:rsid w:val="00D043D5"/>
    <w:pPr>
      <w:jc w:val="both"/>
    </w:pPr>
    <w:rPr>
      <w:rFonts w:eastAsiaTheme="minorHAnsi"/>
      <w:szCs w:val="22"/>
      <w:lang w:eastAsia="en-US"/>
    </w:rPr>
  </w:style>
  <w:style w:type="paragraph" w:customStyle="1" w:styleId="FooterCoverPage">
    <w:name w:val="Footer Cover Page"/>
    <w:basedOn w:val="Normal"/>
    <w:link w:val="FooterCoverPageChar"/>
    <w:rsid w:val="00D043D5"/>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sid w:val="00D043D5"/>
    <w:rPr>
      <w:sz w:val="24"/>
      <w:szCs w:val="24"/>
    </w:rPr>
  </w:style>
  <w:style w:type="paragraph" w:customStyle="1" w:styleId="FooterSensitivity">
    <w:name w:val="Footer Sensitivity"/>
    <w:basedOn w:val="Normal"/>
    <w:link w:val="FooterSensitivityChar"/>
    <w:rsid w:val="00D043D5"/>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sid w:val="00D043D5"/>
    <w:rPr>
      <w:b/>
      <w:sz w:val="32"/>
      <w:szCs w:val="24"/>
    </w:rPr>
  </w:style>
  <w:style w:type="paragraph" w:customStyle="1" w:styleId="HeaderCoverPage">
    <w:name w:val="Header Cover Page"/>
    <w:basedOn w:val="Normal"/>
    <w:link w:val="HeaderCoverPageChar"/>
    <w:rsid w:val="00D043D5"/>
    <w:pPr>
      <w:tabs>
        <w:tab w:val="center" w:pos="4535"/>
        <w:tab w:val="right" w:pos="9071"/>
      </w:tabs>
      <w:spacing w:after="120"/>
      <w:jc w:val="both"/>
    </w:pPr>
  </w:style>
  <w:style w:type="character" w:customStyle="1" w:styleId="HeaderCoverPageChar">
    <w:name w:val="Header Cover Page Char"/>
    <w:basedOn w:val="DefaultParagraphFont"/>
    <w:link w:val="HeaderCoverPage"/>
    <w:rsid w:val="00D043D5"/>
    <w:rPr>
      <w:sz w:val="24"/>
      <w:szCs w:val="24"/>
    </w:rPr>
  </w:style>
  <w:style w:type="paragraph" w:customStyle="1" w:styleId="HeaderSensitivity">
    <w:name w:val="Header Sensitivity"/>
    <w:basedOn w:val="Normal"/>
    <w:link w:val="HeaderSensitivityChar"/>
    <w:rsid w:val="00D043D5"/>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D043D5"/>
    <w:rPr>
      <w:b/>
      <w:sz w:val="32"/>
      <w:szCs w:val="24"/>
    </w:rPr>
  </w:style>
  <w:style w:type="paragraph" w:customStyle="1" w:styleId="HeaderSensitivityRight">
    <w:name w:val="Header Sensitivity Right"/>
    <w:basedOn w:val="Normal"/>
    <w:link w:val="HeaderSensitivityRightChar"/>
    <w:rsid w:val="00D043D5"/>
    <w:pPr>
      <w:spacing w:after="120"/>
      <w:jc w:val="right"/>
    </w:pPr>
    <w:rPr>
      <w:sz w:val="28"/>
    </w:rPr>
  </w:style>
  <w:style w:type="character" w:customStyle="1" w:styleId="HeaderSensitivityRightChar">
    <w:name w:val="Header Sensitivity Right Char"/>
    <w:basedOn w:val="DefaultParagraphFont"/>
    <w:link w:val="HeaderSensitivityRight"/>
    <w:rsid w:val="00D043D5"/>
    <w:rPr>
      <w:sz w:val="28"/>
      <w:szCs w:val="24"/>
    </w:rPr>
  </w:style>
  <w:style w:type="paragraph" w:styleId="FootnoteText">
    <w:name w:val="footnote text"/>
    <w:basedOn w:val="Normal"/>
    <w:link w:val="FootnoteTextChar"/>
    <w:uiPriority w:val="99"/>
    <w:unhideWhenUsed/>
    <w:rsid w:val="00783D4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83D49"/>
    <w:rPr>
      <w:rFonts w:asciiTheme="minorHAnsi" w:eastAsiaTheme="minorHAnsi" w:hAnsiTheme="minorHAnsi" w:cstheme="minorBidi"/>
      <w:lang w:eastAsia="en-US"/>
    </w:rPr>
  </w:style>
  <w:style w:type="character" w:styleId="FootnoteReference">
    <w:name w:val="footnote reference"/>
    <w:aliases w:val="Footnote Reference Superscript,BVI fnr,Footnote symbol,Footnote symboFußnotenzeichen,Footnote sign,Footnote Reference text,SUPERS,Footnote reference number,note TESI,-E Fußnotenzeichen,number,(Footnote Reference),stylish,cal,F,FR,4_G"/>
    <w:basedOn w:val="EndnoteReference"/>
    <w:uiPriority w:val="99"/>
    <w:unhideWhenUsed/>
    <w:qFormat/>
    <w:rsid w:val="00783D49"/>
    <w:rPr>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rsid w:val="00783D49"/>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783D49"/>
    <w:rPr>
      <w:color w:val="0000FF"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locked/>
    <w:rsid w:val="00783D49"/>
    <w:rPr>
      <w:rFonts w:asciiTheme="minorHAnsi" w:eastAsiaTheme="minorHAnsi" w:hAnsiTheme="minorHAnsi" w:cstheme="minorBidi"/>
      <w:sz w:val="22"/>
      <w:szCs w:val="22"/>
      <w:lang w:eastAsia="en-US"/>
    </w:rPr>
  </w:style>
  <w:style w:type="character" w:styleId="EndnoteReference">
    <w:name w:val="endnote reference"/>
    <w:basedOn w:val="DefaultParagraphFont"/>
    <w:semiHidden/>
    <w:unhideWhenUsed/>
    <w:rsid w:val="00783D49"/>
    <w:rPr>
      <w:vertAlign w:val="superscript"/>
    </w:rPr>
  </w:style>
  <w:style w:type="paragraph" w:customStyle="1" w:styleId="Copies">
    <w:name w:val="Copies"/>
    <w:basedOn w:val="Normal"/>
    <w:uiPriority w:val="2"/>
    <w:rsid w:val="00783D49"/>
    <w:pPr>
      <w:tabs>
        <w:tab w:val="left" w:pos="5669"/>
      </w:tabs>
      <w:spacing w:before="480"/>
      <w:ind w:left="1531" w:hanging="1531"/>
      <w:contextualSpacing/>
    </w:pPr>
    <w:rPr>
      <w:szCs w:val="20"/>
      <w:lang w:eastAsia="fr-BE"/>
    </w:rPr>
  </w:style>
  <w:style w:type="paragraph" w:styleId="CommentText">
    <w:name w:val="annotation text"/>
    <w:basedOn w:val="Normal"/>
    <w:link w:val="CommentTextChar"/>
    <w:uiPriority w:val="99"/>
    <w:unhideWhenUsed/>
    <w:qFormat/>
    <w:rsid w:val="00783D49"/>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783D49"/>
    <w:rPr>
      <w:rFonts w:asciiTheme="minorHAnsi" w:eastAsiaTheme="minorHAnsi" w:hAnsiTheme="minorHAnsi" w:cstheme="minorBidi"/>
      <w:lang w:val="bg-BG" w:eastAsia="en-US"/>
    </w:rPr>
  </w:style>
  <w:style w:type="paragraph" w:styleId="NormalWeb">
    <w:name w:val="Normal (Web)"/>
    <w:basedOn w:val="Normal"/>
    <w:uiPriority w:val="99"/>
    <w:unhideWhenUsed/>
    <w:rsid w:val="00783D49"/>
    <w:pPr>
      <w:spacing w:before="100" w:beforeAutospacing="1" w:after="100" w:afterAutospacing="1"/>
    </w:pPr>
    <w:rPr>
      <w:lang w:eastAsia="en-US"/>
    </w:rPr>
  </w:style>
  <w:style w:type="paragraph" w:customStyle="1" w:styleId="titlepageDate">
    <w:name w:val="(title page) Date"/>
    <w:basedOn w:val="Normal"/>
    <w:next w:val="Normal"/>
    <w:uiPriority w:val="17"/>
    <w:qFormat/>
    <w:rsid w:val="00783D49"/>
    <w:pPr>
      <w:keepNext/>
      <w:keepLines/>
      <w:spacing w:before="780" w:after="520" w:line="264" w:lineRule="auto"/>
    </w:pPr>
    <w:rPr>
      <w:rFonts w:ascii="Proxima Nova" w:eastAsiaTheme="minorHAnsi" w:hAnsi="Proxima Nova" w:cstheme="minorBidi"/>
      <w:b/>
      <w:color w:val="1F497D" w:themeColor="text2"/>
      <w:sz w:val="44"/>
      <w:szCs w:val="22"/>
      <w:lang w:eastAsia="en-US"/>
    </w:rPr>
  </w:style>
  <w:style w:type="character" w:customStyle="1" w:styleId="UnresolvedMention1">
    <w:name w:val="Unresolved Mention1"/>
    <w:basedOn w:val="DefaultParagraphFont"/>
    <w:uiPriority w:val="99"/>
    <w:semiHidden/>
    <w:unhideWhenUsed/>
    <w:rsid w:val="009A7A70"/>
    <w:rPr>
      <w:color w:val="605E5C"/>
      <w:shd w:val="clear" w:color="auto" w:fill="E1DFDD"/>
    </w:rPr>
  </w:style>
  <w:style w:type="character" w:styleId="FollowedHyperlink">
    <w:name w:val="FollowedHyperlink"/>
    <w:basedOn w:val="DefaultParagraphFont"/>
    <w:semiHidden/>
    <w:unhideWhenUsed/>
    <w:rsid w:val="001D39C8"/>
    <w:rPr>
      <w:color w:val="800080" w:themeColor="followedHyperlink"/>
      <w:u w:val="single"/>
    </w:rPr>
  </w:style>
  <w:style w:type="character" w:styleId="CommentReference">
    <w:name w:val="annotation reference"/>
    <w:basedOn w:val="DefaultParagraphFont"/>
    <w:uiPriority w:val="99"/>
    <w:unhideWhenUsed/>
    <w:rsid w:val="00A9641D"/>
    <w:rPr>
      <w:sz w:val="16"/>
      <w:szCs w:val="16"/>
    </w:rPr>
  </w:style>
  <w:style w:type="paragraph" w:styleId="CommentSubject">
    <w:name w:val="annotation subject"/>
    <w:basedOn w:val="CommentText"/>
    <w:next w:val="CommentText"/>
    <w:link w:val="CommentSubjectChar"/>
    <w:semiHidden/>
    <w:unhideWhenUsed/>
    <w:rsid w:val="00A9641D"/>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semiHidden/>
    <w:rsid w:val="00A9641D"/>
    <w:rPr>
      <w:rFonts w:asciiTheme="minorHAnsi" w:eastAsiaTheme="minorHAnsi" w:hAnsiTheme="minorHAnsi" w:cstheme="minorBidi"/>
      <w:b/>
      <w:bCs/>
      <w:lang w:val="bg-BG" w:eastAsia="en-US"/>
    </w:rPr>
  </w:style>
  <w:style w:type="paragraph" w:customStyle="1" w:styleId="p1">
    <w:name w:val="p1"/>
    <w:basedOn w:val="Normal"/>
    <w:rsid w:val="001E2845"/>
    <w:pPr>
      <w:spacing w:before="100" w:beforeAutospacing="1" w:after="100" w:afterAutospacing="1"/>
    </w:pPr>
    <w:rPr>
      <w:rFonts w:ascii="Calibri" w:eastAsiaTheme="minorHAnsi" w:hAnsi="Calibri" w:cs="Calibri"/>
      <w:sz w:val="22"/>
      <w:szCs w:val="22"/>
      <w:lang w:eastAsia="en-IE"/>
    </w:rPr>
  </w:style>
  <w:style w:type="character" w:customStyle="1" w:styleId="s1">
    <w:name w:val="s1"/>
    <w:basedOn w:val="DefaultParagraphFont"/>
    <w:rsid w:val="001E2845"/>
  </w:style>
  <w:style w:type="paragraph" w:styleId="Revision">
    <w:name w:val="Revision"/>
    <w:hidden/>
    <w:uiPriority w:val="99"/>
    <w:semiHidden/>
    <w:rsid w:val="00E847AC"/>
    <w:rPr>
      <w:sz w:val="24"/>
      <w:szCs w:val="24"/>
    </w:rPr>
  </w:style>
  <w:style w:type="paragraph" w:styleId="BalloonText">
    <w:name w:val="Balloon Text"/>
    <w:basedOn w:val="Normal"/>
    <w:link w:val="BalloonTextChar"/>
    <w:semiHidden/>
    <w:unhideWhenUsed/>
    <w:rsid w:val="00D73E19"/>
    <w:rPr>
      <w:rFonts w:ascii="Segoe UI" w:hAnsi="Segoe UI" w:cs="Segoe UI"/>
      <w:sz w:val="18"/>
      <w:szCs w:val="18"/>
    </w:rPr>
  </w:style>
  <w:style w:type="character" w:customStyle="1" w:styleId="BalloonTextChar">
    <w:name w:val="Balloon Text Char"/>
    <w:basedOn w:val="DefaultParagraphFont"/>
    <w:link w:val="BalloonText"/>
    <w:semiHidden/>
    <w:rsid w:val="00D73E19"/>
    <w:rPr>
      <w:rFonts w:ascii="Segoe UI" w:hAnsi="Segoe UI" w:cs="Segoe UI"/>
      <w:sz w:val="18"/>
      <w:szCs w:val="18"/>
    </w:rPr>
  </w:style>
  <w:style w:type="character" w:customStyle="1" w:styleId="normaltextrun">
    <w:name w:val="normaltextrun"/>
    <w:basedOn w:val="DefaultParagraphFont"/>
    <w:rsid w:val="00D73E19"/>
  </w:style>
  <w:style w:type="character" w:customStyle="1" w:styleId="UnresolvedMention2">
    <w:name w:val="Unresolved Mention2"/>
    <w:basedOn w:val="DefaultParagraphFont"/>
    <w:uiPriority w:val="99"/>
    <w:semiHidden/>
    <w:unhideWhenUsed/>
    <w:rsid w:val="000517B3"/>
    <w:rPr>
      <w:color w:val="605E5C"/>
      <w:shd w:val="clear" w:color="auto" w:fill="E1DFDD"/>
    </w:rPr>
  </w:style>
  <w:style w:type="character" w:customStyle="1" w:styleId="UnresolvedMention3">
    <w:name w:val="Unresolved Mention3"/>
    <w:basedOn w:val="DefaultParagraphFont"/>
    <w:uiPriority w:val="99"/>
    <w:semiHidden/>
    <w:unhideWhenUsed/>
    <w:rsid w:val="00923DC7"/>
    <w:rPr>
      <w:color w:val="605E5C"/>
      <w:shd w:val="clear" w:color="auto" w:fill="E1DFDD"/>
    </w:rPr>
  </w:style>
  <w:style w:type="paragraph" w:customStyle="1" w:styleId="ecl-paragraph">
    <w:name w:val="ecl-paragraph"/>
    <w:basedOn w:val="Normal"/>
    <w:rsid w:val="00CA6202"/>
    <w:pPr>
      <w:spacing w:before="100" w:beforeAutospacing="1" w:after="100" w:afterAutospacing="1"/>
    </w:pPr>
    <w:rPr>
      <w:lang w:eastAsia="en-IE"/>
    </w:rPr>
  </w:style>
  <w:style w:type="character" w:styleId="Strong">
    <w:name w:val="Strong"/>
    <w:basedOn w:val="DefaultParagraphFont"/>
    <w:uiPriority w:val="22"/>
    <w:qFormat/>
    <w:rsid w:val="00CA6202"/>
    <w:rPr>
      <w:b/>
      <w:bCs/>
    </w:rPr>
  </w:style>
  <w:style w:type="character" w:customStyle="1" w:styleId="apple-converted-space">
    <w:name w:val="apple-converted-space"/>
    <w:basedOn w:val="DefaultParagraphFont"/>
    <w:rsid w:val="003B07C2"/>
  </w:style>
  <w:style w:type="character" w:customStyle="1" w:styleId="UnresolvedMention4">
    <w:name w:val="Unresolved Mention4"/>
    <w:basedOn w:val="DefaultParagraphFont"/>
    <w:uiPriority w:val="99"/>
    <w:semiHidden/>
    <w:unhideWhenUsed/>
    <w:rsid w:val="00F30BB4"/>
    <w:rPr>
      <w:color w:val="605E5C"/>
      <w:shd w:val="clear" w:color="auto" w:fill="E1DFDD"/>
    </w:rPr>
  </w:style>
  <w:style w:type="character" w:customStyle="1" w:styleId="Heading2Char">
    <w:name w:val="Heading 2 Char"/>
    <w:basedOn w:val="DefaultParagraphFont"/>
    <w:link w:val="Heading2"/>
    <w:uiPriority w:val="9"/>
    <w:rsid w:val="00FF4098"/>
    <w:rPr>
      <w:b/>
      <w:bCs/>
      <w:sz w:val="36"/>
      <w:szCs w:val="36"/>
      <w:lang w:val="bg-BG" w:eastAsia="de-DE"/>
    </w:rPr>
  </w:style>
  <w:style w:type="character" w:customStyle="1" w:styleId="UnresolvedMention5">
    <w:name w:val="Unresolved Mention5"/>
    <w:basedOn w:val="DefaultParagraphFont"/>
    <w:uiPriority w:val="99"/>
    <w:semiHidden/>
    <w:unhideWhenUsed/>
    <w:rsid w:val="008941C3"/>
    <w:rPr>
      <w:color w:val="605E5C"/>
      <w:shd w:val="clear" w:color="auto" w:fill="E1DFDD"/>
    </w:rPr>
  </w:style>
  <w:style w:type="character" w:customStyle="1" w:styleId="hgkelc">
    <w:name w:val="hgkelc"/>
    <w:basedOn w:val="DefaultParagraphFont"/>
    <w:rsid w:val="002D4555"/>
  </w:style>
  <w:style w:type="character" w:customStyle="1" w:styleId="UnresolvedMention">
    <w:name w:val="Unresolved Mention"/>
    <w:basedOn w:val="DefaultParagraphFont"/>
    <w:uiPriority w:val="99"/>
    <w:semiHidden/>
    <w:unhideWhenUsed/>
    <w:rsid w:val="00E34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4200">
      <w:bodyDiv w:val="1"/>
      <w:marLeft w:val="0"/>
      <w:marRight w:val="0"/>
      <w:marTop w:val="0"/>
      <w:marBottom w:val="0"/>
      <w:divBdr>
        <w:top w:val="none" w:sz="0" w:space="0" w:color="auto"/>
        <w:left w:val="none" w:sz="0" w:space="0" w:color="auto"/>
        <w:bottom w:val="none" w:sz="0" w:space="0" w:color="auto"/>
        <w:right w:val="none" w:sz="0" w:space="0" w:color="auto"/>
      </w:divBdr>
    </w:div>
    <w:div w:id="199587698">
      <w:bodyDiv w:val="1"/>
      <w:marLeft w:val="0"/>
      <w:marRight w:val="0"/>
      <w:marTop w:val="0"/>
      <w:marBottom w:val="0"/>
      <w:divBdr>
        <w:top w:val="none" w:sz="0" w:space="0" w:color="auto"/>
        <w:left w:val="none" w:sz="0" w:space="0" w:color="auto"/>
        <w:bottom w:val="none" w:sz="0" w:space="0" w:color="auto"/>
        <w:right w:val="none" w:sz="0" w:space="0" w:color="auto"/>
      </w:divBdr>
    </w:div>
    <w:div w:id="210457684">
      <w:bodyDiv w:val="1"/>
      <w:marLeft w:val="0"/>
      <w:marRight w:val="0"/>
      <w:marTop w:val="0"/>
      <w:marBottom w:val="0"/>
      <w:divBdr>
        <w:top w:val="none" w:sz="0" w:space="0" w:color="auto"/>
        <w:left w:val="none" w:sz="0" w:space="0" w:color="auto"/>
        <w:bottom w:val="none" w:sz="0" w:space="0" w:color="auto"/>
        <w:right w:val="none" w:sz="0" w:space="0" w:color="auto"/>
      </w:divBdr>
    </w:div>
    <w:div w:id="247930602">
      <w:bodyDiv w:val="1"/>
      <w:marLeft w:val="0"/>
      <w:marRight w:val="0"/>
      <w:marTop w:val="0"/>
      <w:marBottom w:val="0"/>
      <w:divBdr>
        <w:top w:val="none" w:sz="0" w:space="0" w:color="auto"/>
        <w:left w:val="none" w:sz="0" w:space="0" w:color="auto"/>
        <w:bottom w:val="none" w:sz="0" w:space="0" w:color="auto"/>
        <w:right w:val="none" w:sz="0" w:space="0" w:color="auto"/>
      </w:divBdr>
    </w:div>
    <w:div w:id="363017778">
      <w:bodyDiv w:val="1"/>
      <w:marLeft w:val="0"/>
      <w:marRight w:val="0"/>
      <w:marTop w:val="0"/>
      <w:marBottom w:val="0"/>
      <w:divBdr>
        <w:top w:val="none" w:sz="0" w:space="0" w:color="auto"/>
        <w:left w:val="none" w:sz="0" w:space="0" w:color="auto"/>
        <w:bottom w:val="none" w:sz="0" w:space="0" w:color="auto"/>
        <w:right w:val="none" w:sz="0" w:space="0" w:color="auto"/>
      </w:divBdr>
    </w:div>
    <w:div w:id="513766146">
      <w:bodyDiv w:val="1"/>
      <w:marLeft w:val="0"/>
      <w:marRight w:val="0"/>
      <w:marTop w:val="0"/>
      <w:marBottom w:val="0"/>
      <w:divBdr>
        <w:top w:val="none" w:sz="0" w:space="0" w:color="auto"/>
        <w:left w:val="none" w:sz="0" w:space="0" w:color="auto"/>
        <w:bottom w:val="none" w:sz="0" w:space="0" w:color="auto"/>
        <w:right w:val="none" w:sz="0" w:space="0" w:color="auto"/>
      </w:divBdr>
    </w:div>
    <w:div w:id="637958767">
      <w:bodyDiv w:val="1"/>
      <w:marLeft w:val="0"/>
      <w:marRight w:val="0"/>
      <w:marTop w:val="0"/>
      <w:marBottom w:val="0"/>
      <w:divBdr>
        <w:top w:val="none" w:sz="0" w:space="0" w:color="auto"/>
        <w:left w:val="none" w:sz="0" w:space="0" w:color="auto"/>
        <w:bottom w:val="none" w:sz="0" w:space="0" w:color="auto"/>
        <w:right w:val="none" w:sz="0" w:space="0" w:color="auto"/>
      </w:divBdr>
    </w:div>
    <w:div w:id="673384969">
      <w:bodyDiv w:val="1"/>
      <w:marLeft w:val="0"/>
      <w:marRight w:val="0"/>
      <w:marTop w:val="0"/>
      <w:marBottom w:val="0"/>
      <w:divBdr>
        <w:top w:val="none" w:sz="0" w:space="0" w:color="auto"/>
        <w:left w:val="none" w:sz="0" w:space="0" w:color="auto"/>
        <w:bottom w:val="none" w:sz="0" w:space="0" w:color="auto"/>
        <w:right w:val="none" w:sz="0" w:space="0" w:color="auto"/>
      </w:divBdr>
    </w:div>
    <w:div w:id="711348028">
      <w:bodyDiv w:val="1"/>
      <w:marLeft w:val="0"/>
      <w:marRight w:val="0"/>
      <w:marTop w:val="0"/>
      <w:marBottom w:val="0"/>
      <w:divBdr>
        <w:top w:val="none" w:sz="0" w:space="0" w:color="auto"/>
        <w:left w:val="none" w:sz="0" w:space="0" w:color="auto"/>
        <w:bottom w:val="none" w:sz="0" w:space="0" w:color="auto"/>
        <w:right w:val="none" w:sz="0" w:space="0" w:color="auto"/>
      </w:divBdr>
    </w:div>
    <w:div w:id="792089857">
      <w:bodyDiv w:val="1"/>
      <w:marLeft w:val="0"/>
      <w:marRight w:val="0"/>
      <w:marTop w:val="0"/>
      <w:marBottom w:val="0"/>
      <w:divBdr>
        <w:top w:val="none" w:sz="0" w:space="0" w:color="auto"/>
        <w:left w:val="none" w:sz="0" w:space="0" w:color="auto"/>
        <w:bottom w:val="none" w:sz="0" w:space="0" w:color="auto"/>
        <w:right w:val="none" w:sz="0" w:space="0" w:color="auto"/>
      </w:divBdr>
    </w:div>
    <w:div w:id="1030953610">
      <w:bodyDiv w:val="1"/>
      <w:marLeft w:val="0"/>
      <w:marRight w:val="0"/>
      <w:marTop w:val="0"/>
      <w:marBottom w:val="0"/>
      <w:divBdr>
        <w:top w:val="none" w:sz="0" w:space="0" w:color="auto"/>
        <w:left w:val="none" w:sz="0" w:space="0" w:color="auto"/>
        <w:bottom w:val="none" w:sz="0" w:space="0" w:color="auto"/>
        <w:right w:val="none" w:sz="0" w:space="0" w:color="auto"/>
      </w:divBdr>
    </w:div>
    <w:div w:id="1350109801">
      <w:bodyDiv w:val="1"/>
      <w:marLeft w:val="0"/>
      <w:marRight w:val="0"/>
      <w:marTop w:val="0"/>
      <w:marBottom w:val="0"/>
      <w:divBdr>
        <w:top w:val="none" w:sz="0" w:space="0" w:color="auto"/>
        <w:left w:val="none" w:sz="0" w:space="0" w:color="auto"/>
        <w:bottom w:val="none" w:sz="0" w:space="0" w:color="auto"/>
        <w:right w:val="none" w:sz="0" w:space="0" w:color="auto"/>
      </w:divBdr>
    </w:div>
    <w:div w:id="1464231508">
      <w:bodyDiv w:val="1"/>
      <w:marLeft w:val="0"/>
      <w:marRight w:val="0"/>
      <w:marTop w:val="0"/>
      <w:marBottom w:val="0"/>
      <w:divBdr>
        <w:top w:val="none" w:sz="0" w:space="0" w:color="auto"/>
        <w:left w:val="none" w:sz="0" w:space="0" w:color="auto"/>
        <w:bottom w:val="none" w:sz="0" w:space="0" w:color="auto"/>
        <w:right w:val="none" w:sz="0" w:space="0" w:color="auto"/>
      </w:divBdr>
    </w:div>
    <w:div w:id="1527869338">
      <w:bodyDiv w:val="1"/>
      <w:marLeft w:val="0"/>
      <w:marRight w:val="0"/>
      <w:marTop w:val="0"/>
      <w:marBottom w:val="0"/>
      <w:divBdr>
        <w:top w:val="none" w:sz="0" w:space="0" w:color="auto"/>
        <w:left w:val="none" w:sz="0" w:space="0" w:color="auto"/>
        <w:bottom w:val="none" w:sz="0" w:space="0" w:color="auto"/>
        <w:right w:val="none" w:sz="0" w:space="0" w:color="auto"/>
      </w:divBdr>
    </w:div>
    <w:div w:id="1539581268">
      <w:bodyDiv w:val="1"/>
      <w:marLeft w:val="0"/>
      <w:marRight w:val="0"/>
      <w:marTop w:val="0"/>
      <w:marBottom w:val="0"/>
      <w:divBdr>
        <w:top w:val="none" w:sz="0" w:space="0" w:color="auto"/>
        <w:left w:val="none" w:sz="0" w:space="0" w:color="auto"/>
        <w:bottom w:val="none" w:sz="0" w:space="0" w:color="auto"/>
        <w:right w:val="none" w:sz="0" w:space="0" w:color="auto"/>
      </w:divBdr>
    </w:div>
    <w:div w:id="207762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fra.europa.eu/sites/default/files/fra_uploads/fra-2023-ukraine-survey_en.pdf" TargetMode="External"/><Relationship Id="rId18" Type="http://schemas.openxmlformats.org/officeDocument/2006/relationships/hyperlink" Target="https://assets.hcch.net/docs/f16ebd3d-f398-4891-bf47-110866e171d4.pdf" TargetMode="External"/><Relationship Id="rId26" Type="http://schemas.openxmlformats.org/officeDocument/2006/relationships/hyperlink" Target="https://www.eurojust.europa.eu/sites/default/files/assets/eurojust-icc-csos-guidelines.pdf" TargetMode="External"/><Relationship Id="rId39" Type="http://schemas.openxmlformats.org/officeDocument/2006/relationships/hyperlink" Target="https://ec.europa.eu/social/main.jsp?langId=en&amp;catId=89&amp;furtherNews=yes&amp;newsId=10491" TargetMode="External"/><Relationship Id="rId21" Type="http://schemas.openxmlformats.org/officeDocument/2006/relationships/hyperlink" Target="https://www.ela.europa.eu/en/news/ilo-and-ela-joined-forces-reduce-risks-undeclared-work-labour-exploitation-and-trafficking" TargetMode="External"/><Relationship Id="rId34" Type="http://schemas.openxmlformats.org/officeDocument/2006/relationships/hyperlink" Target="https://eur-lex.europa.eu/legal-content/BG/TXT/?uri=CELEX%3A52022XC0616%2801%29" TargetMode="External"/><Relationship Id="rId42" Type="http://schemas.openxmlformats.org/officeDocument/2006/relationships/hyperlink" Target="https://eur-lex.europa.eu/legal-content/BG/TXT/PDF/?uri=CELEX:32022H0554&amp;from=BG" TargetMode="External"/><Relationship Id="rId47" Type="http://schemas.openxmlformats.org/officeDocument/2006/relationships/hyperlink" Target="https://www.oecd.org/ukraine-hub/policy-responses/housing-support-for-ukrainian-refugees-in-receiving-countries-9c2b4404/" TargetMode="External"/><Relationship Id="rId50" Type="http://schemas.openxmlformats.org/officeDocument/2006/relationships/hyperlink" Target="https://ec.europa.eu/info/funding-tenders/opportunities/docs/2021-2027/amif/wp-call/2023/call-fiche_amif-2023-tf2-ag_en.pdf" TargetMode="External"/><Relationship Id="rId55" Type="http://schemas.openxmlformats.org/officeDocument/2006/relationships/hyperlink" Target="https://eur-lex.europa.eu/legal-content/BG/TXT/?qid=1669730442623&amp;uri=CELEX%3A32022R2039" TargetMode="External"/><Relationship Id="rId7" Type="http://schemas.openxmlformats.org/officeDocument/2006/relationships/hyperlink" Target="https://eur-lex.europa.eu/legal-content/bg/TXT/?uri=CELEX%3A32020H1366" TargetMode="External"/><Relationship Id="rId12" Type="http://schemas.openxmlformats.org/officeDocument/2006/relationships/hyperlink" Target="https://fra.europa.eu/sites/default/files/fra_uploads/fra-2023-ukraine-survey_en.pdf" TargetMode="External"/><Relationship Id="rId17" Type="http://schemas.openxmlformats.org/officeDocument/2006/relationships/hyperlink" Target="https://home-affairs.ec.europa.eu/system/files/2022-07/FAQs%20UAMs%20and%20separated%20children%20TPD_en_1.pdf" TargetMode="External"/><Relationship Id="rId25" Type="http://schemas.openxmlformats.org/officeDocument/2006/relationships/hyperlink" Target="https://home-affairs.ec.europa.eu/policies/internal-security/organised-crime-and-human-trafficking/together-against-trafficking-human-beings/intensifying-coordinated-response_en" TargetMode="External"/><Relationship Id="rId33" Type="http://schemas.openxmlformats.org/officeDocument/2006/relationships/hyperlink" Target="https://www.schooleducationgateway.eu/en/pub/latest/news/education-support-ua-refugees.htm" TargetMode="External"/><Relationship Id="rId38" Type="http://schemas.openxmlformats.org/officeDocument/2006/relationships/hyperlink" Target="https://www.oecd.org/ukraine-hub/policy-responses/what-we-know-about-the-skills-and-early-labour-market-outcomes-of-refugees-from-ukraine-c7e694aa/" TargetMode="External"/><Relationship Id="rId46" Type="http://schemas.openxmlformats.org/officeDocument/2006/relationships/hyperlink" Target="https://civil-protection-humanitarian-aid.ec.europa.eu/what/civil-protection/eu-civil-protection-mechanism_en" TargetMode="External"/><Relationship Id="rId2" Type="http://schemas.openxmlformats.org/officeDocument/2006/relationships/hyperlink" Target="https://home-affairs.ec.europa.eu/system/files/2022-03/The%2010-Point%20Plan-For%20stronger%20European%20coordination%20on%20welcoming%20people%20fleeing%20the%20war%20from%20Ukraine_en.pdf" TargetMode="External"/><Relationship Id="rId16" Type="http://schemas.openxmlformats.org/officeDocument/2006/relationships/hyperlink" Target="https://eur-lex.europa.eu/legal-content/BG/TXT/PDF/?uri=CELEX:52022XC0321(03)&amp;from=BG" TargetMode="External"/><Relationship Id="rId20" Type="http://schemas.openxmlformats.org/officeDocument/2006/relationships/hyperlink" Target="https://fra.europa.eu/sites/default/files/fra_uploads/fra-2022-ukraine-bulletin-2_en.pdf" TargetMode="External"/><Relationship Id="rId29" Type="http://schemas.openxmlformats.org/officeDocument/2006/relationships/hyperlink" Target="https://school-education.ec.europa.eu/en/insights/publications/supporting-inclusion-displaced-children-ukraine-education-considerations-key" TargetMode="External"/><Relationship Id="rId41" Type="http://schemas.openxmlformats.org/officeDocument/2006/relationships/hyperlink" Target="https://eures.ec.europa.eu/eu-talent-pool-pilot_en" TargetMode="External"/><Relationship Id="rId54" Type="http://schemas.openxmlformats.org/officeDocument/2006/relationships/hyperlink" Target="https://eur-lex.europa.eu/legal-content/BG/TXT/?qid=1663247856501&amp;uri=CELEX%3A32022R0613" TargetMode="External"/><Relationship Id="rId1" Type="http://schemas.openxmlformats.org/officeDocument/2006/relationships/hyperlink" Target="https://eur-lex.europa.eu/legal-content/BG/TXT/PDF/?uri=CELEX:32001L0055&amp;from=BG" TargetMode="External"/><Relationship Id="rId6" Type="http://schemas.openxmlformats.org/officeDocument/2006/relationships/hyperlink" Target="https://eur-lex.europa.eu/legal-content/BG/TXT/PDF/?uri=CELEX:32022D0382&amp;from=EN" TargetMode="External"/><Relationship Id="rId11" Type="http://schemas.openxmlformats.org/officeDocument/2006/relationships/hyperlink" Target="https://ec.europa.eu/eurostat/databrowser/view/MIGR_ASYTPSM/default/table?lang=en&amp;category=migr.migr_asy.migr_asytp" TargetMode="External"/><Relationship Id="rId24" Type="http://schemas.openxmlformats.org/officeDocument/2006/relationships/hyperlink" Target="https://home-affairs.ec.europa.eu/fourth-report-progress-fight-against-trafficking-human-beings_en" TargetMode="External"/><Relationship Id="rId32" Type="http://schemas.openxmlformats.org/officeDocument/2006/relationships/hyperlink" Target="https://www.schooleducationgateway.eu/en/pub/index.htm" TargetMode="External"/><Relationship Id="rId37" Type="http://schemas.openxmlformats.org/officeDocument/2006/relationships/hyperlink" Target="https://eur-lex.europa.eu/legal-content/BG/TXT/?uri=CELEX%3A52022XC0616%2801%29" TargetMode="External"/><Relationship Id="rId40" Type="http://schemas.openxmlformats.org/officeDocument/2006/relationships/hyperlink" Target="https://ec.europa.eu/social/main.jsp?langId=en&amp;catId=89&amp;furtherNews=yes&amp;newsId=10491" TargetMode="External"/><Relationship Id="rId45" Type="http://schemas.openxmlformats.org/officeDocument/2006/relationships/hyperlink" Target="https://home-affairs.ec.europa.eu/policies/migration-and-asylum/legal-migration-and-integration/cooperation-economic-and-social-partners/european-partnership-integration_en" TargetMode="External"/><Relationship Id="rId53" Type="http://schemas.openxmlformats.org/officeDocument/2006/relationships/hyperlink" Target="https://eur-lex.europa.eu/legal-content/BG/TXT/?uri=celex%3A32022R0562" TargetMode="External"/><Relationship Id="rId58" Type="http://schemas.openxmlformats.org/officeDocument/2006/relationships/hyperlink" Target="https://eur-lex.europa.eu/legal-content/BG/TXT/PDF/?uri=CELEX:52020PC0613&amp;from=BG" TargetMode="External"/><Relationship Id="rId5" Type="http://schemas.openxmlformats.org/officeDocument/2006/relationships/hyperlink" Target="https://ec.europa.eu/eurostat/databrowser/view/MIGR_ASYTPSM/default/table?lang=en&amp;category=migr.migr_asy.migr_asytp" TargetMode="External"/><Relationship Id="rId15" Type="http://schemas.openxmlformats.org/officeDocument/2006/relationships/hyperlink" Target="https://home-affairs.ec.europa.eu/system/files/2022-07/FAQs%20UAMs%20and%20separated%20children%20TPD_en_1.pdf" TargetMode="External"/><Relationship Id="rId23" Type="http://schemas.openxmlformats.org/officeDocument/2006/relationships/hyperlink" Target="https://home-affairs.ec.europa.eu/system/files/2022-05/Anti-Trafficking%20Plan_en.pdf" TargetMode="External"/><Relationship Id="rId28" Type="http://schemas.openxmlformats.org/officeDocument/2006/relationships/hyperlink" Target="https://emergency.mon.gov.ua/" TargetMode="External"/><Relationship Id="rId36" Type="http://schemas.openxmlformats.org/officeDocument/2006/relationships/hyperlink" Target="https://eur-lex.europa.eu/legal-content/BG/TXT/?uri=CELEX%3A52022XC0321%2803%29" TargetMode="External"/><Relationship Id="rId49" Type="http://schemas.openxmlformats.org/officeDocument/2006/relationships/hyperlink" Target="https://home-affairs.ec.europa.eu/system/files/2022-07/Safe%20homes%20guidance_en.pdf" TargetMode="External"/><Relationship Id="rId57" Type="http://schemas.openxmlformats.org/officeDocument/2006/relationships/hyperlink" Target="https://home-affairs.ec.europa.eu/system/files/2022-12/Frequently%20Asked%20Questions%20on%20going%20home%20to%20Ukraine%20on%20a%20voluntary%20basis%20in%20the%20context%20of%20the%20Temporary%20Protection_en.pdf" TargetMode="External"/><Relationship Id="rId10" Type="http://schemas.openxmlformats.org/officeDocument/2006/relationships/hyperlink" Target="https://eu-solidarity-ukraine.ec.europa.eu/one-year-ukrainian-resistance_bg" TargetMode="External"/><Relationship Id="rId19" Type="http://schemas.openxmlformats.org/officeDocument/2006/relationships/hyperlink" Target="https://www.egnetwork.eu/wp-content/uploads/2022/07/Practices-regarding-unaccompanied-and-separated-children-from-Ukraine-.pdf" TargetMode="External"/><Relationship Id="rId31" Type="http://schemas.openxmlformats.org/officeDocument/2006/relationships/hyperlink" Target="https://school-education.ec.europa.eu/en" TargetMode="External"/><Relationship Id="rId44" Type="http://schemas.openxmlformats.org/officeDocument/2006/relationships/hyperlink" Target="https://europa.eu/europass/system/files/2023-02/Comparison%20report%20EN.pdf" TargetMode="External"/><Relationship Id="rId52" Type="http://schemas.openxmlformats.org/officeDocument/2006/relationships/hyperlink" Target="https://ec.europa.eu/migrant-integration/eu-grid/european-integration-network_en" TargetMode="External"/><Relationship Id="rId4" Type="http://schemas.openxmlformats.org/officeDocument/2006/relationships/hyperlink" Target="https://eur-lex.europa.eu/legal-content/BG/TXT/?uri=CELEX%3A52022DC0131" TargetMode="External"/><Relationship Id="rId9" Type="http://schemas.openxmlformats.org/officeDocument/2006/relationships/hyperlink" Target="https://european-union.europa.eu/contact-eu_bg" TargetMode="External"/><Relationship Id="rId14" Type="http://schemas.openxmlformats.org/officeDocument/2006/relationships/hyperlink" Target="https://eur-lex.europa.eu/legal-content/BG/TXT/PDF/?uri=CELEX:52022XC0321(03)&amp;from=BG" TargetMode="External"/><Relationship Id="rId22" Type="http://schemas.openxmlformats.org/officeDocument/2006/relationships/hyperlink" Target="https://www.ela.europa.eu/en/news/ilo-and-ela-joined-forces-reduce-risks-undeclared-work-labour-exploitation-and-trafficking" TargetMode="External"/><Relationship Id="rId27" Type="http://schemas.openxmlformats.org/officeDocument/2006/relationships/hyperlink" Target="https://education.ec.europa.eu/news/what-helps-displaced-children-from-ukraine-enrol-in-eu-schools" TargetMode="External"/><Relationship Id="rId30" Type="http://schemas.openxmlformats.org/officeDocument/2006/relationships/hyperlink" Target="https://school-education.ec.europa.eu/en/insights/publications/supporting-inclusion-displaced-children-ukraine-education-considerations-key" TargetMode="External"/><Relationship Id="rId35" Type="http://schemas.openxmlformats.org/officeDocument/2006/relationships/hyperlink" Target="https://health.ec.europa.eu/system/files/2022-08/soc-det_tpd-rr-report_en.pdf" TargetMode="External"/><Relationship Id="rId43" Type="http://schemas.openxmlformats.org/officeDocument/2006/relationships/hyperlink" Target="https://europa.eu/europass/system/files/2023-02/Comparison%20report%20EN.pdf" TargetMode="External"/><Relationship Id="rId48" Type="http://schemas.openxmlformats.org/officeDocument/2006/relationships/hyperlink" Target="https://home-affairs.ec.europa.eu/news/safe-and-suitable-homes-people-fleeing-war-ukraine-2022-07-06_en" TargetMode="External"/><Relationship Id="rId56" Type="http://schemas.openxmlformats.org/officeDocument/2006/relationships/hyperlink" Target="https://home-affairs.ec.europa.eu/system/files/2022-07/Frequently%20asked%20questions%20received%20on%20the%20interpretation%20of%20the%20Temporary%20Protection%20Directive%20and%20Council%20Implementing%20Decision%202022-382_en.pdf" TargetMode="External"/><Relationship Id="rId8" Type="http://schemas.openxmlformats.org/officeDocument/2006/relationships/hyperlink" Target="https://eu-solidarity-ukraine.ec.europa.eu/index_en" TargetMode="External"/><Relationship Id="rId51" Type="http://schemas.openxmlformats.org/officeDocument/2006/relationships/hyperlink" Target="https://ec.europa.eu/migrant-integration/eu-grid/european-integration-network_en" TargetMode="External"/><Relationship Id="rId3" Type="http://schemas.openxmlformats.org/officeDocument/2006/relationships/hyperlink" Target="https://eur-lex.europa.eu/legal-content/BG/TXT/?uri=CELEX%3A52022DC0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37D60-7D97-4183-BC81-996A0F4BD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11038</Words>
  <Characters>64576</Characters>
  <Application>Microsoft Office Word</Application>
  <DocSecurity>0</DocSecurity>
  <Lines>1058</Lines>
  <Paragraphs>211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2023-03-27T14:36:00Z</dcterms:created>
  <dcterms:modified xsi:type="dcterms:W3CDTF">2023-03-29T16:14:00Z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8.1, Build 20230124</vt:lpwstr>
  </property>
  <property fmtid="{D5CDD505-2E9C-101B-9397-08002B2CF9AE}" pid="4" name="MSIP_Label_6bd9ddd1-4d20-43f6-abfa-fc3c07406f94_Enabled">
    <vt:lpwstr>true</vt:lpwstr>
  </property>
  <property fmtid="{D5CDD505-2E9C-101B-9397-08002B2CF9AE}" pid="5" name="MSIP_Label_6bd9ddd1-4d20-43f6-abfa-fc3c07406f94_SetDate">
    <vt:lpwstr>2023-03-04T18:33:47Z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1b88fb6a-faae-491e-a9a2-415867e33c12</vt:lpwstr>
  </property>
  <property fmtid="{D5CDD505-2E9C-101B-9397-08002B2CF9AE}" pid="10" name="MSIP_Label_6bd9ddd1-4d20-43f6-abfa-fc3c07406f94_ContentBits">
    <vt:lpwstr>0</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CP-012</vt:lpwstr>
  </property>
</Properties>
</file>